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charts/chart1.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charts/chart2.xml" ContentType="application/vnd.openxmlformats-officedocument.drawingml.chart+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8" w:type="dxa"/>
        <w:tblLayout w:type="fixed"/>
        <w:tblCellMar>
          <w:left w:w="0" w:type="dxa"/>
          <w:right w:w="0" w:type="dxa"/>
        </w:tblCellMar>
        <w:tblLook w:val="0000" w:firstRow="0" w:lastRow="0" w:firstColumn="0" w:lastColumn="0" w:noHBand="0" w:noVBand="0"/>
      </w:tblPr>
      <w:tblGrid>
        <w:gridCol w:w="4253"/>
        <w:gridCol w:w="7"/>
        <w:gridCol w:w="4246"/>
      </w:tblGrid>
      <w:tr w:rsidR="00234376" w:rsidRPr="00537C3C">
        <w:trPr>
          <w:cantSplit/>
          <w:trHeight w:hRule="exact" w:val="3119"/>
        </w:trPr>
        <w:tc>
          <w:tcPr>
            <w:tcW w:w="4260" w:type="dxa"/>
            <w:gridSpan w:val="2"/>
            <w:vAlign w:val="bottom"/>
          </w:tcPr>
          <w:p w:rsidR="00234376" w:rsidRPr="00537C3C" w:rsidRDefault="00234376" w:rsidP="008E03A7">
            <w:pPr>
              <w:pStyle w:val="PublicationTitle"/>
              <w:rPr>
                <w:vertAlign w:val="superscript"/>
              </w:rPr>
            </w:pPr>
            <w:bookmarkStart w:id="0" w:name="_Ref207693180"/>
          </w:p>
        </w:tc>
        <w:tc>
          <w:tcPr>
            <w:tcW w:w="4246" w:type="dxa"/>
            <w:vAlign w:val="bottom"/>
          </w:tcPr>
          <w:p w:rsidR="00234376" w:rsidRPr="00537C3C" w:rsidRDefault="00234376" w:rsidP="008E03A7">
            <w:pPr>
              <w:pStyle w:val="PublicationTitle"/>
            </w:pPr>
            <w:r w:rsidRPr="00537C3C">
              <w:t>Automation-assisted and liquid-based cytology for cervical cancer screening</w:t>
            </w:r>
          </w:p>
        </w:tc>
      </w:tr>
      <w:tr w:rsidR="00234376" w:rsidRPr="00537C3C">
        <w:trPr>
          <w:cantSplit/>
          <w:trHeight w:hRule="exact" w:val="425"/>
        </w:trPr>
        <w:tc>
          <w:tcPr>
            <w:tcW w:w="4253" w:type="dxa"/>
            <w:vAlign w:val="bottom"/>
          </w:tcPr>
          <w:p w:rsidR="00234376" w:rsidRPr="00537C3C" w:rsidRDefault="00234376"/>
        </w:tc>
        <w:tc>
          <w:tcPr>
            <w:tcW w:w="4253" w:type="dxa"/>
            <w:gridSpan w:val="2"/>
            <w:vAlign w:val="bottom"/>
          </w:tcPr>
          <w:p w:rsidR="00234376" w:rsidRPr="00537C3C" w:rsidRDefault="00234376">
            <w:pPr>
              <w:pStyle w:val="Heading1"/>
              <w:jc w:val="right"/>
            </w:pPr>
          </w:p>
          <w:p w:rsidR="00234376" w:rsidRPr="00537C3C" w:rsidRDefault="00234376">
            <w:pPr>
              <w:rPr>
                <w:b/>
                <w:i/>
              </w:rPr>
            </w:pPr>
          </w:p>
        </w:tc>
      </w:tr>
      <w:tr w:rsidR="00234376" w:rsidRPr="00537C3C">
        <w:trPr>
          <w:cantSplit/>
          <w:trHeight w:hRule="exact" w:val="851"/>
        </w:trPr>
        <w:tc>
          <w:tcPr>
            <w:tcW w:w="4253" w:type="dxa"/>
            <w:vAlign w:val="center"/>
          </w:tcPr>
          <w:p w:rsidR="00234376" w:rsidRPr="00537C3C" w:rsidRDefault="00234376">
            <w:pPr>
              <w:pStyle w:val="Date"/>
            </w:pPr>
          </w:p>
        </w:tc>
        <w:tc>
          <w:tcPr>
            <w:tcW w:w="4253" w:type="dxa"/>
            <w:gridSpan w:val="2"/>
            <w:vAlign w:val="center"/>
          </w:tcPr>
          <w:p w:rsidR="00234376" w:rsidRPr="00537C3C" w:rsidRDefault="00014112" w:rsidP="008E03A7">
            <w:pPr>
              <w:pStyle w:val="Date"/>
            </w:pPr>
            <w:r>
              <w:t>March</w:t>
            </w:r>
            <w:r w:rsidR="00234376" w:rsidRPr="00537C3C">
              <w:t xml:space="preserve"> 2009 </w:t>
            </w:r>
          </w:p>
        </w:tc>
      </w:tr>
      <w:tr w:rsidR="00234376" w:rsidRPr="00537C3C">
        <w:trPr>
          <w:cantSplit/>
          <w:trHeight w:hRule="exact" w:val="1134"/>
        </w:trPr>
        <w:tc>
          <w:tcPr>
            <w:tcW w:w="4253" w:type="dxa"/>
          </w:tcPr>
          <w:p w:rsidR="00234376" w:rsidRPr="00537C3C" w:rsidRDefault="00234376"/>
        </w:tc>
        <w:tc>
          <w:tcPr>
            <w:tcW w:w="4253" w:type="dxa"/>
            <w:gridSpan w:val="2"/>
          </w:tcPr>
          <w:p w:rsidR="00234376" w:rsidRPr="00537C3C" w:rsidRDefault="00234376">
            <w:pPr>
              <w:ind w:right="113"/>
              <w:jc w:val="right"/>
            </w:pPr>
          </w:p>
        </w:tc>
      </w:tr>
      <w:tr w:rsidR="00234376" w:rsidRPr="00537C3C">
        <w:trPr>
          <w:cantSplit/>
          <w:trHeight w:hRule="exact" w:val="4536"/>
        </w:trPr>
        <w:tc>
          <w:tcPr>
            <w:tcW w:w="4253" w:type="dxa"/>
          </w:tcPr>
          <w:p w:rsidR="00234376" w:rsidRPr="00537C3C" w:rsidRDefault="00234376">
            <w:pPr>
              <w:pStyle w:val="Sub-title"/>
            </w:pPr>
          </w:p>
        </w:tc>
        <w:tc>
          <w:tcPr>
            <w:tcW w:w="4253" w:type="dxa"/>
            <w:gridSpan w:val="2"/>
          </w:tcPr>
          <w:p w:rsidR="00234376" w:rsidRPr="00537C3C" w:rsidRDefault="00234376">
            <w:pPr>
              <w:pStyle w:val="Sub-title"/>
              <w:rPr>
                <w:b w:val="0"/>
              </w:rPr>
            </w:pPr>
          </w:p>
          <w:p w:rsidR="00234376" w:rsidRPr="00537C3C" w:rsidRDefault="00234376">
            <w:pPr>
              <w:pStyle w:val="Sub-title"/>
              <w:rPr>
                <w:bCs/>
              </w:rPr>
            </w:pPr>
            <w:r w:rsidRPr="00BB76D8">
              <w:rPr>
                <w:bCs/>
              </w:rPr>
              <w:t>MSAC</w:t>
            </w:r>
            <w:r w:rsidRPr="00537C3C">
              <w:rPr>
                <w:bCs/>
              </w:rPr>
              <w:t xml:space="preserve"> application 1122</w:t>
            </w:r>
          </w:p>
          <w:p w:rsidR="00234376" w:rsidRPr="00537C3C" w:rsidRDefault="00234376" w:rsidP="008E03A7">
            <w:pPr>
              <w:pStyle w:val="Sub-title"/>
              <w:rPr>
                <w:i/>
              </w:rPr>
            </w:pPr>
            <w:r w:rsidRPr="00537C3C">
              <w:br/>
              <w:t>Assessment report</w:t>
            </w:r>
          </w:p>
        </w:tc>
      </w:tr>
    </w:tbl>
    <w:p w:rsidR="00234376" w:rsidRPr="00537C3C" w:rsidRDefault="00234376"/>
    <w:p w:rsidR="00234376" w:rsidRPr="004A24EE" w:rsidRDefault="00234376" w:rsidP="008E03A7">
      <w:pPr>
        <w:rPr>
          <w:b/>
          <w:sz w:val="20"/>
        </w:rPr>
      </w:pPr>
      <w:r w:rsidRPr="00537C3C">
        <w:br w:type="page"/>
      </w:r>
      <w:r w:rsidRPr="004A24EE">
        <w:rPr>
          <w:b/>
          <w:sz w:val="20"/>
        </w:rPr>
        <w:lastRenderedPageBreak/>
        <w:t>© Commonwealth of Australia 2009</w:t>
      </w:r>
    </w:p>
    <w:p w:rsidR="00234376" w:rsidRPr="004A24EE" w:rsidRDefault="00234376" w:rsidP="008E03A7">
      <w:pPr>
        <w:pStyle w:val="CommentText"/>
        <w:spacing w:after="120"/>
        <w:rPr>
          <w:b/>
        </w:rPr>
      </w:pPr>
      <w:r w:rsidRPr="004A24EE">
        <w:rPr>
          <w:b/>
        </w:rPr>
        <w:t xml:space="preserve">ISBN (Print) </w:t>
      </w:r>
      <w:r w:rsidR="00096644" w:rsidRPr="00096644">
        <w:rPr>
          <w:b/>
        </w:rPr>
        <w:t xml:space="preserve">978-1-74241-017-3 </w:t>
      </w:r>
      <w:r w:rsidRPr="004A24EE">
        <w:rPr>
          <w:b/>
        </w:rPr>
        <w:t xml:space="preserve"> </w:t>
      </w:r>
    </w:p>
    <w:p w:rsidR="00234376" w:rsidRPr="004A24EE" w:rsidRDefault="00234376" w:rsidP="008E03A7">
      <w:pPr>
        <w:pStyle w:val="CommentText"/>
        <w:spacing w:after="120"/>
        <w:rPr>
          <w:b/>
        </w:rPr>
      </w:pPr>
      <w:r w:rsidRPr="004A24EE">
        <w:rPr>
          <w:b/>
        </w:rPr>
        <w:t xml:space="preserve">ISBN (Online) </w:t>
      </w:r>
      <w:r w:rsidR="00096644" w:rsidRPr="00096644">
        <w:rPr>
          <w:b/>
        </w:rPr>
        <w:t xml:space="preserve">978-1-74241-018-0 </w:t>
      </w:r>
      <w:r w:rsidRPr="004A24EE">
        <w:rPr>
          <w:b/>
        </w:rPr>
        <w:t xml:space="preserve"> </w:t>
      </w:r>
    </w:p>
    <w:p w:rsidR="00234376" w:rsidRPr="004A24EE" w:rsidRDefault="00234376" w:rsidP="008E03A7">
      <w:pPr>
        <w:pStyle w:val="CommentText"/>
        <w:spacing w:after="120"/>
        <w:rPr>
          <w:b/>
        </w:rPr>
      </w:pPr>
      <w:r w:rsidRPr="004A24EE">
        <w:rPr>
          <w:b/>
        </w:rPr>
        <w:t>ISSN (Print) 1443–7120</w:t>
      </w:r>
    </w:p>
    <w:p w:rsidR="00234376" w:rsidRPr="004A24EE" w:rsidRDefault="00234376" w:rsidP="008E03A7">
      <w:pPr>
        <w:pStyle w:val="CommentText"/>
        <w:rPr>
          <w:b/>
        </w:rPr>
      </w:pPr>
      <w:r w:rsidRPr="004A24EE">
        <w:rPr>
          <w:b/>
        </w:rPr>
        <w:t>ISSN (Online) 1443–7139</w:t>
      </w:r>
    </w:p>
    <w:p w:rsidR="00234376" w:rsidRPr="004A24EE" w:rsidRDefault="00234376" w:rsidP="008E03A7">
      <w:pPr>
        <w:rPr>
          <w:b/>
          <w:i/>
          <w:sz w:val="20"/>
        </w:rPr>
      </w:pPr>
      <w:r w:rsidRPr="004A24EE">
        <w:rPr>
          <w:b/>
          <w:sz w:val="20"/>
        </w:rPr>
        <w:t xml:space="preserve">First printed </w:t>
      </w:r>
      <w:r w:rsidR="00096644">
        <w:rPr>
          <w:b/>
          <w:vanish/>
          <w:color w:val="0000FF"/>
          <w:sz w:val="20"/>
        </w:rPr>
        <w:t xml:space="preserve"> </w:t>
      </w:r>
      <w:r w:rsidR="00096644" w:rsidRPr="00096644">
        <w:rPr>
          <w:sz w:val="20"/>
        </w:rPr>
        <w:t>September 2009</w:t>
      </w:r>
      <w:r w:rsidRPr="004A24EE">
        <w:rPr>
          <w:b/>
          <w:i/>
          <w:sz w:val="20"/>
        </w:rPr>
        <w:t xml:space="preserve"> </w:t>
      </w:r>
    </w:p>
    <w:p w:rsidR="00234376" w:rsidRPr="00096644" w:rsidRDefault="00234376" w:rsidP="008E03A7">
      <w:pPr>
        <w:spacing w:after="120"/>
        <w:rPr>
          <w:b/>
          <w:sz w:val="20"/>
        </w:rPr>
      </w:pPr>
      <w:r w:rsidRPr="00096644">
        <w:rPr>
          <w:b/>
          <w:sz w:val="20"/>
        </w:rPr>
        <w:t>Paper-based publications</w:t>
      </w:r>
    </w:p>
    <w:p w:rsidR="00096644" w:rsidRPr="004A24EE" w:rsidRDefault="00096644" w:rsidP="008E03A7">
      <w:pPr>
        <w:spacing w:after="120"/>
        <w:rPr>
          <w:b/>
          <w:i/>
          <w:sz w:val="20"/>
        </w:rPr>
      </w:pPr>
      <w:r w:rsidRPr="00096644">
        <w:rPr>
          <w:sz w:val="20"/>
        </w:rPr>
        <w:t xml:space="preserve">(c) Commonwealth of Australia 2009 </w:t>
      </w:r>
      <w:r w:rsidRPr="00096644">
        <w:rPr>
          <w:sz w:val="20"/>
        </w:rPr>
        <w:br/>
        <w:t xml:space="preserve">This work is copyright. Apart from any use as permitted under the Copyright </w:t>
      </w:r>
      <w:r>
        <w:rPr>
          <w:sz w:val="20"/>
        </w:rPr>
        <w:t xml:space="preserve"> </w:t>
      </w:r>
      <w:r w:rsidRPr="00096644">
        <w:rPr>
          <w:sz w:val="20"/>
        </w:rPr>
        <w:t xml:space="preserve">Act 1968, no part may be reproduced by any process without prior written </w:t>
      </w:r>
      <w:r>
        <w:rPr>
          <w:sz w:val="20"/>
        </w:rPr>
        <w:t xml:space="preserve"> </w:t>
      </w:r>
      <w:r w:rsidRPr="00096644">
        <w:rPr>
          <w:sz w:val="20"/>
        </w:rPr>
        <w:t xml:space="preserve">permission from the Commonwealth. Requests and inquiries concerning </w:t>
      </w:r>
      <w:r>
        <w:rPr>
          <w:sz w:val="20"/>
        </w:rPr>
        <w:t xml:space="preserve"> </w:t>
      </w:r>
      <w:r w:rsidRPr="00096644">
        <w:rPr>
          <w:sz w:val="20"/>
        </w:rPr>
        <w:t xml:space="preserve">reproduction and rights should be addressed to the Commonwealth Copyright </w:t>
      </w:r>
      <w:r w:rsidRPr="00096644">
        <w:rPr>
          <w:sz w:val="20"/>
        </w:rPr>
        <w:br/>
        <w:t xml:space="preserve">Administration, Attorney-General's Department, Robert Garran Offices, </w:t>
      </w:r>
      <w:r>
        <w:rPr>
          <w:sz w:val="20"/>
        </w:rPr>
        <w:t xml:space="preserve"> </w:t>
      </w:r>
      <w:r w:rsidRPr="00096644">
        <w:rPr>
          <w:sz w:val="20"/>
        </w:rPr>
        <w:t xml:space="preserve">National Circuit, Barton ACT 2600 or posted at </w:t>
      </w:r>
      <w:hyperlink r:id="rId9" w:tooltip="This link goes to the Attorney-General's Department website" w:history="1">
        <w:r w:rsidRPr="004A24EE">
          <w:rPr>
            <w:rStyle w:val="Hyperlink"/>
            <w:sz w:val="20"/>
          </w:rPr>
          <w:t>http://www.ag.gov.au/cca</w:t>
        </w:r>
      </w:hyperlink>
      <w:r w:rsidRPr="00096644">
        <w:rPr>
          <w:sz w:val="20"/>
        </w:rPr>
        <w:br/>
      </w:r>
      <w:r>
        <w:br/>
      </w:r>
      <w:r w:rsidRPr="00096644">
        <w:rPr>
          <w:b/>
          <w:sz w:val="20"/>
        </w:rPr>
        <w:t>Internet sites</w:t>
      </w:r>
      <w:r>
        <w:t xml:space="preserve"> </w:t>
      </w:r>
      <w:r>
        <w:br/>
      </w:r>
      <w:r w:rsidRPr="00096644">
        <w:rPr>
          <w:sz w:val="20"/>
        </w:rPr>
        <w:t xml:space="preserve">(c) Commonwealth of Australia 2009 </w:t>
      </w:r>
      <w:r w:rsidRPr="00096644">
        <w:rPr>
          <w:sz w:val="20"/>
        </w:rPr>
        <w:br/>
        <w:t>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w:t>
      </w:r>
      <w:r>
        <w:rPr>
          <w:sz w:val="20"/>
        </w:rPr>
        <w:t xml:space="preserve"> </w:t>
      </w:r>
      <w:r w:rsidRPr="00096644">
        <w:rPr>
          <w:sz w:val="20"/>
        </w:rPr>
        <w:t xml:space="preserve">Requests and inquiries concerning reproduction and rights should be </w:t>
      </w:r>
      <w:r>
        <w:rPr>
          <w:sz w:val="20"/>
        </w:rPr>
        <w:t xml:space="preserve"> </w:t>
      </w:r>
      <w:r w:rsidRPr="00096644">
        <w:rPr>
          <w:sz w:val="20"/>
        </w:rPr>
        <w:t xml:space="preserve">addressed to Commonwealth Copyright Administration, Attorney-General's </w:t>
      </w:r>
      <w:r>
        <w:rPr>
          <w:sz w:val="20"/>
        </w:rPr>
        <w:t xml:space="preserve"> </w:t>
      </w:r>
      <w:r w:rsidRPr="00096644">
        <w:rPr>
          <w:sz w:val="20"/>
        </w:rPr>
        <w:t xml:space="preserve">Department, Robert Garran Offices, National Circuit, Barton ACT 2600 or </w:t>
      </w:r>
      <w:r>
        <w:rPr>
          <w:sz w:val="20"/>
        </w:rPr>
        <w:t xml:space="preserve"> </w:t>
      </w:r>
      <w:r w:rsidRPr="00096644">
        <w:rPr>
          <w:sz w:val="20"/>
        </w:rPr>
        <w:t xml:space="preserve">posted at </w:t>
      </w:r>
      <w:hyperlink r:id="rId10" w:tooltip="This link goes to the Attorney-General's Department website" w:history="1">
        <w:r w:rsidRPr="004A24EE">
          <w:rPr>
            <w:rStyle w:val="Hyperlink"/>
            <w:sz w:val="20"/>
          </w:rPr>
          <w:t>http://www.ag.gov.au/cca</w:t>
        </w:r>
      </w:hyperlink>
      <w:r w:rsidRPr="00096644">
        <w:rPr>
          <w:sz w:val="20"/>
        </w:rPr>
        <w:br/>
      </w:r>
    </w:p>
    <w:p w:rsidR="00234376" w:rsidRPr="004A24EE" w:rsidRDefault="00234376" w:rsidP="008E03A7">
      <w:pPr>
        <w:spacing w:after="0"/>
        <w:ind w:right="-187"/>
        <w:rPr>
          <w:sz w:val="20"/>
        </w:rPr>
      </w:pPr>
    </w:p>
    <w:p w:rsidR="00234376" w:rsidRPr="004A24EE" w:rsidRDefault="00234376" w:rsidP="008E03A7">
      <w:pPr>
        <w:ind w:right="-187"/>
        <w:rPr>
          <w:sz w:val="20"/>
        </w:rPr>
      </w:pPr>
      <w:r w:rsidRPr="004A24EE">
        <w:rPr>
          <w:sz w:val="20"/>
        </w:rPr>
        <w:t>Electronic copies of the report can be obtained from the Medical Service Advisory Committee’s Internet site at http://www.msac.gov.au/</w:t>
      </w:r>
    </w:p>
    <w:p w:rsidR="00234376" w:rsidRPr="004A24EE" w:rsidRDefault="00234376" w:rsidP="008E03A7">
      <w:pPr>
        <w:rPr>
          <w:sz w:val="20"/>
        </w:rPr>
      </w:pPr>
      <w:r w:rsidRPr="004A24EE">
        <w:rPr>
          <w:sz w:val="20"/>
        </w:rPr>
        <w:t>Printed copies of the report can be obtained from:</w:t>
      </w:r>
    </w:p>
    <w:p w:rsidR="00234376" w:rsidRPr="004A24EE" w:rsidRDefault="00234376" w:rsidP="008E03A7">
      <w:pPr>
        <w:spacing w:after="40"/>
        <w:rPr>
          <w:sz w:val="20"/>
        </w:rPr>
      </w:pPr>
      <w:r w:rsidRPr="004A24EE">
        <w:rPr>
          <w:sz w:val="20"/>
        </w:rPr>
        <w:t>The Secretary</w:t>
      </w:r>
    </w:p>
    <w:p w:rsidR="00234376" w:rsidRPr="004A24EE" w:rsidRDefault="00234376" w:rsidP="008E03A7">
      <w:pPr>
        <w:spacing w:after="40"/>
        <w:rPr>
          <w:sz w:val="20"/>
        </w:rPr>
      </w:pPr>
      <w:r w:rsidRPr="004A24EE">
        <w:rPr>
          <w:sz w:val="20"/>
        </w:rPr>
        <w:t>Medical Services Advisory Committee</w:t>
      </w:r>
    </w:p>
    <w:p w:rsidR="00234376" w:rsidRPr="004A24EE" w:rsidRDefault="00234376" w:rsidP="008E03A7">
      <w:pPr>
        <w:spacing w:after="40"/>
        <w:rPr>
          <w:sz w:val="20"/>
        </w:rPr>
      </w:pPr>
      <w:r w:rsidRPr="004A24EE">
        <w:rPr>
          <w:sz w:val="20"/>
        </w:rPr>
        <w:t>Department of Health and Ageing</w:t>
      </w:r>
    </w:p>
    <w:p w:rsidR="00234376" w:rsidRPr="004A24EE" w:rsidRDefault="00234376" w:rsidP="008E03A7">
      <w:pPr>
        <w:spacing w:after="40"/>
        <w:rPr>
          <w:sz w:val="20"/>
        </w:rPr>
      </w:pPr>
      <w:r w:rsidRPr="004A24EE">
        <w:rPr>
          <w:sz w:val="20"/>
        </w:rPr>
        <w:t>Mail Drop 106</w:t>
      </w:r>
    </w:p>
    <w:p w:rsidR="00234376" w:rsidRPr="004A24EE" w:rsidRDefault="00234376" w:rsidP="008E03A7">
      <w:pPr>
        <w:spacing w:after="40"/>
        <w:rPr>
          <w:sz w:val="20"/>
        </w:rPr>
      </w:pPr>
      <w:r w:rsidRPr="004A24EE">
        <w:rPr>
          <w:sz w:val="20"/>
        </w:rPr>
        <w:t xml:space="preserve">GPO </w:t>
      </w:r>
      <w:smartTag w:uri="urn:schemas-microsoft-com:office:smarttags" w:element="address">
        <w:smartTag w:uri="urn:schemas-microsoft-com:office:smarttags" w:element="Street">
          <w:r w:rsidRPr="004A24EE">
            <w:rPr>
              <w:sz w:val="20"/>
            </w:rPr>
            <w:t>Box</w:t>
          </w:r>
        </w:smartTag>
        <w:r w:rsidRPr="004A24EE">
          <w:rPr>
            <w:sz w:val="20"/>
          </w:rPr>
          <w:t xml:space="preserve"> 9848</w:t>
        </w:r>
      </w:smartTag>
    </w:p>
    <w:p w:rsidR="00234376" w:rsidRPr="004A24EE" w:rsidRDefault="00234376" w:rsidP="008E03A7">
      <w:pPr>
        <w:spacing w:after="120"/>
        <w:rPr>
          <w:sz w:val="20"/>
        </w:rPr>
      </w:pPr>
      <w:smartTag w:uri="urn:schemas-microsoft-com:office:smarttags" w:element="place">
        <w:smartTag w:uri="urn:schemas-microsoft-com:office:smarttags" w:element="City">
          <w:r w:rsidRPr="004A24EE">
            <w:rPr>
              <w:sz w:val="20"/>
            </w:rPr>
            <w:t>Canberra</w:t>
          </w:r>
        </w:smartTag>
      </w:smartTag>
      <w:r w:rsidRPr="004A24EE">
        <w:rPr>
          <w:sz w:val="20"/>
        </w:rPr>
        <w:t xml:space="preserve"> ACT 2601</w:t>
      </w:r>
    </w:p>
    <w:p w:rsidR="00234376" w:rsidRPr="004A24EE" w:rsidRDefault="00234376" w:rsidP="008E03A7">
      <w:pPr>
        <w:spacing w:after="120"/>
        <w:rPr>
          <w:sz w:val="20"/>
        </w:rPr>
      </w:pPr>
      <w:r w:rsidRPr="004A24EE">
        <w:rPr>
          <w:sz w:val="20"/>
        </w:rPr>
        <w:t>Enquiries about the content of the report should be directed to the above address.</w:t>
      </w:r>
    </w:p>
    <w:p w:rsidR="00234376" w:rsidRPr="004A24EE" w:rsidRDefault="00234376" w:rsidP="008E03A7">
      <w:pPr>
        <w:rPr>
          <w:sz w:val="20"/>
        </w:rPr>
      </w:pPr>
      <w:r w:rsidRPr="004A24EE">
        <w:rPr>
          <w:sz w:val="20"/>
        </w:rPr>
        <w:t>The Medical Services Advisory Committee (MSAC) is an independent committee which has been established to provide advice to the Minister for Health and Ageing on the strength of evidence available on new and existing medical technologies and procedures in terms of their safety, effectiveness and cost-effectiveness. This advice will help to inform government decisions about which medical services should attract funding under Medicare.</w:t>
      </w:r>
    </w:p>
    <w:p w:rsidR="00234376" w:rsidRPr="004A24EE" w:rsidRDefault="00234376" w:rsidP="008E03A7">
      <w:pPr>
        <w:rPr>
          <w:b/>
          <w:sz w:val="20"/>
        </w:rPr>
      </w:pPr>
      <w:r w:rsidRPr="004A24EE">
        <w:rPr>
          <w:b/>
          <w:sz w:val="20"/>
          <w:u w:val="single"/>
        </w:rPr>
        <w:t>MSAC’s advice does not necessarily reflect the views of all individuals who participated in the MSAC evaluation.</w:t>
      </w:r>
    </w:p>
    <w:p w:rsidR="009F56FB" w:rsidRDefault="009F56FB" w:rsidP="008E03A7">
      <w:pPr>
        <w:pStyle w:val="BodyText"/>
        <w:rPr>
          <w:sz w:val="20"/>
        </w:rPr>
      </w:pPr>
    </w:p>
    <w:p w:rsidR="00234376" w:rsidRPr="00537C3C" w:rsidRDefault="00234376" w:rsidP="008E03A7">
      <w:pPr>
        <w:rPr>
          <w:sz w:val="20"/>
        </w:rPr>
        <w:sectPr w:rsidR="00234376" w:rsidRPr="00537C3C" w:rsidSect="00F93CFD">
          <w:footerReference w:type="even" r:id="rId11"/>
          <w:footerReference w:type="default" r:id="rId12"/>
          <w:footerReference w:type="first" r:id="rId13"/>
          <w:type w:val="oddPage"/>
          <w:pgSz w:w="11907" w:h="16840" w:code="9"/>
          <w:pgMar w:top="1440" w:right="1440" w:bottom="1440" w:left="1440" w:header="578" w:footer="272" w:gutter="0"/>
          <w:pgNumType w:fmt="lowerRoman" w:start="1"/>
          <w:cols w:space="720"/>
          <w:noEndnote/>
          <w:titlePg/>
        </w:sectPr>
      </w:pPr>
      <w:r w:rsidRPr="004A24EE">
        <w:rPr>
          <w:sz w:val="20"/>
        </w:rPr>
        <w:t xml:space="preserve">Publication approval number: </w:t>
      </w:r>
      <w:r w:rsidR="00096644" w:rsidRPr="00096644">
        <w:rPr>
          <w:sz w:val="20"/>
        </w:rPr>
        <w:t>P3-6049</w:t>
      </w:r>
    </w:p>
    <w:p w:rsidR="00234376" w:rsidRPr="00537C3C" w:rsidRDefault="00234376">
      <w:pPr>
        <w:pStyle w:val="Heading1a"/>
        <w:outlineLvl w:val="0"/>
      </w:pPr>
      <w:r w:rsidRPr="00537C3C">
        <w:lastRenderedPageBreak/>
        <w:t>Contents</w:t>
      </w:r>
    </w:p>
    <w:p w:rsidR="00EC051B" w:rsidRDefault="00234376">
      <w:pPr>
        <w:pStyle w:val="TOC1"/>
        <w:rPr>
          <w:rFonts w:ascii="Calibri" w:eastAsia="Times New Roman" w:hAnsi="Calibri"/>
          <w:b w:val="0"/>
          <w:sz w:val="22"/>
          <w:szCs w:val="22"/>
          <w:lang w:eastAsia="en-AU"/>
        </w:rPr>
      </w:pPr>
      <w:r w:rsidRPr="0098213C">
        <w:rPr>
          <w:b w:val="0"/>
        </w:rPr>
        <w:fldChar w:fldCharType="begin"/>
      </w:r>
      <w:r w:rsidRPr="0098213C">
        <w:rPr>
          <w:b w:val="0"/>
        </w:rPr>
        <w:instrText xml:space="preserve"> TOC \o "1-2" </w:instrText>
      </w:r>
      <w:r w:rsidRPr="0098213C">
        <w:rPr>
          <w:b w:val="0"/>
        </w:rPr>
        <w:fldChar w:fldCharType="separate"/>
      </w:r>
      <w:r w:rsidR="00EC051B">
        <w:t>Executive summary</w:t>
      </w:r>
      <w:r w:rsidR="00EC051B">
        <w:tab/>
      </w:r>
      <w:r w:rsidR="00EC051B">
        <w:fldChar w:fldCharType="begin"/>
      </w:r>
      <w:r w:rsidR="00EC051B">
        <w:instrText xml:space="preserve"> PAGEREF _Toc241658152 \h </w:instrText>
      </w:r>
      <w:r w:rsidR="00EC051B">
        <w:fldChar w:fldCharType="separate"/>
      </w:r>
      <w:r w:rsidR="007D3DFF">
        <w:t>x</w:t>
      </w:r>
      <w:r w:rsidR="00EC051B">
        <w:fldChar w:fldCharType="end"/>
      </w:r>
    </w:p>
    <w:p w:rsidR="00EC051B" w:rsidRDefault="00EC051B">
      <w:pPr>
        <w:pStyle w:val="TOC1"/>
        <w:rPr>
          <w:rFonts w:ascii="Calibri" w:eastAsia="Times New Roman" w:hAnsi="Calibri"/>
          <w:b w:val="0"/>
          <w:sz w:val="22"/>
          <w:szCs w:val="22"/>
          <w:lang w:eastAsia="en-AU"/>
        </w:rPr>
      </w:pPr>
      <w:r>
        <w:t>Introduction</w:t>
      </w:r>
      <w:r>
        <w:tab/>
      </w:r>
      <w:r>
        <w:fldChar w:fldCharType="begin"/>
      </w:r>
      <w:r>
        <w:instrText xml:space="preserve"> PAGEREF _Toc241658153 \h </w:instrText>
      </w:r>
      <w:r>
        <w:fldChar w:fldCharType="separate"/>
      </w:r>
      <w:r w:rsidR="007D3DFF">
        <w:t>1</w:t>
      </w:r>
      <w:r>
        <w:fldChar w:fldCharType="end"/>
      </w:r>
    </w:p>
    <w:p w:rsidR="00EC051B" w:rsidRDefault="00EC051B">
      <w:pPr>
        <w:pStyle w:val="TOC1"/>
        <w:rPr>
          <w:rFonts w:ascii="Calibri" w:eastAsia="Times New Roman" w:hAnsi="Calibri"/>
          <w:b w:val="0"/>
          <w:sz w:val="22"/>
          <w:szCs w:val="22"/>
          <w:lang w:eastAsia="en-AU"/>
        </w:rPr>
      </w:pPr>
      <w:r>
        <w:t>Background</w:t>
      </w:r>
      <w:r>
        <w:tab/>
      </w:r>
      <w:r>
        <w:fldChar w:fldCharType="begin"/>
      </w:r>
      <w:r>
        <w:instrText xml:space="preserve"> PAGEREF _Toc241658154 \h </w:instrText>
      </w:r>
      <w:r>
        <w:fldChar w:fldCharType="separate"/>
      </w:r>
      <w:r w:rsidR="007D3DFF">
        <w:t>2</w:t>
      </w:r>
      <w:r>
        <w:fldChar w:fldCharType="end"/>
      </w:r>
    </w:p>
    <w:p w:rsidR="00EC051B" w:rsidRDefault="00EC051B">
      <w:pPr>
        <w:pStyle w:val="TOC2"/>
        <w:rPr>
          <w:rFonts w:ascii="Calibri" w:eastAsia="Times New Roman" w:hAnsi="Calibri"/>
          <w:sz w:val="22"/>
          <w:szCs w:val="22"/>
          <w:lang w:eastAsia="en-AU"/>
        </w:rPr>
      </w:pPr>
      <w:r>
        <w:t>Cervical cancer cytology</w:t>
      </w:r>
      <w:r>
        <w:tab/>
      </w:r>
      <w:r>
        <w:fldChar w:fldCharType="begin"/>
      </w:r>
      <w:r>
        <w:instrText xml:space="preserve"> PAGEREF _Toc241658155 \h </w:instrText>
      </w:r>
      <w:r>
        <w:fldChar w:fldCharType="separate"/>
      </w:r>
      <w:r w:rsidR="007D3DFF">
        <w:t>2</w:t>
      </w:r>
      <w:r>
        <w:fldChar w:fldCharType="end"/>
      </w:r>
    </w:p>
    <w:p w:rsidR="00EC051B" w:rsidRDefault="00EC051B">
      <w:pPr>
        <w:pStyle w:val="TOC2"/>
        <w:rPr>
          <w:rFonts w:ascii="Calibri" w:eastAsia="Times New Roman" w:hAnsi="Calibri"/>
          <w:sz w:val="22"/>
          <w:szCs w:val="22"/>
          <w:lang w:eastAsia="en-AU"/>
        </w:rPr>
      </w:pPr>
      <w:r w:rsidRPr="00974D86">
        <w:rPr>
          <w:bCs/>
          <w:lang w:eastAsia="en-AU"/>
        </w:rPr>
        <w:t>The National Cervical Screening Program</w:t>
      </w:r>
      <w:r>
        <w:tab/>
      </w:r>
      <w:r>
        <w:fldChar w:fldCharType="begin"/>
      </w:r>
      <w:r>
        <w:instrText xml:space="preserve"> PAGEREF _Toc241658156 \h </w:instrText>
      </w:r>
      <w:r>
        <w:fldChar w:fldCharType="separate"/>
      </w:r>
      <w:r w:rsidR="007D3DFF">
        <w:t>3</w:t>
      </w:r>
      <w:r>
        <w:fldChar w:fldCharType="end"/>
      </w:r>
    </w:p>
    <w:p w:rsidR="00EC051B" w:rsidRDefault="00EC051B">
      <w:pPr>
        <w:pStyle w:val="TOC2"/>
        <w:rPr>
          <w:rFonts w:ascii="Calibri" w:eastAsia="Times New Roman" w:hAnsi="Calibri"/>
          <w:sz w:val="22"/>
          <w:szCs w:val="22"/>
          <w:lang w:eastAsia="en-AU"/>
        </w:rPr>
      </w:pPr>
      <w:r w:rsidRPr="00974D86">
        <w:rPr>
          <w:bCs/>
        </w:rPr>
        <w:t>Intended purpose of LBC</w:t>
      </w:r>
      <w:r>
        <w:tab/>
      </w:r>
      <w:r>
        <w:fldChar w:fldCharType="begin"/>
      </w:r>
      <w:r>
        <w:instrText xml:space="preserve"> PAGEREF _Toc241658157 \h </w:instrText>
      </w:r>
      <w:r>
        <w:fldChar w:fldCharType="separate"/>
      </w:r>
      <w:r w:rsidR="007D3DFF">
        <w:t>5</w:t>
      </w:r>
      <w:r>
        <w:fldChar w:fldCharType="end"/>
      </w:r>
    </w:p>
    <w:p w:rsidR="00EC051B" w:rsidRDefault="00EC051B">
      <w:pPr>
        <w:pStyle w:val="TOC2"/>
        <w:rPr>
          <w:rFonts w:ascii="Calibri" w:eastAsia="Times New Roman" w:hAnsi="Calibri"/>
          <w:sz w:val="22"/>
          <w:szCs w:val="22"/>
          <w:lang w:eastAsia="en-AU"/>
        </w:rPr>
      </w:pPr>
      <w:r w:rsidRPr="00974D86">
        <w:rPr>
          <w:bCs/>
        </w:rPr>
        <w:t>Clinical need for LBC</w:t>
      </w:r>
      <w:r>
        <w:tab/>
      </w:r>
      <w:r>
        <w:fldChar w:fldCharType="begin"/>
      </w:r>
      <w:r>
        <w:instrText xml:space="preserve"> PAGEREF _Toc241658158 \h </w:instrText>
      </w:r>
      <w:r>
        <w:fldChar w:fldCharType="separate"/>
      </w:r>
      <w:r w:rsidR="007D3DFF">
        <w:t>5</w:t>
      </w:r>
      <w:r>
        <w:fldChar w:fldCharType="end"/>
      </w:r>
    </w:p>
    <w:p w:rsidR="00EC051B" w:rsidRDefault="00EC051B">
      <w:pPr>
        <w:pStyle w:val="TOC2"/>
        <w:rPr>
          <w:rFonts w:ascii="Calibri" w:eastAsia="Times New Roman" w:hAnsi="Calibri"/>
          <w:sz w:val="22"/>
          <w:szCs w:val="22"/>
          <w:lang w:eastAsia="en-AU"/>
        </w:rPr>
      </w:pPr>
      <w:r>
        <w:t>Current treatment of cervical cancer and CIN</w:t>
      </w:r>
      <w:r>
        <w:tab/>
      </w:r>
      <w:r>
        <w:fldChar w:fldCharType="begin"/>
      </w:r>
      <w:r>
        <w:instrText xml:space="preserve"> PAGEREF _Toc241658159 \h </w:instrText>
      </w:r>
      <w:r>
        <w:fldChar w:fldCharType="separate"/>
      </w:r>
      <w:r w:rsidR="007D3DFF">
        <w:t>9</w:t>
      </w:r>
      <w:r>
        <w:fldChar w:fldCharType="end"/>
      </w:r>
    </w:p>
    <w:p w:rsidR="00EC051B" w:rsidRDefault="00EC051B">
      <w:pPr>
        <w:pStyle w:val="TOC2"/>
        <w:rPr>
          <w:rFonts w:ascii="Calibri" w:eastAsia="Times New Roman" w:hAnsi="Calibri"/>
          <w:sz w:val="22"/>
          <w:szCs w:val="22"/>
          <w:lang w:eastAsia="en-AU"/>
        </w:rPr>
      </w:pPr>
      <w:r w:rsidRPr="00974D86">
        <w:rPr>
          <w:bCs/>
        </w:rPr>
        <w:t>Existing procedures</w:t>
      </w:r>
      <w:r>
        <w:tab/>
      </w:r>
      <w:r>
        <w:fldChar w:fldCharType="begin"/>
      </w:r>
      <w:r>
        <w:instrText xml:space="preserve"> PAGEREF _Toc241658160 \h </w:instrText>
      </w:r>
      <w:r>
        <w:fldChar w:fldCharType="separate"/>
      </w:r>
      <w:r w:rsidR="007D3DFF">
        <w:t>9</w:t>
      </w:r>
      <w:r>
        <w:fldChar w:fldCharType="end"/>
      </w:r>
    </w:p>
    <w:p w:rsidR="00EC051B" w:rsidRDefault="00EC051B">
      <w:pPr>
        <w:pStyle w:val="TOC2"/>
        <w:rPr>
          <w:rFonts w:ascii="Calibri" w:eastAsia="Times New Roman" w:hAnsi="Calibri"/>
          <w:sz w:val="22"/>
          <w:szCs w:val="22"/>
          <w:lang w:eastAsia="en-AU"/>
        </w:rPr>
      </w:pPr>
      <w:r w:rsidRPr="00974D86">
        <w:rPr>
          <w:bCs/>
        </w:rPr>
        <w:t>New and emerging cervical cancer technologies</w:t>
      </w:r>
      <w:r>
        <w:tab/>
      </w:r>
      <w:r>
        <w:fldChar w:fldCharType="begin"/>
      </w:r>
      <w:r>
        <w:instrText xml:space="preserve"> PAGEREF _Toc241658161 \h </w:instrText>
      </w:r>
      <w:r>
        <w:fldChar w:fldCharType="separate"/>
      </w:r>
      <w:r w:rsidR="007D3DFF">
        <w:t>10</w:t>
      </w:r>
      <w:r>
        <w:fldChar w:fldCharType="end"/>
      </w:r>
    </w:p>
    <w:p w:rsidR="00EC051B" w:rsidRDefault="00EC051B">
      <w:pPr>
        <w:pStyle w:val="TOC2"/>
        <w:rPr>
          <w:rFonts w:ascii="Calibri" w:eastAsia="Times New Roman" w:hAnsi="Calibri"/>
          <w:sz w:val="22"/>
          <w:szCs w:val="22"/>
          <w:lang w:eastAsia="en-AU"/>
        </w:rPr>
      </w:pPr>
      <w:r>
        <w:t>Potential impact of LBC</w:t>
      </w:r>
      <w:r>
        <w:tab/>
      </w:r>
      <w:r>
        <w:fldChar w:fldCharType="begin"/>
      </w:r>
      <w:r>
        <w:instrText xml:space="preserve"> PAGEREF _Toc241658162 \h </w:instrText>
      </w:r>
      <w:r>
        <w:fldChar w:fldCharType="separate"/>
      </w:r>
      <w:r w:rsidR="007D3DFF">
        <w:t>11</w:t>
      </w:r>
      <w:r>
        <w:fldChar w:fldCharType="end"/>
      </w:r>
    </w:p>
    <w:p w:rsidR="00EC051B" w:rsidRDefault="00EC051B">
      <w:pPr>
        <w:pStyle w:val="TOC2"/>
        <w:rPr>
          <w:rFonts w:ascii="Calibri" w:eastAsia="Times New Roman" w:hAnsi="Calibri"/>
          <w:sz w:val="22"/>
          <w:szCs w:val="22"/>
          <w:lang w:eastAsia="en-AU"/>
        </w:rPr>
      </w:pPr>
      <w:r>
        <w:t>Reference standard</w:t>
      </w:r>
      <w:r>
        <w:tab/>
      </w:r>
      <w:r>
        <w:fldChar w:fldCharType="begin"/>
      </w:r>
      <w:r>
        <w:instrText xml:space="preserve"> PAGEREF _Toc241658163 \h </w:instrText>
      </w:r>
      <w:r>
        <w:fldChar w:fldCharType="separate"/>
      </w:r>
      <w:r w:rsidR="007D3DFF">
        <w:t>12</w:t>
      </w:r>
      <w:r>
        <w:fldChar w:fldCharType="end"/>
      </w:r>
    </w:p>
    <w:p w:rsidR="00EC051B" w:rsidRDefault="00EC051B">
      <w:pPr>
        <w:pStyle w:val="TOC2"/>
        <w:rPr>
          <w:rFonts w:ascii="Calibri" w:eastAsia="Times New Roman" w:hAnsi="Calibri"/>
          <w:sz w:val="22"/>
          <w:szCs w:val="22"/>
          <w:lang w:eastAsia="en-AU"/>
        </w:rPr>
      </w:pPr>
      <w:r>
        <w:t>Comparator</w:t>
      </w:r>
      <w:r>
        <w:tab/>
      </w:r>
      <w:r>
        <w:fldChar w:fldCharType="begin"/>
      </w:r>
      <w:r>
        <w:instrText xml:space="preserve"> PAGEREF _Toc241658164 \h </w:instrText>
      </w:r>
      <w:r>
        <w:fldChar w:fldCharType="separate"/>
      </w:r>
      <w:r w:rsidR="007D3DFF">
        <w:t>12</w:t>
      </w:r>
      <w:r>
        <w:fldChar w:fldCharType="end"/>
      </w:r>
    </w:p>
    <w:p w:rsidR="00EC051B" w:rsidRDefault="00EC051B">
      <w:pPr>
        <w:pStyle w:val="TOC2"/>
        <w:rPr>
          <w:rFonts w:ascii="Calibri" w:eastAsia="Times New Roman" w:hAnsi="Calibri"/>
          <w:sz w:val="22"/>
          <w:szCs w:val="22"/>
          <w:lang w:eastAsia="en-AU"/>
        </w:rPr>
      </w:pPr>
      <w:r>
        <w:t>Methodological issues</w:t>
      </w:r>
      <w:r>
        <w:tab/>
      </w:r>
      <w:r>
        <w:fldChar w:fldCharType="begin"/>
      </w:r>
      <w:r>
        <w:instrText xml:space="preserve"> PAGEREF _Toc241658165 \h </w:instrText>
      </w:r>
      <w:r>
        <w:fldChar w:fldCharType="separate"/>
      </w:r>
      <w:r w:rsidR="007D3DFF">
        <w:t>12</w:t>
      </w:r>
      <w:r>
        <w:fldChar w:fldCharType="end"/>
      </w:r>
    </w:p>
    <w:p w:rsidR="00EC051B" w:rsidRDefault="00EC051B">
      <w:pPr>
        <w:pStyle w:val="TOC2"/>
        <w:rPr>
          <w:rFonts w:ascii="Calibri" w:eastAsia="Times New Roman" w:hAnsi="Calibri"/>
          <w:sz w:val="22"/>
          <w:szCs w:val="22"/>
          <w:lang w:eastAsia="en-AU"/>
        </w:rPr>
      </w:pPr>
      <w:r>
        <w:t>Marketing status of the technology</w:t>
      </w:r>
      <w:r>
        <w:tab/>
      </w:r>
      <w:r>
        <w:fldChar w:fldCharType="begin"/>
      </w:r>
      <w:r>
        <w:instrText xml:space="preserve"> PAGEREF _Toc241658166 \h </w:instrText>
      </w:r>
      <w:r>
        <w:fldChar w:fldCharType="separate"/>
      </w:r>
      <w:r w:rsidR="007D3DFF">
        <w:t>12</w:t>
      </w:r>
      <w:r>
        <w:fldChar w:fldCharType="end"/>
      </w:r>
    </w:p>
    <w:p w:rsidR="00EC051B" w:rsidRDefault="00EC051B">
      <w:pPr>
        <w:pStyle w:val="TOC2"/>
        <w:rPr>
          <w:rFonts w:ascii="Calibri" w:eastAsia="Times New Roman" w:hAnsi="Calibri"/>
          <w:sz w:val="22"/>
          <w:szCs w:val="22"/>
          <w:lang w:eastAsia="en-AU"/>
        </w:rPr>
      </w:pPr>
      <w:r>
        <w:t>Current reimbursement arrangement</w:t>
      </w:r>
      <w:r>
        <w:tab/>
      </w:r>
      <w:r>
        <w:fldChar w:fldCharType="begin"/>
      </w:r>
      <w:r>
        <w:instrText xml:space="preserve"> PAGEREF _Toc241658167 \h </w:instrText>
      </w:r>
      <w:r>
        <w:fldChar w:fldCharType="separate"/>
      </w:r>
      <w:r w:rsidR="007D3DFF">
        <w:t>13</w:t>
      </w:r>
      <w:r>
        <w:fldChar w:fldCharType="end"/>
      </w:r>
    </w:p>
    <w:p w:rsidR="00EC051B" w:rsidRDefault="00EC051B">
      <w:pPr>
        <w:pStyle w:val="TOC2"/>
        <w:rPr>
          <w:rFonts w:ascii="Calibri" w:eastAsia="Times New Roman" w:hAnsi="Calibri"/>
          <w:sz w:val="22"/>
          <w:szCs w:val="22"/>
          <w:lang w:eastAsia="en-AU"/>
        </w:rPr>
      </w:pPr>
      <w:r>
        <w:t>MSAC 2002 and 2003 reviews</w:t>
      </w:r>
      <w:r>
        <w:tab/>
      </w:r>
      <w:r>
        <w:fldChar w:fldCharType="begin"/>
      </w:r>
      <w:r>
        <w:instrText xml:space="preserve"> PAGEREF _Toc241658168 \h </w:instrText>
      </w:r>
      <w:r>
        <w:fldChar w:fldCharType="separate"/>
      </w:r>
      <w:r w:rsidR="007D3DFF">
        <w:t>13</w:t>
      </w:r>
      <w:r>
        <w:fldChar w:fldCharType="end"/>
      </w:r>
    </w:p>
    <w:p w:rsidR="00EC051B" w:rsidRDefault="00EC051B">
      <w:pPr>
        <w:pStyle w:val="TOC1"/>
        <w:rPr>
          <w:rFonts w:ascii="Calibri" w:eastAsia="Times New Roman" w:hAnsi="Calibri"/>
          <w:b w:val="0"/>
          <w:sz w:val="22"/>
          <w:szCs w:val="22"/>
          <w:lang w:eastAsia="en-AU"/>
        </w:rPr>
      </w:pPr>
      <w:r>
        <w:t>Approach to assessment</w:t>
      </w:r>
      <w:r>
        <w:tab/>
      </w:r>
      <w:r>
        <w:fldChar w:fldCharType="begin"/>
      </w:r>
      <w:r>
        <w:instrText xml:space="preserve"> PAGEREF _Toc241658169 \h </w:instrText>
      </w:r>
      <w:r>
        <w:fldChar w:fldCharType="separate"/>
      </w:r>
      <w:r w:rsidR="007D3DFF">
        <w:t>15</w:t>
      </w:r>
      <w:r>
        <w:fldChar w:fldCharType="end"/>
      </w:r>
    </w:p>
    <w:p w:rsidR="00EC051B" w:rsidRDefault="00EC051B">
      <w:pPr>
        <w:pStyle w:val="TOC2"/>
        <w:rPr>
          <w:rFonts w:ascii="Calibri" w:eastAsia="Times New Roman" w:hAnsi="Calibri"/>
          <w:sz w:val="22"/>
          <w:szCs w:val="22"/>
          <w:lang w:eastAsia="en-AU"/>
        </w:rPr>
      </w:pPr>
      <w:r>
        <w:t>Research question</w:t>
      </w:r>
      <w:r>
        <w:tab/>
      </w:r>
      <w:r>
        <w:fldChar w:fldCharType="begin"/>
      </w:r>
      <w:r>
        <w:instrText xml:space="preserve"> PAGEREF _Toc241658170 \h </w:instrText>
      </w:r>
      <w:r>
        <w:fldChar w:fldCharType="separate"/>
      </w:r>
      <w:r w:rsidR="007D3DFF">
        <w:t>15</w:t>
      </w:r>
      <w:r>
        <w:fldChar w:fldCharType="end"/>
      </w:r>
    </w:p>
    <w:p w:rsidR="00EC051B" w:rsidRDefault="00EC051B">
      <w:pPr>
        <w:pStyle w:val="TOC2"/>
        <w:rPr>
          <w:rFonts w:ascii="Calibri" w:eastAsia="Times New Roman" w:hAnsi="Calibri"/>
          <w:sz w:val="22"/>
          <w:szCs w:val="22"/>
          <w:lang w:eastAsia="en-AU"/>
        </w:rPr>
      </w:pPr>
      <w:r>
        <w:t>Assessment strategy</w:t>
      </w:r>
      <w:r>
        <w:tab/>
      </w:r>
      <w:r>
        <w:fldChar w:fldCharType="begin"/>
      </w:r>
      <w:r>
        <w:instrText xml:space="preserve"> PAGEREF _Toc241658171 \h </w:instrText>
      </w:r>
      <w:r>
        <w:fldChar w:fldCharType="separate"/>
      </w:r>
      <w:r w:rsidR="007D3DFF">
        <w:t>15</w:t>
      </w:r>
      <w:r>
        <w:fldChar w:fldCharType="end"/>
      </w:r>
    </w:p>
    <w:p w:rsidR="00EC051B" w:rsidRDefault="00EC051B">
      <w:pPr>
        <w:pStyle w:val="TOC2"/>
        <w:rPr>
          <w:rFonts w:ascii="Calibri" w:eastAsia="Times New Roman" w:hAnsi="Calibri"/>
          <w:sz w:val="22"/>
          <w:szCs w:val="22"/>
          <w:lang w:eastAsia="en-AU"/>
        </w:rPr>
      </w:pPr>
      <w:r>
        <w:t>Review of the literature</w:t>
      </w:r>
      <w:r>
        <w:tab/>
      </w:r>
      <w:r>
        <w:fldChar w:fldCharType="begin"/>
      </w:r>
      <w:r>
        <w:instrText xml:space="preserve"> PAGEREF _Toc241658172 \h </w:instrText>
      </w:r>
      <w:r>
        <w:fldChar w:fldCharType="separate"/>
      </w:r>
      <w:r w:rsidR="007D3DFF">
        <w:t>16</w:t>
      </w:r>
      <w:r>
        <w:fldChar w:fldCharType="end"/>
      </w:r>
    </w:p>
    <w:p w:rsidR="00EC051B" w:rsidRDefault="00EC051B">
      <w:pPr>
        <w:pStyle w:val="TOC2"/>
        <w:rPr>
          <w:rFonts w:ascii="Calibri" w:eastAsia="Times New Roman" w:hAnsi="Calibri"/>
          <w:sz w:val="22"/>
          <w:szCs w:val="22"/>
          <w:lang w:eastAsia="en-AU"/>
        </w:rPr>
      </w:pPr>
      <w:r>
        <w:t>Appraisal of the evidence</w:t>
      </w:r>
      <w:r>
        <w:tab/>
      </w:r>
      <w:r>
        <w:fldChar w:fldCharType="begin"/>
      </w:r>
      <w:r>
        <w:instrText xml:space="preserve"> PAGEREF _Toc241658173 \h </w:instrText>
      </w:r>
      <w:r>
        <w:fldChar w:fldCharType="separate"/>
      </w:r>
      <w:r w:rsidR="007D3DFF">
        <w:t>20</w:t>
      </w:r>
      <w:r>
        <w:fldChar w:fldCharType="end"/>
      </w:r>
    </w:p>
    <w:p w:rsidR="00EC051B" w:rsidRDefault="00EC051B">
      <w:pPr>
        <w:pStyle w:val="TOC2"/>
        <w:rPr>
          <w:rFonts w:ascii="Calibri" w:eastAsia="Times New Roman" w:hAnsi="Calibri"/>
          <w:sz w:val="22"/>
          <w:szCs w:val="22"/>
          <w:lang w:eastAsia="en-AU"/>
        </w:rPr>
      </w:pPr>
      <w:r>
        <w:t>Data extraction and synthesis</w:t>
      </w:r>
      <w:r>
        <w:tab/>
      </w:r>
      <w:r>
        <w:fldChar w:fldCharType="begin"/>
      </w:r>
      <w:r>
        <w:instrText xml:space="preserve"> PAGEREF _Toc241658174 \h </w:instrText>
      </w:r>
      <w:r>
        <w:fldChar w:fldCharType="separate"/>
      </w:r>
      <w:r w:rsidR="007D3DFF">
        <w:t>24</w:t>
      </w:r>
      <w:r>
        <w:fldChar w:fldCharType="end"/>
      </w:r>
    </w:p>
    <w:p w:rsidR="00EC051B" w:rsidRDefault="00EC051B">
      <w:pPr>
        <w:pStyle w:val="TOC2"/>
        <w:rPr>
          <w:rFonts w:ascii="Calibri" w:eastAsia="Times New Roman" w:hAnsi="Calibri"/>
          <w:sz w:val="22"/>
          <w:szCs w:val="22"/>
          <w:lang w:eastAsia="en-AU"/>
        </w:rPr>
      </w:pPr>
      <w:r>
        <w:t>Expert advice</w:t>
      </w:r>
      <w:r>
        <w:tab/>
      </w:r>
      <w:r>
        <w:fldChar w:fldCharType="begin"/>
      </w:r>
      <w:r>
        <w:instrText xml:space="preserve"> PAGEREF _Toc241658175 \h </w:instrText>
      </w:r>
      <w:r>
        <w:fldChar w:fldCharType="separate"/>
      </w:r>
      <w:r w:rsidR="007D3DFF">
        <w:t>24</w:t>
      </w:r>
      <w:r>
        <w:fldChar w:fldCharType="end"/>
      </w:r>
    </w:p>
    <w:p w:rsidR="00EC051B" w:rsidRDefault="00EC051B">
      <w:pPr>
        <w:pStyle w:val="TOC1"/>
        <w:rPr>
          <w:rFonts w:ascii="Calibri" w:eastAsia="Times New Roman" w:hAnsi="Calibri"/>
          <w:b w:val="0"/>
          <w:sz w:val="22"/>
          <w:szCs w:val="22"/>
          <w:lang w:eastAsia="en-AU"/>
        </w:rPr>
      </w:pPr>
      <w:r>
        <w:t>Results of assessment</w:t>
      </w:r>
      <w:r>
        <w:tab/>
      </w:r>
      <w:r>
        <w:fldChar w:fldCharType="begin"/>
      </w:r>
      <w:r>
        <w:instrText xml:space="preserve"> PAGEREF _Toc241658176 \h </w:instrText>
      </w:r>
      <w:r>
        <w:fldChar w:fldCharType="separate"/>
      </w:r>
      <w:r w:rsidR="007D3DFF">
        <w:t>25</w:t>
      </w:r>
      <w:r>
        <w:fldChar w:fldCharType="end"/>
      </w:r>
    </w:p>
    <w:p w:rsidR="00EC051B" w:rsidRDefault="00EC051B">
      <w:pPr>
        <w:pStyle w:val="TOC2"/>
        <w:rPr>
          <w:rFonts w:ascii="Calibri" w:eastAsia="Times New Roman" w:hAnsi="Calibri"/>
          <w:sz w:val="22"/>
          <w:szCs w:val="22"/>
          <w:lang w:eastAsia="en-AU"/>
        </w:rPr>
      </w:pPr>
      <w:r>
        <w:t>Is it safe?</w:t>
      </w:r>
      <w:r>
        <w:tab/>
      </w:r>
      <w:r>
        <w:fldChar w:fldCharType="begin"/>
      </w:r>
      <w:r>
        <w:instrText xml:space="preserve"> PAGEREF _Toc241658177 \h </w:instrText>
      </w:r>
      <w:r>
        <w:fldChar w:fldCharType="separate"/>
      </w:r>
      <w:r w:rsidR="007D3DFF">
        <w:t>25</w:t>
      </w:r>
      <w:r>
        <w:fldChar w:fldCharType="end"/>
      </w:r>
    </w:p>
    <w:p w:rsidR="00EC051B" w:rsidRDefault="00EC051B">
      <w:pPr>
        <w:pStyle w:val="TOC2"/>
        <w:rPr>
          <w:rFonts w:ascii="Calibri" w:eastAsia="Times New Roman" w:hAnsi="Calibri"/>
          <w:sz w:val="22"/>
          <w:szCs w:val="22"/>
          <w:lang w:eastAsia="en-AU"/>
        </w:rPr>
      </w:pPr>
      <w:r>
        <w:t>Is it effective?</w:t>
      </w:r>
      <w:r>
        <w:tab/>
      </w:r>
      <w:r>
        <w:fldChar w:fldCharType="begin"/>
      </w:r>
      <w:r>
        <w:instrText xml:space="preserve"> PAGEREF _Toc241658178 \h </w:instrText>
      </w:r>
      <w:r>
        <w:fldChar w:fldCharType="separate"/>
      </w:r>
      <w:r w:rsidR="007D3DFF">
        <w:t>25</w:t>
      </w:r>
      <w:r>
        <w:fldChar w:fldCharType="end"/>
      </w:r>
    </w:p>
    <w:p w:rsidR="00EC051B" w:rsidRDefault="00EC051B">
      <w:pPr>
        <w:pStyle w:val="TOC2"/>
        <w:rPr>
          <w:rFonts w:ascii="Calibri" w:eastAsia="Times New Roman" w:hAnsi="Calibri"/>
          <w:sz w:val="22"/>
          <w:szCs w:val="22"/>
          <w:lang w:eastAsia="en-AU"/>
        </w:rPr>
      </w:pPr>
      <w:r w:rsidRPr="00974D86">
        <w:rPr>
          <w:bCs/>
        </w:rPr>
        <w:t>Liquid-based cytology</w:t>
      </w:r>
      <w:r>
        <w:tab/>
      </w:r>
      <w:r>
        <w:fldChar w:fldCharType="begin"/>
      </w:r>
      <w:r>
        <w:instrText xml:space="preserve"> PAGEREF _Toc241658179 \h </w:instrText>
      </w:r>
      <w:r>
        <w:fldChar w:fldCharType="separate"/>
      </w:r>
      <w:r w:rsidR="007D3DFF">
        <w:t>25</w:t>
      </w:r>
      <w:r>
        <w:fldChar w:fldCharType="end"/>
      </w:r>
    </w:p>
    <w:p w:rsidR="00EC051B" w:rsidRDefault="00EC051B">
      <w:pPr>
        <w:pStyle w:val="TOC2"/>
        <w:rPr>
          <w:rFonts w:ascii="Calibri" w:eastAsia="Times New Roman" w:hAnsi="Calibri"/>
          <w:sz w:val="22"/>
          <w:szCs w:val="22"/>
          <w:lang w:eastAsia="en-AU"/>
        </w:rPr>
      </w:pPr>
      <w:r>
        <w:t>Included studies</w:t>
      </w:r>
      <w:r>
        <w:tab/>
      </w:r>
      <w:r>
        <w:fldChar w:fldCharType="begin"/>
      </w:r>
      <w:r>
        <w:instrText xml:space="preserve"> PAGEREF _Toc241658180 \h </w:instrText>
      </w:r>
      <w:r>
        <w:fldChar w:fldCharType="separate"/>
      </w:r>
      <w:r w:rsidR="007D3DFF">
        <w:t>26</w:t>
      </w:r>
      <w:r>
        <w:fldChar w:fldCharType="end"/>
      </w:r>
    </w:p>
    <w:p w:rsidR="00EC051B" w:rsidRDefault="00EC051B">
      <w:pPr>
        <w:pStyle w:val="TOC2"/>
        <w:rPr>
          <w:rFonts w:ascii="Calibri" w:eastAsia="Times New Roman" w:hAnsi="Calibri"/>
          <w:sz w:val="22"/>
          <w:szCs w:val="22"/>
          <w:lang w:eastAsia="en-AU"/>
        </w:rPr>
      </w:pPr>
      <w:r>
        <w:t>Test accuracy</w:t>
      </w:r>
      <w:r>
        <w:tab/>
      </w:r>
      <w:r>
        <w:fldChar w:fldCharType="begin"/>
      </w:r>
      <w:r>
        <w:instrText xml:space="preserve"> PAGEREF _Toc241658181 \h </w:instrText>
      </w:r>
      <w:r>
        <w:fldChar w:fldCharType="separate"/>
      </w:r>
      <w:r w:rsidR="007D3DFF">
        <w:t>29</w:t>
      </w:r>
      <w:r>
        <w:fldChar w:fldCharType="end"/>
      </w:r>
    </w:p>
    <w:p w:rsidR="00EC051B" w:rsidRDefault="00EC051B">
      <w:pPr>
        <w:pStyle w:val="TOC2"/>
        <w:rPr>
          <w:rFonts w:ascii="Calibri" w:eastAsia="Times New Roman" w:hAnsi="Calibri"/>
          <w:sz w:val="22"/>
          <w:szCs w:val="22"/>
          <w:lang w:eastAsia="en-AU"/>
        </w:rPr>
      </w:pPr>
      <w:r>
        <w:t>Unsatisfactory rate</w:t>
      </w:r>
      <w:r>
        <w:tab/>
      </w:r>
      <w:r>
        <w:fldChar w:fldCharType="begin"/>
      </w:r>
      <w:r>
        <w:instrText xml:space="preserve"> PAGEREF _Toc241658182 \h </w:instrText>
      </w:r>
      <w:r>
        <w:fldChar w:fldCharType="separate"/>
      </w:r>
      <w:r w:rsidR="007D3DFF">
        <w:t>32</w:t>
      </w:r>
      <w:r>
        <w:fldChar w:fldCharType="end"/>
      </w:r>
    </w:p>
    <w:p w:rsidR="00EC051B" w:rsidRDefault="00EC051B">
      <w:pPr>
        <w:pStyle w:val="TOC2"/>
        <w:rPr>
          <w:rFonts w:ascii="Calibri" w:eastAsia="Times New Roman" w:hAnsi="Calibri"/>
          <w:sz w:val="22"/>
          <w:szCs w:val="22"/>
          <w:lang w:eastAsia="en-AU"/>
        </w:rPr>
      </w:pPr>
      <w:r>
        <w:t>Test yield</w:t>
      </w:r>
      <w:r>
        <w:tab/>
      </w:r>
      <w:r>
        <w:fldChar w:fldCharType="begin"/>
      </w:r>
      <w:r>
        <w:instrText xml:space="preserve"> PAGEREF _Toc241658183 \h </w:instrText>
      </w:r>
      <w:r>
        <w:fldChar w:fldCharType="separate"/>
      </w:r>
      <w:r w:rsidR="007D3DFF">
        <w:t>33</w:t>
      </w:r>
      <w:r>
        <w:fldChar w:fldCharType="end"/>
      </w:r>
    </w:p>
    <w:p w:rsidR="00EC051B" w:rsidRDefault="00EC051B">
      <w:pPr>
        <w:pStyle w:val="TOC2"/>
        <w:rPr>
          <w:rFonts w:ascii="Calibri" w:eastAsia="Times New Roman" w:hAnsi="Calibri"/>
          <w:sz w:val="22"/>
          <w:szCs w:val="22"/>
          <w:lang w:eastAsia="en-AU"/>
        </w:rPr>
      </w:pPr>
      <w:r w:rsidRPr="00974D86">
        <w:rPr>
          <w:bCs/>
        </w:rPr>
        <w:t>Automated slide reading</w:t>
      </w:r>
      <w:r>
        <w:tab/>
      </w:r>
      <w:r>
        <w:fldChar w:fldCharType="begin"/>
      </w:r>
      <w:r>
        <w:instrText xml:space="preserve"> PAGEREF _Toc241658184 \h </w:instrText>
      </w:r>
      <w:r>
        <w:fldChar w:fldCharType="separate"/>
      </w:r>
      <w:r w:rsidR="007D3DFF">
        <w:t>33</w:t>
      </w:r>
      <w:r>
        <w:fldChar w:fldCharType="end"/>
      </w:r>
    </w:p>
    <w:p w:rsidR="00EC051B" w:rsidRDefault="00EC051B">
      <w:pPr>
        <w:pStyle w:val="TOC2"/>
        <w:rPr>
          <w:rFonts w:ascii="Calibri" w:eastAsia="Times New Roman" w:hAnsi="Calibri"/>
          <w:sz w:val="22"/>
          <w:szCs w:val="22"/>
          <w:lang w:eastAsia="en-AU"/>
        </w:rPr>
      </w:pPr>
      <w:r w:rsidRPr="00974D86">
        <w:rPr>
          <w:bCs/>
        </w:rPr>
        <w:t>Comparison to conventional cytology</w:t>
      </w:r>
      <w:r>
        <w:tab/>
      </w:r>
      <w:r>
        <w:fldChar w:fldCharType="begin"/>
      </w:r>
      <w:r>
        <w:instrText xml:space="preserve"> PAGEREF _Toc241658185 \h </w:instrText>
      </w:r>
      <w:r>
        <w:fldChar w:fldCharType="separate"/>
      </w:r>
      <w:r w:rsidR="007D3DFF">
        <w:t>34</w:t>
      </w:r>
      <w:r>
        <w:fldChar w:fldCharType="end"/>
      </w:r>
    </w:p>
    <w:p w:rsidR="00EC051B" w:rsidRDefault="00EC051B">
      <w:pPr>
        <w:pStyle w:val="TOC2"/>
        <w:rPr>
          <w:rFonts w:ascii="Calibri" w:eastAsia="Times New Roman" w:hAnsi="Calibri"/>
          <w:sz w:val="22"/>
          <w:szCs w:val="22"/>
          <w:lang w:eastAsia="en-AU"/>
        </w:rPr>
      </w:pPr>
      <w:r w:rsidRPr="00974D86">
        <w:rPr>
          <w:bCs/>
        </w:rPr>
        <w:t>Comparison to manual LBC slide reading</w:t>
      </w:r>
      <w:r>
        <w:tab/>
      </w:r>
      <w:r>
        <w:fldChar w:fldCharType="begin"/>
      </w:r>
      <w:r>
        <w:instrText xml:space="preserve"> PAGEREF _Toc241658186 \h </w:instrText>
      </w:r>
      <w:r>
        <w:fldChar w:fldCharType="separate"/>
      </w:r>
      <w:r w:rsidR="007D3DFF">
        <w:t>49</w:t>
      </w:r>
      <w:r>
        <w:fldChar w:fldCharType="end"/>
      </w:r>
    </w:p>
    <w:p w:rsidR="00EC051B" w:rsidRDefault="00EC051B">
      <w:pPr>
        <w:pStyle w:val="TOC2"/>
        <w:rPr>
          <w:rFonts w:ascii="Calibri" w:eastAsia="Times New Roman" w:hAnsi="Calibri"/>
          <w:sz w:val="22"/>
          <w:szCs w:val="22"/>
          <w:lang w:eastAsia="en-AU"/>
        </w:rPr>
      </w:pPr>
      <w:r w:rsidRPr="00974D86">
        <w:rPr>
          <w:bCs/>
        </w:rPr>
        <w:t>Direct comparison of LBC, automated LBC reading and conventional Pap cytology</w:t>
      </w:r>
      <w:r>
        <w:tab/>
      </w:r>
      <w:r>
        <w:fldChar w:fldCharType="begin"/>
      </w:r>
      <w:r>
        <w:instrText xml:space="preserve"> PAGEREF _Toc241658187 \h </w:instrText>
      </w:r>
      <w:r>
        <w:fldChar w:fldCharType="separate"/>
      </w:r>
      <w:r w:rsidR="007D3DFF">
        <w:t>58</w:t>
      </w:r>
      <w:r>
        <w:fldChar w:fldCharType="end"/>
      </w:r>
    </w:p>
    <w:p w:rsidR="00EC051B" w:rsidRDefault="00EC051B">
      <w:pPr>
        <w:pStyle w:val="TOC2"/>
        <w:rPr>
          <w:rFonts w:ascii="Calibri" w:eastAsia="Times New Roman" w:hAnsi="Calibri"/>
          <w:sz w:val="22"/>
          <w:szCs w:val="22"/>
          <w:lang w:eastAsia="en-AU"/>
        </w:rPr>
      </w:pPr>
      <w:r>
        <w:t>Conclusions</w:t>
      </w:r>
      <w:r>
        <w:tab/>
      </w:r>
      <w:r>
        <w:fldChar w:fldCharType="begin"/>
      </w:r>
      <w:r>
        <w:instrText xml:space="preserve"> PAGEREF _Toc241658188 \h </w:instrText>
      </w:r>
      <w:r>
        <w:fldChar w:fldCharType="separate"/>
      </w:r>
      <w:r w:rsidR="007D3DFF">
        <w:t>61</w:t>
      </w:r>
      <w:r>
        <w:fldChar w:fldCharType="end"/>
      </w:r>
    </w:p>
    <w:p w:rsidR="00EC051B" w:rsidRDefault="00EC051B">
      <w:pPr>
        <w:pStyle w:val="TOC2"/>
        <w:rPr>
          <w:rFonts w:ascii="Calibri" w:eastAsia="Times New Roman" w:hAnsi="Calibri"/>
          <w:sz w:val="22"/>
          <w:szCs w:val="22"/>
          <w:lang w:eastAsia="en-AU"/>
        </w:rPr>
      </w:pPr>
      <w:r>
        <w:t>What are the economic considerations?</w:t>
      </w:r>
      <w:r>
        <w:tab/>
      </w:r>
      <w:r>
        <w:fldChar w:fldCharType="begin"/>
      </w:r>
      <w:r>
        <w:instrText xml:space="preserve"> PAGEREF _Toc241658189 \h </w:instrText>
      </w:r>
      <w:r>
        <w:fldChar w:fldCharType="separate"/>
      </w:r>
      <w:r w:rsidR="007D3DFF">
        <w:t>62</w:t>
      </w:r>
      <w:r>
        <w:fldChar w:fldCharType="end"/>
      </w:r>
    </w:p>
    <w:p w:rsidR="00EC051B" w:rsidRDefault="00EC051B">
      <w:pPr>
        <w:pStyle w:val="TOC2"/>
        <w:rPr>
          <w:rFonts w:ascii="Calibri" w:eastAsia="Times New Roman" w:hAnsi="Calibri"/>
          <w:sz w:val="22"/>
          <w:szCs w:val="22"/>
          <w:lang w:eastAsia="en-AU"/>
        </w:rPr>
      </w:pPr>
      <w:r w:rsidRPr="00974D86">
        <w:rPr>
          <w:bCs/>
        </w:rPr>
        <w:lastRenderedPageBreak/>
        <w:t>Other relevant considerations</w:t>
      </w:r>
      <w:r>
        <w:tab/>
      </w:r>
      <w:r>
        <w:fldChar w:fldCharType="begin"/>
      </w:r>
      <w:r>
        <w:instrText xml:space="preserve"> PAGEREF _Toc241658190 \h </w:instrText>
      </w:r>
      <w:r>
        <w:fldChar w:fldCharType="separate"/>
      </w:r>
      <w:r w:rsidR="007D3DFF">
        <w:t>99</w:t>
      </w:r>
      <w:r>
        <w:fldChar w:fldCharType="end"/>
      </w:r>
    </w:p>
    <w:p w:rsidR="00EC051B" w:rsidRDefault="00EC051B">
      <w:pPr>
        <w:pStyle w:val="TOC1"/>
        <w:rPr>
          <w:rFonts w:ascii="Calibri" w:eastAsia="Times New Roman" w:hAnsi="Calibri"/>
          <w:b w:val="0"/>
          <w:sz w:val="22"/>
          <w:szCs w:val="22"/>
          <w:lang w:eastAsia="en-AU"/>
        </w:rPr>
      </w:pPr>
      <w:r>
        <w:t>Discussion</w:t>
      </w:r>
      <w:r>
        <w:tab/>
      </w:r>
      <w:r>
        <w:fldChar w:fldCharType="begin"/>
      </w:r>
      <w:r>
        <w:instrText xml:space="preserve"> PAGEREF _Toc241658191 \h </w:instrText>
      </w:r>
      <w:r>
        <w:fldChar w:fldCharType="separate"/>
      </w:r>
      <w:r w:rsidR="007D3DFF">
        <w:t>100</w:t>
      </w:r>
      <w:r>
        <w:fldChar w:fldCharType="end"/>
      </w:r>
    </w:p>
    <w:p w:rsidR="00EC051B" w:rsidRDefault="00EC051B">
      <w:pPr>
        <w:pStyle w:val="TOC2"/>
        <w:rPr>
          <w:rFonts w:ascii="Calibri" w:eastAsia="Times New Roman" w:hAnsi="Calibri"/>
          <w:sz w:val="22"/>
          <w:szCs w:val="22"/>
          <w:lang w:eastAsia="en-AU"/>
        </w:rPr>
      </w:pPr>
      <w:r>
        <w:t>LBC</w:t>
      </w:r>
      <w:r>
        <w:tab/>
      </w:r>
      <w:r>
        <w:fldChar w:fldCharType="begin"/>
      </w:r>
      <w:r>
        <w:instrText xml:space="preserve"> PAGEREF _Toc241658192 \h </w:instrText>
      </w:r>
      <w:r>
        <w:fldChar w:fldCharType="separate"/>
      </w:r>
      <w:r w:rsidR="007D3DFF">
        <w:t>100</w:t>
      </w:r>
      <w:r>
        <w:fldChar w:fldCharType="end"/>
      </w:r>
    </w:p>
    <w:p w:rsidR="00EC051B" w:rsidRDefault="00EC051B">
      <w:pPr>
        <w:pStyle w:val="TOC2"/>
        <w:rPr>
          <w:rFonts w:ascii="Calibri" w:eastAsia="Times New Roman" w:hAnsi="Calibri"/>
          <w:sz w:val="22"/>
          <w:szCs w:val="22"/>
          <w:lang w:eastAsia="en-AU"/>
        </w:rPr>
      </w:pPr>
      <w:r>
        <w:t>Automated LBC</w:t>
      </w:r>
      <w:r>
        <w:tab/>
      </w:r>
      <w:r>
        <w:fldChar w:fldCharType="begin"/>
      </w:r>
      <w:r>
        <w:instrText xml:space="preserve"> PAGEREF _Toc241658193 \h </w:instrText>
      </w:r>
      <w:r>
        <w:fldChar w:fldCharType="separate"/>
      </w:r>
      <w:r w:rsidR="007D3DFF">
        <w:t>101</w:t>
      </w:r>
      <w:r>
        <w:fldChar w:fldCharType="end"/>
      </w:r>
    </w:p>
    <w:p w:rsidR="00EC051B" w:rsidRDefault="00EC051B">
      <w:pPr>
        <w:pStyle w:val="TOC2"/>
        <w:rPr>
          <w:rFonts w:ascii="Calibri" w:eastAsia="Times New Roman" w:hAnsi="Calibri"/>
          <w:sz w:val="22"/>
          <w:szCs w:val="22"/>
          <w:lang w:eastAsia="en-AU"/>
        </w:rPr>
      </w:pPr>
      <w:r>
        <w:t>Cost-effectiveness analysis</w:t>
      </w:r>
      <w:r>
        <w:tab/>
      </w:r>
      <w:r>
        <w:fldChar w:fldCharType="begin"/>
      </w:r>
      <w:r>
        <w:instrText xml:space="preserve"> PAGEREF _Toc241658194 \h </w:instrText>
      </w:r>
      <w:r>
        <w:fldChar w:fldCharType="separate"/>
      </w:r>
      <w:r w:rsidR="007D3DFF">
        <w:t>103</w:t>
      </w:r>
      <w:r>
        <w:fldChar w:fldCharType="end"/>
      </w:r>
    </w:p>
    <w:p w:rsidR="00EC051B" w:rsidRDefault="00EC051B">
      <w:pPr>
        <w:pStyle w:val="TOC1"/>
        <w:rPr>
          <w:rFonts w:ascii="Calibri" w:eastAsia="Times New Roman" w:hAnsi="Calibri"/>
          <w:b w:val="0"/>
          <w:sz w:val="22"/>
          <w:szCs w:val="22"/>
          <w:lang w:eastAsia="en-AU"/>
        </w:rPr>
      </w:pPr>
      <w:r>
        <w:t>Conclusions</w:t>
      </w:r>
      <w:r>
        <w:tab/>
      </w:r>
      <w:r>
        <w:fldChar w:fldCharType="begin"/>
      </w:r>
      <w:r>
        <w:instrText xml:space="preserve"> PAGEREF _Toc241658195 \h </w:instrText>
      </w:r>
      <w:r>
        <w:fldChar w:fldCharType="separate"/>
      </w:r>
      <w:r w:rsidR="007D3DFF">
        <w:t>106</w:t>
      </w:r>
      <w:r>
        <w:fldChar w:fldCharType="end"/>
      </w:r>
    </w:p>
    <w:p w:rsidR="00EC051B" w:rsidRDefault="00EC051B">
      <w:pPr>
        <w:pStyle w:val="TOC2"/>
        <w:rPr>
          <w:rFonts w:ascii="Calibri" w:eastAsia="Times New Roman" w:hAnsi="Calibri"/>
          <w:sz w:val="22"/>
          <w:szCs w:val="22"/>
          <w:lang w:eastAsia="en-AU"/>
        </w:rPr>
      </w:pPr>
      <w:r>
        <w:t>Safety</w:t>
      </w:r>
      <w:r>
        <w:tab/>
      </w:r>
      <w:r>
        <w:fldChar w:fldCharType="begin"/>
      </w:r>
      <w:r>
        <w:instrText xml:space="preserve"> PAGEREF _Toc241658196 \h </w:instrText>
      </w:r>
      <w:r>
        <w:fldChar w:fldCharType="separate"/>
      </w:r>
      <w:r w:rsidR="007D3DFF">
        <w:t>106</w:t>
      </w:r>
      <w:r>
        <w:fldChar w:fldCharType="end"/>
      </w:r>
    </w:p>
    <w:p w:rsidR="00EC051B" w:rsidRDefault="00EC051B">
      <w:pPr>
        <w:pStyle w:val="TOC2"/>
        <w:rPr>
          <w:rFonts w:ascii="Calibri" w:eastAsia="Times New Roman" w:hAnsi="Calibri"/>
          <w:sz w:val="22"/>
          <w:szCs w:val="22"/>
          <w:lang w:eastAsia="en-AU"/>
        </w:rPr>
      </w:pPr>
      <w:r>
        <w:t>Effectiveness</w:t>
      </w:r>
      <w:r>
        <w:tab/>
      </w:r>
      <w:r>
        <w:fldChar w:fldCharType="begin"/>
      </w:r>
      <w:r>
        <w:instrText xml:space="preserve"> PAGEREF _Toc241658197 \h </w:instrText>
      </w:r>
      <w:r>
        <w:fldChar w:fldCharType="separate"/>
      </w:r>
      <w:r w:rsidR="007D3DFF">
        <w:t>106</w:t>
      </w:r>
      <w:r>
        <w:fldChar w:fldCharType="end"/>
      </w:r>
    </w:p>
    <w:p w:rsidR="00EC051B" w:rsidRDefault="00EC051B">
      <w:pPr>
        <w:pStyle w:val="TOC2"/>
        <w:rPr>
          <w:rFonts w:ascii="Calibri" w:eastAsia="Times New Roman" w:hAnsi="Calibri"/>
          <w:sz w:val="22"/>
          <w:szCs w:val="22"/>
          <w:lang w:eastAsia="en-AU"/>
        </w:rPr>
      </w:pPr>
      <w:r>
        <w:t>Economic considerations</w:t>
      </w:r>
      <w:r>
        <w:tab/>
      </w:r>
      <w:r>
        <w:fldChar w:fldCharType="begin"/>
      </w:r>
      <w:r>
        <w:instrText xml:space="preserve"> PAGEREF _Toc241658198 \h </w:instrText>
      </w:r>
      <w:r>
        <w:fldChar w:fldCharType="separate"/>
      </w:r>
      <w:r w:rsidR="007D3DFF">
        <w:t>107</w:t>
      </w:r>
      <w:r>
        <w:fldChar w:fldCharType="end"/>
      </w:r>
    </w:p>
    <w:p w:rsidR="00EC051B" w:rsidRDefault="00EC051B">
      <w:pPr>
        <w:pStyle w:val="TOC1"/>
        <w:tabs>
          <w:tab w:val="left" w:pos="2145"/>
        </w:tabs>
        <w:rPr>
          <w:rFonts w:ascii="Calibri" w:eastAsia="Times New Roman" w:hAnsi="Calibri"/>
          <w:b w:val="0"/>
          <w:sz w:val="22"/>
          <w:szCs w:val="22"/>
          <w:lang w:eastAsia="en-AU"/>
        </w:rPr>
      </w:pPr>
      <w:r w:rsidRPr="00974D86">
        <w:rPr>
          <w:bCs/>
        </w:rPr>
        <w:t>Appendix A</w:t>
      </w:r>
      <w:r>
        <w:rPr>
          <w:rFonts w:ascii="Calibri" w:eastAsia="Times New Roman" w:hAnsi="Calibri"/>
          <w:b w:val="0"/>
          <w:sz w:val="22"/>
          <w:szCs w:val="22"/>
          <w:lang w:eastAsia="en-AU"/>
        </w:rPr>
        <w:tab/>
      </w:r>
      <w:r w:rsidRPr="00974D86">
        <w:rPr>
          <w:bCs/>
        </w:rPr>
        <w:t>MSAC terms of reference and membership</w:t>
      </w:r>
      <w:r>
        <w:tab/>
      </w:r>
      <w:r>
        <w:fldChar w:fldCharType="begin"/>
      </w:r>
      <w:r>
        <w:instrText xml:space="preserve"> PAGEREF _Toc241658199 \h </w:instrText>
      </w:r>
      <w:r>
        <w:fldChar w:fldCharType="separate"/>
      </w:r>
      <w:r w:rsidR="007D3DFF">
        <w:t>109</w:t>
      </w:r>
      <w:r>
        <w:fldChar w:fldCharType="end"/>
      </w:r>
    </w:p>
    <w:p w:rsidR="00EC051B" w:rsidRDefault="00EC051B">
      <w:pPr>
        <w:pStyle w:val="TOC1"/>
        <w:tabs>
          <w:tab w:val="left" w:pos="2150"/>
        </w:tabs>
        <w:rPr>
          <w:rFonts w:ascii="Calibri" w:eastAsia="Times New Roman" w:hAnsi="Calibri"/>
          <w:b w:val="0"/>
          <w:sz w:val="22"/>
          <w:szCs w:val="22"/>
          <w:lang w:eastAsia="en-AU"/>
        </w:rPr>
      </w:pPr>
      <w:r w:rsidRPr="00974D86">
        <w:rPr>
          <w:bCs/>
        </w:rPr>
        <w:t>Appendix B</w:t>
      </w:r>
      <w:r>
        <w:rPr>
          <w:rFonts w:ascii="Calibri" w:eastAsia="Times New Roman" w:hAnsi="Calibri"/>
          <w:b w:val="0"/>
          <w:sz w:val="22"/>
          <w:szCs w:val="22"/>
          <w:lang w:eastAsia="en-AU"/>
        </w:rPr>
        <w:tab/>
      </w:r>
      <w:r>
        <w:t>Advisory Panel and Health Technology Assessors</w:t>
      </w:r>
      <w:r>
        <w:tab/>
      </w:r>
      <w:r>
        <w:fldChar w:fldCharType="begin"/>
      </w:r>
      <w:r>
        <w:instrText xml:space="preserve"> PAGEREF _Toc241658200 \h </w:instrText>
      </w:r>
      <w:r>
        <w:fldChar w:fldCharType="separate"/>
      </w:r>
      <w:r w:rsidR="007D3DFF">
        <w:t>110</w:t>
      </w:r>
      <w:r>
        <w:fldChar w:fldCharType="end"/>
      </w:r>
    </w:p>
    <w:p w:rsidR="00EC051B" w:rsidRDefault="00EC051B">
      <w:pPr>
        <w:pStyle w:val="TOC1"/>
        <w:tabs>
          <w:tab w:val="left" w:pos="2150"/>
        </w:tabs>
        <w:rPr>
          <w:rFonts w:ascii="Calibri" w:eastAsia="Times New Roman" w:hAnsi="Calibri"/>
          <w:b w:val="0"/>
          <w:sz w:val="22"/>
          <w:szCs w:val="22"/>
          <w:lang w:eastAsia="en-AU"/>
        </w:rPr>
      </w:pPr>
      <w:r w:rsidRPr="00974D86">
        <w:rPr>
          <w:bCs/>
        </w:rPr>
        <w:t>Appendix C</w:t>
      </w:r>
      <w:r>
        <w:rPr>
          <w:rFonts w:ascii="Calibri" w:eastAsia="Times New Roman" w:hAnsi="Calibri"/>
          <w:b w:val="0"/>
          <w:sz w:val="22"/>
          <w:szCs w:val="22"/>
          <w:lang w:eastAsia="en-AU"/>
        </w:rPr>
        <w:tab/>
      </w:r>
      <w:r>
        <w:t>FIGO Staging of cervical cancer</w:t>
      </w:r>
      <w:r>
        <w:tab/>
      </w:r>
      <w:r>
        <w:fldChar w:fldCharType="begin"/>
      </w:r>
      <w:r>
        <w:instrText xml:space="preserve"> PAGEREF _Toc241658203 \h </w:instrText>
      </w:r>
      <w:r>
        <w:fldChar w:fldCharType="separate"/>
      </w:r>
      <w:r w:rsidR="007D3DFF">
        <w:t>112</w:t>
      </w:r>
      <w:r>
        <w:fldChar w:fldCharType="end"/>
      </w:r>
    </w:p>
    <w:p w:rsidR="00EC051B" w:rsidRDefault="00EC051B">
      <w:pPr>
        <w:pStyle w:val="TOC1"/>
        <w:tabs>
          <w:tab w:val="left" w:pos="2175"/>
        </w:tabs>
        <w:rPr>
          <w:rFonts w:ascii="Calibri" w:eastAsia="Times New Roman" w:hAnsi="Calibri"/>
          <w:b w:val="0"/>
          <w:sz w:val="22"/>
          <w:szCs w:val="22"/>
          <w:lang w:eastAsia="en-AU"/>
        </w:rPr>
      </w:pPr>
      <w:r>
        <w:t>Appendix D</w:t>
      </w:r>
      <w:r>
        <w:rPr>
          <w:rFonts w:ascii="Calibri" w:eastAsia="Times New Roman" w:hAnsi="Calibri"/>
          <w:b w:val="0"/>
          <w:sz w:val="22"/>
          <w:szCs w:val="22"/>
          <w:lang w:eastAsia="en-AU"/>
        </w:rPr>
        <w:tab/>
      </w:r>
      <w:r>
        <w:t>MSAC 2002 and 2003 reviews</w:t>
      </w:r>
      <w:r>
        <w:tab/>
      </w:r>
      <w:r>
        <w:fldChar w:fldCharType="begin"/>
      </w:r>
      <w:r>
        <w:instrText xml:space="preserve"> PAGEREF _Toc241658204 \h </w:instrText>
      </w:r>
      <w:r>
        <w:fldChar w:fldCharType="separate"/>
      </w:r>
      <w:r w:rsidR="007D3DFF">
        <w:t>113</w:t>
      </w:r>
      <w:r>
        <w:fldChar w:fldCharType="end"/>
      </w:r>
    </w:p>
    <w:p w:rsidR="00EC051B" w:rsidRDefault="00EC051B">
      <w:pPr>
        <w:pStyle w:val="TOC1"/>
        <w:tabs>
          <w:tab w:val="left" w:pos="2158"/>
        </w:tabs>
        <w:rPr>
          <w:rFonts w:ascii="Calibri" w:eastAsia="Times New Roman" w:hAnsi="Calibri"/>
          <w:b w:val="0"/>
          <w:sz w:val="22"/>
          <w:szCs w:val="22"/>
          <w:lang w:eastAsia="en-AU"/>
        </w:rPr>
      </w:pPr>
      <w:r w:rsidRPr="00974D86">
        <w:rPr>
          <w:bCs/>
        </w:rPr>
        <w:t>Appendix E</w:t>
      </w:r>
      <w:r>
        <w:rPr>
          <w:rFonts w:ascii="Calibri" w:eastAsia="Times New Roman" w:hAnsi="Calibri"/>
          <w:b w:val="0"/>
          <w:sz w:val="22"/>
          <w:szCs w:val="22"/>
          <w:lang w:eastAsia="en-AU"/>
        </w:rPr>
        <w:tab/>
      </w:r>
      <w:r w:rsidRPr="00974D86">
        <w:rPr>
          <w:bCs/>
        </w:rPr>
        <w:t>Databases searched</w:t>
      </w:r>
      <w:r>
        <w:tab/>
      </w:r>
      <w:r>
        <w:fldChar w:fldCharType="begin"/>
      </w:r>
      <w:r>
        <w:instrText xml:space="preserve"> PAGEREF _Toc241658205 \h </w:instrText>
      </w:r>
      <w:r>
        <w:fldChar w:fldCharType="separate"/>
      </w:r>
      <w:r w:rsidR="007D3DFF">
        <w:t>115</w:t>
      </w:r>
      <w:r>
        <w:fldChar w:fldCharType="end"/>
      </w:r>
    </w:p>
    <w:p w:rsidR="00EC051B" w:rsidRDefault="00EC051B">
      <w:pPr>
        <w:pStyle w:val="TOC1"/>
        <w:tabs>
          <w:tab w:val="left" w:pos="2135"/>
        </w:tabs>
        <w:rPr>
          <w:rFonts w:ascii="Calibri" w:eastAsia="Times New Roman" w:hAnsi="Calibri"/>
          <w:b w:val="0"/>
          <w:sz w:val="22"/>
          <w:szCs w:val="22"/>
          <w:lang w:eastAsia="en-AU"/>
        </w:rPr>
      </w:pPr>
      <w:r>
        <w:t>Appendix F</w:t>
      </w:r>
      <w:r>
        <w:rPr>
          <w:rFonts w:ascii="Calibri" w:eastAsia="Times New Roman" w:hAnsi="Calibri"/>
          <w:b w:val="0"/>
          <w:sz w:val="22"/>
          <w:szCs w:val="22"/>
          <w:lang w:eastAsia="en-AU"/>
        </w:rPr>
        <w:tab/>
      </w:r>
      <w:r>
        <w:t>Included studies</w:t>
      </w:r>
      <w:r>
        <w:tab/>
      </w:r>
      <w:r>
        <w:fldChar w:fldCharType="begin"/>
      </w:r>
      <w:r>
        <w:instrText xml:space="preserve"> PAGEREF _Toc241658206 \h </w:instrText>
      </w:r>
      <w:r>
        <w:fldChar w:fldCharType="separate"/>
      </w:r>
      <w:r w:rsidR="007D3DFF">
        <w:t>117</w:t>
      </w:r>
      <w:r>
        <w:fldChar w:fldCharType="end"/>
      </w:r>
    </w:p>
    <w:p w:rsidR="00EC051B" w:rsidRDefault="00EC051B">
      <w:pPr>
        <w:pStyle w:val="TOC1"/>
        <w:tabs>
          <w:tab w:val="left" w:pos="2163"/>
        </w:tabs>
        <w:rPr>
          <w:rFonts w:ascii="Calibri" w:eastAsia="Times New Roman" w:hAnsi="Calibri"/>
          <w:b w:val="0"/>
          <w:sz w:val="22"/>
          <w:szCs w:val="22"/>
          <w:lang w:eastAsia="en-AU"/>
        </w:rPr>
      </w:pPr>
      <w:r>
        <w:t>Appendix G</w:t>
      </w:r>
      <w:r>
        <w:rPr>
          <w:rFonts w:ascii="Calibri" w:eastAsia="Times New Roman" w:hAnsi="Calibri"/>
          <w:b w:val="0"/>
          <w:sz w:val="22"/>
          <w:szCs w:val="22"/>
          <w:lang w:eastAsia="en-AU"/>
        </w:rPr>
        <w:tab/>
      </w:r>
      <w:r>
        <w:t>Clinical flowchart</w:t>
      </w:r>
      <w:r>
        <w:tab/>
      </w:r>
      <w:r>
        <w:fldChar w:fldCharType="begin"/>
      </w:r>
      <w:r>
        <w:instrText xml:space="preserve"> PAGEREF _Toc241658207 \h </w:instrText>
      </w:r>
      <w:r>
        <w:fldChar w:fldCharType="separate"/>
      </w:r>
      <w:r w:rsidR="007D3DFF">
        <w:t>136</w:t>
      </w:r>
      <w:r>
        <w:fldChar w:fldCharType="end"/>
      </w:r>
    </w:p>
    <w:p w:rsidR="00EC051B" w:rsidRDefault="00EC051B">
      <w:pPr>
        <w:pStyle w:val="TOC1"/>
        <w:tabs>
          <w:tab w:val="left" w:pos="2195"/>
        </w:tabs>
        <w:rPr>
          <w:rFonts w:ascii="Calibri" w:eastAsia="Times New Roman" w:hAnsi="Calibri"/>
          <w:b w:val="0"/>
          <w:sz w:val="22"/>
          <w:szCs w:val="22"/>
          <w:lang w:eastAsia="en-AU"/>
        </w:rPr>
      </w:pPr>
      <w:r>
        <w:t>Appendix H</w:t>
      </w:r>
      <w:r>
        <w:rPr>
          <w:rFonts w:ascii="Calibri" w:eastAsia="Times New Roman" w:hAnsi="Calibri"/>
          <w:b w:val="0"/>
          <w:sz w:val="22"/>
          <w:szCs w:val="22"/>
          <w:lang w:eastAsia="en-AU"/>
        </w:rPr>
        <w:tab/>
      </w:r>
      <w:r>
        <w:t>Existing HTA reports 2002–2008</w:t>
      </w:r>
      <w:r>
        <w:tab/>
      </w:r>
      <w:r>
        <w:fldChar w:fldCharType="begin"/>
      </w:r>
      <w:r>
        <w:instrText xml:space="preserve"> PAGEREF _Toc241658208 \h </w:instrText>
      </w:r>
      <w:r>
        <w:fldChar w:fldCharType="separate"/>
      </w:r>
      <w:r w:rsidR="007D3DFF">
        <w:t>138</w:t>
      </w:r>
      <w:r>
        <w:fldChar w:fldCharType="end"/>
      </w:r>
    </w:p>
    <w:p w:rsidR="00EC051B" w:rsidRDefault="00EC051B">
      <w:pPr>
        <w:pStyle w:val="TOC1"/>
        <w:tabs>
          <w:tab w:val="left" w:pos="2083"/>
        </w:tabs>
        <w:rPr>
          <w:rFonts w:ascii="Calibri" w:eastAsia="Times New Roman" w:hAnsi="Calibri"/>
          <w:b w:val="0"/>
          <w:sz w:val="22"/>
          <w:szCs w:val="22"/>
          <w:lang w:eastAsia="en-AU"/>
        </w:rPr>
      </w:pPr>
      <w:r>
        <w:t>Appendix I</w:t>
      </w:r>
      <w:r>
        <w:rPr>
          <w:rFonts w:ascii="Calibri" w:eastAsia="Times New Roman" w:hAnsi="Calibri"/>
          <w:b w:val="0"/>
          <w:sz w:val="22"/>
          <w:szCs w:val="22"/>
          <w:lang w:eastAsia="en-AU"/>
        </w:rPr>
        <w:tab/>
      </w:r>
      <w:r>
        <w:t>Davey et al. (2006) LBC review</w:t>
      </w:r>
      <w:r>
        <w:tab/>
      </w:r>
      <w:r>
        <w:fldChar w:fldCharType="begin"/>
      </w:r>
      <w:r>
        <w:instrText xml:space="preserve"> PAGEREF _Toc241658209 \h </w:instrText>
      </w:r>
      <w:r>
        <w:fldChar w:fldCharType="separate"/>
      </w:r>
      <w:r w:rsidR="007D3DFF">
        <w:t>139</w:t>
      </w:r>
      <w:r>
        <w:fldChar w:fldCharType="end"/>
      </w:r>
    </w:p>
    <w:p w:rsidR="00EC051B" w:rsidRDefault="00EC051B">
      <w:pPr>
        <w:pStyle w:val="TOC1"/>
        <w:rPr>
          <w:rFonts w:ascii="Calibri" w:eastAsia="Times New Roman" w:hAnsi="Calibri"/>
          <w:b w:val="0"/>
          <w:sz w:val="22"/>
          <w:szCs w:val="22"/>
          <w:lang w:eastAsia="en-AU"/>
        </w:rPr>
      </w:pPr>
      <w:r>
        <w:t>Appendix J  Detailed model data sources</w:t>
      </w:r>
      <w:r>
        <w:tab/>
      </w:r>
      <w:r>
        <w:fldChar w:fldCharType="begin"/>
      </w:r>
      <w:r>
        <w:instrText xml:space="preserve"> PAGEREF _Toc241658210 \h </w:instrText>
      </w:r>
      <w:r>
        <w:fldChar w:fldCharType="separate"/>
      </w:r>
      <w:r w:rsidR="007D3DFF">
        <w:t>140</w:t>
      </w:r>
      <w:r>
        <w:fldChar w:fldCharType="end"/>
      </w:r>
    </w:p>
    <w:p w:rsidR="00EC051B" w:rsidRDefault="00EC051B">
      <w:pPr>
        <w:pStyle w:val="TOC1"/>
        <w:rPr>
          <w:rFonts w:ascii="Calibri" w:eastAsia="Times New Roman" w:hAnsi="Calibri"/>
          <w:b w:val="0"/>
          <w:sz w:val="22"/>
          <w:szCs w:val="22"/>
          <w:lang w:eastAsia="en-AU"/>
        </w:rPr>
      </w:pPr>
      <w:r>
        <w:t>Appendix K  Derivation of test probability matrices for cytology</w:t>
      </w:r>
      <w:r>
        <w:tab/>
      </w:r>
      <w:r>
        <w:fldChar w:fldCharType="begin"/>
      </w:r>
      <w:r>
        <w:instrText xml:space="preserve"> PAGEREF _Toc241658218 \h </w:instrText>
      </w:r>
      <w:r>
        <w:fldChar w:fldCharType="separate"/>
      </w:r>
      <w:r w:rsidR="007D3DFF">
        <w:t>153</w:t>
      </w:r>
      <w:r>
        <w:fldChar w:fldCharType="end"/>
      </w:r>
    </w:p>
    <w:p w:rsidR="00EC051B" w:rsidRDefault="00EC051B">
      <w:pPr>
        <w:pStyle w:val="TOC1"/>
        <w:rPr>
          <w:rFonts w:ascii="Calibri" w:eastAsia="Times New Roman" w:hAnsi="Calibri"/>
          <w:b w:val="0"/>
          <w:sz w:val="22"/>
          <w:szCs w:val="22"/>
          <w:lang w:eastAsia="en-AU"/>
        </w:rPr>
      </w:pPr>
      <w:r>
        <w:t>Abbreviations</w:t>
      </w:r>
      <w:r>
        <w:tab/>
      </w:r>
      <w:r>
        <w:fldChar w:fldCharType="begin"/>
      </w:r>
      <w:r>
        <w:instrText xml:space="preserve"> PAGEREF _Toc241658226 \h </w:instrText>
      </w:r>
      <w:r>
        <w:fldChar w:fldCharType="separate"/>
      </w:r>
      <w:r w:rsidR="007D3DFF">
        <w:t>171</w:t>
      </w:r>
      <w:r>
        <w:fldChar w:fldCharType="end"/>
      </w:r>
    </w:p>
    <w:p w:rsidR="00EC051B" w:rsidRDefault="00EC051B">
      <w:pPr>
        <w:pStyle w:val="TOC1"/>
        <w:rPr>
          <w:rFonts w:ascii="Calibri" w:eastAsia="Times New Roman" w:hAnsi="Calibri"/>
          <w:b w:val="0"/>
          <w:sz w:val="22"/>
          <w:szCs w:val="22"/>
          <w:lang w:eastAsia="en-AU"/>
        </w:rPr>
      </w:pPr>
      <w:r>
        <w:t>References</w:t>
      </w:r>
      <w:r>
        <w:tab/>
      </w:r>
      <w:r>
        <w:fldChar w:fldCharType="begin"/>
      </w:r>
      <w:r>
        <w:instrText xml:space="preserve"> PAGEREF _Toc241658227 \h </w:instrText>
      </w:r>
      <w:r>
        <w:fldChar w:fldCharType="separate"/>
      </w:r>
      <w:r w:rsidR="007D3DFF">
        <w:t>174</w:t>
      </w:r>
      <w:r>
        <w:fldChar w:fldCharType="end"/>
      </w:r>
    </w:p>
    <w:p w:rsidR="00234376" w:rsidRPr="00537C3C" w:rsidRDefault="00234376">
      <w:pPr>
        <w:rPr>
          <w:vanish/>
          <w:color w:val="0000FF"/>
        </w:rPr>
      </w:pPr>
      <w:r w:rsidRPr="0098213C">
        <w:rPr>
          <w:b/>
        </w:rPr>
        <w:fldChar w:fldCharType="end"/>
      </w:r>
      <w:r w:rsidRPr="00537C3C">
        <w:br w:type="page"/>
      </w:r>
    </w:p>
    <w:p w:rsidR="00234376" w:rsidRPr="00537C3C" w:rsidRDefault="00234376" w:rsidP="00C97E47">
      <w:pPr>
        <w:pStyle w:val="Heading2"/>
      </w:pPr>
      <w:r w:rsidRPr="00537C3C">
        <w:t>Tables</w:t>
      </w:r>
    </w:p>
    <w:p w:rsidR="00234376" w:rsidRDefault="00234376">
      <w:pPr>
        <w:pStyle w:val="TableofFigures"/>
        <w:tabs>
          <w:tab w:val="left" w:pos="1655"/>
        </w:tabs>
        <w:rPr>
          <w:rFonts w:ascii="Times New Roman" w:hAnsi="Times New Roman"/>
          <w:szCs w:val="24"/>
        </w:rPr>
      </w:pPr>
      <w:r w:rsidRPr="00537C3C">
        <w:fldChar w:fldCharType="begin"/>
      </w:r>
      <w:r w:rsidRPr="00537C3C">
        <w:instrText xml:space="preserve"> TOC \h \z \c "Table" </w:instrText>
      </w:r>
      <w:r w:rsidRPr="00537C3C">
        <w:fldChar w:fldCharType="separate"/>
      </w:r>
      <w:r>
        <w:t>Table 1</w:t>
      </w:r>
      <w:r>
        <w:rPr>
          <w:rFonts w:ascii="Times New Roman" w:hAnsi="Times New Roman"/>
          <w:szCs w:val="24"/>
        </w:rPr>
        <w:tab/>
      </w:r>
      <w:r>
        <w:t>Comparison of the Australian Modified Bethesda System, 2004, and the US Bethesda System, 2001.</w:t>
      </w:r>
      <w:r>
        <w:tab/>
      </w:r>
      <w:r>
        <w:fldChar w:fldCharType="begin"/>
      </w:r>
      <w:r>
        <w:instrText xml:space="preserve"> PAGEREF _Toc95971237 \h </w:instrText>
      </w:r>
      <w:r>
        <w:fldChar w:fldCharType="separate"/>
      </w:r>
      <w:r w:rsidR="007D3DFF">
        <w:t>5</w:t>
      </w:r>
      <w:r>
        <w:fldChar w:fldCharType="end"/>
      </w:r>
    </w:p>
    <w:p w:rsidR="00234376" w:rsidRDefault="00234376">
      <w:pPr>
        <w:pStyle w:val="TableofFigures"/>
        <w:tabs>
          <w:tab w:val="left" w:pos="1655"/>
        </w:tabs>
        <w:rPr>
          <w:rFonts w:ascii="Times New Roman" w:hAnsi="Times New Roman"/>
          <w:szCs w:val="24"/>
        </w:rPr>
      </w:pPr>
      <w:r>
        <w:t>Table 2</w:t>
      </w:r>
      <w:r>
        <w:rPr>
          <w:rFonts w:ascii="Times New Roman" w:hAnsi="Times New Roman"/>
          <w:szCs w:val="24"/>
        </w:rPr>
        <w:tab/>
      </w:r>
      <w:r>
        <w:t>Classification of histological abnormalities as grades of cervical intraepithelial neoplasia (CIN).</w:t>
      </w:r>
      <w:r>
        <w:tab/>
      </w:r>
      <w:r>
        <w:fldChar w:fldCharType="begin"/>
      </w:r>
      <w:r>
        <w:instrText xml:space="preserve"> PAGEREF _Toc95971238 \h </w:instrText>
      </w:r>
      <w:r>
        <w:fldChar w:fldCharType="separate"/>
      </w:r>
      <w:r w:rsidR="007D3DFF">
        <w:t>5</w:t>
      </w:r>
      <w:r>
        <w:fldChar w:fldCharType="end"/>
      </w:r>
    </w:p>
    <w:p w:rsidR="00234376" w:rsidRDefault="00234376">
      <w:pPr>
        <w:pStyle w:val="TableofFigures"/>
        <w:tabs>
          <w:tab w:val="left" w:pos="1655"/>
        </w:tabs>
        <w:rPr>
          <w:rFonts w:ascii="Times New Roman" w:hAnsi="Times New Roman"/>
          <w:szCs w:val="24"/>
        </w:rPr>
      </w:pPr>
      <w:r>
        <w:t>Table 3</w:t>
      </w:r>
      <w:r>
        <w:rPr>
          <w:rFonts w:ascii="Times New Roman" w:hAnsi="Times New Roman"/>
          <w:szCs w:val="24"/>
        </w:rPr>
        <w:tab/>
      </w:r>
      <w:r>
        <w:t>Cumulative relative rates of survival of invasive cervical cancer at 5 and 10 years, by extent of disease and corresponding FIGO stage, NSW, 1991–2000.</w:t>
      </w:r>
      <w:r>
        <w:tab/>
      </w:r>
      <w:r>
        <w:fldChar w:fldCharType="begin"/>
      </w:r>
      <w:r>
        <w:instrText xml:space="preserve"> PAGEREF _Toc95971239 \h </w:instrText>
      </w:r>
      <w:r>
        <w:fldChar w:fldCharType="separate"/>
      </w:r>
      <w:r w:rsidR="007D3DFF">
        <w:t>7</w:t>
      </w:r>
      <w:r>
        <w:fldChar w:fldCharType="end"/>
      </w:r>
    </w:p>
    <w:p w:rsidR="00234376" w:rsidRDefault="00234376">
      <w:pPr>
        <w:pStyle w:val="TableofFigures"/>
        <w:tabs>
          <w:tab w:val="left" w:pos="1628"/>
        </w:tabs>
        <w:rPr>
          <w:rFonts w:ascii="Times New Roman" w:hAnsi="Times New Roman"/>
          <w:szCs w:val="24"/>
        </w:rPr>
      </w:pPr>
      <w:r w:rsidRPr="008B6FDB">
        <w:rPr>
          <w:rFonts w:ascii="Arial Narrow" w:hAnsi="Arial Narrow"/>
        </w:rPr>
        <w:t>T</w:t>
      </w:r>
      <w:r>
        <w:t>able 4</w:t>
      </w:r>
      <w:r>
        <w:rPr>
          <w:rFonts w:ascii="Times New Roman" w:hAnsi="Times New Roman"/>
          <w:szCs w:val="24"/>
        </w:rPr>
        <w:tab/>
      </w:r>
      <w:r>
        <w:t>Electronic databases searched to identify primary studies of automated slide reading.</w:t>
      </w:r>
      <w:r>
        <w:tab/>
      </w:r>
      <w:r>
        <w:fldChar w:fldCharType="begin"/>
      </w:r>
      <w:r>
        <w:instrText xml:space="preserve"> PAGEREF _Toc95971240 \h </w:instrText>
      </w:r>
      <w:r>
        <w:fldChar w:fldCharType="separate"/>
      </w:r>
      <w:r w:rsidR="007D3DFF">
        <w:t>17</w:t>
      </w:r>
      <w:r>
        <w:fldChar w:fldCharType="end"/>
      </w:r>
    </w:p>
    <w:p w:rsidR="00234376" w:rsidRDefault="00234376">
      <w:pPr>
        <w:pStyle w:val="TableofFigures"/>
        <w:tabs>
          <w:tab w:val="left" w:pos="1655"/>
        </w:tabs>
        <w:rPr>
          <w:rFonts w:ascii="Times New Roman" w:hAnsi="Times New Roman"/>
          <w:szCs w:val="24"/>
        </w:rPr>
      </w:pPr>
      <w:r>
        <w:t>Table 5</w:t>
      </w:r>
      <w:r>
        <w:rPr>
          <w:rFonts w:ascii="Times New Roman" w:hAnsi="Times New Roman"/>
          <w:szCs w:val="24"/>
        </w:rPr>
        <w:tab/>
      </w:r>
      <w:r>
        <w:t>Search terms for automated slide reading (EMBASE.com).</w:t>
      </w:r>
      <w:r>
        <w:tab/>
      </w:r>
      <w:r>
        <w:fldChar w:fldCharType="begin"/>
      </w:r>
      <w:r>
        <w:instrText xml:space="preserve"> PAGEREF _Toc95971241 \h </w:instrText>
      </w:r>
      <w:r>
        <w:fldChar w:fldCharType="separate"/>
      </w:r>
      <w:r w:rsidR="007D3DFF">
        <w:t>17</w:t>
      </w:r>
      <w:r>
        <w:fldChar w:fldCharType="end"/>
      </w:r>
    </w:p>
    <w:p w:rsidR="00234376" w:rsidRDefault="00234376">
      <w:pPr>
        <w:pStyle w:val="TableofFigures"/>
        <w:tabs>
          <w:tab w:val="left" w:pos="1628"/>
        </w:tabs>
        <w:rPr>
          <w:rFonts w:ascii="Times New Roman" w:hAnsi="Times New Roman"/>
          <w:szCs w:val="24"/>
        </w:rPr>
      </w:pPr>
      <w:r w:rsidRPr="008B6FDB">
        <w:rPr>
          <w:rFonts w:ascii="Arial Narrow" w:hAnsi="Arial Narrow"/>
        </w:rPr>
        <w:t>T</w:t>
      </w:r>
      <w:r>
        <w:t>able 6</w:t>
      </w:r>
      <w:r>
        <w:rPr>
          <w:rFonts w:ascii="Times New Roman" w:hAnsi="Times New Roman"/>
          <w:szCs w:val="24"/>
        </w:rPr>
        <w:tab/>
      </w:r>
      <w:r>
        <w:t>Electronic databases searched to identify primary studies of LBC.</w:t>
      </w:r>
      <w:r>
        <w:tab/>
      </w:r>
      <w:r>
        <w:fldChar w:fldCharType="begin"/>
      </w:r>
      <w:r>
        <w:instrText xml:space="preserve"> PAGEREF _Toc95971242 \h </w:instrText>
      </w:r>
      <w:r>
        <w:fldChar w:fldCharType="separate"/>
      </w:r>
      <w:r w:rsidR="007D3DFF">
        <w:t>18</w:t>
      </w:r>
      <w:r>
        <w:fldChar w:fldCharType="end"/>
      </w:r>
    </w:p>
    <w:p w:rsidR="00234376" w:rsidRDefault="00234376">
      <w:pPr>
        <w:pStyle w:val="TableofFigures"/>
        <w:tabs>
          <w:tab w:val="left" w:pos="1655"/>
        </w:tabs>
        <w:rPr>
          <w:rFonts w:ascii="Times New Roman" w:hAnsi="Times New Roman"/>
          <w:szCs w:val="24"/>
        </w:rPr>
      </w:pPr>
      <w:r>
        <w:t>Table 7</w:t>
      </w:r>
      <w:r>
        <w:rPr>
          <w:rFonts w:ascii="Times New Roman" w:hAnsi="Times New Roman"/>
          <w:szCs w:val="24"/>
        </w:rPr>
        <w:tab/>
      </w:r>
      <w:r>
        <w:t>Search terms for LBC (EMBASE.com).</w:t>
      </w:r>
      <w:r>
        <w:tab/>
      </w:r>
      <w:r>
        <w:fldChar w:fldCharType="begin"/>
      </w:r>
      <w:r>
        <w:instrText xml:space="preserve"> PAGEREF _Toc95971243 \h </w:instrText>
      </w:r>
      <w:r>
        <w:fldChar w:fldCharType="separate"/>
      </w:r>
      <w:r w:rsidR="007D3DFF">
        <w:t>18</w:t>
      </w:r>
      <w:r>
        <w:fldChar w:fldCharType="end"/>
      </w:r>
    </w:p>
    <w:p w:rsidR="00234376" w:rsidRDefault="00234376">
      <w:pPr>
        <w:pStyle w:val="TableofFigures"/>
        <w:tabs>
          <w:tab w:val="left" w:pos="1655"/>
        </w:tabs>
        <w:rPr>
          <w:rFonts w:ascii="Times New Roman" w:hAnsi="Times New Roman"/>
          <w:szCs w:val="24"/>
        </w:rPr>
      </w:pPr>
      <w:r>
        <w:t>Table 8</w:t>
      </w:r>
      <w:r>
        <w:rPr>
          <w:rFonts w:ascii="Times New Roman" w:hAnsi="Times New Roman"/>
          <w:szCs w:val="24"/>
        </w:rPr>
        <w:tab/>
      </w:r>
      <w:r>
        <w:t>Inclusion/exclusion criteria for identification of relevant studies.</w:t>
      </w:r>
      <w:r>
        <w:tab/>
      </w:r>
      <w:r>
        <w:fldChar w:fldCharType="begin"/>
      </w:r>
      <w:r>
        <w:instrText xml:space="preserve"> PAGEREF _Toc95971244 \h </w:instrText>
      </w:r>
      <w:r>
        <w:fldChar w:fldCharType="separate"/>
      </w:r>
      <w:r w:rsidR="007D3DFF">
        <w:t>18</w:t>
      </w:r>
      <w:r>
        <w:fldChar w:fldCharType="end"/>
      </w:r>
    </w:p>
    <w:p w:rsidR="00234376" w:rsidRDefault="00234376">
      <w:pPr>
        <w:pStyle w:val="TableofFigures"/>
        <w:tabs>
          <w:tab w:val="left" w:pos="1655"/>
        </w:tabs>
        <w:rPr>
          <w:rFonts w:ascii="Times New Roman" w:hAnsi="Times New Roman"/>
          <w:szCs w:val="24"/>
        </w:rPr>
      </w:pPr>
      <w:r>
        <w:t>Table 9</w:t>
      </w:r>
      <w:r>
        <w:rPr>
          <w:rFonts w:ascii="Times New Roman" w:hAnsi="Times New Roman"/>
          <w:szCs w:val="24"/>
        </w:rPr>
        <w:tab/>
      </w:r>
      <w:r>
        <w:t>Criteria used to assess the quality of diagnostic accuracy studies—the QUADAS tool (adapted from Whiting et al. 2003).</w:t>
      </w:r>
      <w:r>
        <w:tab/>
      </w:r>
      <w:r>
        <w:fldChar w:fldCharType="begin"/>
      </w:r>
      <w:r>
        <w:instrText xml:space="preserve"> PAGEREF _Toc95971245 \h </w:instrText>
      </w:r>
      <w:r>
        <w:fldChar w:fldCharType="separate"/>
      </w:r>
      <w:r w:rsidR="007D3DFF">
        <w:t>21</w:t>
      </w:r>
      <w:r>
        <w:fldChar w:fldCharType="end"/>
      </w:r>
    </w:p>
    <w:p w:rsidR="00234376" w:rsidRDefault="00234376">
      <w:pPr>
        <w:pStyle w:val="TableofFigures"/>
        <w:tabs>
          <w:tab w:val="left" w:pos="1767"/>
        </w:tabs>
        <w:rPr>
          <w:rFonts w:ascii="Times New Roman" w:hAnsi="Times New Roman"/>
          <w:szCs w:val="24"/>
        </w:rPr>
      </w:pPr>
      <w:r>
        <w:t>Table 10</w:t>
      </w:r>
      <w:r>
        <w:rPr>
          <w:rFonts w:ascii="Times New Roman" w:hAnsi="Times New Roman"/>
          <w:szCs w:val="24"/>
        </w:rPr>
        <w:tab/>
      </w:r>
      <w:r>
        <w:t>Criteria used to assess the quality of effectiveness studies (adapted from NHMRC 2000 and CRD 2001).</w:t>
      </w:r>
      <w:r>
        <w:tab/>
      </w:r>
      <w:r>
        <w:fldChar w:fldCharType="begin"/>
      </w:r>
      <w:r>
        <w:instrText xml:space="preserve"> PAGEREF _Toc95971246 \h </w:instrText>
      </w:r>
      <w:r>
        <w:fldChar w:fldCharType="separate"/>
      </w:r>
      <w:r w:rsidR="007D3DFF">
        <w:t>21</w:t>
      </w:r>
      <w:r>
        <w:fldChar w:fldCharType="end"/>
      </w:r>
    </w:p>
    <w:p w:rsidR="00234376" w:rsidRDefault="00234376">
      <w:pPr>
        <w:pStyle w:val="TableofFigures"/>
        <w:tabs>
          <w:tab w:val="left" w:pos="1767"/>
        </w:tabs>
        <w:rPr>
          <w:rFonts w:ascii="Times New Roman" w:hAnsi="Times New Roman"/>
          <w:szCs w:val="24"/>
        </w:rPr>
      </w:pPr>
      <w:r>
        <w:t>Table 11</w:t>
      </w:r>
      <w:r>
        <w:rPr>
          <w:rFonts w:ascii="Times New Roman" w:hAnsi="Times New Roman"/>
          <w:szCs w:val="24"/>
        </w:rPr>
        <w:tab/>
      </w:r>
      <w:r>
        <w:t>Grading system for the appraisal of studies evaluating diagnostic tests.</w:t>
      </w:r>
      <w:r>
        <w:tab/>
      </w:r>
      <w:r>
        <w:fldChar w:fldCharType="begin"/>
      </w:r>
      <w:r>
        <w:instrText xml:space="preserve"> PAGEREF _Toc95971247 \h </w:instrText>
      </w:r>
      <w:r>
        <w:fldChar w:fldCharType="separate"/>
      </w:r>
      <w:r w:rsidR="007D3DFF">
        <w:t>22</w:t>
      </w:r>
      <w:r>
        <w:fldChar w:fldCharType="end"/>
      </w:r>
    </w:p>
    <w:p w:rsidR="00234376" w:rsidRDefault="00234376">
      <w:pPr>
        <w:pStyle w:val="TableofFigures"/>
        <w:tabs>
          <w:tab w:val="left" w:pos="1767"/>
        </w:tabs>
        <w:rPr>
          <w:rFonts w:ascii="Times New Roman" w:hAnsi="Times New Roman"/>
          <w:szCs w:val="24"/>
        </w:rPr>
      </w:pPr>
      <w:r>
        <w:t>Table 12</w:t>
      </w:r>
      <w:r>
        <w:rPr>
          <w:rFonts w:ascii="Times New Roman" w:hAnsi="Times New Roman"/>
          <w:szCs w:val="24"/>
        </w:rPr>
        <w:tab/>
      </w:r>
      <w:r>
        <w:t>NHMRC designations of levels of evidence.</w:t>
      </w:r>
      <w:r>
        <w:tab/>
      </w:r>
      <w:r>
        <w:fldChar w:fldCharType="begin"/>
      </w:r>
      <w:r>
        <w:instrText xml:space="preserve"> PAGEREF _Toc95971248 \h </w:instrText>
      </w:r>
      <w:r>
        <w:fldChar w:fldCharType="separate"/>
      </w:r>
      <w:r w:rsidR="007D3DFF">
        <w:t>23</w:t>
      </w:r>
      <w:r>
        <w:fldChar w:fldCharType="end"/>
      </w:r>
    </w:p>
    <w:p w:rsidR="00234376" w:rsidRDefault="00234376">
      <w:pPr>
        <w:pStyle w:val="TableofFigures"/>
        <w:tabs>
          <w:tab w:val="left" w:pos="1767"/>
        </w:tabs>
        <w:rPr>
          <w:rFonts w:ascii="Times New Roman" w:hAnsi="Times New Roman"/>
          <w:szCs w:val="24"/>
        </w:rPr>
      </w:pPr>
      <w:r>
        <w:t>Table 13</w:t>
      </w:r>
      <w:r>
        <w:rPr>
          <w:rFonts w:ascii="Times New Roman" w:hAnsi="Times New Roman"/>
          <w:szCs w:val="24"/>
        </w:rPr>
        <w:tab/>
      </w:r>
      <w:r>
        <w:t>Characteristics and appraisal of systematic reviews and HTAs of LBC.</w:t>
      </w:r>
      <w:r>
        <w:tab/>
      </w:r>
      <w:r>
        <w:fldChar w:fldCharType="begin"/>
      </w:r>
      <w:r>
        <w:instrText xml:space="preserve"> PAGEREF _Toc95971249 \h </w:instrText>
      </w:r>
      <w:r>
        <w:fldChar w:fldCharType="separate"/>
      </w:r>
      <w:r w:rsidR="007D3DFF">
        <w:t>28</w:t>
      </w:r>
      <w:r>
        <w:fldChar w:fldCharType="end"/>
      </w:r>
    </w:p>
    <w:p w:rsidR="00234376" w:rsidRDefault="00234376">
      <w:pPr>
        <w:pStyle w:val="TableofFigures"/>
        <w:tabs>
          <w:tab w:val="left" w:pos="1767"/>
        </w:tabs>
        <w:rPr>
          <w:rFonts w:ascii="Times New Roman" w:hAnsi="Times New Roman"/>
          <w:szCs w:val="24"/>
        </w:rPr>
      </w:pPr>
      <w:r>
        <w:t>Table 14</w:t>
      </w:r>
      <w:r>
        <w:rPr>
          <w:rFonts w:ascii="Times New Roman" w:hAnsi="Times New Roman"/>
          <w:szCs w:val="24"/>
        </w:rPr>
        <w:tab/>
      </w:r>
      <w:r>
        <w:t xml:space="preserve">Estimates of the relative accuracy of LBC versus </w:t>
      </w:r>
      <w:r w:rsidRPr="008B6FDB">
        <w:rPr>
          <w:rFonts w:cs="Arial"/>
        </w:rPr>
        <w:t>CC</w:t>
      </w:r>
      <w:r>
        <w:t xml:space="preserve"> for CIN 2+ from Arbyn et al. (2008).</w:t>
      </w:r>
      <w:r>
        <w:tab/>
      </w:r>
      <w:r>
        <w:fldChar w:fldCharType="begin"/>
      </w:r>
      <w:r>
        <w:instrText xml:space="preserve"> PAGEREF _Toc95971250 \h </w:instrText>
      </w:r>
      <w:r>
        <w:fldChar w:fldCharType="separate"/>
      </w:r>
      <w:r w:rsidR="007D3DFF">
        <w:t>30</w:t>
      </w:r>
      <w:r>
        <w:fldChar w:fldCharType="end"/>
      </w:r>
    </w:p>
    <w:p w:rsidR="00234376" w:rsidRDefault="00234376">
      <w:pPr>
        <w:pStyle w:val="TableofFigures"/>
        <w:tabs>
          <w:tab w:val="left" w:pos="1767"/>
        </w:tabs>
        <w:rPr>
          <w:rFonts w:ascii="Times New Roman" w:hAnsi="Times New Roman"/>
          <w:szCs w:val="24"/>
        </w:rPr>
      </w:pPr>
      <w:r>
        <w:t>Table 15</w:t>
      </w:r>
      <w:r>
        <w:rPr>
          <w:rFonts w:ascii="Times New Roman" w:hAnsi="Times New Roman"/>
          <w:szCs w:val="24"/>
        </w:rPr>
        <w:tab/>
      </w:r>
      <w:r>
        <w:t xml:space="preserve">Subgroup analysis of relative accuracy estimates of LBC versus </w:t>
      </w:r>
      <w:r w:rsidRPr="008B6FDB">
        <w:rPr>
          <w:rFonts w:cs="Arial"/>
        </w:rPr>
        <w:t>CC</w:t>
      </w:r>
      <w:r>
        <w:t xml:space="preserve"> for CIN 2+ from Arbyn et al. (2008).</w:t>
      </w:r>
      <w:r>
        <w:tab/>
      </w:r>
      <w:r>
        <w:fldChar w:fldCharType="begin"/>
      </w:r>
      <w:r>
        <w:instrText xml:space="preserve"> PAGEREF _Toc95971251 \h </w:instrText>
      </w:r>
      <w:r>
        <w:fldChar w:fldCharType="separate"/>
      </w:r>
      <w:r w:rsidR="007D3DFF">
        <w:t>31</w:t>
      </w:r>
      <w:r>
        <w:fldChar w:fldCharType="end"/>
      </w:r>
    </w:p>
    <w:p w:rsidR="00234376" w:rsidRDefault="00234376">
      <w:pPr>
        <w:pStyle w:val="TableofFigures"/>
        <w:tabs>
          <w:tab w:val="left" w:pos="1767"/>
        </w:tabs>
        <w:rPr>
          <w:rFonts w:ascii="Times New Roman" w:hAnsi="Times New Roman"/>
          <w:szCs w:val="24"/>
        </w:rPr>
      </w:pPr>
      <w:r>
        <w:t>Table 16</w:t>
      </w:r>
      <w:r>
        <w:rPr>
          <w:rFonts w:ascii="Times New Roman" w:hAnsi="Times New Roman"/>
          <w:szCs w:val="24"/>
        </w:rPr>
        <w:tab/>
      </w:r>
      <w:r>
        <w:t>Characteristics and quality of studies reporting on the relative accuracy of automated slide reading and conventional Pap smear cytology with manual slide reading.</w:t>
      </w:r>
      <w:r>
        <w:tab/>
      </w:r>
      <w:r>
        <w:fldChar w:fldCharType="begin"/>
      </w:r>
      <w:r>
        <w:instrText xml:space="preserve"> PAGEREF _Toc95971252 \h </w:instrText>
      </w:r>
      <w:r>
        <w:fldChar w:fldCharType="separate"/>
      </w:r>
      <w:r w:rsidR="007D3DFF">
        <w:t>38</w:t>
      </w:r>
      <w:r>
        <w:fldChar w:fldCharType="end"/>
      </w:r>
    </w:p>
    <w:p w:rsidR="00234376" w:rsidRDefault="00234376">
      <w:pPr>
        <w:pStyle w:val="TableofFigures"/>
        <w:tabs>
          <w:tab w:val="left" w:pos="1767"/>
        </w:tabs>
        <w:rPr>
          <w:rFonts w:ascii="Times New Roman" w:hAnsi="Times New Roman"/>
          <w:szCs w:val="24"/>
        </w:rPr>
      </w:pPr>
      <w:r>
        <w:t>Table 17</w:t>
      </w:r>
      <w:r>
        <w:rPr>
          <w:rFonts w:ascii="Times New Roman" w:hAnsi="Times New Roman"/>
          <w:szCs w:val="24"/>
        </w:rPr>
        <w:tab/>
      </w:r>
      <w:r>
        <w:t>Estimates of the relative accuracy of automation-assisted versus conventional reading of cervical cytology for CIN 2+.</w:t>
      </w:r>
      <w:r>
        <w:tab/>
      </w:r>
      <w:r>
        <w:fldChar w:fldCharType="begin"/>
      </w:r>
      <w:r>
        <w:instrText xml:space="preserve"> PAGEREF _Toc95971253 \h </w:instrText>
      </w:r>
      <w:r>
        <w:fldChar w:fldCharType="separate"/>
      </w:r>
      <w:r w:rsidR="007D3DFF">
        <w:t>43</w:t>
      </w:r>
      <w:r>
        <w:fldChar w:fldCharType="end"/>
      </w:r>
    </w:p>
    <w:p w:rsidR="00234376" w:rsidRDefault="00234376">
      <w:pPr>
        <w:pStyle w:val="TableofFigures"/>
        <w:tabs>
          <w:tab w:val="left" w:pos="1767"/>
        </w:tabs>
        <w:rPr>
          <w:rFonts w:ascii="Times New Roman" w:hAnsi="Times New Roman"/>
          <w:szCs w:val="24"/>
        </w:rPr>
      </w:pPr>
      <w:r>
        <w:t>Table 18</w:t>
      </w:r>
      <w:r>
        <w:rPr>
          <w:rFonts w:ascii="Times New Roman" w:hAnsi="Times New Roman"/>
          <w:szCs w:val="24"/>
        </w:rPr>
        <w:tab/>
      </w:r>
      <w:r>
        <w:t>Estimates of the relative accuracy of automation-assisted versus conventional reading of glandular cervical cytology for AIS+.</w:t>
      </w:r>
      <w:r>
        <w:tab/>
      </w:r>
      <w:r>
        <w:fldChar w:fldCharType="begin"/>
      </w:r>
      <w:r>
        <w:instrText xml:space="preserve"> PAGEREF _Toc95971254 \h </w:instrText>
      </w:r>
      <w:r>
        <w:fldChar w:fldCharType="separate"/>
      </w:r>
      <w:r w:rsidR="007D3DFF">
        <w:t>44</w:t>
      </w:r>
      <w:r>
        <w:fldChar w:fldCharType="end"/>
      </w:r>
    </w:p>
    <w:p w:rsidR="00234376" w:rsidRDefault="00234376">
      <w:pPr>
        <w:pStyle w:val="TableofFigures"/>
        <w:tabs>
          <w:tab w:val="left" w:pos="1767"/>
        </w:tabs>
        <w:rPr>
          <w:rFonts w:ascii="Times New Roman" w:hAnsi="Times New Roman"/>
          <w:szCs w:val="24"/>
        </w:rPr>
      </w:pPr>
      <w:r>
        <w:t>Table 19</w:t>
      </w:r>
      <w:r>
        <w:rPr>
          <w:rFonts w:ascii="Times New Roman" w:hAnsi="Times New Roman"/>
          <w:szCs w:val="24"/>
        </w:rPr>
        <w:tab/>
      </w:r>
      <w:r>
        <w:t xml:space="preserve">Slide classifications of automation-assisted reading of LBC versus manual reading of </w:t>
      </w:r>
      <w:r w:rsidRPr="008B6FDB">
        <w:rPr>
          <w:rFonts w:cs="Arial"/>
        </w:rPr>
        <w:t>CC</w:t>
      </w:r>
      <w:r>
        <w:t xml:space="preserve"> slides.</w:t>
      </w:r>
      <w:r>
        <w:tab/>
      </w:r>
      <w:r>
        <w:fldChar w:fldCharType="begin"/>
      </w:r>
      <w:r>
        <w:instrText xml:space="preserve"> PAGEREF _Toc95971255 \h </w:instrText>
      </w:r>
      <w:r>
        <w:fldChar w:fldCharType="separate"/>
      </w:r>
      <w:r w:rsidR="007D3DFF">
        <w:t>46</w:t>
      </w:r>
      <w:r>
        <w:fldChar w:fldCharType="end"/>
      </w:r>
    </w:p>
    <w:p w:rsidR="00234376" w:rsidRDefault="00234376">
      <w:pPr>
        <w:pStyle w:val="TableofFigures"/>
        <w:tabs>
          <w:tab w:val="left" w:pos="1767"/>
        </w:tabs>
        <w:rPr>
          <w:rFonts w:ascii="Times New Roman" w:hAnsi="Times New Roman"/>
          <w:szCs w:val="24"/>
        </w:rPr>
      </w:pPr>
      <w:r>
        <w:t>Table 20</w:t>
      </w:r>
      <w:r>
        <w:rPr>
          <w:rFonts w:ascii="Times New Roman" w:hAnsi="Times New Roman"/>
          <w:szCs w:val="24"/>
        </w:rPr>
        <w:tab/>
      </w:r>
      <w:r>
        <w:t xml:space="preserve">Yield of automation-assisted reading of LBC versus manual reading of </w:t>
      </w:r>
      <w:r w:rsidRPr="008B6FDB">
        <w:rPr>
          <w:rFonts w:cs="Arial"/>
        </w:rPr>
        <w:t>CC</w:t>
      </w:r>
      <w:r>
        <w:t xml:space="preserve"> (Davey et al. 2007).</w:t>
      </w:r>
      <w:r>
        <w:tab/>
      </w:r>
      <w:r>
        <w:fldChar w:fldCharType="begin"/>
      </w:r>
      <w:r>
        <w:instrText xml:space="preserve"> PAGEREF _Toc95971256 \h </w:instrText>
      </w:r>
      <w:r>
        <w:fldChar w:fldCharType="separate"/>
      </w:r>
      <w:r w:rsidR="007D3DFF">
        <w:t>46</w:t>
      </w:r>
      <w:r>
        <w:fldChar w:fldCharType="end"/>
      </w:r>
    </w:p>
    <w:p w:rsidR="00234376" w:rsidRDefault="00234376">
      <w:pPr>
        <w:pStyle w:val="TableofFigures"/>
        <w:tabs>
          <w:tab w:val="left" w:pos="1767"/>
        </w:tabs>
        <w:rPr>
          <w:rFonts w:ascii="Times New Roman" w:hAnsi="Times New Roman"/>
          <w:szCs w:val="24"/>
        </w:rPr>
      </w:pPr>
      <w:r>
        <w:t>Table 21</w:t>
      </w:r>
      <w:r>
        <w:rPr>
          <w:rFonts w:ascii="Times New Roman" w:hAnsi="Times New Roman"/>
          <w:szCs w:val="24"/>
        </w:rPr>
        <w:tab/>
      </w:r>
      <w:r>
        <w:t>Reading times of automation-assisted versus conventional reading of cervical cytology.</w:t>
      </w:r>
      <w:r>
        <w:tab/>
      </w:r>
      <w:r>
        <w:fldChar w:fldCharType="begin"/>
      </w:r>
      <w:r>
        <w:instrText xml:space="preserve"> PAGEREF _Toc95971257 \h </w:instrText>
      </w:r>
      <w:r>
        <w:fldChar w:fldCharType="separate"/>
      </w:r>
      <w:r w:rsidR="007D3DFF">
        <w:t>47</w:t>
      </w:r>
      <w:r>
        <w:fldChar w:fldCharType="end"/>
      </w:r>
    </w:p>
    <w:p w:rsidR="00234376" w:rsidRDefault="00234376">
      <w:pPr>
        <w:pStyle w:val="TableofFigures"/>
        <w:tabs>
          <w:tab w:val="left" w:pos="1767"/>
        </w:tabs>
        <w:rPr>
          <w:rFonts w:ascii="Times New Roman" w:hAnsi="Times New Roman"/>
          <w:szCs w:val="24"/>
        </w:rPr>
      </w:pPr>
      <w:r>
        <w:t>Table 22</w:t>
      </w:r>
      <w:r>
        <w:rPr>
          <w:rFonts w:ascii="Times New Roman" w:hAnsi="Times New Roman"/>
          <w:szCs w:val="24"/>
        </w:rPr>
        <w:tab/>
      </w:r>
      <w:r>
        <w:t>Characteristics and quality of studies reporting on the relative accuracy of manual and automated reading of LBC slides.</w:t>
      </w:r>
      <w:r>
        <w:tab/>
      </w:r>
      <w:r>
        <w:fldChar w:fldCharType="begin"/>
      </w:r>
      <w:r>
        <w:instrText xml:space="preserve"> PAGEREF _Toc95971258 \h </w:instrText>
      </w:r>
      <w:r>
        <w:fldChar w:fldCharType="separate"/>
      </w:r>
      <w:r w:rsidR="007D3DFF">
        <w:t>51</w:t>
      </w:r>
      <w:r>
        <w:fldChar w:fldCharType="end"/>
      </w:r>
    </w:p>
    <w:p w:rsidR="00234376" w:rsidRDefault="00234376">
      <w:pPr>
        <w:pStyle w:val="TableofFigures"/>
        <w:tabs>
          <w:tab w:val="left" w:pos="1767"/>
        </w:tabs>
        <w:rPr>
          <w:rFonts w:ascii="Times New Roman" w:hAnsi="Times New Roman"/>
          <w:szCs w:val="24"/>
        </w:rPr>
      </w:pPr>
      <w:r>
        <w:lastRenderedPageBreak/>
        <w:t>Table 23</w:t>
      </w:r>
      <w:r>
        <w:rPr>
          <w:rFonts w:ascii="Times New Roman" w:hAnsi="Times New Roman"/>
          <w:szCs w:val="24"/>
        </w:rPr>
        <w:tab/>
      </w:r>
      <w:r>
        <w:t>Estimates of the relative TP and FP rates of ThinPrep Imager–assisted versus manual reading of LBC for CIN 2+.</w:t>
      </w:r>
      <w:r>
        <w:tab/>
      </w:r>
      <w:r>
        <w:fldChar w:fldCharType="begin"/>
      </w:r>
      <w:r>
        <w:instrText xml:space="preserve"> PAGEREF _Toc95971259 \h </w:instrText>
      </w:r>
      <w:r>
        <w:fldChar w:fldCharType="separate"/>
      </w:r>
      <w:r w:rsidR="007D3DFF">
        <w:t>55</w:t>
      </w:r>
      <w:r>
        <w:fldChar w:fldCharType="end"/>
      </w:r>
    </w:p>
    <w:p w:rsidR="00234376" w:rsidRDefault="00234376">
      <w:pPr>
        <w:pStyle w:val="TableofFigures"/>
        <w:tabs>
          <w:tab w:val="left" w:pos="1767"/>
        </w:tabs>
        <w:rPr>
          <w:rFonts w:ascii="Times New Roman" w:hAnsi="Times New Roman"/>
          <w:szCs w:val="24"/>
        </w:rPr>
      </w:pPr>
      <w:r>
        <w:t>Table 24</w:t>
      </w:r>
      <w:r>
        <w:rPr>
          <w:rFonts w:ascii="Times New Roman" w:hAnsi="Times New Roman"/>
          <w:szCs w:val="24"/>
        </w:rPr>
        <w:tab/>
      </w:r>
      <w:r>
        <w:t>Estimates of the relative accuracy of manual versus ThinPrep Imager-assisted reading of LBC for HSIL/CIN 2+.</w:t>
      </w:r>
      <w:r>
        <w:tab/>
      </w:r>
      <w:r>
        <w:fldChar w:fldCharType="begin"/>
      </w:r>
      <w:r>
        <w:instrText xml:space="preserve"> PAGEREF _Toc95971260 \h </w:instrText>
      </w:r>
      <w:r>
        <w:fldChar w:fldCharType="separate"/>
      </w:r>
      <w:r w:rsidR="007D3DFF">
        <w:t>56</w:t>
      </w:r>
      <w:r>
        <w:fldChar w:fldCharType="end"/>
      </w:r>
    </w:p>
    <w:p w:rsidR="00234376" w:rsidRDefault="00234376">
      <w:pPr>
        <w:pStyle w:val="TableofFigures"/>
        <w:tabs>
          <w:tab w:val="left" w:pos="1767"/>
        </w:tabs>
        <w:rPr>
          <w:rFonts w:ascii="Times New Roman" w:hAnsi="Times New Roman"/>
          <w:szCs w:val="24"/>
        </w:rPr>
      </w:pPr>
      <w:r>
        <w:t>Table 25</w:t>
      </w:r>
      <w:r>
        <w:rPr>
          <w:rFonts w:ascii="Times New Roman" w:hAnsi="Times New Roman"/>
          <w:szCs w:val="24"/>
        </w:rPr>
        <w:tab/>
      </w:r>
      <w:r>
        <w:t>Process outcomes of automation-assisted versus manual reading of cervical LBC samples.</w:t>
      </w:r>
      <w:r>
        <w:tab/>
      </w:r>
      <w:r>
        <w:fldChar w:fldCharType="begin"/>
      </w:r>
      <w:r>
        <w:instrText xml:space="preserve"> PAGEREF _Toc95971261 \h </w:instrText>
      </w:r>
      <w:r>
        <w:fldChar w:fldCharType="separate"/>
      </w:r>
      <w:r w:rsidR="007D3DFF">
        <w:t>57</w:t>
      </w:r>
      <w:r>
        <w:fldChar w:fldCharType="end"/>
      </w:r>
    </w:p>
    <w:p w:rsidR="00234376" w:rsidRDefault="00234376">
      <w:pPr>
        <w:pStyle w:val="TableofFigures"/>
        <w:tabs>
          <w:tab w:val="left" w:pos="1767"/>
        </w:tabs>
        <w:rPr>
          <w:rFonts w:ascii="Times New Roman" w:hAnsi="Times New Roman"/>
          <w:szCs w:val="24"/>
        </w:rPr>
      </w:pPr>
      <w:r>
        <w:t>Table 26</w:t>
      </w:r>
      <w:r>
        <w:rPr>
          <w:rFonts w:ascii="Times New Roman" w:hAnsi="Times New Roman"/>
          <w:szCs w:val="24"/>
        </w:rPr>
        <w:tab/>
      </w:r>
      <w:r>
        <w:t>Process outcomes of LBC, automation-assisted reading of LBC and manual reading of conventional cervical cytology (Roberts et al. 2007).</w:t>
      </w:r>
      <w:r>
        <w:tab/>
      </w:r>
      <w:r>
        <w:fldChar w:fldCharType="begin"/>
      </w:r>
      <w:r>
        <w:instrText xml:space="preserve"> PAGEREF _Toc95971262 \h </w:instrText>
      </w:r>
      <w:r>
        <w:fldChar w:fldCharType="separate"/>
      </w:r>
      <w:r w:rsidR="007D3DFF">
        <w:t>59</w:t>
      </w:r>
      <w:r>
        <w:fldChar w:fldCharType="end"/>
      </w:r>
    </w:p>
    <w:p w:rsidR="00234376" w:rsidRDefault="00234376">
      <w:pPr>
        <w:pStyle w:val="TableofFigures"/>
        <w:tabs>
          <w:tab w:val="left" w:pos="1767"/>
        </w:tabs>
        <w:rPr>
          <w:rFonts w:ascii="Times New Roman" w:hAnsi="Times New Roman"/>
          <w:szCs w:val="24"/>
        </w:rPr>
      </w:pPr>
      <w:r>
        <w:t>Table 27</w:t>
      </w:r>
      <w:r>
        <w:rPr>
          <w:rFonts w:ascii="Times New Roman" w:hAnsi="Times New Roman"/>
          <w:szCs w:val="24"/>
        </w:rPr>
        <w:tab/>
      </w:r>
      <w:r>
        <w:t xml:space="preserve">Direct comparison of the relative accuracy of LBC, automation-assisted reading of LBC and manual reading of conventional cervical cytology for CIN 2+ in </w:t>
      </w:r>
      <w:r w:rsidRPr="008B6FDB">
        <w:rPr>
          <w:i/>
        </w:rPr>
        <w:t>N</w:t>
      </w:r>
      <w:r>
        <w:t xml:space="preserve"> = 11 416 routine samples (Roberts et al. 2007).</w:t>
      </w:r>
      <w:r>
        <w:tab/>
      </w:r>
      <w:r>
        <w:fldChar w:fldCharType="begin"/>
      </w:r>
      <w:r>
        <w:instrText xml:space="preserve"> PAGEREF _Toc95971263 \h </w:instrText>
      </w:r>
      <w:r>
        <w:fldChar w:fldCharType="separate"/>
      </w:r>
      <w:r w:rsidR="007D3DFF">
        <w:t>60</w:t>
      </w:r>
      <w:r>
        <w:fldChar w:fldCharType="end"/>
      </w:r>
    </w:p>
    <w:p w:rsidR="00234376" w:rsidRDefault="00234376">
      <w:pPr>
        <w:pStyle w:val="TableofFigures"/>
        <w:tabs>
          <w:tab w:val="left" w:pos="1767"/>
        </w:tabs>
        <w:rPr>
          <w:rFonts w:ascii="Times New Roman" w:hAnsi="Times New Roman"/>
          <w:szCs w:val="24"/>
        </w:rPr>
      </w:pPr>
      <w:r>
        <w:t>Table 28</w:t>
      </w:r>
      <w:r>
        <w:rPr>
          <w:rFonts w:ascii="Times New Roman" w:hAnsi="Times New Roman"/>
          <w:szCs w:val="24"/>
        </w:rPr>
        <w:tab/>
      </w:r>
      <w:r>
        <w:t>Implied sensitivity and specificity of conventional cytology for CIN 2+, based on the baseline test probability matrix.</w:t>
      </w:r>
      <w:r>
        <w:tab/>
      </w:r>
      <w:r>
        <w:fldChar w:fldCharType="begin"/>
      </w:r>
      <w:r>
        <w:instrText xml:space="preserve"> PAGEREF _Toc95971264 \h </w:instrText>
      </w:r>
      <w:r>
        <w:fldChar w:fldCharType="separate"/>
      </w:r>
      <w:r w:rsidR="007D3DFF">
        <w:t>69</w:t>
      </w:r>
      <w:r>
        <w:fldChar w:fldCharType="end"/>
      </w:r>
    </w:p>
    <w:p w:rsidR="00234376" w:rsidRDefault="00234376">
      <w:pPr>
        <w:pStyle w:val="TableofFigures"/>
        <w:tabs>
          <w:tab w:val="left" w:pos="1767"/>
        </w:tabs>
        <w:rPr>
          <w:rFonts w:ascii="Times New Roman" w:hAnsi="Times New Roman"/>
          <w:szCs w:val="24"/>
        </w:rPr>
      </w:pPr>
      <w:r>
        <w:t>Table 29</w:t>
      </w:r>
      <w:r>
        <w:rPr>
          <w:rFonts w:ascii="Times New Roman" w:hAnsi="Times New Roman"/>
          <w:szCs w:val="24"/>
        </w:rPr>
        <w:tab/>
      </w:r>
      <w:r>
        <w:t>Implied sensitivity and specificity of manual and automated LBC for CIN 2+, relative to conventional cytology (test threshold of possible pLSIL).</w:t>
      </w:r>
      <w:r>
        <w:tab/>
      </w:r>
      <w:r>
        <w:fldChar w:fldCharType="begin"/>
      </w:r>
      <w:r>
        <w:instrText xml:space="preserve"> PAGEREF _Toc95971265 \h </w:instrText>
      </w:r>
      <w:r>
        <w:fldChar w:fldCharType="separate"/>
      </w:r>
      <w:r w:rsidR="007D3DFF">
        <w:t>69</w:t>
      </w:r>
      <w:r>
        <w:fldChar w:fldCharType="end"/>
      </w:r>
    </w:p>
    <w:p w:rsidR="00234376" w:rsidRDefault="00234376">
      <w:pPr>
        <w:pStyle w:val="TableofFigures"/>
        <w:tabs>
          <w:tab w:val="left" w:pos="1767"/>
        </w:tabs>
        <w:rPr>
          <w:rFonts w:ascii="Times New Roman" w:hAnsi="Times New Roman"/>
          <w:szCs w:val="24"/>
        </w:rPr>
      </w:pPr>
      <w:r>
        <w:t>Table 30</w:t>
      </w:r>
      <w:r>
        <w:rPr>
          <w:rFonts w:ascii="Times New Roman" w:hAnsi="Times New Roman"/>
          <w:szCs w:val="24"/>
        </w:rPr>
        <w:tab/>
      </w:r>
      <w:r>
        <w:t>Model values for rates of unsatisfactory cytology, by test technology.</w:t>
      </w:r>
      <w:r>
        <w:tab/>
      </w:r>
      <w:r>
        <w:fldChar w:fldCharType="begin"/>
      </w:r>
      <w:r>
        <w:instrText xml:space="preserve"> PAGEREF _Toc95971266 \h </w:instrText>
      </w:r>
      <w:r>
        <w:fldChar w:fldCharType="separate"/>
      </w:r>
      <w:r w:rsidR="007D3DFF">
        <w:t>70</w:t>
      </w:r>
      <w:r>
        <w:fldChar w:fldCharType="end"/>
      </w:r>
    </w:p>
    <w:p w:rsidR="00234376" w:rsidRDefault="00234376">
      <w:pPr>
        <w:pStyle w:val="TableofFigures"/>
        <w:tabs>
          <w:tab w:val="left" w:pos="1767"/>
        </w:tabs>
        <w:rPr>
          <w:rFonts w:ascii="Times New Roman" w:hAnsi="Times New Roman"/>
          <w:szCs w:val="24"/>
        </w:rPr>
      </w:pPr>
      <w:r>
        <w:t>Table 31</w:t>
      </w:r>
      <w:r>
        <w:rPr>
          <w:rFonts w:ascii="Times New Roman" w:hAnsi="Times New Roman"/>
          <w:szCs w:val="24"/>
        </w:rPr>
        <w:tab/>
      </w:r>
      <w:r>
        <w:t>Modelled test characteristics of Hybrid Capture II HPV test (based on international data).</w:t>
      </w:r>
      <w:r>
        <w:tab/>
      </w:r>
      <w:r>
        <w:fldChar w:fldCharType="begin"/>
      </w:r>
      <w:r>
        <w:instrText xml:space="preserve"> PAGEREF _Toc95971267 \h </w:instrText>
      </w:r>
      <w:r>
        <w:fldChar w:fldCharType="separate"/>
      </w:r>
      <w:r w:rsidR="007D3DFF">
        <w:t>70</w:t>
      </w:r>
      <w:r>
        <w:fldChar w:fldCharType="end"/>
      </w:r>
    </w:p>
    <w:p w:rsidR="00234376" w:rsidRDefault="00234376">
      <w:pPr>
        <w:pStyle w:val="TableofFigures"/>
        <w:tabs>
          <w:tab w:val="left" w:pos="1767"/>
        </w:tabs>
        <w:rPr>
          <w:rFonts w:ascii="Times New Roman" w:hAnsi="Times New Roman"/>
          <w:szCs w:val="24"/>
        </w:rPr>
      </w:pPr>
      <w:r>
        <w:t>Table 32</w:t>
      </w:r>
      <w:r>
        <w:rPr>
          <w:rFonts w:ascii="Times New Roman" w:hAnsi="Times New Roman"/>
          <w:szCs w:val="24"/>
        </w:rPr>
        <w:tab/>
      </w:r>
      <w:r>
        <w:t>Cost items used in the modelled economic evaluation.</w:t>
      </w:r>
      <w:r>
        <w:tab/>
      </w:r>
      <w:r>
        <w:fldChar w:fldCharType="begin"/>
      </w:r>
      <w:r>
        <w:instrText xml:space="preserve"> PAGEREF _Toc95971268 \h </w:instrText>
      </w:r>
      <w:r>
        <w:fldChar w:fldCharType="separate"/>
      </w:r>
      <w:r w:rsidR="007D3DFF">
        <w:t>72</w:t>
      </w:r>
      <w:r>
        <w:fldChar w:fldCharType="end"/>
      </w:r>
    </w:p>
    <w:p w:rsidR="00234376" w:rsidRDefault="00234376">
      <w:pPr>
        <w:pStyle w:val="TableofFigures"/>
        <w:tabs>
          <w:tab w:val="left" w:pos="1767"/>
        </w:tabs>
        <w:rPr>
          <w:rFonts w:ascii="Times New Roman" w:hAnsi="Times New Roman"/>
          <w:szCs w:val="24"/>
        </w:rPr>
      </w:pPr>
      <w:r>
        <w:t>Table 33</w:t>
      </w:r>
      <w:r>
        <w:rPr>
          <w:rFonts w:ascii="Times New Roman" w:hAnsi="Times New Roman"/>
          <w:szCs w:val="24"/>
        </w:rPr>
        <w:tab/>
      </w:r>
      <w:r>
        <w:t>Average costs of medical consultation (Medicare Australia 2007).</w:t>
      </w:r>
      <w:r>
        <w:tab/>
      </w:r>
      <w:r>
        <w:fldChar w:fldCharType="begin"/>
      </w:r>
      <w:r>
        <w:instrText xml:space="preserve"> PAGEREF _Toc95971269 \h </w:instrText>
      </w:r>
      <w:r>
        <w:fldChar w:fldCharType="separate"/>
      </w:r>
      <w:r w:rsidR="007D3DFF">
        <w:t>73</w:t>
      </w:r>
      <w:r>
        <w:fldChar w:fldCharType="end"/>
      </w:r>
    </w:p>
    <w:p w:rsidR="00234376" w:rsidRDefault="00234376">
      <w:pPr>
        <w:pStyle w:val="TableofFigures"/>
        <w:tabs>
          <w:tab w:val="left" w:pos="1767"/>
        </w:tabs>
        <w:rPr>
          <w:rFonts w:ascii="Times New Roman" w:hAnsi="Times New Roman"/>
          <w:szCs w:val="24"/>
        </w:rPr>
      </w:pPr>
      <w:r>
        <w:t>Table 34</w:t>
      </w:r>
      <w:r>
        <w:rPr>
          <w:rFonts w:ascii="Times New Roman" w:hAnsi="Times New Roman"/>
          <w:szCs w:val="24"/>
        </w:rPr>
        <w:tab/>
      </w:r>
      <w:r>
        <w:t>Problems managed per GP encounter—single-service weighting (AIHW (2008)—General practice activity in Australia 2006–07 (Table 7.1)).</w:t>
      </w:r>
      <w:r>
        <w:tab/>
      </w:r>
      <w:r>
        <w:fldChar w:fldCharType="begin"/>
      </w:r>
      <w:r>
        <w:instrText xml:space="preserve"> PAGEREF _Toc95971270 \h </w:instrText>
      </w:r>
      <w:r>
        <w:fldChar w:fldCharType="separate"/>
      </w:r>
      <w:r w:rsidR="007D3DFF">
        <w:t>73</w:t>
      </w:r>
      <w:r>
        <w:fldChar w:fldCharType="end"/>
      </w:r>
    </w:p>
    <w:p w:rsidR="00234376" w:rsidRDefault="00234376">
      <w:pPr>
        <w:pStyle w:val="TableofFigures"/>
        <w:tabs>
          <w:tab w:val="left" w:pos="1767"/>
        </w:tabs>
        <w:rPr>
          <w:rFonts w:ascii="Times New Roman" w:hAnsi="Times New Roman"/>
          <w:szCs w:val="24"/>
        </w:rPr>
      </w:pPr>
      <w:r>
        <w:t>Table 35</w:t>
      </w:r>
      <w:r>
        <w:rPr>
          <w:rFonts w:ascii="Times New Roman" w:hAnsi="Times New Roman"/>
          <w:szCs w:val="24"/>
        </w:rPr>
        <w:tab/>
      </w:r>
      <w:r>
        <w:t>Cost of screening tests (</w:t>
      </w:r>
      <w:r w:rsidRPr="008B6FDB">
        <w:rPr>
          <w:rFonts w:cs="Arial"/>
        </w:rPr>
        <w:t>CC</w:t>
      </w:r>
      <w:r>
        <w:t>, LBC with manual reading and automated LBC).</w:t>
      </w:r>
      <w:r>
        <w:tab/>
      </w:r>
      <w:r>
        <w:fldChar w:fldCharType="begin"/>
      </w:r>
      <w:r>
        <w:instrText xml:space="preserve"> PAGEREF _Toc95971271 \h </w:instrText>
      </w:r>
      <w:r>
        <w:fldChar w:fldCharType="separate"/>
      </w:r>
      <w:r w:rsidR="007D3DFF">
        <w:t>74</w:t>
      </w:r>
      <w:r>
        <w:fldChar w:fldCharType="end"/>
      </w:r>
    </w:p>
    <w:p w:rsidR="00234376" w:rsidRDefault="00234376">
      <w:pPr>
        <w:pStyle w:val="TableofFigures"/>
        <w:tabs>
          <w:tab w:val="left" w:pos="1767"/>
        </w:tabs>
        <w:rPr>
          <w:rFonts w:ascii="Times New Roman" w:hAnsi="Times New Roman"/>
          <w:szCs w:val="24"/>
        </w:rPr>
      </w:pPr>
      <w:r>
        <w:t>Table 36</w:t>
      </w:r>
      <w:r>
        <w:rPr>
          <w:rFonts w:ascii="Times New Roman" w:hAnsi="Times New Roman"/>
          <w:szCs w:val="24"/>
        </w:rPr>
        <w:tab/>
      </w:r>
      <w:r>
        <w:t>Cost of results or referral consultation.</w:t>
      </w:r>
      <w:r>
        <w:tab/>
      </w:r>
      <w:r>
        <w:fldChar w:fldCharType="begin"/>
      </w:r>
      <w:r>
        <w:instrText xml:space="preserve"> PAGEREF _Toc95971272 \h </w:instrText>
      </w:r>
      <w:r>
        <w:fldChar w:fldCharType="separate"/>
      </w:r>
      <w:r w:rsidR="007D3DFF">
        <w:t>74</w:t>
      </w:r>
      <w:r>
        <w:fldChar w:fldCharType="end"/>
      </w:r>
    </w:p>
    <w:p w:rsidR="00234376" w:rsidRDefault="00234376">
      <w:pPr>
        <w:pStyle w:val="TableofFigures"/>
        <w:tabs>
          <w:tab w:val="left" w:pos="1767"/>
        </w:tabs>
        <w:rPr>
          <w:rFonts w:ascii="Times New Roman" w:hAnsi="Times New Roman"/>
          <w:szCs w:val="24"/>
        </w:rPr>
      </w:pPr>
      <w:r>
        <w:t>Table 37</w:t>
      </w:r>
      <w:r>
        <w:rPr>
          <w:rFonts w:ascii="Times New Roman" w:hAnsi="Times New Roman"/>
          <w:szCs w:val="24"/>
        </w:rPr>
        <w:tab/>
      </w:r>
      <w:r>
        <w:t>Cost of colposcopy, no biopsy.</w:t>
      </w:r>
      <w:r>
        <w:tab/>
      </w:r>
      <w:r>
        <w:fldChar w:fldCharType="begin"/>
      </w:r>
      <w:r>
        <w:instrText xml:space="preserve"> PAGEREF _Toc95971273 \h </w:instrText>
      </w:r>
      <w:r>
        <w:fldChar w:fldCharType="separate"/>
      </w:r>
      <w:r w:rsidR="007D3DFF">
        <w:t>75</w:t>
      </w:r>
      <w:r>
        <w:fldChar w:fldCharType="end"/>
      </w:r>
    </w:p>
    <w:p w:rsidR="00234376" w:rsidRDefault="00234376">
      <w:pPr>
        <w:pStyle w:val="TableofFigures"/>
        <w:tabs>
          <w:tab w:val="left" w:pos="1767"/>
        </w:tabs>
        <w:rPr>
          <w:rFonts w:ascii="Times New Roman" w:hAnsi="Times New Roman"/>
          <w:szCs w:val="24"/>
        </w:rPr>
      </w:pPr>
      <w:r>
        <w:t>Table 38</w:t>
      </w:r>
      <w:r>
        <w:rPr>
          <w:rFonts w:ascii="Times New Roman" w:hAnsi="Times New Roman"/>
          <w:szCs w:val="24"/>
        </w:rPr>
        <w:tab/>
      </w:r>
      <w:r>
        <w:t>Cost of colposcopy, with biopsy.</w:t>
      </w:r>
      <w:r>
        <w:tab/>
      </w:r>
      <w:r>
        <w:fldChar w:fldCharType="begin"/>
      </w:r>
      <w:r>
        <w:instrText xml:space="preserve"> PAGEREF _Toc95971274 \h </w:instrText>
      </w:r>
      <w:r>
        <w:fldChar w:fldCharType="separate"/>
      </w:r>
      <w:r w:rsidR="007D3DFF">
        <w:t>75</w:t>
      </w:r>
      <w:r>
        <w:fldChar w:fldCharType="end"/>
      </w:r>
    </w:p>
    <w:p w:rsidR="00234376" w:rsidRDefault="00234376">
      <w:pPr>
        <w:pStyle w:val="TableofFigures"/>
        <w:tabs>
          <w:tab w:val="left" w:pos="1767"/>
        </w:tabs>
        <w:rPr>
          <w:rFonts w:ascii="Times New Roman" w:hAnsi="Times New Roman"/>
          <w:szCs w:val="24"/>
        </w:rPr>
      </w:pPr>
      <w:r>
        <w:t>Table 39</w:t>
      </w:r>
      <w:r>
        <w:rPr>
          <w:rFonts w:ascii="Times New Roman" w:hAnsi="Times New Roman"/>
          <w:szCs w:val="24"/>
        </w:rPr>
        <w:tab/>
      </w:r>
      <w:r>
        <w:t>Cost of cytology done at colposcopy.</w:t>
      </w:r>
      <w:r>
        <w:tab/>
      </w:r>
      <w:r>
        <w:fldChar w:fldCharType="begin"/>
      </w:r>
      <w:r>
        <w:instrText xml:space="preserve"> PAGEREF _Toc95971275 \h </w:instrText>
      </w:r>
      <w:r>
        <w:fldChar w:fldCharType="separate"/>
      </w:r>
      <w:r w:rsidR="007D3DFF">
        <w:t>76</w:t>
      </w:r>
      <w:r>
        <w:fldChar w:fldCharType="end"/>
      </w:r>
    </w:p>
    <w:p w:rsidR="00234376" w:rsidRDefault="00234376">
      <w:pPr>
        <w:pStyle w:val="TableofFigures"/>
        <w:tabs>
          <w:tab w:val="left" w:pos="1767"/>
        </w:tabs>
        <w:rPr>
          <w:rFonts w:ascii="Times New Roman" w:hAnsi="Times New Roman"/>
          <w:szCs w:val="24"/>
        </w:rPr>
      </w:pPr>
      <w:r>
        <w:t>Table 40</w:t>
      </w:r>
      <w:r>
        <w:rPr>
          <w:rFonts w:ascii="Times New Roman" w:hAnsi="Times New Roman"/>
          <w:szCs w:val="24"/>
        </w:rPr>
        <w:tab/>
      </w:r>
      <w:r>
        <w:t>Cost of treating CIN 2/3.</w:t>
      </w:r>
      <w:r>
        <w:tab/>
      </w:r>
      <w:r>
        <w:fldChar w:fldCharType="begin"/>
      </w:r>
      <w:r>
        <w:instrText xml:space="preserve"> PAGEREF _Toc95971276 \h </w:instrText>
      </w:r>
      <w:r>
        <w:fldChar w:fldCharType="separate"/>
      </w:r>
      <w:r w:rsidR="007D3DFF">
        <w:t>76</w:t>
      </w:r>
      <w:r>
        <w:fldChar w:fldCharType="end"/>
      </w:r>
    </w:p>
    <w:p w:rsidR="00234376" w:rsidRDefault="00234376">
      <w:pPr>
        <w:pStyle w:val="TableofFigures"/>
        <w:tabs>
          <w:tab w:val="left" w:pos="1767"/>
        </w:tabs>
        <w:rPr>
          <w:rFonts w:ascii="Times New Roman" w:hAnsi="Times New Roman"/>
          <w:szCs w:val="24"/>
        </w:rPr>
      </w:pPr>
      <w:r>
        <w:t>Table 41</w:t>
      </w:r>
      <w:r>
        <w:rPr>
          <w:rFonts w:ascii="Times New Roman" w:hAnsi="Times New Roman"/>
          <w:szCs w:val="24"/>
        </w:rPr>
        <w:tab/>
      </w:r>
      <w:r>
        <w:t>Cost of treating CIN 2/3.</w:t>
      </w:r>
      <w:r>
        <w:tab/>
      </w:r>
      <w:r>
        <w:fldChar w:fldCharType="begin"/>
      </w:r>
      <w:r>
        <w:instrText xml:space="preserve"> PAGEREF _Toc95971277 \h </w:instrText>
      </w:r>
      <w:r>
        <w:fldChar w:fldCharType="separate"/>
      </w:r>
      <w:r w:rsidR="007D3DFF">
        <w:t>77</w:t>
      </w:r>
      <w:r>
        <w:fldChar w:fldCharType="end"/>
      </w:r>
    </w:p>
    <w:p w:rsidR="00234376" w:rsidRDefault="00234376">
      <w:pPr>
        <w:pStyle w:val="TableofFigures"/>
        <w:tabs>
          <w:tab w:val="left" w:pos="1767"/>
        </w:tabs>
        <w:rPr>
          <w:rFonts w:ascii="Times New Roman" w:hAnsi="Times New Roman"/>
          <w:szCs w:val="24"/>
        </w:rPr>
      </w:pPr>
      <w:r>
        <w:t>Table 42</w:t>
      </w:r>
      <w:r>
        <w:rPr>
          <w:rFonts w:ascii="Times New Roman" w:hAnsi="Times New Roman"/>
          <w:szCs w:val="24"/>
        </w:rPr>
        <w:tab/>
      </w:r>
      <w:r>
        <w:t>Cost of CIN 2/3 follow-up (</w:t>
      </w:r>
      <w:r w:rsidRPr="008B6FDB">
        <w:rPr>
          <w:rFonts w:cs="Arial"/>
        </w:rPr>
        <w:t>CC</w:t>
      </w:r>
      <w:r>
        <w:t>, LBC with manual reading and automated LBC) (based on 2005 NHMRC guidelines).</w:t>
      </w:r>
      <w:r>
        <w:tab/>
      </w:r>
      <w:r>
        <w:fldChar w:fldCharType="begin"/>
      </w:r>
      <w:r>
        <w:instrText xml:space="preserve"> PAGEREF _Toc95971278 \h </w:instrText>
      </w:r>
      <w:r>
        <w:fldChar w:fldCharType="separate"/>
      </w:r>
      <w:r w:rsidR="007D3DFF">
        <w:t>78</w:t>
      </w:r>
      <w:r>
        <w:fldChar w:fldCharType="end"/>
      </w:r>
    </w:p>
    <w:p w:rsidR="00234376" w:rsidRDefault="00234376">
      <w:pPr>
        <w:pStyle w:val="TableofFigures"/>
        <w:tabs>
          <w:tab w:val="left" w:pos="1767"/>
        </w:tabs>
        <w:rPr>
          <w:rFonts w:ascii="Times New Roman" w:hAnsi="Times New Roman"/>
          <w:szCs w:val="24"/>
        </w:rPr>
      </w:pPr>
      <w:r>
        <w:t>Table 43</w:t>
      </w:r>
      <w:r>
        <w:rPr>
          <w:rFonts w:ascii="Times New Roman" w:hAnsi="Times New Roman"/>
          <w:szCs w:val="24"/>
        </w:rPr>
        <w:tab/>
      </w:r>
      <w:r>
        <w:t>Summary treatment and work-up costs by FIGO stage and disease extent.</w:t>
      </w:r>
      <w:r>
        <w:tab/>
      </w:r>
      <w:r>
        <w:fldChar w:fldCharType="begin"/>
      </w:r>
      <w:r>
        <w:instrText xml:space="preserve"> PAGEREF _Toc95971279 \h </w:instrText>
      </w:r>
      <w:r>
        <w:fldChar w:fldCharType="separate"/>
      </w:r>
      <w:r w:rsidR="007D3DFF">
        <w:t>79</w:t>
      </w:r>
      <w:r>
        <w:fldChar w:fldCharType="end"/>
      </w:r>
    </w:p>
    <w:p w:rsidR="00234376" w:rsidRDefault="00234376">
      <w:pPr>
        <w:pStyle w:val="TableofFigures"/>
        <w:tabs>
          <w:tab w:val="left" w:pos="1767"/>
        </w:tabs>
        <w:rPr>
          <w:rFonts w:ascii="Times New Roman" w:hAnsi="Times New Roman"/>
          <w:szCs w:val="24"/>
        </w:rPr>
      </w:pPr>
      <w:r>
        <w:t>Table 44</w:t>
      </w:r>
      <w:r>
        <w:rPr>
          <w:rFonts w:ascii="Times New Roman" w:hAnsi="Times New Roman"/>
          <w:szCs w:val="24"/>
        </w:rPr>
        <w:tab/>
      </w:r>
      <w:r>
        <w:t>Summary treatment and work-up costs by FIGO stage</w:t>
      </w:r>
      <w:r w:rsidRPr="008B6FDB">
        <w:rPr>
          <w:rFonts w:ascii="Arial Narrow" w:hAnsi="Arial Narrow" w:cs="Arial"/>
          <w:szCs w:val="18"/>
        </w:rPr>
        <w:t>.</w:t>
      </w:r>
      <w:r>
        <w:tab/>
      </w:r>
      <w:r>
        <w:fldChar w:fldCharType="begin"/>
      </w:r>
      <w:r>
        <w:instrText xml:space="preserve"> PAGEREF _Toc95971280 \h </w:instrText>
      </w:r>
      <w:r>
        <w:fldChar w:fldCharType="separate"/>
      </w:r>
      <w:r w:rsidR="007D3DFF">
        <w:t>80</w:t>
      </w:r>
      <w:r>
        <w:fldChar w:fldCharType="end"/>
      </w:r>
    </w:p>
    <w:p w:rsidR="00234376" w:rsidRDefault="00234376">
      <w:pPr>
        <w:pStyle w:val="TableofFigures"/>
        <w:tabs>
          <w:tab w:val="left" w:pos="1767"/>
        </w:tabs>
        <w:rPr>
          <w:rFonts w:ascii="Times New Roman" w:hAnsi="Times New Roman"/>
          <w:szCs w:val="24"/>
        </w:rPr>
      </w:pPr>
      <w:r>
        <w:t>Table 45</w:t>
      </w:r>
      <w:r>
        <w:rPr>
          <w:rFonts w:ascii="Times New Roman" w:hAnsi="Times New Roman"/>
          <w:szCs w:val="24"/>
        </w:rPr>
        <w:tab/>
      </w:r>
      <w:r>
        <w:t>Cost of surgical managements.</w:t>
      </w:r>
      <w:r>
        <w:tab/>
      </w:r>
      <w:r>
        <w:fldChar w:fldCharType="begin"/>
      </w:r>
      <w:r>
        <w:instrText xml:space="preserve"> PAGEREF _Toc95971281 \h </w:instrText>
      </w:r>
      <w:r>
        <w:fldChar w:fldCharType="separate"/>
      </w:r>
      <w:r w:rsidR="007D3DFF">
        <w:t>81</w:t>
      </w:r>
      <w:r>
        <w:fldChar w:fldCharType="end"/>
      </w:r>
    </w:p>
    <w:p w:rsidR="00234376" w:rsidRDefault="00234376">
      <w:pPr>
        <w:pStyle w:val="TableofFigures"/>
        <w:tabs>
          <w:tab w:val="left" w:pos="1767"/>
        </w:tabs>
        <w:rPr>
          <w:rFonts w:ascii="Times New Roman" w:hAnsi="Times New Roman"/>
          <w:szCs w:val="24"/>
        </w:rPr>
      </w:pPr>
      <w:r>
        <w:t>Table 46</w:t>
      </w:r>
      <w:r>
        <w:rPr>
          <w:rFonts w:ascii="Times New Roman" w:hAnsi="Times New Roman"/>
          <w:szCs w:val="24"/>
        </w:rPr>
        <w:tab/>
      </w:r>
      <w:r>
        <w:t>Cost of non-surgical managements.</w:t>
      </w:r>
      <w:r>
        <w:tab/>
      </w:r>
      <w:r>
        <w:fldChar w:fldCharType="begin"/>
      </w:r>
      <w:r>
        <w:instrText xml:space="preserve"> PAGEREF _Toc95971282 \h </w:instrText>
      </w:r>
      <w:r>
        <w:fldChar w:fldCharType="separate"/>
      </w:r>
      <w:r w:rsidR="007D3DFF">
        <w:t>81</w:t>
      </w:r>
      <w:r>
        <w:fldChar w:fldCharType="end"/>
      </w:r>
    </w:p>
    <w:p w:rsidR="00234376" w:rsidRDefault="00234376">
      <w:pPr>
        <w:pStyle w:val="TableofFigures"/>
        <w:tabs>
          <w:tab w:val="left" w:pos="1767"/>
        </w:tabs>
        <w:rPr>
          <w:rFonts w:ascii="Times New Roman" w:hAnsi="Times New Roman"/>
          <w:szCs w:val="24"/>
        </w:rPr>
      </w:pPr>
      <w:r>
        <w:lastRenderedPageBreak/>
        <w:t>Table 47</w:t>
      </w:r>
      <w:r>
        <w:rPr>
          <w:rFonts w:ascii="Times New Roman" w:hAnsi="Times New Roman"/>
          <w:szCs w:val="24"/>
        </w:rPr>
        <w:tab/>
      </w:r>
      <w:r>
        <w:t>Unit costs of work-up procedures</w:t>
      </w:r>
      <w:r w:rsidRPr="008B6FDB">
        <w:rPr>
          <w:rFonts w:ascii="Arial Narrow" w:hAnsi="Arial Narrow" w:cs="Arial"/>
          <w:szCs w:val="18"/>
        </w:rPr>
        <w:t>.</w:t>
      </w:r>
      <w:r>
        <w:tab/>
      </w:r>
      <w:r>
        <w:fldChar w:fldCharType="begin"/>
      </w:r>
      <w:r>
        <w:instrText xml:space="preserve"> PAGEREF _Toc95971283 \h </w:instrText>
      </w:r>
      <w:r>
        <w:fldChar w:fldCharType="separate"/>
      </w:r>
      <w:r w:rsidR="007D3DFF">
        <w:t>82</w:t>
      </w:r>
      <w:r>
        <w:fldChar w:fldCharType="end"/>
      </w:r>
    </w:p>
    <w:p w:rsidR="00234376" w:rsidRDefault="00234376">
      <w:pPr>
        <w:pStyle w:val="TableofFigures"/>
        <w:tabs>
          <w:tab w:val="left" w:pos="1767"/>
        </w:tabs>
        <w:rPr>
          <w:rFonts w:ascii="Times New Roman" w:hAnsi="Times New Roman"/>
          <w:szCs w:val="24"/>
        </w:rPr>
      </w:pPr>
      <w:r>
        <w:t>Table 48</w:t>
      </w:r>
      <w:r>
        <w:rPr>
          <w:rFonts w:ascii="Times New Roman" w:hAnsi="Times New Roman"/>
          <w:szCs w:val="24"/>
        </w:rPr>
        <w:tab/>
      </w:r>
      <w:r>
        <w:t>Model prediction versus actual data for detection of histological high disease, and cervical cancer incidence and mortality.*</w:t>
      </w:r>
      <w:r>
        <w:tab/>
      </w:r>
      <w:r>
        <w:fldChar w:fldCharType="begin"/>
      </w:r>
      <w:r>
        <w:instrText xml:space="preserve"> PAGEREF _Toc95971284 \h </w:instrText>
      </w:r>
      <w:r>
        <w:fldChar w:fldCharType="separate"/>
      </w:r>
      <w:r w:rsidR="007D3DFF">
        <w:t>87</w:t>
      </w:r>
      <w:r>
        <w:fldChar w:fldCharType="end"/>
      </w:r>
    </w:p>
    <w:p w:rsidR="00234376" w:rsidRDefault="00234376">
      <w:pPr>
        <w:pStyle w:val="TableofFigures"/>
        <w:tabs>
          <w:tab w:val="left" w:pos="1767"/>
        </w:tabs>
        <w:rPr>
          <w:rFonts w:ascii="Times New Roman" w:hAnsi="Times New Roman"/>
          <w:szCs w:val="24"/>
        </w:rPr>
      </w:pPr>
      <w:r>
        <w:t>Table 49</w:t>
      </w:r>
      <w:r>
        <w:rPr>
          <w:rFonts w:ascii="Times New Roman" w:hAnsi="Times New Roman"/>
          <w:szCs w:val="24"/>
        </w:rPr>
        <w:tab/>
      </w:r>
      <w:r>
        <w:t xml:space="preserve">Predicted and reported sensitivity and specificity of manual LBC, relative to </w:t>
      </w:r>
      <w:r w:rsidRPr="008B6FDB">
        <w:rPr>
          <w:rFonts w:cs="Arial"/>
        </w:rPr>
        <w:t>CC</w:t>
      </w:r>
      <w:r>
        <w:t>, for CIN 2+.</w:t>
      </w:r>
      <w:r>
        <w:tab/>
      </w:r>
      <w:r>
        <w:fldChar w:fldCharType="begin"/>
      </w:r>
      <w:r>
        <w:instrText xml:space="preserve"> PAGEREF _Toc95971285 \h </w:instrText>
      </w:r>
      <w:r>
        <w:fldChar w:fldCharType="separate"/>
      </w:r>
      <w:r w:rsidR="007D3DFF">
        <w:t>88</w:t>
      </w:r>
      <w:r>
        <w:fldChar w:fldCharType="end"/>
      </w:r>
    </w:p>
    <w:p w:rsidR="00234376" w:rsidRDefault="00234376">
      <w:pPr>
        <w:pStyle w:val="TableofFigures"/>
        <w:tabs>
          <w:tab w:val="left" w:pos="1767"/>
        </w:tabs>
        <w:rPr>
          <w:rFonts w:ascii="Times New Roman" w:hAnsi="Times New Roman"/>
          <w:szCs w:val="24"/>
        </w:rPr>
      </w:pPr>
      <w:r>
        <w:t>Table 50</w:t>
      </w:r>
      <w:r>
        <w:rPr>
          <w:rFonts w:ascii="Times New Roman" w:hAnsi="Times New Roman"/>
          <w:szCs w:val="24"/>
        </w:rPr>
        <w:tab/>
      </w:r>
      <w:r>
        <w:t>Predicted and reported additional TPs and FPs from automated LBC (test threshold of possible HSIL, excluding glandular where possible).</w:t>
      </w:r>
      <w:r>
        <w:tab/>
      </w:r>
      <w:r>
        <w:fldChar w:fldCharType="begin"/>
      </w:r>
      <w:r>
        <w:instrText xml:space="preserve"> PAGEREF _Toc95971286 \h </w:instrText>
      </w:r>
      <w:r>
        <w:fldChar w:fldCharType="separate"/>
      </w:r>
      <w:r w:rsidR="007D3DFF">
        <w:t>88</w:t>
      </w:r>
      <w:r>
        <w:fldChar w:fldCharType="end"/>
      </w:r>
    </w:p>
    <w:p w:rsidR="00234376" w:rsidRDefault="00234376">
      <w:pPr>
        <w:pStyle w:val="TableofFigures"/>
        <w:tabs>
          <w:tab w:val="left" w:pos="1767"/>
        </w:tabs>
        <w:rPr>
          <w:rFonts w:ascii="Times New Roman" w:hAnsi="Times New Roman"/>
          <w:szCs w:val="24"/>
        </w:rPr>
      </w:pPr>
      <w:r>
        <w:t>Table 51</w:t>
      </w:r>
      <w:r>
        <w:rPr>
          <w:rFonts w:ascii="Times New Roman" w:hAnsi="Times New Roman"/>
          <w:szCs w:val="24"/>
        </w:rPr>
        <w:tab/>
      </w:r>
      <w:r>
        <w:t>Baseline results of economic evaluation.</w:t>
      </w:r>
      <w:r>
        <w:tab/>
      </w:r>
      <w:r>
        <w:fldChar w:fldCharType="begin"/>
      </w:r>
      <w:r>
        <w:instrText xml:space="preserve"> PAGEREF _Toc95971287 \h </w:instrText>
      </w:r>
      <w:r>
        <w:fldChar w:fldCharType="separate"/>
      </w:r>
      <w:r w:rsidR="007D3DFF">
        <w:t>89</w:t>
      </w:r>
      <w:r>
        <w:fldChar w:fldCharType="end"/>
      </w:r>
    </w:p>
    <w:p w:rsidR="00234376" w:rsidRDefault="00234376">
      <w:pPr>
        <w:pStyle w:val="TableofFigures"/>
        <w:tabs>
          <w:tab w:val="left" w:pos="1767"/>
        </w:tabs>
        <w:rPr>
          <w:rFonts w:ascii="Times New Roman" w:hAnsi="Times New Roman"/>
          <w:szCs w:val="24"/>
        </w:rPr>
      </w:pPr>
      <w:r>
        <w:t>Table 52</w:t>
      </w:r>
      <w:r>
        <w:rPr>
          <w:rFonts w:ascii="Times New Roman" w:hAnsi="Times New Roman"/>
          <w:szCs w:val="24"/>
        </w:rPr>
        <w:tab/>
      </w:r>
      <w:r>
        <w:t>Predicted costs, effects, and incremental cost-effectiveness ratios, by cytology test technology.</w:t>
      </w:r>
      <w:r>
        <w:tab/>
      </w:r>
      <w:r>
        <w:fldChar w:fldCharType="begin"/>
      </w:r>
      <w:r>
        <w:instrText xml:space="preserve"> PAGEREF _Toc95971288 \h </w:instrText>
      </w:r>
      <w:r>
        <w:fldChar w:fldCharType="separate"/>
      </w:r>
      <w:r w:rsidR="007D3DFF">
        <w:t>91</w:t>
      </w:r>
      <w:r>
        <w:fldChar w:fldCharType="end"/>
      </w:r>
    </w:p>
    <w:p w:rsidR="00234376" w:rsidRDefault="00234376">
      <w:pPr>
        <w:pStyle w:val="TableofFigures"/>
        <w:tabs>
          <w:tab w:val="left" w:pos="1767"/>
        </w:tabs>
        <w:rPr>
          <w:rFonts w:ascii="Times New Roman" w:hAnsi="Times New Roman"/>
          <w:szCs w:val="24"/>
        </w:rPr>
      </w:pPr>
      <w:r>
        <w:t>Table 53</w:t>
      </w:r>
      <w:r>
        <w:rPr>
          <w:rFonts w:ascii="Times New Roman" w:hAnsi="Times New Roman"/>
          <w:szCs w:val="24"/>
        </w:rPr>
        <w:tab/>
      </w:r>
      <w:r>
        <w:t>Predicted process outcomes in Australia, by cytology test technology (per annum).</w:t>
      </w:r>
      <w:r>
        <w:tab/>
      </w:r>
      <w:r>
        <w:fldChar w:fldCharType="begin"/>
      </w:r>
      <w:r>
        <w:instrText xml:space="preserve"> PAGEREF _Toc95971289 \h </w:instrText>
      </w:r>
      <w:r>
        <w:fldChar w:fldCharType="separate"/>
      </w:r>
      <w:r w:rsidR="007D3DFF">
        <w:t>91</w:t>
      </w:r>
      <w:r>
        <w:fldChar w:fldCharType="end"/>
      </w:r>
    </w:p>
    <w:p w:rsidR="00234376" w:rsidRDefault="00234376">
      <w:pPr>
        <w:pStyle w:val="TableofFigures"/>
        <w:tabs>
          <w:tab w:val="left" w:pos="1767"/>
        </w:tabs>
        <w:rPr>
          <w:rFonts w:ascii="Times New Roman" w:hAnsi="Times New Roman"/>
          <w:szCs w:val="24"/>
        </w:rPr>
      </w:pPr>
      <w:r>
        <w:t>Table 54</w:t>
      </w:r>
      <w:r>
        <w:rPr>
          <w:rFonts w:ascii="Times New Roman" w:hAnsi="Times New Roman"/>
          <w:szCs w:val="24"/>
        </w:rPr>
        <w:tab/>
      </w:r>
      <w:r>
        <w:t>Predicted health outcomes in Australia, by cytology test technology (per annum).</w:t>
      </w:r>
      <w:r>
        <w:tab/>
      </w:r>
      <w:r>
        <w:fldChar w:fldCharType="begin"/>
      </w:r>
      <w:r>
        <w:instrText xml:space="preserve"> PAGEREF _Toc95971290 \h </w:instrText>
      </w:r>
      <w:r>
        <w:fldChar w:fldCharType="separate"/>
      </w:r>
      <w:r w:rsidR="007D3DFF">
        <w:t>91</w:t>
      </w:r>
      <w:r>
        <w:fldChar w:fldCharType="end"/>
      </w:r>
    </w:p>
    <w:p w:rsidR="00234376" w:rsidRDefault="00234376">
      <w:pPr>
        <w:pStyle w:val="TableofFigures"/>
        <w:tabs>
          <w:tab w:val="left" w:pos="1767"/>
        </w:tabs>
        <w:rPr>
          <w:rFonts w:ascii="Times New Roman" w:hAnsi="Times New Roman"/>
          <w:szCs w:val="24"/>
        </w:rPr>
      </w:pPr>
      <w:r>
        <w:t>Table 55</w:t>
      </w:r>
      <w:r>
        <w:rPr>
          <w:rFonts w:ascii="Times New Roman" w:hAnsi="Times New Roman"/>
          <w:szCs w:val="24"/>
        </w:rPr>
        <w:tab/>
      </w:r>
      <w:r>
        <w:t>Additional interventions required to prevent one incident cancer case and one cancer death.</w:t>
      </w:r>
      <w:r>
        <w:tab/>
      </w:r>
      <w:r>
        <w:fldChar w:fldCharType="begin"/>
      </w:r>
      <w:r>
        <w:instrText xml:space="preserve"> PAGEREF _Toc95971291 \h </w:instrText>
      </w:r>
      <w:r>
        <w:fldChar w:fldCharType="separate"/>
      </w:r>
      <w:r w:rsidR="007D3DFF">
        <w:t>92</w:t>
      </w:r>
      <w:r>
        <w:fldChar w:fldCharType="end"/>
      </w:r>
    </w:p>
    <w:p w:rsidR="00234376" w:rsidRDefault="00234376">
      <w:pPr>
        <w:pStyle w:val="TableofFigures"/>
        <w:tabs>
          <w:tab w:val="left" w:pos="1767"/>
        </w:tabs>
        <w:rPr>
          <w:rFonts w:ascii="Times New Roman" w:hAnsi="Times New Roman"/>
          <w:szCs w:val="24"/>
        </w:rPr>
      </w:pPr>
      <w:r>
        <w:t>Table 56</w:t>
      </w:r>
      <w:r>
        <w:rPr>
          <w:rFonts w:ascii="Times New Roman" w:hAnsi="Times New Roman"/>
          <w:szCs w:val="24"/>
        </w:rPr>
        <w:tab/>
      </w:r>
      <w:r>
        <w:t>Summary of range of parameter values used for sensitivity analysis.</w:t>
      </w:r>
      <w:r>
        <w:tab/>
      </w:r>
      <w:r>
        <w:fldChar w:fldCharType="begin"/>
      </w:r>
      <w:r>
        <w:instrText xml:space="preserve"> PAGEREF _Toc95971292 \h </w:instrText>
      </w:r>
      <w:r>
        <w:fldChar w:fldCharType="separate"/>
      </w:r>
      <w:r w:rsidR="007D3DFF">
        <w:t>94</w:t>
      </w:r>
      <w:r>
        <w:fldChar w:fldCharType="end"/>
      </w:r>
    </w:p>
    <w:p w:rsidR="00234376" w:rsidRDefault="00234376">
      <w:pPr>
        <w:pStyle w:val="TableofFigures"/>
        <w:tabs>
          <w:tab w:val="left" w:pos="1767"/>
        </w:tabs>
        <w:rPr>
          <w:rFonts w:ascii="Times New Roman" w:hAnsi="Times New Roman"/>
          <w:szCs w:val="24"/>
        </w:rPr>
      </w:pPr>
      <w:r>
        <w:t>Table 57</w:t>
      </w:r>
      <w:r>
        <w:rPr>
          <w:rFonts w:ascii="Times New Roman" w:hAnsi="Times New Roman"/>
          <w:szCs w:val="24"/>
        </w:rPr>
        <w:tab/>
      </w:r>
      <w:r>
        <w:t>Financial implications of current and new test technologies—annual use and costs.</w:t>
      </w:r>
      <w:r>
        <w:tab/>
      </w:r>
      <w:r>
        <w:fldChar w:fldCharType="begin"/>
      </w:r>
      <w:r>
        <w:instrText xml:space="preserve"> PAGEREF _Toc95971293 \h </w:instrText>
      </w:r>
      <w:r>
        <w:fldChar w:fldCharType="separate"/>
      </w:r>
      <w:r w:rsidR="007D3DFF">
        <w:t>98</w:t>
      </w:r>
      <w:r>
        <w:fldChar w:fldCharType="end"/>
      </w:r>
    </w:p>
    <w:p w:rsidR="00234376" w:rsidRDefault="00234376">
      <w:pPr>
        <w:pStyle w:val="TableofFigures"/>
        <w:tabs>
          <w:tab w:val="left" w:pos="1767"/>
        </w:tabs>
        <w:rPr>
          <w:rFonts w:ascii="Times New Roman" w:hAnsi="Times New Roman"/>
          <w:szCs w:val="24"/>
        </w:rPr>
      </w:pPr>
      <w:r>
        <w:t>Table 58</w:t>
      </w:r>
      <w:r>
        <w:rPr>
          <w:rFonts w:ascii="Times New Roman" w:hAnsi="Times New Roman"/>
          <w:szCs w:val="24"/>
        </w:rPr>
        <w:tab/>
      </w:r>
      <w:r>
        <w:t>Body-of-evidence matrix for accuracy of ThinPrep Imager vs conventional cytology.</w:t>
      </w:r>
      <w:r>
        <w:tab/>
      </w:r>
      <w:r>
        <w:fldChar w:fldCharType="begin"/>
      </w:r>
      <w:r>
        <w:instrText xml:space="preserve"> PAGEREF _Toc95971294 \h </w:instrText>
      </w:r>
      <w:r>
        <w:fldChar w:fldCharType="separate"/>
      </w:r>
      <w:r w:rsidR="007D3DFF">
        <w:t>102</w:t>
      </w:r>
      <w:r>
        <w:fldChar w:fldCharType="end"/>
      </w:r>
    </w:p>
    <w:p w:rsidR="00234376" w:rsidRDefault="00234376">
      <w:pPr>
        <w:pStyle w:val="TableofFigures"/>
        <w:tabs>
          <w:tab w:val="left" w:pos="1767"/>
        </w:tabs>
        <w:rPr>
          <w:rFonts w:ascii="Times New Roman" w:hAnsi="Times New Roman"/>
          <w:szCs w:val="24"/>
        </w:rPr>
      </w:pPr>
      <w:r>
        <w:t>Table 59</w:t>
      </w:r>
      <w:r>
        <w:rPr>
          <w:rFonts w:ascii="Times New Roman" w:hAnsi="Times New Roman"/>
          <w:szCs w:val="24"/>
        </w:rPr>
        <w:tab/>
      </w:r>
      <w:r>
        <w:t>Electronic databases and websites searched.</w:t>
      </w:r>
      <w:r>
        <w:tab/>
      </w:r>
      <w:r>
        <w:fldChar w:fldCharType="begin"/>
      </w:r>
      <w:r>
        <w:instrText xml:space="preserve"> PAGEREF _Toc95971295 \h </w:instrText>
      </w:r>
      <w:r>
        <w:fldChar w:fldCharType="separate"/>
      </w:r>
      <w:r w:rsidR="007D3DFF">
        <w:t>115</w:t>
      </w:r>
      <w:r>
        <w:fldChar w:fldCharType="end"/>
      </w:r>
    </w:p>
    <w:p w:rsidR="00234376" w:rsidRDefault="00234376">
      <w:pPr>
        <w:pStyle w:val="TableofFigures"/>
        <w:tabs>
          <w:tab w:val="left" w:pos="1767"/>
        </w:tabs>
        <w:rPr>
          <w:rFonts w:ascii="Times New Roman" w:hAnsi="Times New Roman"/>
          <w:szCs w:val="24"/>
        </w:rPr>
      </w:pPr>
      <w:r>
        <w:t>Table 60</w:t>
      </w:r>
      <w:r>
        <w:rPr>
          <w:rFonts w:ascii="Times New Roman" w:hAnsi="Times New Roman"/>
          <w:szCs w:val="24"/>
        </w:rPr>
        <w:tab/>
      </w:r>
      <w:r>
        <w:t>Management recommendations for ‘exception’ cases under the 2005 NHMRC Guidelines—analysis of VCCR data.</w:t>
      </w:r>
      <w:r>
        <w:tab/>
      </w:r>
      <w:r>
        <w:fldChar w:fldCharType="begin"/>
      </w:r>
      <w:r>
        <w:instrText xml:space="preserve"> PAGEREF _Toc95971296 \h </w:instrText>
      </w:r>
      <w:r>
        <w:fldChar w:fldCharType="separate"/>
      </w:r>
      <w:r w:rsidR="007D3DFF">
        <w:t>143</w:t>
      </w:r>
      <w:r>
        <w:fldChar w:fldCharType="end"/>
      </w:r>
    </w:p>
    <w:p w:rsidR="00234376" w:rsidRDefault="00234376">
      <w:pPr>
        <w:pStyle w:val="TableofFigures"/>
        <w:tabs>
          <w:tab w:val="left" w:pos="1767"/>
        </w:tabs>
        <w:rPr>
          <w:rFonts w:ascii="Times New Roman" w:hAnsi="Times New Roman"/>
          <w:szCs w:val="24"/>
        </w:rPr>
      </w:pPr>
      <w:r>
        <w:t>Table 61</w:t>
      </w:r>
      <w:r>
        <w:rPr>
          <w:rFonts w:ascii="Times New Roman" w:hAnsi="Times New Roman"/>
          <w:szCs w:val="24"/>
        </w:rPr>
        <w:tab/>
      </w:r>
      <w:r>
        <w:t>Model values for rates of unsatisfactory cytology, by test technology.</w:t>
      </w:r>
      <w:r>
        <w:tab/>
      </w:r>
      <w:r>
        <w:fldChar w:fldCharType="begin"/>
      </w:r>
      <w:r>
        <w:instrText xml:space="preserve"> PAGEREF _Toc95971297 \h </w:instrText>
      </w:r>
      <w:r>
        <w:fldChar w:fldCharType="separate"/>
      </w:r>
      <w:r w:rsidR="007D3DFF">
        <w:t>145</w:t>
      </w:r>
      <w:r>
        <w:fldChar w:fldCharType="end"/>
      </w:r>
    </w:p>
    <w:p w:rsidR="00234376" w:rsidRDefault="00234376">
      <w:pPr>
        <w:pStyle w:val="TableofFigures"/>
        <w:tabs>
          <w:tab w:val="left" w:pos="1767"/>
        </w:tabs>
        <w:rPr>
          <w:rFonts w:ascii="Times New Roman" w:hAnsi="Times New Roman"/>
          <w:szCs w:val="24"/>
        </w:rPr>
      </w:pPr>
      <w:r>
        <w:t>Table 62</w:t>
      </w:r>
      <w:r>
        <w:rPr>
          <w:rFonts w:ascii="Times New Roman" w:hAnsi="Times New Roman"/>
          <w:szCs w:val="24"/>
        </w:rPr>
        <w:tab/>
      </w:r>
      <w:r>
        <w:t>Modelled test characteristics—colposcopy.</w:t>
      </w:r>
      <w:r>
        <w:tab/>
      </w:r>
      <w:r>
        <w:fldChar w:fldCharType="begin"/>
      </w:r>
      <w:r>
        <w:instrText xml:space="preserve"> PAGEREF _Toc95971298 \h </w:instrText>
      </w:r>
      <w:r>
        <w:fldChar w:fldCharType="separate"/>
      </w:r>
      <w:r w:rsidR="007D3DFF">
        <w:t>146</w:t>
      </w:r>
      <w:r>
        <w:fldChar w:fldCharType="end"/>
      </w:r>
    </w:p>
    <w:p w:rsidR="00234376" w:rsidRDefault="00234376">
      <w:pPr>
        <w:pStyle w:val="TableofFigures"/>
        <w:tabs>
          <w:tab w:val="left" w:pos="1767"/>
        </w:tabs>
        <w:rPr>
          <w:rFonts w:ascii="Times New Roman" w:hAnsi="Times New Roman"/>
          <w:szCs w:val="24"/>
        </w:rPr>
      </w:pPr>
      <w:r>
        <w:t>Table 63</w:t>
      </w:r>
      <w:r>
        <w:rPr>
          <w:rFonts w:ascii="Times New Roman" w:hAnsi="Times New Roman"/>
          <w:szCs w:val="24"/>
        </w:rPr>
        <w:tab/>
      </w:r>
      <w:r>
        <w:t>Probability that colposcopy will be unsatisfactory—modelled values.</w:t>
      </w:r>
      <w:r>
        <w:tab/>
      </w:r>
      <w:r>
        <w:fldChar w:fldCharType="begin"/>
      </w:r>
      <w:r>
        <w:instrText xml:space="preserve"> PAGEREF _Toc95971299 \h </w:instrText>
      </w:r>
      <w:r>
        <w:fldChar w:fldCharType="separate"/>
      </w:r>
      <w:r w:rsidR="007D3DFF">
        <w:t>146</w:t>
      </w:r>
      <w:r>
        <w:fldChar w:fldCharType="end"/>
      </w:r>
    </w:p>
    <w:p w:rsidR="00234376" w:rsidRDefault="00234376">
      <w:pPr>
        <w:pStyle w:val="TableofFigures"/>
        <w:tabs>
          <w:tab w:val="left" w:pos="1767"/>
        </w:tabs>
        <w:rPr>
          <w:rFonts w:ascii="Times New Roman" w:hAnsi="Times New Roman"/>
          <w:szCs w:val="24"/>
        </w:rPr>
      </w:pPr>
      <w:r>
        <w:t>Table 64</w:t>
      </w:r>
      <w:r>
        <w:rPr>
          <w:rFonts w:ascii="Times New Roman" w:hAnsi="Times New Roman"/>
          <w:szCs w:val="24"/>
        </w:rPr>
        <w:tab/>
      </w:r>
      <w:r w:rsidRPr="008B6FDB">
        <w:rPr>
          <w:rFonts w:cs="Arial"/>
        </w:rPr>
        <w:t>Post-treatment HPV status by PCR at 12 months.</w:t>
      </w:r>
      <w:r>
        <w:tab/>
      </w:r>
      <w:r>
        <w:fldChar w:fldCharType="begin"/>
      </w:r>
      <w:r>
        <w:instrText xml:space="preserve"> PAGEREF _Toc95971300 \h </w:instrText>
      </w:r>
      <w:r>
        <w:fldChar w:fldCharType="separate"/>
      </w:r>
      <w:r w:rsidR="007D3DFF">
        <w:t>147</w:t>
      </w:r>
      <w:r>
        <w:fldChar w:fldCharType="end"/>
      </w:r>
    </w:p>
    <w:p w:rsidR="00234376" w:rsidRDefault="00234376">
      <w:pPr>
        <w:pStyle w:val="TableofFigures"/>
        <w:tabs>
          <w:tab w:val="left" w:pos="1767"/>
        </w:tabs>
        <w:rPr>
          <w:rFonts w:ascii="Times New Roman" w:hAnsi="Times New Roman"/>
          <w:szCs w:val="24"/>
        </w:rPr>
      </w:pPr>
      <w:r>
        <w:t>Table 65</w:t>
      </w:r>
      <w:r>
        <w:rPr>
          <w:rFonts w:ascii="Times New Roman" w:hAnsi="Times New Roman"/>
          <w:szCs w:val="24"/>
        </w:rPr>
        <w:tab/>
      </w:r>
      <w:r>
        <w:t>Post-treatment CIN 2/3 detection.</w:t>
      </w:r>
      <w:r>
        <w:tab/>
      </w:r>
      <w:r>
        <w:fldChar w:fldCharType="begin"/>
      </w:r>
      <w:r>
        <w:instrText xml:space="preserve"> PAGEREF _Toc95971301 \h </w:instrText>
      </w:r>
      <w:r>
        <w:fldChar w:fldCharType="separate"/>
      </w:r>
      <w:r w:rsidR="007D3DFF">
        <w:t>147</w:t>
      </w:r>
      <w:r>
        <w:fldChar w:fldCharType="end"/>
      </w:r>
    </w:p>
    <w:p w:rsidR="00234376" w:rsidRDefault="00234376">
      <w:pPr>
        <w:pStyle w:val="TableofFigures"/>
        <w:tabs>
          <w:tab w:val="left" w:pos="1767"/>
        </w:tabs>
        <w:rPr>
          <w:rFonts w:ascii="Times New Roman" w:hAnsi="Times New Roman"/>
          <w:szCs w:val="24"/>
        </w:rPr>
      </w:pPr>
      <w:r>
        <w:t>Table 66</w:t>
      </w:r>
      <w:r>
        <w:rPr>
          <w:rFonts w:ascii="Times New Roman" w:hAnsi="Times New Roman"/>
          <w:szCs w:val="24"/>
        </w:rPr>
        <w:tab/>
      </w:r>
      <w:r w:rsidRPr="008B6FDB">
        <w:rPr>
          <w:rFonts w:cs="Arial"/>
        </w:rPr>
        <w:t>Proportion of detected lesions that are CIN 2 or 3.</w:t>
      </w:r>
      <w:r>
        <w:tab/>
      </w:r>
      <w:r>
        <w:fldChar w:fldCharType="begin"/>
      </w:r>
      <w:r>
        <w:instrText xml:space="preserve"> PAGEREF _Toc95971302 \h </w:instrText>
      </w:r>
      <w:r>
        <w:fldChar w:fldCharType="separate"/>
      </w:r>
      <w:r w:rsidR="007D3DFF">
        <w:t>147</w:t>
      </w:r>
      <w:r>
        <w:fldChar w:fldCharType="end"/>
      </w:r>
    </w:p>
    <w:p w:rsidR="00234376" w:rsidRDefault="00234376">
      <w:pPr>
        <w:pStyle w:val="TableofFigures"/>
        <w:tabs>
          <w:tab w:val="left" w:pos="1767"/>
        </w:tabs>
        <w:rPr>
          <w:rFonts w:ascii="Times New Roman" w:hAnsi="Times New Roman"/>
          <w:szCs w:val="24"/>
        </w:rPr>
      </w:pPr>
      <w:r>
        <w:t>Table 67</w:t>
      </w:r>
      <w:r>
        <w:rPr>
          <w:rFonts w:ascii="Times New Roman" w:hAnsi="Times New Roman"/>
          <w:szCs w:val="24"/>
        </w:rPr>
        <w:tab/>
      </w:r>
      <w:r w:rsidRPr="008B6FDB">
        <w:rPr>
          <w:rFonts w:cs="Arial"/>
        </w:rPr>
        <w:t>Baseline matrix for post-treatment recurrence.</w:t>
      </w:r>
      <w:r>
        <w:tab/>
      </w:r>
      <w:r>
        <w:fldChar w:fldCharType="begin"/>
      </w:r>
      <w:r>
        <w:instrText xml:space="preserve"> PAGEREF _Toc95971303 \h </w:instrText>
      </w:r>
      <w:r>
        <w:fldChar w:fldCharType="separate"/>
      </w:r>
      <w:r w:rsidR="007D3DFF">
        <w:t>148</w:t>
      </w:r>
      <w:r>
        <w:fldChar w:fldCharType="end"/>
      </w:r>
    </w:p>
    <w:p w:rsidR="00234376" w:rsidRDefault="00234376">
      <w:pPr>
        <w:pStyle w:val="TableofFigures"/>
        <w:tabs>
          <w:tab w:val="left" w:pos="1767"/>
        </w:tabs>
        <w:rPr>
          <w:rFonts w:ascii="Times New Roman" w:hAnsi="Times New Roman"/>
          <w:szCs w:val="24"/>
        </w:rPr>
      </w:pPr>
      <w:r>
        <w:t>Table 68</w:t>
      </w:r>
      <w:r>
        <w:rPr>
          <w:rFonts w:ascii="Times New Roman" w:hAnsi="Times New Roman"/>
          <w:szCs w:val="24"/>
        </w:rPr>
        <w:tab/>
      </w:r>
      <w:r w:rsidRPr="008B6FDB">
        <w:rPr>
          <w:rFonts w:cs="Arial"/>
        </w:rPr>
        <w:t>Matrix for post-treatment recurrence (lower estimate for relative risk).</w:t>
      </w:r>
      <w:r>
        <w:tab/>
      </w:r>
      <w:r>
        <w:fldChar w:fldCharType="begin"/>
      </w:r>
      <w:r>
        <w:instrText xml:space="preserve"> PAGEREF _Toc95971304 \h </w:instrText>
      </w:r>
      <w:r>
        <w:fldChar w:fldCharType="separate"/>
      </w:r>
      <w:r w:rsidR="007D3DFF">
        <w:t>148</w:t>
      </w:r>
      <w:r>
        <w:fldChar w:fldCharType="end"/>
      </w:r>
    </w:p>
    <w:p w:rsidR="00234376" w:rsidRDefault="00234376">
      <w:pPr>
        <w:pStyle w:val="TableofFigures"/>
        <w:tabs>
          <w:tab w:val="left" w:pos="1767"/>
        </w:tabs>
        <w:rPr>
          <w:rFonts w:ascii="Times New Roman" w:hAnsi="Times New Roman"/>
          <w:szCs w:val="24"/>
        </w:rPr>
      </w:pPr>
      <w:r>
        <w:t>Table 69</w:t>
      </w:r>
      <w:r>
        <w:rPr>
          <w:rFonts w:ascii="Times New Roman" w:hAnsi="Times New Roman"/>
          <w:szCs w:val="24"/>
        </w:rPr>
        <w:tab/>
      </w:r>
      <w:r w:rsidRPr="008B6FDB">
        <w:rPr>
          <w:rFonts w:cs="Arial"/>
        </w:rPr>
        <w:t>Matrix for post-treatment recurrence (upper estimate for relative risk).</w:t>
      </w:r>
      <w:r>
        <w:tab/>
      </w:r>
      <w:r>
        <w:fldChar w:fldCharType="begin"/>
      </w:r>
      <w:r>
        <w:instrText xml:space="preserve"> PAGEREF _Toc95971305 \h </w:instrText>
      </w:r>
      <w:r>
        <w:fldChar w:fldCharType="separate"/>
      </w:r>
      <w:r w:rsidR="007D3DFF">
        <w:t>148</w:t>
      </w:r>
      <w:r>
        <w:fldChar w:fldCharType="end"/>
      </w:r>
    </w:p>
    <w:p w:rsidR="00234376" w:rsidRDefault="00234376">
      <w:pPr>
        <w:pStyle w:val="TableofFigures"/>
        <w:tabs>
          <w:tab w:val="left" w:pos="1767"/>
        </w:tabs>
        <w:rPr>
          <w:rFonts w:ascii="Times New Roman" w:hAnsi="Times New Roman"/>
          <w:szCs w:val="24"/>
        </w:rPr>
      </w:pPr>
      <w:r>
        <w:t>Table 70</w:t>
      </w:r>
      <w:r>
        <w:rPr>
          <w:rFonts w:ascii="Times New Roman" w:hAnsi="Times New Roman"/>
          <w:szCs w:val="24"/>
        </w:rPr>
        <w:tab/>
      </w:r>
      <w:r>
        <w:t>Definition of model health states.</w:t>
      </w:r>
      <w:r>
        <w:tab/>
      </w:r>
      <w:r>
        <w:fldChar w:fldCharType="begin"/>
      </w:r>
      <w:r>
        <w:instrText xml:space="preserve"> PAGEREF _Toc95971306 \h </w:instrText>
      </w:r>
      <w:r>
        <w:fldChar w:fldCharType="separate"/>
      </w:r>
      <w:r w:rsidR="007D3DFF">
        <w:t>153</w:t>
      </w:r>
      <w:r>
        <w:fldChar w:fldCharType="end"/>
      </w:r>
    </w:p>
    <w:p w:rsidR="00234376" w:rsidRDefault="00234376">
      <w:pPr>
        <w:pStyle w:val="TableofFigures"/>
        <w:tabs>
          <w:tab w:val="left" w:pos="1767"/>
        </w:tabs>
        <w:rPr>
          <w:rFonts w:ascii="Times New Roman" w:hAnsi="Times New Roman"/>
          <w:szCs w:val="24"/>
        </w:rPr>
      </w:pPr>
      <w:r>
        <w:t>Table 71</w:t>
      </w:r>
      <w:r>
        <w:rPr>
          <w:rFonts w:ascii="Times New Roman" w:hAnsi="Times New Roman"/>
          <w:szCs w:val="24"/>
        </w:rPr>
        <w:tab/>
      </w:r>
      <w:r>
        <w:rPr>
          <w:lang w:eastAsia="zh-CN"/>
        </w:rPr>
        <w:t>Correlation between model health states and histology categories in the VCCR Statistical Report, 2006, Table 5.1.</w:t>
      </w:r>
      <w:r>
        <w:tab/>
      </w:r>
      <w:r>
        <w:fldChar w:fldCharType="begin"/>
      </w:r>
      <w:r>
        <w:instrText xml:space="preserve"> PAGEREF _Toc95971307 \h </w:instrText>
      </w:r>
      <w:r>
        <w:fldChar w:fldCharType="separate"/>
      </w:r>
      <w:r w:rsidR="007D3DFF">
        <w:t>155</w:t>
      </w:r>
      <w:r>
        <w:fldChar w:fldCharType="end"/>
      </w:r>
    </w:p>
    <w:p w:rsidR="00234376" w:rsidRDefault="00234376">
      <w:pPr>
        <w:pStyle w:val="TableofFigures"/>
        <w:tabs>
          <w:tab w:val="left" w:pos="1767"/>
        </w:tabs>
        <w:rPr>
          <w:rFonts w:ascii="Times New Roman" w:hAnsi="Times New Roman"/>
          <w:szCs w:val="24"/>
        </w:rPr>
      </w:pPr>
      <w:r>
        <w:t>Table 72</w:t>
      </w:r>
      <w:r>
        <w:rPr>
          <w:rFonts w:ascii="Times New Roman" w:hAnsi="Times New Roman"/>
          <w:szCs w:val="24"/>
        </w:rPr>
        <w:tab/>
      </w:r>
      <w:r>
        <w:t>Sensitivity and specificity estimates at cytological thresholds of ASCUS, LSIL and HSIL (TBS1994 terminology).</w:t>
      </w:r>
      <w:r>
        <w:tab/>
      </w:r>
      <w:r>
        <w:fldChar w:fldCharType="begin"/>
      </w:r>
      <w:r>
        <w:instrText xml:space="preserve"> PAGEREF _Toc95971308 \h </w:instrText>
      </w:r>
      <w:r>
        <w:fldChar w:fldCharType="separate"/>
      </w:r>
      <w:r w:rsidR="007D3DFF">
        <w:t>156</w:t>
      </w:r>
      <w:r>
        <w:fldChar w:fldCharType="end"/>
      </w:r>
    </w:p>
    <w:p w:rsidR="00234376" w:rsidRDefault="00234376">
      <w:pPr>
        <w:pStyle w:val="TableofFigures"/>
        <w:tabs>
          <w:tab w:val="left" w:pos="1767"/>
        </w:tabs>
        <w:rPr>
          <w:rFonts w:ascii="Times New Roman" w:hAnsi="Times New Roman"/>
          <w:szCs w:val="24"/>
        </w:rPr>
      </w:pPr>
      <w:r>
        <w:lastRenderedPageBreak/>
        <w:t>Table 73</w:t>
      </w:r>
      <w:r>
        <w:rPr>
          <w:rFonts w:ascii="Times New Roman" w:hAnsi="Times New Roman"/>
          <w:szCs w:val="24"/>
        </w:rPr>
        <w:tab/>
      </w:r>
      <w:r>
        <w:t xml:space="preserve">Sensitivity and specificity of LBC, relative to </w:t>
      </w:r>
      <w:r w:rsidRPr="008B6FDB">
        <w:rPr>
          <w:rFonts w:cs="Arial"/>
        </w:rPr>
        <w:t>CC</w:t>
      </w:r>
      <w:r>
        <w:t>, for detection of CIN 2+ at cytological thresholds of ASCUS, LSIL and HSIL (TBS1994 terminology).</w:t>
      </w:r>
      <w:r>
        <w:tab/>
      </w:r>
      <w:r>
        <w:fldChar w:fldCharType="begin"/>
      </w:r>
      <w:r>
        <w:instrText xml:space="preserve"> PAGEREF _Toc95971309 \h </w:instrText>
      </w:r>
      <w:r>
        <w:fldChar w:fldCharType="separate"/>
      </w:r>
      <w:r w:rsidR="007D3DFF">
        <w:t>156</w:t>
      </w:r>
      <w:r>
        <w:fldChar w:fldCharType="end"/>
      </w:r>
    </w:p>
    <w:p w:rsidR="00234376" w:rsidRDefault="00234376">
      <w:pPr>
        <w:pStyle w:val="TableofFigures"/>
        <w:tabs>
          <w:tab w:val="left" w:pos="1767"/>
        </w:tabs>
        <w:rPr>
          <w:rFonts w:ascii="Times New Roman" w:hAnsi="Times New Roman"/>
          <w:szCs w:val="24"/>
        </w:rPr>
      </w:pPr>
      <w:r>
        <w:t>Table 74</w:t>
      </w:r>
      <w:r>
        <w:rPr>
          <w:rFonts w:ascii="Times New Roman" w:hAnsi="Times New Roman"/>
          <w:szCs w:val="24"/>
        </w:rPr>
        <w:tab/>
      </w:r>
      <w:r>
        <w:t>Cytology report distributions, adjusted to exclude unsatisfactory smears.</w:t>
      </w:r>
      <w:r>
        <w:tab/>
      </w:r>
      <w:r>
        <w:fldChar w:fldCharType="begin"/>
      </w:r>
      <w:r>
        <w:instrText xml:space="preserve"> PAGEREF _Toc95971310 \h </w:instrText>
      </w:r>
      <w:r>
        <w:fldChar w:fldCharType="separate"/>
      </w:r>
      <w:r w:rsidR="007D3DFF">
        <w:t>157</w:t>
      </w:r>
      <w:r>
        <w:fldChar w:fldCharType="end"/>
      </w:r>
    </w:p>
    <w:p w:rsidR="00234376" w:rsidRDefault="00234376">
      <w:pPr>
        <w:pStyle w:val="TableofFigures"/>
        <w:tabs>
          <w:tab w:val="left" w:pos="1767"/>
        </w:tabs>
        <w:rPr>
          <w:rFonts w:ascii="Times New Roman" w:hAnsi="Times New Roman"/>
          <w:szCs w:val="24"/>
        </w:rPr>
      </w:pPr>
      <w:r>
        <w:t>Table 75</w:t>
      </w:r>
      <w:r>
        <w:rPr>
          <w:rFonts w:ascii="Times New Roman" w:hAnsi="Times New Roman"/>
          <w:szCs w:val="24"/>
        </w:rPr>
        <w:tab/>
      </w:r>
      <w:r>
        <w:t>Comparison of the Australian Modified Bethesda System (AMBS 2004) with previous Australian terminology and the Bethesda System (TBS2001).</w:t>
      </w:r>
      <w:r>
        <w:tab/>
      </w:r>
      <w:r>
        <w:fldChar w:fldCharType="begin"/>
      </w:r>
      <w:r>
        <w:instrText xml:space="preserve"> PAGEREF _Toc95971311 \h </w:instrText>
      </w:r>
      <w:r>
        <w:fldChar w:fldCharType="separate"/>
      </w:r>
      <w:r w:rsidR="007D3DFF">
        <w:t>158</w:t>
      </w:r>
      <w:r>
        <w:fldChar w:fldCharType="end"/>
      </w:r>
    </w:p>
    <w:p w:rsidR="00234376" w:rsidRDefault="00234376">
      <w:pPr>
        <w:pStyle w:val="TableofFigures"/>
        <w:tabs>
          <w:tab w:val="left" w:pos="1767"/>
        </w:tabs>
        <w:rPr>
          <w:rFonts w:ascii="Times New Roman" w:hAnsi="Times New Roman"/>
          <w:szCs w:val="24"/>
        </w:rPr>
      </w:pPr>
      <w:r>
        <w:t>Table 76</w:t>
      </w:r>
      <w:r>
        <w:rPr>
          <w:rFonts w:ascii="Times New Roman" w:hAnsi="Times New Roman"/>
          <w:szCs w:val="24"/>
        </w:rPr>
        <w:tab/>
      </w:r>
      <w:r>
        <w:t>Approximations for model health states.</w:t>
      </w:r>
      <w:r>
        <w:tab/>
      </w:r>
      <w:r>
        <w:fldChar w:fldCharType="begin"/>
      </w:r>
      <w:r>
        <w:instrText xml:space="preserve"> PAGEREF _Toc95971312 \h </w:instrText>
      </w:r>
      <w:r>
        <w:fldChar w:fldCharType="separate"/>
      </w:r>
      <w:r w:rsidR="007D3DFF">
        <w:t>158</w:t>
      </w:r>
      <w:r>
        <w:fldChar w:fldCharType="end"/>
      </w:r>
    </w:p>
    <w:p w:rsidR="00234376" w:rsidRDefault="00234376">
      <w:pPr>
        <w:pStyle w:val="TableofFigures"/>
        <w:tabs>
          <w:tab w:val="left" w:pos="1767"/>
        </w:tabs>
        <w:rPr>
          <w:rFonts w:ascii="Times New Roman" w:hAnsi="Times New Roman"/>
          <w:szCs w:val="24"/>
        </w:rPr>
      </w:pPr>
      <w:r>
        <w:t>Table 77</w:t>
      </w:r>
      <w:r>
        <w:rPr>
          <w:rFonts w:ascii="Times New Roman" w:hAnsi="Times New Roman"/>
          <w:szCs w:val="24"/>
        </w:rPr>
        <w:tab/>
      </w:r>
      <w:r>
        <w:t xml:space="preserve">Data sources for various methods of deriving test probability matrices for </w:t>
      </w:r>
      <w:r w:rsidRPr="008B6FDB">
        <w:rPr>
          <w:rFonts w:cs="Arial"/>
        </w:rPr>
        <w:t>CC</w:t>
      </w:r>
      <w:r>
        <w:t xml:space="preserve"> or LBC.</w:t>
      </w:r>
      <w:r>
        <w:tab/>
      </w:r>
      <w:r>
        <w:fldChar w:fldCharType="begin"/>
      </w:r>
      <w:r>
        <w:instrText xml:space="preserve"> PAGEREF _Toc95971313 \h </w:instrText>
      </w:r>
      <w:r>
        <w:fldChar w:fldCharType="separate"/>
      </w:r>
      <w:r w:rsidR="007D3DFF">
        <w:t>160</w:t>
      </w:r>
      <w:r>
        <w:fldChar w:fldCharType="end"/>
      </w:r>
    </w:p>
    <w:p w:rsidR="00234376" w:rsidRDefault="00234376">
      <w:pPr>
        <w:pStyle w:val="TableofFigures"/>
        <w:tabs>
          <w:tab w:val="left" w:pos="1767"/>
        </w:tabs>
        <w:rPr>
          <w:rFonts w:ascii="Times New Roman" w:hAnsi="Times New Roman"/>
          <w:szCs w:val="24"/>
        </w:rPr>
      </w:pPr>
      <w:r>
        <w:t>Table 78</w:t>
      </w:r>
      <w:r>
        <w:rPr>
          <w:rFonts w:ascii="Times New Roman" w:hAnsi="Times New Roman"/>
          <w:szCs w:val="24"/>
        </w:rPr>
        <w:tab/>
      </w:r>
      <w:r>
        <w:t xml:space="preserve">Relative cytology test yields for automated LBC and LBC compared with </w:t>
      </w:r>
      <w:r w:rsidRPr="008B6FDB">
        <w:rPr>
          <w:rFonts w:cs="Arial"/>
        </w:rPr>
        <w:t>CC</w:t>
      </w:r>
      <w:r>
        <w:t>.</w:t>
      </w:r>
      <w:r>
        <w:tab/>
      </w:r>
      <w:r>
        <w:fldChar w:fldCharType="begin"/>
      </w:r>
      <w:r>
        <w:instrText xml:space="preserve"> PAGEREF _Toc95971314 \h </w:instrText>
      </w:r>
      <w:r>
        <w:fldChar w:fldCharType="separate"/>
      </w:r>
      <w:r w:rsidR="007D3DFF">
        <w:t>163</w:t>
      </w:r>
      <w:r>
        <w:fldChar w:fldCharType="end"/>
      </w:r>
    </w:p>
    <w:p w:rsidR="00234376" w:rsidRDefault="00234376">
      <w:pPr>
        <w:pStyle w:val="TableofFigures"/>
        <w:tabs>
          <w:tab w:val="left" w:pos="1767"/>
        </w:tabs>
        <w:rPr>
          <w:rFonts w:ascii="Times New Roman" w:hAnsi="Times New Roman"/>
          <w:szCs w:val="24"/>
        </w:rPr>
      </w:pPr>
      <w:r>
        <w:t>Table 79</w:t>
      </w:r>
      <w:r>
        <w:rPr>
          <w:rFonts w:ascii="Times New Roman" w:hAnsi="Times New Roman"/>
          <w:szCs w:val="24"/>
        </w:rPr>
        <w:tab/>
      </w:r>
      <w:r>
        <w:t>Estimated test yields for automated LBC and LBC in women aged 25–29 years, baseline values.</w:t>
      </w:r>
      <w:r>
        <w:tab/>
      </w:r>
      <w:r>
        <w:fldChar w:fldCharType="begin"/>
      </w:r>
      <w:r>
        <w:instrText xml:space="preserve"> PAGEREF _Toc95971315 \h </w:instrText>
      </w:r>
      <w:r>
        <w:fldChar w:fldCharType="separate"/>
      </w:r>
      <w:r w:rsidR="007D3DFF">
        <w:t>163</w:t>
      </w:r>
      <w:r>
        <w:fldChar w:fldCharType="end"/>
      </w:r>
    </w:p>
    <w:p w:rsidR="00234376" w:rsidRDefault="00234376">
      <w:pPr>
        <w:pStyle w:val="TableofFigures"/>
        <w:tabs>
          <w:tab w:val="left" w:pos="1767"/>
        </w:tabs>
        <w:rPr>
          <w:rFonts w:ascii="Times New Roman" w:hAnsi="Times New Roman"/>
          <w:szCs w:val="24"/>
        </w:rPr>
      </w:pPr>
      <w:r>
        <w:t>Table 80</w:t>
      </w:r>
      <w:r>
        <w:rPr>
          <w:rFonts w:ascii="Times New Roman" w:hAnsi="Times New Roman"/>
          <w:szCs w:val="24"/>
        </w:rPr>
        <w:tab/>
      </w:r>
      <w:r>
        <w:t>Partial test probability matrix derived from Arbyn et al.’s meta-analysis and additional assumptions (%).</w:t>
      </w:r>
      <w:r>
        <w:tab/>
      </w:r>
      <w:r>
        <w:fldChar w:fldCharType="begin"/>
      </w:r>
      <w:r>
        <w:instrText xml:space="preserve"> PAGEREF _Toc95971316 \h </w:instrText>
      </w:r>
      <w:r>
        <w:fldChar w:fldCharType="separate"/>
      </w:r>
      <w:r w:rsidR="007D3DFF">
        <w:t>164</w:t>
      </w:r>
      <w:r>
        <w:fldChar w:fldCharType="end"/>
      </w:r>
    </w:p>
    <w:p w:rsidR="00234376" w:rsidRDefault="00234376">
      <w:pPr>
        <w:pStyle w:val="TableofFigures"/>
        <w:tabs>
          <w:tab w:val="left" w:pos="1767"/>
        </w:tabs>
        <w:rPr>
          <w:rFonts w:ascii="Times New Roman" w:hAnsi="Times New Roman"/>
          <w:szCs w:val="24"/>
        </w:rPr>
      </w:pPr>
      <w:r>
        <w:t>Table 81</w:t>
      </w:r>
      <w:r>
        <w:rPr>
          <w:rFonts w:ascii="Times New Roman" w:hAnsi="Times New Roman"/>
          <w:szCs w:val="24"/>
        </w:rPr>
        <w:tab/>
      </w:r>
      <w:r>
        <w:t>Implied underlying disease distribution by various derivation methods.</w:t>
      </w:r>
      <w:r>
        <w:tab/>
      </w:r>
      <w:r>
        <w:fldChar w:fldCharType="begin"/>
      </w:r>
      <w:r>
        <w:instrText xml:space="preserve"> PAGEREF _Toc95971317 \h </w:instrText>
      </w:r>
      <w:r>
        <w:fldChar w:fldCharType="separate"/>
      </w:r>
      <w:r w:rsidR="007D3DFF">
        <w:t>165</w:t>
      </w:r>
      <w:r>
        <w:fldChar w:fldCharType="end"/>
      </w:r>
    </w:p>
    <w:p w:rsidR="00234376" w:rsidRDefault="00234376">
      <w:pPr>
        <w:pStyle w:val="TableofFigures"/>
        <w:tabs>
          <w:tab w:val="left" w:pos="1767"/>
        </w:tabs>
        <w:rPr>
          <w:rFonts w:ascii="Times New Roman" w:hAnsi="Times New Roman"/>
          <w:szCs w:val="24"/>
        </w:rPr>
      </w:pPr>
      <w:r>
        <w:t>Table 82</w:t>
      </w:r>
      <w:r>
        <w:rPr>
          <w:rFonts w:ascii="Times New Roman" w:hAnsi="Times New Roman"/>
          <w:szCs w:val="24"/>
        </w:rPr>
        <w:tab/>
      </w:r>
      <w:r>
        <w:t>Absolute and relative sensitivity and specificity for detection of CIN 2+ for cytology test characteristics based on Method 3.</w:t>
      </w:r>
      <w:r>
        <w:tab/>
      </w:r>
      <w:r>
        <w:fldChar w:fldCharType="begin"/>
      </w:r>
      <w:r>
        <w:instrText xml:space="preserve"> PAGEREF _Toc95971318 \h </w:instrText>
      </w:r>
      <w:r>
        <w:fldChar w:fldCharType="separate"/>
      </w:r>
      <w:r w:rsidR="007D3DFF">
        <w:t>167</w:t>
      </w:r>
      <w:r>
        <w:fldChar w:fldCharType="end"/>
      </w:r>
    </w:p>
    <w:p w:rsidR="00234376" w:rsidRPr="00537C3C" w:rsidRDefault="00234376">
      <w:pPr>
        <w:pStyle w:val="TableofFigures"/>
      </w:pPr>
      <w:r w:rsidRPr="00537C3C">
        <w:fldChar w:fldCharType="end"/>
      </w:r>
    </w:p>
    <w:p w:rsidR="00234376" w:rsidRPr="00537C3C" w:rsidRDefault="00234376" w:rsidP="00C97E47">
      <w:pPr>
        <w:pStyle w:val="Heading3"/>
      </w:pPr>
      <w:r w:rsidRPr="00537C3C">
        <w:t>Figures</w:t>
      </w:r>
    </w:p>
    <w:p w:rsidR="00C40B00" w:rsidRDefault="00234376">
      <w:pPr>
        <w:pStyle w:val="TableofFigures"/>
        <w:rPr>
          <w:rFonts w:ascii="Calibri" w:eastAsia="Times New Roman" w:hAnsi="Calibri"/>
          <w:sz w:val="22"/>
          <w:szCs w:val="22"/>
          <w:lang w:eastAsia="en-AU"/>
        </w:rPr>
      </w:pPr>
      <w:r w:rsidRPr="00537C3C">
        <w:fldChar w:fldCharType="begin"/>
      </w:r>
      <w:r w:rsidRPr="00537C3C">
        <w:instrText xml:space="preserve"> TOC \h \z \c "Figure" </w:instrText>
      </w:r>
      <w:r w:rsidRPr="00537C3C">
        <w:fldChar w:fldCharType="separate"/>
      </w:r>
      <w:hyperlink w:anchor="_Toc231895842" w:history="1">
        <w:r w:rsidR="00C40B00" w:rsidRPr="00D91759">
          <w:rPr>
            <w:rStyle w:val="Hyperlink"/>
          </w:rPr>
          <w:t>Figure 1</w:t>
        </w:r>
        <w:r w:rsidR="00C40B00">
          <w:rPr>
            <w:rFonts w:ascii="Calibri" w:eastAsia="Times New Roman" w:hAnsi="Calibri"/>
            <w:sz w:val="22"/>
            <w:szCs w:val="22"/>
            <w:lang w:eastAsia="en-AU"/>
          </w:rPr>
          <w:tab/>
        </w:r>
        <w:r w:rsidR="00C40B00" w:rsidRPr="00D91759">
          <w:rPr>
            <w:rStyle w:val="Hyperlink"/>
          </w:rPr>
          <w:t xml:space="preserve">The natural history of HPV infection and cervical cancer. </w:t>
        </w:r>
        <w:r w:rsidR="00C40B00" w:rsidRPr="00D91759">
          <w:rPr>
            <w:rStyle w:val="Hyperlink"/>
            <w:vertAlign w:val="superscript"/>
          </w:rPr>
          <w:t>a</w:t>
        </w:r>
        <w:r w:rsidR="00C40B00">
          <w:rPr>
            <w:webHidden/>
          </w:rPr>
          <w:tab/>
        </w:r>
        <w:r w:rsidR="00C40B00">
          <w:rPr>
            <w:webHidden/>
          </w:rPr>
          <w:fldChar w:fldCharType="begin"/>
        </w:r>
        <w:r w:rsidR="00C40B00">
          <w:rPr>
            <w:webHidden/>
          </w:rPr>
          <w:instrText xml:space="preserve"> PAGEREF _Toc231895842 \h </w:instrText>
        </w:r>
        <w:r w:rsidR="00C40B00">
          <w:rPr>
            <w:webHidden/>
          </w:rPr>
        </w:r>
        <w:r w:rsidR="00C40B00">
          <w:rPr>
            <w:webHidden/>
          </w:rPr>
          <w:fldChar w:fldCharType="separate"/>
        </w:r>
        <w:r w:rsidR="007D3DFF">
          <w:rPr>
            <w:webHidden/>
          </w:rPr>
          <w:t>6</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43" w:history="1">
        <w:r w:rsidR="00C40B00" w:rsidRPr="00D91759">
          <w:rPr>
            <w:rStyle w:val="Hyperlink"/>
          </w:rPr>
          <w:t>Figure 2</w:t>
        </w:r>
        <w:r w:rsidR="00C40B00">
          <w:rPr>
            <w:rFonts w:ascii="Calibri" w:eastAsia="Times New Roman" w:hAnsi="Calibri"/>
            <w:sz w:val="22"/>
            <w:szCs w:val="22"/>
            <w:lang w:eastAsia="en-AU"/>
          </w:rPr>
          <w:tab/>
        </w:r>
        <w:r w:rsidR="00C40B00" w:rsidRPr="00D91759">
          <w:rPr>
            <w:rStyle w:val="Hyperlink"/>
          </w:rPr>
          <w:t>Summary of the process used to identify and select studies for the review.</w:t>
        </w:r>
        <w:r w:rsidR="00C40B00">
          <w:rPr>
            <w:webHidden/>
          </w:rPr>
          <w:tab/>
        </w:r>
        <w:r w:rsidR="00C40B00">
          <w:rPr>
            <w:webHidden/>
          </w:rPr>
          <w:fldChar w:fldCharType="begin"/>
        </w:r>
        <w:r w:rsidR="00C40B00">
          <w:rPr>
            <w:webHidden/>
          </w:rPr>
          <w:instrText xml:space="preserve"> PAGEREF _Toc231895843 \h </w:instrText>
        </w:r>
        <w:r w:rsidR="00C40B00">
          <w:rPr>
            <w:webHidden/>
          </w:rPr>
        </w:r>
        <w:r w:rsidR="00C40B00">
          <w:rPr>
            <w:webHidden/>
          </w:rPr>
          <w:fldChar w:fldCharType="separate"/>
        </w:r>
        <w:r w:rsidR="007D3DFF">
          <w:rPr>
            <w:webHidden/>
          </w:rPr>
          <w:t>20</w:t>
        </w:r>
        <w:r w:rsidR="00C40B00">
          <w:rPr>
            <w:webHidden/>
          </w:rPr>
          <w:fldChar w:fldCharType="end"/>
        </w:r>
      </w:hyperlink>
    </w:p>
    <w:p w:rsidR="00C40B00" w:rsidRPr="00C40B00" w:rsidRDefault="00907149">
      <w:pPr>
        <w:pStyle w:val="TableofFigures"/>
        <w:rPr>
          <w:rStyle w:val="Hyperlink"/>
        </w:rPr>
      </w:pPr>
      <w:hyperlink w:anchor="_Toc231895844" w:history="1">
        <w:r w:rsidR="00C40B00" w:rsidRPr="00C40B00">
          <w:rPr>
            <w:rStyle w:val="Hyperlink"/>
          </w:rPr>
          <w:t>Figure 3</w:t>
        </w:r>
        <w:r w:rsidR="00C40B00" w:rsidRPr="00C40B00">
          <w:rPr>
            <w:rStyle w:val="Hyperlink"/>
          </w:rPr>
          <w:tab/>
          <w:t>Relative sensitivity (A) and specificity (B) at test threshold of HSIL+ from Arbyn et al. (2008).</w:t>
        </w:r>
        <w:r w:rsidR="00C40B00" w:rsidRPr="00C40B00">
          <w:rPr>
            <w:rStyle w:val="Hyperlink"/>
            <w:webHidden/>
          </w:rPr>
          <w:tab/>
        </w:r>
        <w:r w:rsidR="00C40B00" w:rsidRPr="00C40B00">
          <w:rPr>
            <w:rStyle w:val="Hyperlink"/>
            <w:webHidden/>
          </w:rPr>
          <w:fldChar w:fldCharType="begin"/>
        </w:r>
        <w:r w:rsidR="00C40B00" w:rsidRPr="00C40B00">
          <w:rPr>
            <w:rStyle w:val="Hyperlink"/>
            <w:webHidden/>
          </w:rPr>
          <w:instrText xml:space="preserve"> PAGEREF _Toc231895844 \h </w:instrText>
        </w:r>
        <w:r w:rsidR="00C40B00" w:rsidRPr="00C40B00">
          <w:rPr>
            <w:rStyle w:val="Hyperlink"/>
            <w:webHidden/>
          </w:rPr>
        </w:r>
        <w:r w:rsidR="00C40B00" w:rsidRPr="00C40B00">
          <w:rPr>
            <w:rStyle w:val="Hyperlink"/>
            <w:webHidden/>
          </w:rPr>
          <w:fldChar w:fldCharType="separate"/>
        </w:r>
        <w:r w:rsidR="007D3DFF">
          <w:rPr>
            <w:rStyle w:val="Hyperlink"/>
            <w:webHidden/>
          </w:rPr>
          <w:t>29</w:t>
        </w:r>
        <w:r w:rsidR="00C40B00" w:rsidRPr="00C40B00">
          <w:rPr>
            <w:rStyle w:val="Hyperlink"/>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45" w:history="1">
        <w:r w:rsidR="00C40B00" w:rsidRPr="00D91759">
          <w:rPr>
            <w:rStyle w:val="Hyperlink"/>
          </w:rPr>
          <w:t>Figure 4</w:t>
        </w:r>
        <w:r w:rsidR="00C40B00">
          <w:rPr>
            <w:rFonts w:ascii="Calibri" w:eastAsia="Times New Roman" w:hAnsi="Calibri"/>
            <w:sz w:val="22"/>
            <w:szCs w:val="22"/>
            <w:lang w:eastAsia="en-AU"/>
          </w:rPr>
          <w:tab/>
        </w:r>
        <w:r w:rsidR="00C40B00" w:rsidRPr="00D91759">
          <w:rPr>
            <w:rStyle w:val="Hyperlink"/>
          </w:rPr>
          <w:t>Relationship between cytologist reading speed and difference between conventional cytology and TPI-assisted LBC slide reading time.</w:t>
        </w:r>
        <w:r w:rsidR="00C40B00">
          <w:rPr>
            <w:webHidden/>
          </w:rPr>
          <w:tab/>
        </w:r>
        <w:r w:rsidR="00C40B00">
          <w:rPr>
            <w:webHidden/>
          </w:rPr>
          <w:fldChar w:fldCharType="begin"/>
        </w:r>
        <w:r w:rsidR="00C40B00">
          <w:rPr>
            <w:webHidden/>
          </w:rPr>
          <w:instrText xml:space="preserve"> PAGEREF _Toc231895845 \h </w:instrText>
        </w:r>
        <w:r w:rsidR="00C40B00">
          <w:rPr>
            <w:webHidden/>
          </w:rPr>
        </w:r>
        <w:r w:rsidR="00C40B00">
          <w:rPr>
            <w:webHidden/>
          </w:rPr>
          <w:fldChar w:fldCharType="separate"/>
        </w:r>
        <w:r w:rsidR="007D3DFF">
          <w:rPr>
            <w:webHidden/>
          </w:rPr>
          <w:t>48</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46" w:history="1">
        <w:r w:rsidR="00C40B00" w:rsidRPr="00D91759">
          <w:rPr>
            <w:rStyle w:val="Hyperlink"/>
          </w:rPr>
          <w:t>Figure 5</w:t>
        </w:r>
        <w:r w:rsidR="00C40B00">
          <w:rPr>
            <w:rFonts w:ascii="Calibri" w:eastAsia="Times New Roman" w:hAnsi="Calibri"/>
            <w:sz w:val="22"/>
            <w:szCs w:val="22"/>
            <w:lang w:eastAsia="en-AU"/>
          </w:rPr>
          <w:tab/>
        </w:r>
        <w:r w:rsidR="00C40B00" w:rsidRPr="00D91759">
          <w:rPr>
            <w:rStyle w:val="Hyperlink"/>
          </w:rPr>
          <w:t>Linked models used to perform economic evaluation.</w:t>
        </w:r>
        <w:r w:rsidR="00C40B00">
          <w:rPr>
            <w:webHidden/>
          </w:rPr>
          <w:tab/>
        </w:r>
        <w:r w:rsidR="00C40B00">
          <w:rPr>
            <w:webHidden/>
          </w:rPr>
          <w:fldChar w:fldCharType="begin"/>
        </w:r>
        <w:r w:rsidR="00C40B00">
          <w:rPr>
            <w:webHidden/>
          </w:rPr>
          <w:instrText xml:space="preserve"> PAGEREF _Toc231895846 \h </w:instrText>
        </w:r>
        <w:r w:rsidR="00C40B00">
          <w:rPr>
            <w:webHidden/>
          </w:rPr>
        </w:r>
        <w:r w:rsidR="00C40B00">
          <w:rPr>
            <w:webHidden/>
          </w:rPr>
          <w:fldChar w:fldCharType="separate"/>
        </w:r>
        <w:r w:rsidR="007D3DFF">
          <w:rPr>
            <w:webHidden/>
          </w:rPr>
          <w:t>66</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47" w:history="1">
        <w:r w:rsidR="00C40B00" w:rsidRPr="00D91759">
          <w:rPr>
            <w:rStyle w:val="Hyperlink"/>
          </w:rPr>
          <w:t>Figure 6</w:t>
        </w:r>
        <w:r w:rsidR="00C40B00">
          <w:rPr>
            <w:rFonts w:ascii="Calibri" w:eastAsia="Times New Roman" w:hAnsi="Calibri"/>
            <w:sz w:val="22"/>
            <w:szCs w:val="22"/>
            <w:lang w:eastAsia="en-AU"/>
          </w:rPr>
          <w:tab/>
        </w:r>
        <w:r w:rsidR="00C40B00" w:rsidRPr="00D91759">
          <w:rPr>
            <w:rStyle w:val="Hyperlink"/>
          </w:rPr>
          <w:t>Cumulative proportion of women ever screened by age.</w:t>
        </w:r>
        <w:r w:rsidR="00C40B00">
          <w:rPr>
            <w:webHidden/>
          </w:rPr>
          <w:tab/>
        </w:r>
        <w:r w:rsidR="00C40B00">
          <w:rPr>
            <w:webHidden/>
          </w:rPr>
          <w:fldChar w:fldCharType="begin"/>
        </w:r>
        <w:r w:rsidR="00C40B00">
          <w:rPr>
            <w:webHidden/>
          </w:rPr>
          <w:instrText xml:space="preserve"> PAGEREF _Toc231895847 \h </w:instrText>
        </w:r>
        <w:r w:rsidR="00C40B00">
          <w:rPr>
            <w:webHidden/>
          </w:rPr>
        </w:r>
        <w:r w:rsidR="00C40B00">
          <w:rPr>
            <w:webHidden/>
          </w:rPr>
          <w:fldChar w:fldCharType="separate"/>
        </w:r>
        <w:r w:rsidR="007D3DFF">
          <w:rPr>
            <w:webHidden/>
          </w:rPr>
          <w:t>68</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48" w:history="1">
        <w:r w:rsidR="00C40B00" w:rsidRPr="00D91759">
          <w:rPr>
            <w:rStyle w:val="Hyperlink"/>
          </w:rPr>
          <w:t>Figure 7</w:t>
        </w:r>
        <w:r w:rsidR="00C40B00">
          <w:rPr>
            <w:rFonts w:ascii="Calibri" w:eastAsia="Times New Roman" w:hAnsi="Calibri"/>
            <w:sz w:val="22"/>
            <w:szCs w:val="22"/>
            <w:lang w:eastAsia="en-AU"/>
          </w:rPr>
          <w:tab/>
        </w:r>
        <w:r w:rsidR="00C40B00" w:rsidRPr="00D91759">
          <w:rPr>
            <w:rStyle w:val="Hyperlink"/>
          </w:rPr>
          <w:t>Predicted age-specific prevalence of oncogenic HPV infection, compared to a 2006 meta-analysis of international data (with 95% CI) (data from Smith et al. 2008).</w:t>
        </w:r>
        <w:r w:rsidR="00C40B00">
          <w:rPr>
            <w:webHidden/>
          </w:rPr>
          <w:tab/>
        </w:r>
        <w:r w:rsidR="00C40B00">
          <w:rPr>
            <w:webHidden/>
          </w:rPr>
          <w:fldChar w:fldCharType="begin"/>
        </w:r>
        <w:r w:rsidR="00C40B00">
          <w:rPr>
            <w:webHidden/>
          </w:rPr>
          <w:instrText xml:space="preserve"> PAGEREF _Toc231895848 \h </w:instrText>
        </w:r>
        <w:r w:rsidR="00C40B00">
          <w:rPr>
            <w:webHidden/>
          </w:rPr>
        </w:r>
        <w:r w:rsidR="00C40B00">
          <w:rPr>
            <w:webHidden/>
          </w:rPr>
          <w:fldChar w:fldCharType="separate"/>
        </w:r>
        <w:r w:rsidR="007D3DFF">
          <w:rPr>
            <w:webHidden/>
          </w:rPr>
          <w:t>83</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49" w:history="1">
        <w:r w:rsidR="00C40B00" w:rsidRPr="00D91759">
          <w:rPr>
            <w:rStyle w:val="Hyperlink"/>
          </w:rPr>
          <w:t>Figure 8</w:t>
        </w:r>
        <w:r w:rsidR="00C40B00">
          <w:rPr>
            <w:rFonts w:ascii="Calibri" w:eastAsia="Times New Roman" w:hAnsi="Calibri"/>
            <w:sz w:val="22"/>
            <w:szCs w:val="22"/>
            <w:lang w:eastAsia="en-AU"/>
          </w:rPr>
          <w:tab/>
        </w:r>
        <w:r w:rsidR="00C40B00" w:rsidRPr="00D91759">
          <w:rPr>
            <w:rStyle w:val="Hyperlink"/>
          </w:rPr>
          <w:t>Predicted age-specific incidence of cervical cancer in an unscreened population, compared to data from 25 developing countries (data from Parkin et al. 2002).</w:t>
        </w:r>
        <w:r w:rsidR="00C40B00">
          <w:rPr>
            <w:webHidden/>
          </w:rPr>
          <w:tab/>
        </w:r>
        <w:r w:rsidR="00C40B00">
          <w:rPr>
            <w:webHidden/>
          </w:rPr>
          <w:fldChar w:fldCharType="begin"/>
        </w:r>
        <w:r w:rsidR="00C40B00">
          <w:rPr>
            <w:webHidden/>
          </w:rPr>
          <w:instrText xml:space="preserve"> PAGEREF _Toc231895849 \h </w:instrText>
        </w:r>
        <w:r w:rsidR="00C40B00">
          <w:rPr>
            <w:webHidden/>
          </w:rPr>
        </w:r>
        <w:r w:rsidR="00C40B00">
          <w:rPr>
            <w:webHidden/>
          </w:rPr>
          <w:fldChar w:fldCharType="separate"/>
        </w:r>
        <w:r w:rsidR="007D3DFF">
          <w:rPr>
            <w:webHidden/>
          </w:rPr>
          <w:t>83</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50" w:history="1">
        <w:r w:rsidR="00C40B00" w:rsidRPr="00D91759">
          <w:rPr>
            <w:rStyle w:val="Hyperlink"/>
          </w:rPr>
          <w:t>Figure 9</w:t>
        </w:r>
        <w:r w:rsidR="00C40B00">
          <w:rPr>
            <w:rFonts w:ascii="Calibri" w:eastAsia="Times New Roman" w:hAnsi="Calibri"/>
            <w:sz w:val="22"/>
            <w:szCs w:val="22"/>
            <w:lang w:eastAsia="en-AU"/>
          </w:rPr>
          <w:tab/>
        </w:r>
        <w:r w:rsidR="00C40B00" w:rsidRPr="00D91759">
          <w:rPr>
            <w:rStyle w:val="Hyperlink"/>
          </w:rPr>
          <w:t>Predicted age-specific incidence of cervical cancer in Australia, compared with cancer registry data from 2002–2004.</w:t>
        </w:r>
        <w:r w:rsidR="00C40B00">
          <w:rPr>
            <w:webHidden/>
          </w:rPr>
          <w:tab/>
        </w:r>
        <w:r w:rsidR="00C40B00">
          <w:rPr>
            <w:webHidden/>
          </w:rPr>
          <w:fldChar w:fldCharType="begin"/>
        </w:r>
        <w:r w:rsidR="00C40B00">
          <w:rPr>
            <w:webHidden/>
          </w:rPr>
          <w:instrText xml:space="preserve"> PAGEREF _Toc231895850 \h </w:instrText>
        </w:r>
        <w:r w:rsidR="00C40B00">
          <w:rPr>
            <w:webHidden/>
          </w:rPr>
        </w:r>
        <w:r w:rsidR="00C40B00">
          <w:rPr>
            <w:webHidden/>
          </w:rPr>
          <w:fldChar w:fldCharType="separate"/>
        </w:r>
        <w:r w:rsidR="007D3DFF">
          <w:rPr>
            <w:webHidden/>
          </w:rPr>
          <w:t>84</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51" w:history="1">
        <w:r w:rsidR="00C40B00" w:rsidRPr="00D91759">
          <w:rPr>
            <w:rStyle w:val="Hyperlink"/>
          </w:rPr>
          <w:t>Figure 10</w:t>
        </w:r>
        <w:r w:rsidR="00C40B00">
          <w:rPr>
            <w:rFonts w:ascii="Calibri" w:eastAsia="Times New Roman" w:hAnsi="Calibri"/>
            <w:sz w:val="22"/>
            <w:szCs w:val="22"/>
            <w:lang w:eastAsia="en-AU"/>
          </w:rPr>
          <w:tab/>
        </w:r>
        <w:r w:rsidR="00C40B00" w:rsidRPr="00D91759">
          <w:rPr>
            <w:rStyle w:val="Hyperlink"/>
          </w:rPr>
          <w:t>Predicted age-specific mortality in Australia, compared with cancer registry data from 2003 to 2005.</w:t>
        </w:r>
        <w:r w:rsidR="00C40B00">
          <w:rPr>
            <w:webHidden/>
          </w:rPr>
          <w:tab/>
        </w:r>
        <w:r w:rsidR="00C40B00">
          <w:rPr>
            <w:webHidden/>
          </w:rPr>
          <w:fldChar w:fldCharType="begin"/>
        </w:r>
        <w:r w:rsidR="00C40B00">
          <w:rPr>
            <w:webHidden/>
          </w:rPr>
          <w:instrText xml:space="preserve"> PAGEREF _Toc231895851 \h </w:instrText>
        </w:r>
        <w:r w:rsidR="00C40B00">
          <w:rPr>
            <w:webHidden/>
          </w:rPr>
        </w:r>
        <w:r w:rsidR="00C40B00">
          <w:rPr>
            <w:webHidden/>
          </w:rPr>
          <w:fldChar w:fldCharType="separate"/>
        </w:r>
        <w:r w:rsidR="007D3DFF">
          <w:rPr>
            <w:webHidden/>
          </w:rPr>
          <w:t>85</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52" w:history="1">
        <w:r w:rsidR="00C40B00" w:rsidRPr="00D91759">
          <w:rPr>
            <w:rStyle w:val="Hyperlink"/>
          </w:rPr>
          <w:t>Figure 11</w:t>
        </w:r>
        <w:r w:rsidR="00C40B00">
          <w:rPr>
            <w:rFonts w:ascii="Calibri" w:eastAsia="Times New Roman" w:hAnsi="Calibri"/>
            <w:sz w:val="22"/>
            <w:szCs w:val="22"/>
            <w:lang w:eastAsia="en-AU"/>
          </w:rPr>
          <w:tab/>
        </w:r>
        <w:r w:rsidR="00C40B00" w:rsidRPr="00D91759">
          <w:rPr>
            <w:rStyle w:val="Hyperlink"/>
          </w:rPr>
          <w:t>Predicted age-specific rate of histologically confirmed high grades detected, compared with registry data (2006).</w:t>
        </w:r>
        <w:r w:rsidR="00C40B00">
          <w:rPr>
            <w:webHidden/>
          </w:rPr>
          <w:tab/>
        </w:r>
        <w:r w:rsidR="00C40B00">
          <w:rPr>
            <w:webHidden/>
          </w:rPr>
          <w:fldChar w:fldCharType="begin"/>
        </w:r>
        <w:r w:rsidR="00C40B00">
          <w:rPr>
            <w:webHidden/>
          </w:rPr>
          <w:instrText xml:space="preserve"> PAGEREF _Toc231895852 \h </w:instrText>
        </w:r>
        <w:r w:rsidR="00C40B00">
          <w:rPr>
            <w:webHidden/>
          </w:rPr>
        </w:r>
        <w:r w:rsidR="00C40B00">
          <w:rPr>
            <w:webHidden/>
          </w:rPr>
          <w:fldChar w:fldCharType="separate"/>
        </w:r>
        <w:r w:rsidR="007D3DFF">
          <w:rPr>
            <w:webHidden/>
          </w:rPr>
          <w:t>85</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53" w:history="1">
        <w:r w:rsidR="00C40B00" w:rsidRPr="00D91759">
          <w:rPr>
            <w:rStyle w:val="Hyperlink"/>
          </w:rPr>
          <w:t>Figure 12</w:t>
        </w:r>
        <w:r w:rsidR="00C40B00">
          <w:rPr>
            <w:rFonts w:ascii="Calibri" w:eastAsia="Times New Roman" w:hAnsi="Calibri"/>
            <w:sz w:val="22"/>
            <w:szCs w:val="22"/>
            <w:lang w:eastAsia="en-AU"/>
          </w:rPr>
          <w:tab/>
        </w:r>
        <w:r w:rsidR="00C40B00" w:rsidRPr="00D91759">
          <w:rPr>
            <w:rStyle w:val="Hyperlink"/>
          </w:rPr>
          <w:t>Predicted age-specific rate of histologically confirmed low grades detected, compared with registry data (2006).</w:t>
        </w:r>
        <w:r w:rsidR="00C40B00">
          <w:rPr>
            <w:webHidden/>
          </w:rPr>
          <w:tab/>
        </w:r>
        <w:r w:rsidR="00C40B00">
          <w:rPr>
            <w:webHidden/>
          </w:rPr>
          <w:fldChar w:fldCharType="begin"/>
        </w:r>
        <w:r w:rsidR="00C40B00">
          <w:rPr>
            <w:webHidden/>
          </w:rPr>
          <w:instrText xml:space="preserve"> PAGEREF _Toc231895853 \h </w:instrText>
        </w:r>
        <w:r w:rsidR="00C40B00">
          <w:rPr>
            <w:webHidden/>
          </w:rPr>
        </w:r>
        <w:r w:rsidR="00C40B00">
          <w:rPr>
            <w:webHidden/>
          </w:rPr>
          <w:fldChar w:fldCharType="separate"/>
        </w:r>
        <w:r w:rsidR="007D3DFF">
          <w:rPr>
            <w:webHidden/>
          </w:rPr>
          <w:t>86</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54" w:history="1">
        <w:r w:rsidR="00C40B00" w:rsidRPr="00D91759">
          <w:rPr>
            <w:rStyle w:val="Hyperlink"/>
          </w:rPr>
          <w:t>Figure 13</w:t>
        </w:r>
        <w:r w:rsidR="00C40B00">
          <w:rPr>
            <w:rFonts w:ascii="Calibri" w:eastAsia="Times New Roman" w:hAnsi="Calibri"/>
            <w:sz w:val="22"/>
            <w:szCs w:val="22"/>
            <w:lang w:eastAsia="en-AU"/>
          </w:rPr>
          <w:tab/>
        </w:r>
        <w:r w:rsidR="00C40B00" w:rsidRPr="00D91759">
          <w:rPr>
            <w:rStyle w:val="Hyperlink"/>
          </w:rPr>
          <w:t>Sensitivity analysis for cost-effectiveness ratios of automated LBC.</w:t>
        </w:r>
        <w:r w:rsidR="00C40B00">
          <w:rPr>
            <w:webHidden/>
          </w:rPr>
          <w:tab/>
        </w:r>
        <w:r w:rsidR="00C40B00">
          <w:rPr>
            <w:webHidden/>
          </w:rPr>
          <w:fldChar w:fldCharType="begin"/>
        </w:r>
        <w:r w:rsidR="00C40B00">
          <w:rPr>
            <w:webHidden/>
          </w:rPr>
          <w:instrText xml:space="preserve"> PAGEREF _Toc231895854 \h </w:instrText>
        </w:r>
        <w:r w:rsidR="00C40B00">
          <w:rPr>
            <w:webHidden/>
          </w:rPr>
        </w:r>
        <w:r w:rsidR="00C40B00">
          <w:rPr>
            <w:webHidden/>
          </w:rPr>
          <w:fldChar w:fldCharType="separate"/>
        </w:r>
        <w:r w:rsidR="007D3DFF">
          <w:rPr>
            <w:webHidden/>
          </w:rPr>
          <w:t>95</w:t>
        </w:r>
        <w:r w:rsidR="00C40B00">
          <w:rPr>
            <w:webHidden/>
          </w:rPr>
          <w:fldChar w:fldCharType="end"/>
        </w:r>
      </w:hyperlink>
    </w:p>
    <w:p w:rsidR="00C40B00" w:rsidRPr="00002AF9" w:rsidRDefault="00907149">
      <w:pPr>
        <w:pStyle w:val="TableofFigures"/>
        <w:rPr>
          <w:rFonts w:ascii="Calibri" w:eastAsia="Times New Roman" w:hAnsi="Calibri"/>
          <w:color w:val="000000"/>
          <w:sz w:val="22"/>
          <w:szCs w:val="22"/>
          <w:lang w:eastAsia="en-AU"/>
        </w:rPr>
      </w:pPr>
      <w:hyperlink w:anchor="_Toc231895855" w:history="1">
        <w:r w:rsidR="00C40B00" w:rsidRPr="00002AF9">
          <w:rPr>
            <w:rStyle w:val="Hyperlink"/>
            <w:color w:val="000000"/>
            <w:u w:val="none"/>
          </w:rPr>
          <w:t>Figure 14</w:t>
        </w:r>
        <w:r w:rsidR="00C40B00" w:rsidRPr="00002AF9">
          <w:rPr>
            <w:rFonts w:ascii="Calibri" w:eastAsia="Times New Roman" w:hAnsi="Calibri"/>
            <w:color w:val="000000"/>
            <w:sz w:val="22"/>
            <w:szCs w:val="22"/>
            <w:lang w:eastAsia="en-AU"/>
          </w:rPr>
          <w:tab/>
        </w:r>
        <w:r w:rsidR="00C40B00" w:rsidRPr="00002AF9">
          <w:rPr>
            <w:rStyle w:val="Hyperlink"/>
            <w:color w:val="000000"/>
            <w:u w:val="none"/>
          </w:rPr>
          <w:t>Sensitivity analysis for cost-effectiveness ratios of manual LBC (assuming $2.40 incremental cost for LBC).</w:t>
        </w:r>
        <w:r w:rsidR="00C40B00" w:rsidRPr="00002AF9">
          <w:rPr>
            <w:webHidden/>
            <w:color w:val="000000"/>
          </w:rPr>
          <w:tab/>
        </w:r>
        <w:r w:rsidR="00C40B00" w:rsidRPr="00002AF9">
          <w:rPr>
            <w:webHidden/>
            <w:color w:val="000000"/>
          </w:rPr>
          <w:fldChar w:fldCharType="begin"/>
        </w:r>
        <w:r w:rsidR="00C40B00" w:rsidRPr="00002AF9">
          <w:rPr>
            <w:webHidden/>
            <w:color w:val="000000"/>
          </w:rPr>
          <w:instrText xml:space="preserve"> PAGEREF _Toc231895855 \h </w:instrText>
        </w:r>
        <w:r w:rsidR="00C40B00" w:rsidRPr="00002AF9">
          <w:rPr>
            <w:webHidden/>
            <w:color w:val="000000"/>
          </w:rPr>
        </w:r>
        <w:r w:rsidR="00C40B00" w:rsidRPr="00002AF9">
          <w:rPr>
            <w:webHidden/>
            <w:color w:val="000000"/>
          </w:rPr>
          <w:fldChar w:fldCharType="separate"/>
        </w:r>
        <w:r w:rsidR="007D3DFF">
          <w:rPr>
            <w:webHidden/>
            <w:color w:val="000000"/>
          </w:rPr>
          <w:t>96</w:t>
        </w:r>
        <w:r w:rsidR="00C40B00" w:rsidRPr="00002AF9">
          <w:rPr>
            <w:webHidden/>
            <w:color w:val="000000"/>
          </w:rPr>
          <w:fldChar w:fldCharType="end"/>
        </w:r>
      </w:hyperlink>
    </w:p>
    <w:p w:rsidR="00C40B00" w:rsidRPr="00002AF9" w:rsidRDefault="00907149">
      <w:pPr>
        <w:pStyle w:val="TableofFigures"/>
        <w:rPr>
          <w:rFonts w:ascii="Calibri" w:eastAsia="Times New Roman" w:hAnsi="Calibri"/>
          <w:color w:val="000000"/>
          <w:sz w:val="22"/>
          <w:szCs w:val="22"/>
          <w:lang w:eastAsia="en-AU"/>
        </w:rPr>
      </w:pPr>
      <w:hyperlink r:id="rId14" w:anchor="_Toc231895856" w:history="1">
        <w:r w:rsidR="00C40B00" w:rsidRPr="00002AF9">
          <w:rPr>
            <w:rStyle w:val="Hyperlink"/>
            <w:color w:val="000000"/>
            <w:u w:val="none"/>
          </w:rPr>
          <w:t>Figure 15</w:t>
        </w:r>
        <w:r w:rsidR="00C40B00" w:rsidRPr="00002AF9">
          <w:rPr>
            <w:rFonts w:ascii="Calibri" w:eastAsia="Times New Roman" w:hAnsi="Calibri"/>
            <w:color w:val="000000"/>
            <w:sz w:val="22"/>
            <w:szCs w:val="22"/>
            <w:lang w:eastAsia="en-AU"/>
          </w:rPr>
          <w:tab/>
        </w:r>
        <w:r w:rsidR="00C40B00" w:rsidRPr="00002AF9">
          <w:rPr>
            <w:rStyle w:val="Hyperlink"/>
            <w:color w:val="000000"/>
            <w:u w:val="none"/>
          </w:rPr>
          <w:t>Clinical flowchart of cervical cytology testing</w:t>
        </w:r>
        <w:r w:rsidR="00C40B00" w:rsidRPr="00002AF9">
          <w:rPr>
            <w:webHidden/>
            <w:color w:val="000000"/>
          </w:rPr>
          <w:tab/>
        </w:r>
        <w:r w:rsidR="00C40B00" w:rsidRPr="00002AF9">
          <w:rPr>
            <w:webHidden/>
            <w:color w:val="000000"/>
          </w:rPr>
          <w:fldChar w:fldCharType="begin"/>
        </w:r>
        <w:r w:rsidR="00C40B00" w:rsidRPr="00002AF9">
          <w:rPr>
            <w:webHidden/>
            <w:color w:val="000000"/>
          </w:rPr>
          <w:instrText xml:space="preserve"> PAGEREF _Toc231895856 \h </w:instrText>
        </w:r>
        <w:r w:rsidR="00C40B00" w:rsidRPr="00002AF9">
          <w:rPr>
            <w:webHidden/>
            <w:color w:val="000000"/>
          </w:rPr>
          <w:fldChar w:fldCharType="separate"/>
        </w:r>
        <w:r w:rsidR="007D3DFF">
          <w:rPr>
            <w:b/>
            <w:bCs/>
            <w:webHidden/>
            <w:color w:val="000000"/>
            <w:lang w:val="en-US"/>
          </w:rPr>
          <w:t>Error! Bookmark not defined.</w:t>
        </w:r>
        <w:r w:rsidR="00C40B00" w:rsidRPr="00002AF9">
          <w:rPr>
            <w:webHidden/>
            <w:color w:val="000000"/>
          </w:rPr>
          <w:fldChar w:fldCharType="end"/>
        </w:r>
      </w:hyperlink>
    </w:p>
    <w:p w:rsidR="00C40B00" w:rsidRPr="00002AF9" w:rsidRDefault="00907149">
      <w:pPr>
        <w:pStyle w:val="TableofFigures"/>
        <w:rPr>
          <w:rFonts w:ascii="Calibri" w:eastAsia="Times New Roman" w:hAnsi="Calibri"/>
          <w:color w:val="000000"/>
          <w:sz w:val="22"/>
          <w:szCs w:val="22"/>
          <w:lang w:eastAsia="en-AU"/>
        </w:rPr>
      </w:pPr>
      <w:hyperlink r:id="rId15" w:anchor="_Toc231895857" w:history="1">
        <w:r w:rsidR="00C40B00" w:rsidRPr="00002AF9">
          <w:rPr>
            <w:rStyle w:val="Hyperlink"/>
            <w:color w:val="000000"/>
            <w:u w:val="none"/>
          </w:rPr>
          <w:t xml:space="preserve">Figure 16 </w:t>
        </w:r>
        <w:r w:rsidR="00C40B00" w:rsidRPr="00002AF9">
          <w:rPr>
            <w:rFonts w:ascii="Calibri" w:eastAsia="Times New Roman" w:hAnsi="Calibri"/>
            <w:color w:val="000000"/>
            <w:sz w:val="22"/>
            <w:szCs w:val="22"/>
            <w:lang w:eastAsia="en-AU"/>
          </w:rPr>
          <w:tab/>
        </w:r>
        <w:r w:rsidR="00C40B00" w:rsidRPr="00002AF9">
          <w:rPr>
            <w:rStyle w:val="Hyperlink"/>
            <w:color w:val="000000"/>
            <w:u w:val="none"/>
          </w:rPr>
          <w:t xml:space="preserve"> Management of participants testing positive in screening program.</w:t>
        </w:r>
        <w:r w:rsidR="00C40B00" w:rsidRPr="00002AF9">
          <w:rPr>
            <w:webHidden/>
            <w:color w:val="000000"/>
          </w:rPr>
          <w:tab/>
        </w:r>
        <w:r w:rsidR="00C40B00" w:rsidRPr="00002AF9">
          <w:rPr>
            <w:webHidden/>
            <w:color w:val="000000"/>
          </w:rPr>
          <w:fldChar w:fldCharType="begin"/>
        </w:r>
        <w:r w:rsidR="00C40B00" w:rsidRPr="00002AF9">
          <w:rPr>
            <w:webHidden/>
            <w:color w:val="000000"/>
          </w:rPr>
          <w:instrText xml:space="preserve"> PAGEREF _Toc231895857 \h </w:instrText>
        </w:r>
        <w:r w:rsidR="00C40B00" w:rsidRPr="00002AF9">
          <w:rPr>
            <w:webHidden/>
            <w:color w:val="000000"/>
          </w:rPr>
        </w:r>
        <w:r w:rsidR="00C40B00" w:rsidRPr="00002AF9">
          <w:rPr>
            <w:webHidden/>
            <w:color w:val="000000"/>
          </w:rPr>
          <w:fldChar w:fldCharType="separate"/>
        </w:r>
        <w:r w:rsidR="007D3DFF">
          <w:rPr>
            <w:webHidden/>
            <w:color w:val="000000"/>
          </w:rPr>
          <w:t>137</w:t>
        </w:r>
        <w:r w:rsidR="00C40B00" w:rsidRPr="00002AF9">
          <w:rPr>
            <w:webHidden/>
            <w:color w:val="000000"/>
          </w:rPr>
          <w:fldChar w:fldCharType="end"/>
        </w:r>
      </w:hyperlink>
    </w:p>
    <w:p w:rsidR="00C40B00" w:rsidRDefault="00907149">
      <w:pPr>
        <w:pStyle w:val="TableofFigures"/>
        <w:rPr>
          <w:rFonts w:ascii="Calibri" w:eastAsia="Times New Roman" w:hAnsi="Calibri"/>
          <w:sz w:val="22"/>
          <w:szCs w:val="22"/>
          <w:lang w:eastAsia="en-AU"/>
        </w:rPr>
      </w:pPr>
      <w:hyperlink w:anchor="_Toc231895858" w:history="1">
        <w:r w:rsidR="00C40B00" w:rsidRPr="00D91759">
          <w:rPr>
            <w:rStyle w:val="Hyperlink"/>
          </w:rPr>
          <w:t>Figure 17</w:t>
        </w:r>
        <w:r w:rsidR="00C40B00">
          <w:rPr>
            <w:rFonts w:ascii="Calibri" w:eastAsia="Times New Roman" w:hAnsi="Calibri"/>
            <w:sz w:val="22"/>
            <w:szCs w:val="22"/>
            <w:lang w:eastAsia="en-AU"/>
          </w:rPr>
          <w:tab/>
        </w:r>
        <w:r w:rsidR="00C40B00" w:rsidRPr="00D91759">
          <w:rPr>
            <w:rStyle w:val="Hyperlink"/>
          </w:rPr>
          <w:t xml:space="preserve">  Modelled cumulative proportion of women ever screened by age.</w:t>
        </w:r>
        <w:r w:rsidR="00C40B00">
          <w:rPr>
            <w:webHidden/>
          </w:rPr>
          <w:tab/>
        </w:r>
        <w:r w:rsidR="00C40B00">
          <w:rPr>
            <w:webHidden/>
          </w:rPr>
          <w:fldChar w:fldCharType="begin"/>
        </w:r>
        <w:r w:rsidR="00C40B00">
          <w:rPr>
            <w:webHidden/>
          </w:rPr>
          <w:instrText xml:space="preserve"> PAGEREF _Toc231895858 \h </w:instrText>
        </w:r>
        <w:r w:rsidR="00C40B00">
          <w:rPr>
            <w:webHidden/>
          </w:rPr>
        </w:r>
        <w:r w:rsidR="00C40B00">
          <w:rPr>
            <w:webHidden/>
          </w:rPr>
          <w:fldChar w:fldCharType="separate"/>
        </w:r>
        <w:r w:rsidR="007D3DFF">
          <w:rPr>
            <w:webHidden/>
          </w:rPr>
          <w:t>142</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59" w:history="1">
        <w:r w:rsidR="00C40B00" w:rsidRPr="00D91759">
          <w:rPr>
            <w:rStyle w:val="Hyperlink"/>
          </w:rPr>
          <w:t>Figure 18</w:t>
        </w:r>
        <w:r w:rsidR="00C40B00">
          <w:rPr>
            <w:rFonts w:ascii="Calibri" w:eastAsia="Times New Roman" w:hAnsi="Calibri"/>
            <w:sz w:val="22"/>
            <w:szCs w:val="22"/>
            <w:lang w:eastAsia="en-AU"/>
          </w:rPr>
          <w:tab/>
        </w:r>
        <w:r w:rsidR="00C40B00" w:rsidRPr="00D91759">
          <w:rPr>
            <w:rStyle w:val="Hyperlink"/>
          </w:rPr>
          <w:t>Management of a cytological prediction of possible or definite LSIL.</w:t>
        </w:r>
        <w:r w:rsidR="00C40B00">
          <w:rPr>
            <w:webHidden/>
          </w:rPr>
          <w:tab/>
        </w:r>
        <w:r w:rsidR="00C40B00">
          <w:rPr>
            <w:webHidden/>
          </w:rPr>
          <w:fldChar w:fldCharType="begin"/>
        </w:r>
        <w:r w:rsidR="00C40B00">
          <w:rPr>
            <w:webHidden/>
          </w:rPr>
          <w:instrText xml:space="preserve"> PAGEREF _Toc231895859 \h </w:instrText>
        </w:r>
        <w:r w:rsidR="00C40B00">
          <w:rPr>
            <w:webHidden/>
          </w:rPr>
        </w:r>
        <w:r w:rsidR="00C40B00">
          <w:rPr>
            <w:webHidden/>
          </w:rPr>
          <w:fldChar w:fldCharType="separate"/>
        </w:r>
        <w:r w:rsidR="007D3DFF">
          <w:rPr>
            <w:webHidden/>
          </w:rPr>
          <w:t>149</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60" w:history="1">
        <w:r w:rsidR="00C40B00" w:rsidRPr="00D91759">
          <w:rPr>
            <w:rStyle w:val="Hyperlink"/>
          </w:rPr>
          <w:t>Figure 19</w:t>
        </w:r>
        <w:r w:rsidR="00C40B00">
          <w:rPr>
            <w:rFonts w:ascii="Calibri" w:eastAsia="Times New Roman" w:hAnsi="Calibri"/>
            <w:sz w:val="22"/>
            <w:szCs w:val="22"/>
            <w:lang w:eastAsia="en-AU"/>
          </w:rPr>
          <w:tab/>
        </w:r>
        <w:r w:rsidR="00C40B00" w:rsidRPr="00D91759">
          <w:rPr>
            <w:rStyle w:val="Hyperlink"/>
          </w:rPr>
          <w:t>Management of women with surgical cytology predicting possible high-grade squamous lesions.</w:t>
        </w:r>
        <w:r w:rsidR="00C40B00">
          <w:rPr>
            <w:webHidden/>
          </w:rPr>
          <w:tab/>
        </w:r>
        <w:r w:rsidR="00C40B00">
          <w:rPr>
            <w:webHidden/>
          </w:rPr>
          <w:fldChar w:fldCharType="begin"/>
        </w:r>
        <w:r w:rsidR="00C40B00">
          <w:rPr>
            <w:webHidden/>
          </w:rPr>
          <w:instrText xml:space="preserve"> PAGEREF _Toc231895860 \h </w:instrText>
        </w:r>
        <w:r w:rsidR="00C40B00">
          <w:rPr>
            <w:webHidden/>
          </w:rPr>
        </w:r>
        <w:r w:rsidR="00C40B00">
          <w:rPr>
            <w:webHidden/>
          </w:rPr>
          <w:fldChar w:fldCharType="separate"/>
        </w:r>
        <w:r w:rsidR="007D3DFF">
          <w:rPr>
            <w:webHidden/>
          </w:rPr>
          <w:t>151</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61" w:history="1">
        <w:r w:rsidR="00C40B00" w:rsidRPr="00D91759">
          <w:rPr>
            <w:rStyle w:val="Hyperlink"/>
          </w:rPr>
          <w:t>Figure 20  Age-specific test accuracy (sensitivity and specificity) of HPV triage for detection of CIN 2+ in women with pLSIL or dLSIL cytology.</w:t>
        </w:r>
        <w:r w:rsidR="00C40B00">
          <w:rPr>
            <w:webHidden/>
          </w:rPr>
          <w:tab/>
        </w:r>
        <w:r w:rsidR="00C40B00">
          <w:rPr>
            <w:webHidden/>
          </w:rPr>
          <w:fldChar w:fldCharType="begin"/>
        </w:r>
        <w:r w:rsidR="00C40B00">
          <w:rPr>
            <w:webHidden/>
          </w:rPr>
          <w:instrText xml:space="preserve"> PAGEREF _Toc231895861 \h </w:instrText>
        </w:r>
        <w:r w:rsidR="00C40B00">
          <w:rPr>
            <w:webHidden/>
          </w:rPr>
        </w:r>
        <w:r w:rsidR="00C40B00">
          <w:rPr>
            <w:webHidden/>
          </w:rPr>
          <w:fldChar w:fldCharType="separate"/>
        </w:r>
        <w:r w:rsidR="007D3DFF">
          <w:rPr>
            <w:webHidden/>
          </w:rPr>
          <w:t>161</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62" w:history="1">
        <w:r w:rsidR="00C40B00" w:rsidRPr="00D91759">
          <w:rPr>
            <w:rStyle w:val="Hyperlink"/>
          </w:rPr>
          <w:t>Figure 21</w:t>
        </w:r>
        <w:r w:rsidR="00C40B00">
          <w:rPr>
            <w:rFonts w:ascii="Calibri" w:eastAsia="Times New Roman" w:hAnsi="Calibri"/>
            <w:sz w:val="22"/>
            <w:szCs w:val="22"/>
            <w:lang w:eastAsia="en-AU"/>
          </w:rPr>
          <w:tab/>
        </w:r>
        <w:r w:rsidR="00C40B00" w:rsidRPr="00D91759">
          <w:rPr>
            <w:rStyle w:val="Hyperlink"/>
          </w:rPr>
          <w:t xml:space="preserve"> Age-specific percentages of women testing positive in HPV triage for pLSIL and dLSIL cytology.</w:t>
        </w:r>
        <w:r w:rsidR="00C40B00">
          <w:rPr>
            <w:webHidden/>
          </w:rPr>
          <w:tab/>
        </w:r>
        <w:r w:rsidR="00C40B00">
          <w:rPr>
            <w:webHidden/>
          </w:rPr>
          <w:fldChar w:fldCharType="begin"/>
        </w:r>
        <w:r w:rsidR="00C40B00">
          <w:rPr>
            <w:webHidden/>
          </w:rPr>
          <w:instrText xml:space="preserve"> PAGEREF _Toc231895862 \h </w:instrText>
        </w:r>
        <w:r w:rsidR="00C40B00">
          <w:rPr>
            <w:webHidden/>
          </w:rPr>
        </w:r>
        <w:r w:rsidR="00C40B00">
          <w:rPr>
            <w:webHidden/>
          </w:rPr>
          <w:fldChar w:fldCharType="separate"/>
        </w:r>
        <w:r w:rsidR="007D3DFF">
          <w:rPr>
            <w:webHidden/>
          </w:rPr>
          <w:t>162</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63" w:history="1">
        <w:r w:rsidR="00C40B00" w:rsidRPr="00D91759">
          <w:rPr>
            <w:rStyle w:val="Hyperlink"/>
          </w:rPr>
          <w:t>Figure 22</w:t>
        </w:r>
        <w:r w:rsidR="00C40B00">
          <w:rPr>
            <w:rFonts w:ascii="Calibri" w:eastAsia="Times New Roman" w:hAnsi="Calibri"/>
            <w:sz w:val="22"/>
            <w:szCs w:val="22"/>
            <w:lang w:eastAsia="en-AU"/>
          </w:rPr>
          <w:tab/>
        </w:r>
        <w:r w:rsidR="00C40B00" w:rsidRPr="00D91759">
          <w:rPr>
            <w:rStyle w:val="Hyperlink"/>
          </w:rPr>
          <w:t xml:space="preserve">  Test characteristics associated with cytology in different populations (screening and colposcopy-referred populations).</w:t>
        </w:r>
        <w:r w:rsidR="00C40B00">
          <w:rPr>
            <w:webHidden/>
          </w:rPr>
          <w:tab/>
        </w:r>
        <w:r w:rsidR="00C40B00">
          <w:rPr>
            <w:webHidden/>
          </w:rPr>
          <w:fldChar w:fldCharType="begin"/>
        </w:r>
        <w:r w:rsidR="00C40B00">
          <w:rPr>
            <w:webHidden/>
          </w:rPr>
          <w:instrText xml:space="preserve"> PAGEREF _Toc231895863 \h </w:instrText>
        </w:r>
        <w:r w:rsidR="00C40B00">
          <w:rPr>
            <w:webHidden/>
          </w:rPr>
        </w:r>
        <w:r w:rsidR="00C40B00">
          <w:rPr>
            <w:webHidden/>
          </w:rPr>
          <w:fldChar w:fldCharType="separate"/>
        </w:r>
        <w:r w:rsidR="007D3DFF">
          <w:rPr>
            <w:webHidden/>
          </w:rPr>
          <w:t>166</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64" w:history="1">
        <w:r w:rsidR="00C40B00" w:rsidRPr="00D91759">
          <w:rPr>
            <w:rStyle w:val="Hyperlink"/>
          </w:rPr>
          <w:t>Figure 23</w:t>
        </w:r>
        <w:r w:rsidR="00C40B00">
          <w:rPr>
            <w:rFonts w:ascii="Calibri" w:eastAsia="Times New Roman" w:hAnsi="Calibri"/>
            <w:sz w:val="22"/>
            <w:szCs w:val="22"/>
            <w:lang w:eastAsia="en-AU"/>
          </w:rPr>
          <w:tab/>
        </w:r>
        <w:r w:rsidR="00C40B00" w:rsidRPr="00D91759">
          <w:rPr>
            <w:rStyle w:val="Hyperlink"/>
          </w:rPr>
          <w:t xml:space="preserve">  Summary ROCs obtained via Method 2, compared to that described in Arbyn et al.</w:t>
        </w:r>
        <w:r w:rsidR="00C40B00">
          <w:rPr>
            <w:webHidden/>
          </w:rPr>
          <w:tab/>
        </w:r>
        <w:r w:rsidR="00C40B00">
          <w:rPr>
            <w:webHidden/>
          </w:rPr>
          <w:fldChar w:fldCharType="begin"/>
        </w:r>
        <w:r w:rsidR="00C40B00">
          <w:rPr>
            <w:webHidden/>
          </w:rPr>
          <w:instrText xml:space="preserve"> PAGEREF _Toc231895864 \h </w:instrText>
        </w:r>
        <w:r w:rsidR="00C40B00">
          <w:rPr>
            <w:webHidden/>
          </w:rPr>
        </w:r>
        <w:r w:rsidR="00C40B00">
          <w:rPr>
            <w:webHidden/>
          </w:rPr>
          <w:fldChar w:fldCharType="separate"/>
        </w:r>
        <w:r w:rsidR="007D3DFF">
          <w:rPr>
            <w:webHidden/>
          </w:rPr>
          <w:t>167</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65" w:history="1">
        <w:r w:rsidR="00C40B00" w:rsidRPr="00D91759">
          <w:rPr>
            <w:rStyle w:val="Hyperlink"/>
          </w:rPr>
          <w:t>Figure 24</w:t>
        </w:r>
        <w:r w:rsidR="00C40B00">
          <w:rPr>
            <w:rFonts w:ascii="Calibri" w:eastAsia="Times New Roman" w:hAnsi="Calibri"/>
            <w:sz w:val="22"/>
            <w:szCs w:val="22"/>
            <w:lang w:eastAsia="en-AU"/>
          </w:rPr>
          <w:tab/>
        </w:r>
        <w:r w:rsidR="00C40B00" w:rsidRPr="00D91759">
          <w:rPr>
            <w:rStyle w:val="Hyperlink"/>
          </w:rPr>
          <w:t xml:space="preserve">  SROC obtained via Method 3, compared to that described in Arbyn et al.</w:t>
        </w:r>
        <w:r w:rsidR="00C40B00">
          <w:rPr>
            <w:webHidden/>
          </w:rPr>
          <w:tab/>
        </w:r>
        <w:r w:rsidR="00C40B00">
          <w:rPr>
            <w:webHidden/>
          </w:rPr>
          <w:fldChar w:fldCharType="begin"/>
        </w:r>
        <w:r w:rsidR="00C40B00">
          <w:rPr>
            <w:webHidden/>
          </w:rPr>
          <w:instrText xml:space="preserve"> PAGEREF _Toc231895865 \h </w:instrText>
        </w:r>
        <w:r w:rsidR="00C40B00">
          <w:rPr>
            <w:webHidden/>
          </w:rPr>
        </w:r>
        <w:r w:rsidR="00C40B00">
          <w:rPr>
            <w:webHidden/>
          </w:rPr>
          <w:fldChar w:fldCharType="separate"/>
        </w:r>
        <w:r w:rsidR="007D3DFF">
          <w:rPr>
            <w:webHidden/>
          </w:rPr>
          <w:t>168</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66" w:history="1">
        <w:r w:rsidR="00C40B00" w:rsidRPr="00D91759">
          <w:rPr>
            <w:rStyle w:val="Hyperlink"/>
          </w:rPr>
          <w:t>Figure 25</w:t>
        </w:r>
        <w:r w:rsidR="00C40B00">
          <w:rPr>
            <w:rFonts w:ascii="Calibri" w:eastAsia="Times New Roman" w:hAnsi="Calibri"/>
            <w:sz w:val="22"/>
            <w:szCs w:val="22"/>
            <w:lang w:eastAsia="en-AU"/>
          </w:rPr>
          <w:tab/>
        </w:r>
        <w:r w:rsidR="00C40B00" w:rsidRPr="00D91759">
          <w:rPr>
            <w:rStyle w:val="Hyperlink"/>
          </w:rPr>
          <w:t>SROC for Method 4, compared to that described in Arbyn et al.</w:t>
        </w:r>
        <w:r w:rsidR="00C40B00">
          <w:rPr>
            <w:webHidden/>
          </w:rPr>
          <w:tab/>
        </w:r>
        <w:r w:rsidR="00C40B00">
          <w:rPr>
            <w:webHidden/>
          </w:rPr>
          <w:fldChar w:fldCharType="begin"/>
        </w:r>
        <w:r w:rsidR="00C40B00">
          <w:rPr>
            <w:webHidden/>
          </w:rPr>
          <w:instrText xml:space="preserve"> PAGEREF _Toc231895866 \h </w:instrText>
        </w:r>
        <w:r w:rsidR="00C40B00">
          <w:rPr>
            <w:webHidden/>
          </w:rPr>
        </w:r>
        <w:r w:rsidR="00C40B00">
          <w:rPr>
            <w:webHidden/>
          </w:rPr>
          <w:fldChar w:fldCharType="separate"/>
        </w:r>
        <w:r w:rsidR="007D3DFF">
          <w:rPr>
            <w:webHidden/>
          </w:rPr>
          <w:t>169</w:t>
        </w:r>
        <w:r w:rsidR="00C40B00">
          <w:rPr>
            <w:webHidden/>
          </w:rPr>
          <w:fldChar w:fldCharType="end"/>
        </w:r>
      </w:hyperlink>
    </w:p>
    <w:p w:rsidR="00C40B00" w:rsidRDefault="00907149">
      <w:pPr>
        <w:pStyle w:val="TableofFigures"/>
        <w:rPr>
          <w:rFonts w:ascii="Calibri" w:eastAsia="Times New Roman" w:hAnsi="Calibri"/>
          <w:sz w:val="22"/>
          <w:szCs w:val="22"/>
          <w:lang w:eastAsia="en-AU"/>
        </w:rPr>
      </w:pPr>
      <w:hyperlink w:anchor="_Toc231895867" w:history="1">
        <w:r w:rsidR="00C40B00" w:rsidRPr="00D91759">
          <w:rPr>
            <w:rStyle w:val="Hyperlink"/>
          </w:rPr>
          <w:t>Figure 26</w:t>
        </w:r>
        <w:r w:rsidR="00C40B00">
          <w:rPr>
            <w:rFonts w:ascii="Calibri" w:eastAsia="Times New Roman" w:hAnsi="Calibri"/>
            <w:sz w:val="22"/>
            <w:szCs w:val="22"/>
            <w:lang w:eastAsia="en-AU"/>
          </w:rPr>
          <w:tab/>
        </w:r>
        <w:r w:rsidR="00C40B00" w:rsidRPr="00D91759">
          <w:rPr>
            <w:rStyle w:val="Hyperlink"/>
          </w:rPr>
          <w:t>SROC for Methods 5 &amp; 6 compared to that described in Arbyn et al.</w:t>
        </w:r>
        <w:r w:rsidR="00C40B00">
          <w:rPr>
            <w:webHidden/>
          </w:rPr>
          <w:tab/>
        </w:r>
        <w:r w:rsidR="00C40B00">
          <w:rPr>
            <w:webHidden/>
          </w:rPr>
          <w:fldChar w:fldCharType="begin"/>
        </w:r>
        <w:r w:rsidR="00C40B00">
          <w:rPr>
            <w:webHidden/>
          </w:rPr>
          <w:instrText xml:space="preserve"> PAGEREF _Toc231895867 \h </w:instrText>
        </w:r>
        <w:r w:rsidR="00C40B00">
          <w:rPr>
            <w:webHidden/>
          </w:rPr>
        </w:r>
        <w:r w:rsidR="00C40B00">
          <w:rPr>
            <w:webHidden/>
          </w:rPr>
          <w:fldChar w:fldCharType="separate"/>
        </w:r>
        <w:r w:rsidR="007D3DFF">
          <w:rPr>
            <w:webHidden/>
          </w:rPr>
          <w:t>169</w:t>
        </w:r>
        <w:r w:rsidR="00C40B00">
          <w:rPr>
            <w:webHidden/>
          </w:rPr>
          <w:fldChar w:fldCharType="end"/>
        </w:r>
      </w:hyperlink>
    </w:p>
    <w:p w:rsidR="00234376" w:rsidRPr="00537C3C" w:rsidRDefault="00234376">
      <w:r w:rsidRPr="00537C3C">
        <w:fldChar w:fldCharType="end"/>
      </w:r>
    </w:p>
    <w:p w:rsidR="00234376" w:rsidRPr="00537C3C" w:rsidRDefault="00234376">
      <w:pPr>
        <w:pStyle w:val="Heading1"/>
        <w:tabs>
          <w:tab w:val="left" w:pos="8931"/>
        </w:tabs>
        <w:ind w:left="0"/>
      </w:pPr>
      <w:bookmarkStart w:id="1" w:name="_Toc451749498"/>
      <w:bookmarkStart w:id="2" w:name="_Toc95971053"/>
      <w:bookmarkStart w:id="3" w:name="_Toc241658152"/>
      <w:r w:rsidRPr="00537C3C">
        <w:lastRenderedPageBreak/>
        <w:t>Executive summary</w:t>
      </w:r>
      <w:bookmarkEnd w:id="1"/>
      <w:bookmarkEnd w:id="2"/>
      <w:bookmarkEnd w:id="3"/>
    </w:p>
    <w:p w:rsidR="00234376" w:rsidRPr="00537C3C" w:rsidRDefault="00234376" w:rsidP="008E03A7">
      <w:pPr>
        <w:pStyle w:val="Heading2a"/>
        <w:ind w:left="0"/>
      </w:pPr>
      <w:r w:rsidRPr="00537C3C">
        <w:t>The procedure</w:t>
      </w:r>
    </w:p>
    <w:p w:rsidR="00234376" w:rsidRPr="00B94BF8" w:rsidRDefault="00234376" w:rsidP="008E03A7">
      <w:pPr>
        <w:rPr>
          <w:snapToGrid w:val="0"/>
        </w:rPr>
      </w:pPr>
      <w:r w:rsidRPr="00B94BF8">
        <w:rPr>
          <w:snapToGrid w:val="0"/>
        </w:rPr>
        <w:t xml:space="preserve">In </w:t>
      </w:r>
      <w:smartTag w:uri="urn:schemas-microsoft-com:office:smarttags" w:element="place">
        <w:smartTag w:uri="urn:schemas-microsoft-com:office:smarttags" w:element="country-region">
          <w:r w:rsidRPr="00B94BF8">
            <w:rPr>
              <w:snapToGrid w:val="0"/>
            </w:rPr>
            <w:t>Australia</w:t>
          </w:r>
        </w:smartTag>
      </w:smartTag>
      <w:r w:rsidRPr="00B94BF8">
        <w:rPr>
          <w:snapToGrid w:val="0"/>
        </w:rPr>
        <w:t xml:space="preserve">, cervical cytology is conventionally undertaken using the Pap smear test. This involves the collection of cells from the uterine cervix. Cells are collected from the cervix using a small </w:t>
      </w:r>
      <w:bookmarkStart w:id="4" w:name="OLE_LINK54"/>
      <w:bookmarkStart w:id="5" w:name="OLE_LINK55"/>
      <w:r w:rsidRPr="00B94BF8">
        <w:rPr>
          <w:snapToGrid w:val="0"/>
        </w:rPr>
        <w:t>cytobrush</w:t>
      </w:r>
      <w:bookmarkEnd w:id="4"/>
      <w:bookmarkEnd w:id="5"/>
      <w:r w:rsidRPr="00B94BF8">
        <w:rPr>
          <w:snapToGrid w:val="0"/>
        </w:rPr>
        <w:t xml:space="preserve">/broom or spatula and smeared onto a glass slide for examination under the microscope by a cytologist. </w:t>
      </w:r>
      <w:r w:rsidRPr="00B94BF8">
        <w:t xml:space="preserve">Cytological abnormalities are classified using the </w:t>
      </w:r>
      <w:bookmarkStart w:id="6" w:name="OLE_LINK548"/>
      <w:bookmarkStart w:id="7" w:name="OLE_LINK549"/>
      <w:r w:rsidRPr="00B94BF8">
        <w:t>Australian Modified Bethesda System</w:t>
      </w:r>
      <w:bookmarkEnd w:id="6"/>
      <w:bookmarkEnd w:id="7"/>
      <w:r w:rsidRPr="00B94BF8">
        <w:t xml:space="preserve"> (</w:t>
      </w:r>
      <w:bookmarkStart w:id="8" w:name="OLE_LINK56"/>
      <w:bookmarkStart w:id="9" w:name="OLE_LINK57"/>
      <w:r w:rsidRPr="00B94BF8">
        <w:t>AMBS</w:t>
      </w:r>
      <w:bookmarkEnd w:id="8"/>
      <w:bookmarkEnd w:id="9"/>
      <w:r w:rsidRPr="00B94BF8">
        <w:t xml:space="preserve">) as high-grade </w:t>
      </w:r>
      <w:bookmarkStart w:id="10" w:name="OLE_LINK550"/>
      <w:bookmarkStart w:id="11" w:name="OLE_LINK551"/>
      <w:bookmarkStart w:id="12" w:name="OLE_LINK578"/>
      <w:r w:rsidRPr="00B94BF8">
        <w:t>squamous intraepithelial lesion</w:t>
      </w:r>
      <w:bookmarkEnd w:id="10"/>
      <w:bookmarkEnd w:id="11"/>
      <w:bookmarkEnd w:id="12"/>
      <w:r w:rsidRPr="00B94BF8">
        <w:t>s (</w:t>
      </w:r>
      <w:bookmarkStart w:id="13" w:name="OLE_LINK58"/>
      <w:bookmarkStart w:id="14" w:name="OLE_LINK59"/>
      <w:r w:rsidRPr="00B94BF8">
        <w:t>HSIL</w:t>
      </w:r>
      <w:bookmarkEnd w:id="13"/>
      <w:bookmarkEnd w:id="14"/>
      <w:r w:rsidRPr="00B94BF8">
        <w:t>), possible HSIL (pHSIL), low-grade squamous intraepithelial lesions (</w:t>
      </w:r>
      <w:bookmarkStart w:id="15" w:name="OLE_LINK60"/>
      <w:bookmarkStart w:id="16" w:name="OLE_LINK61"/>
      <w:r w:rsidRPr="00B94BF8">
        <w:t>LSIL</w:t>
      </w:r>
      <w:bookmarkEnd w:id="15"/>
      <w:bookmarkEnd w:id="16"/>
      <w:r w:rsidRPr="00B94BF8">
        <w:t>) or possible LSIL (</w:t>
      </w:r>
      <w:bookmarkStart w:id="17" w:name="OLE_LINK62"/>
      <w:bookmarkStart w:id="18" w:name="OLE_LINK63"/>
      <w:r w:rsidRPr="00B94BF8">
        <w:t>pLSIL</w:t>
      </w:r>
      <w:bookmarkEnd w:id="17"/>
      <w:bookmarkEnd w:id="18"/>
      <w:r w:rsidRPr="00B94BF8">
        <w:t>).</w:t>
      </w:r>
    </w:p>
    <w:p w:rsidR="00234376" w:rsidRPr="0098213C" w:rsidRDefault="00234376" w:rsidP="008E03A7">
      <w:bookmarkStart w:id="19" w:name="OLE_LINK552"/>
      <w:bookmarkStart w:id="20" w:name="OLE_LINK553"/>
      <w:r w:rsidRPr="00B94BF8">
        <w:t>Liquid-based cytology</w:t>
      </w:r>
      <w:bookmarkEnd w:id="19"/>
      <w:bookmarkEnd w:id="20"/>
      <w:r w:rsidRPr="00B94BF8">
        <w:t xml:space="preserve"> (</w:t>
      </w:r>
      <w:bookmarkStart w:id="21" w:name="OLE_LINK64"/>
      <w:bookmarkStart w:id="22" w:name="OLE_LINK65"/>
      <w:r w:rsidRPr="00B94BF8">
        <w:t>LBC</w:t>
      </w:r>
      <w:bookmarkEnd w:id="21"/>
      <w:bookmarkEnd w:id="22"/>
      <w:r w:rsidRPr="00B94BF8">
        <w:t xml:space="preserve">) involves collection of cervical cells in a similar way as for conventional Pap, but the head of the brush, broom or spatula is rinsed into a vial of liquid to produce a cell suspension. The cell sample is treated to remove other material, such as blood and mucus, so that a thin layer of cervical cells can be placed on a slide for microscopic examination. Automated cytology refers to the use of a computer imager to scan slides prepared </w:t>
      </w:r>
      <w:r w:rsidRPr="0098213C">
        <w:t xml:space="preserve">using LBC or conventional techniques. The Two systems of automated LBC slide reading are marketed in </w:t>
      </w:r>
      <w:smartTag w:uri="urn:schemas-microsoft-com:office:smarttags" w:element="place">
        <w:smartTag w:uri="urn:schemas-microsoft-com:office:smarttags" w:element="country-region">
          <w:r w:rsidRPr="0098213C">
            <w:t>Australia</w:t>
          </w:r>
        </w:smartTag>
      </w:smartTag>
      <w:r w:rsidRPr="0098213C">
        <w:t xml:space="preserve">, the </w:t>
      </w:r>
      <w:bookmarkStart w:id="23" w:name="OLE_LINK66"/>
      <w:bookmarkStart w:id="24" w:name="OLE_LINK67"/>
      <w:r w:rsidRPr="0098213C">
        <w:t>ThinPrep</w:t>
      </w:r>
      <w:bookmarkEnd w:id="23"/>
      <w:bookmarkEnd w:id="24"/>
      <w:r w:rsidRPr="0098213C">
        <w:rPr>
          <w:vertAlign w:val="superscript"/>
        </w:rPr>
        <w:t>®</w:t>
      </w:r>
      <w:r w:rsidRPr="0098213C">
        <w:t xml:space="preserve"> Imager [</w:t>
      </w:r>
      <w:bookmarkStart w:id="25" w:name="OLE_LINK68"/>
      <w:bookmarkStart w:id="26" w:name="OLE_LINK69"/>
      <w:r w:rsidRPr="0098213C">
        <w:t xml:space="preserve">Cytyc </w:t>
      </w:r>
      <w:bookmarkEnd w:id="25"/>
      <w:bookmarkEnd w:id="26"/>
      <w:r w:rsidRPr="0098213C">
        <w:t xml:space="preserve">Pty Ltd] and the </w:t>
      </w:r>
      <w:bookmarkStart w:id="27" w:name="OLE_LINK70"/>
      <w:bookmarkStart w:id="28" w:name="OLE_LINK71"/>
      <w:bookmarkStart w:id="29" w:name="OLE_LINK640"/>
      <w:bookmarkStart w:id="30" w:name="OLE_LINK641"/>
      <w:r w:rsidRPr="0098213C">
        <w:t xml:space="preserve">FocalPoint </w:t>
      </w:r>
      <w:bookmarkEnd w:id="27"/>
      <w:bookmarkEnd w:id="28"/>
      <w:r w:rsidRPr="0098213C">
        <w:t xml:space="preserve">Imaging System [Becton Dickinson </w:t>
      </w:r>
      <w:bookmarkEnd w:id="29"/>
      <w:bookmarkEnd w:id="30"/>
      <w:r w:rsidR="00427841">
        <w:t>Pty Ltd]. These sy</w:t>
      </w:r>
      <w:r w:rsidRPr="0098213C">
        <w:t>stems are used to direct cytologists to the areas on the slide most likely to contain abnormal cells.</w:t>
      </w:r>
    </w:p>
    <w:p w:rsidR="00234376" w:rsidRPr="0098213C" w:rsidRDefault="00234376" w:rsidP="008E03A7">
      <w:pPr>
        <w:pStyle w:val="Heading2a"/>
        <w:ind w:left="0"/>
      </w:pPr>
      <w:r w:rsidRPr="0098213C">
        <w:t>Medical Services Advisory Committee—role and approach</w:t>
      </w:r>
    </w:p>
    <w:p w:rsidR="00234376" w:rsidRPr="0098213C" w:rsidRDefault="00234376" w:rsidP="008E03A7">
      <w:r w:rsidRPr="0098213C">
        <w:t xml:space="preserve">The Medical Services Advisory Committee (MSAC) was established by the Australian Government to strengthen the role of evidence in health financing decisions in </w:t>
      </w:r>
      <w:smartTag w:uri="urn:schemas-microsoft-com:office:smarttags" w:element="place">
        <w:smartTag w:uri="urn:schemas-microsoft-com:office:smarttags" w:element="country-region">
          <w:r w:rsidRPr="0098213C">
            <w:t>Australia</w:t>
          </w:r>
        </w:smartTag>
      </w:smartTag>
      <w:r w:rsidRPr="0098213C">
        <w:t>. MSAC advises the Australian Government Minister for Health and Ageing on the evidence relating to the safety, effectiveness and cost-effectiveness of new and existing medical technologies and procedures, and under what circumstances public funding should be supported.</w:t>
      </w:r>
    </w:p>
    <w:p w:rsidR="00234376" w:rsidRPr="0098213C" w:rsidRDefault="00234376" w:rsidP="008E03A7">
      <w:r w:rsidRPr="0098213C">
        <w:t xml:space="preserve">A rigorous assessment of the available evidence is thus the basis of decision making when funding is sought under Medicare. A team from the NHMRC Clinical Trials Centre was engaged to conduct a systematic review of the literature and an economic evaluation of automation-assisted and liquid-based cytology for cervical cancer screening. This evaluation was conducted in collaboration with researchers from the NSW Cancer Council and the </w:t>
      </w:r>
      <w:smartTag w:uri="urn:schemas-microsoft-com:office:smarttags" w:element="place">
        <w:smartTag w:uri="urn:schemas-microsoft-com:office:smarttags" w:element="PlaceType">
          <w:r w:rsidRPr="0098213C">
            <w:t>University</w:t>
          </w:r>
        </w:smartTag>
        <w:r w:rsidRPr="0098213C">
          <w:t xml:space="preserve"> of </w:t>
        </w:r>
        <w:smartTag w:uri="urn:schemas-microsoft-com:office:smarttags" w:element="PlaceName">
          <w:r w:rsidRPr="0098213C">
            <w:t>Sydney</w:t>
          </w:r>
        </w:smartTag>
      </w:smartTag>
      <w:r w:rsidRPr="0098213C">
        <w:t>’s Screening and Test Evaluation Program. An advisory panel with expertise in this area then evaluated the evidence presented and provided advice to MSAC.</w:t>
      </w:r>
    </w:p>
    <w:p w:rsidR="00234376" w:rsidRPr="0098213C" w:rsidRDefault="00234376" w:rsidP="008E03A7">
      <w:pPr>
        <w:pStyle w:val="Heading2a"/>
        <w:ind w:left="0"/>
      </w:pPr>
      <w:r w:rsidRPr="0098213C">
        <w:t>MSAC’s assessment</w:t>
      </w:r>
    </w:p>
    <w:p w:rsidR="00234376" w:rsidRPr="0098213C" w:rsidRDefault="00234376" w:rsidP="008E03A7">
      <w:r w:rsidRPr="0098213C">
        <w:t xml:space="preserve">This report considers evidence published since the previous reviews of liquid-based and automation-assisted cervical cancer screening </w:t>
      </w:r>
      <w:r w:rsidRPr="0098213C">
        <w:fldChar w:fldCharType="begin"/>
      </w:r>
      <w:r w:rsidRPr="0098213C">
        <w:instrText xml:space="preserve"> ADDIN REFMGR.CITE &lt;Refman&gt;&lt;Cite&gt;&lt;Author&gt;Medical Services Advisory Committee&lt;/Author&gt;&lt;Year&gt;2002&lt;/Year&gt;&lt;RecNum&gt;2850&lt;/RecNum&gt;&lt;IDText&gt;Liquid based cytology for cervical screening&lt;/IDText&gt;&lt;MDL Ref_Type="Report"&gt;&lt;Ref_Type&gt;Report&lt;/Ref_Type&gt;&lt;Ref_ID&gt;2850&lt;/Ref_ID&gt;&lt;Title_Primary&gt;Liquid based cytology for cervical screening&lt;/Title_Primary&gt;&lt;Authors_Primary&gt;Medical Services Advisory Committee&lt;/Authors_Primary&gt;&lt;Date_Primary&gt;2002&lt;/Date_Primary&gt;&lt;Reprint&gt;In File&lt;/Reprint&gt;&lt;Volume&gt;Reference 12a&lt;/Volume&gt;&lt;Pub_Place&gt;Canberra&lt;/Pub_Place&gt;&lt;Publisher&gt;Commonwealth of Australia&lt;/Publisher&gt;&lt;Web_URL&gt;&lt;u&gt;www.msac.gov.au&lt;/u&gt;&lt;/Web_URL&gt;&lt;ZZ_WorkformID&gt;24&lt;/ZZ_WorkformID&gt;&lt;/MDL&gt;&lt;/Cite&gt;&lt;Cite&gt;&lt;Author&gt;Medical Services Advisory Committee&lt;/Author&gt;&lt;Year&gt;2003&lt;/Year&gt;&lt;RecNum&gt;2851&lt;/RecNum&gt;&lt;IDText&gt;Computer-assisted image analysis for cervical screening&lt;/IDText&gt;&lt;MDL Ref_Type="Report"&gt;&lt;Ref_Type&gt;Report&lt;/Ref_Type&gt;&lt;Ref_ID&gt;2851&lt;/Ref_ID&gt;&lt;Title_Primary&gt;Computer-assisted image analysis for cervical screening&lt;/Title_Primary&gt;&lt;Authors_Primary&gt;Medical Services Advisory Committee&lt;/Authors_Primary&gt;&lt;Date_Primary&gt;2003&lt;/Date_Primary&gt;&lt;Reprint&gt;In File&lt;/Reprint&gt;&lt;Volume&gt;Reference 12c&lt;/Volume&gt;&lt;Pub_Place&gt;Canberra&lt;/Pub_Place&gt;&lt;Publisher&gt;Commonwealth of Australia&lt;/Publisher&gt;&lt;Web_URL&gt;&lt;u&gt;www.msac.gov.au&lt;/u&gt;&lt;/Web_URL&gt;&lt;ZZ_WorkformID&gt;24&lt;/ZZ_WorkformID&gt;&lt;/MDL&gt;&lt;/Cite&gt;&lt;/Refman&gt;</w:instrText>
      </w:r>
      <w:r w:rsidRPr="0098213C">
        <w:fldChar w:fldCharType="separate"/>
      </w:r>
      <w:r w:rsidRPr="0098213C">
        <w:t>(Medical Services Advisory Committee 2002b; Medical Services Advisory Committee 2003)</w:t>
      </w:r>
      <w:r w:rsidRPr="0098213C">
        <w:fldChar w:fldCharType="end"/>
      </w:r>
      <w:r w:rsidRPr="0098213C">
        <w:t>.</w:t>
      </w:r>
    </w:p>
    <w:p w:rsidR="004A24EE" w:rsidRDefault="004A24EE" w:rsidP="008E03A7"/>
    <w:p w:rsidR="00234376" w:rsidRPr="0098213C" w:rsidRDefault="00234376" w:rsidP="008E03A7">
      <w:r w:rsidRPr="0098213C">
        <w:t>The primary research question for this review was:</w:t>
      </w:r>
    </w:p>
    <w:p w:rsidR="00234376" w:rsidRPr="0098213C" w:rsidRDefault="00234376" w:rsidP="008E03A7">
      <w:pPr>
        <w:numPr>
          <w:ilvl w:val="0"/>
          <w:numId w:val="13"/>
        </w:numPr>
      </w:pPr>
      <w:r w:rsidRPr="0098213C">
        <w:lastRenderedPageBreak/>
        <w:t>What is the safety, effectiveness and cost-effectiveness of LBC using automated image analysis systems in comparison to manual reading of conventionally prepared Pap smear cytology samples for the screening and diagnosis of cervical cancer?</w:t>
      </w:r>
    </w:p>
    <w:p w:rsidR="00234376" w:rsidRPr="0098213C" w:rsidRDefault="00234376" w:rsidP="008E03A7">
      <w:r w:rsidRPr="0098213C">
        <w:t>In addition, the following secondary research questions were addressed:</w:t>
      </w:r>
    </w:p>
    <w:p w:rsidR="00234376" w:rsidRPr="0098213C" w:rsidRDefault="00234376" w:rsidP="008E03A7">
      <w:r w:rsidRPr="0098213C">
        <w:t>What is the safety, effectiveness and cost-effectiveness of</w:t>
      </w:r>
    </w:p>
    <w:p w:rsidR="00234376" w:rsidRPr="0098213C" w:rsidRDefault="00234376" w:rsidP="008E03A7">
      <w:pPr>
        <w:numPr>
          <w:ilvl w:val="0"/>
          <w:numId w:val="13"/>
        </w:numPr>
      </w:pPr>
      <w:r w:rsidRPr="0098213C">
        <w:t>LBC compared to conventionally prepared Pap smear cytology samples when manual reading of slides is used?</w:t>
      </w:r>
    </w:p>
    <w:p w:rsidR="00234376" w:rsidRPr="0098213C" w:rsidRDefault="00234376" w:rsidP="008E03A7">
      <w:pPr>
        <w:numPr>
          <w:ilvl w:val="0"/>
          <w:numId w:val="13"/>
        </w:numPr>
      </w:pPr>
      <w:r w:rsidRPr="0098213C">
        <w:t>automated image analysis systems in comparison to manual reading of conventionally prepared Pap smear cytology samples?</w:t>
      </w:r>
    </w:p>
    <w:p w:rsidR="00234376" w:rsidRPr="0098213C" w:rsidRDefault="00234376" w:rsidP="008E03A7">
      <w:pPr>
        <w:numPr>
          <w:ilvl w:val="0"/>
          <w:numId w:val="13"/>
        </w:numPr>
      </w:pPr>
      <w:r w:rsidRPr="0098213C">
        <w:t>LBC using automated image analysis systems compared to manual reading of LBC?</w:t>
      </w:r>
    </w:p>
    <w:p w:rsidR="00234376" w:rsidRPr="0098213C" w:rsidRDefault="00234376" w:rsidP="00B94BF8">
      <w:pPr>
        <w:pStyle w:val="Heading3a"/>
      </w:pPr>
      <w:r w:rsidRPr="0098213C">
        <w:t>Clinical need</w:t>
      </w:r>
    </w:p>
    <w:p w:rsidR="00234376" w:rsidRPr="0098213C" w:rsidRDefault="00234376" w:rsidP="008E03A7">
      <w:pPr>
        <w:rPr>
          <w:rFonts w:cs="Garamond"/>
          <w:szCs w:val="24"/>
        </w:rPr>
      </w:pPr>
      <w:r w:rsidRPr="0098213C">
        <w:rPr>
          <w:rFonts w:cs="Garamond"/>
          <w:szCs w:val="24"/>
        </w:rPr>
        <w:t xml:space="preserve">Approximately </w:t>
      </w:r>
      <w:smartTag w:uri="urn:schemas-microsoft-com:office:smarttags" w:element="metricconverter">
        <w:smartTagPr>
          <w:attr w:name="ProductID" w:val="1 in"/>
        </w:smartTagPr>
        <w:r w:rsidRPr="0098213C">
          <w:rPr>
            <w:rFonts w:cs="Garamond"/>
            <w:szCs w:val="24"/>
          </w:rPr>
          <w:t>1 in</w:t>
        </w:r>
      </w:smartTag>
      <w:r w:rsidRPr="0098213C">
        <w:rPr>
          <w:rFonts w:cs="Garamond"/>
          <w:szCs w:val="24"/>
        </w:rPr>
        <w:t xml:space="preserve"> </w:t>
      </w:r>
      <w:r w:rsidRPr="0098213C">
        <w:t>179</w:t>
      </w:r>
      <w:r w:rsidRPr="0098213C">
        <w:rPr>
          <w:rFonts w:cs="Garamond"/>
          <w:szCs w:val="24"/>
        </w:rPr>
        <w:t xml:space="preserve"> Australian women will develop cervical cancer by the age of 85 years </w:t>
      </w:r>
      <w:r w:rsidRPr="0098213C">
        <w:rPr>
          <w:rFonts w:cs="Garamond"/>
          <w:szCs w:val="24"/>
        </w:rPr>
        <w:fldChar w:fldCharType="begin"/>
      </w:r>
      <w:r w:rsidRPr="0098213C">
        <w:rPr>
          <w:rFonts w:cs="Garamond"/>
          <w:szCs w:val="24"/>
        </w:rPr>
        <w:instrText xml:space="preserve"> ADDIN REFMGR.CITE &lt;Refman&gt;&lt;Cite&gt;&lt;Author&gt;Tracey&lt;/Author&gt;&lt;Year&gt;2007&lt;/Year&gt;&lt;RecNum&gt;1323&lt;/RecNum&gt;&lt;IDText&gt;Cancer in New South Wales: Incidence, Mortality and Prevalence, 2005&lt;/IDText&gt;&lt;MDL Ref_Type="Report"&gt;&lt;Ref_Type&gt;Report&lt;/Ref_Type&gt;&lt;Ref_ID&gt;1323&lt;/Ref_ID&gt;&lt;Title_Primary&gt;Cancer in New South Wales: Incidence, Mortality and Prevalence, 2005&lt;/Title_Primary&gt;&lt;Authors_Primary&gt;Tracey,E.&lt;/Authors_Primary&gt;&lt;Authors_Primary&gt;Baker,D.&lt;/Authors_Primary&gt;&lt;Authors_Primary&gt;Chen,W.&lt;/Authors_Primary&gt;&lt;Authors_Primary&gt;Stavrou,E.&lt;/Authors_Primary&gt;&lt;Authors_Primary&gt;Bishop,J.&lt;/Authors_Primary&gt;&lt;Date_Primary&gt;2007&lt;/Date_Primary&gt;&lt;Keywords&gt;cancer&lt;/Keywords&gt;&lt;Keywords&gt;incidence&lt;/Keywords&gt;&lt;Keywords&gt;mortality&lt;/Keywords&gt;&lt;Keywords&gt;prevalence&lt;/Keywords&gt;&lt;Reprint&gt;In File&lt;/Reprint&gt;&lt;Pub_Place&gt;Sydney&lt;/Pub_Place&gt;&lt;Publisher&gt;Cancer Institute NSW&lt;/Publisher&gt;&lt;ZZ_WorkformID&gt;24&lt;/ZZ_WorkformID&gt;&lt;/MDL&gt;&lt;/Cite&gt;&lt;/Refman&gt;</w:instrText>
      </w:r>
      <w:r w:rsidRPr="0098213C">
        <w:rPr>
          <w:rFonts w:cs="Garamond"/>
          <w:szCs w:val="24"/>
        </w:rPr>
        <w:fldChar w:fldCharType="separate"/>
      </w:r>
      <w:r w:rsidRPr="0098213C">
        <w:rPr>
          <w:rFonts w:cs="Garamond"/>
          <w:szCs w:val="24"/>
        </w:rPr>
        <w:t>(Tracey et al. 2007)</w:t>
      </w:r>
      <w:r w:rsidRPr="0098213C">
        <w:rPr>
          <w:rFonts w:cs="Garamond"/>
          <w:szCs w:val="24"/>
        </w:rPr>
        <w:fldChar w:fldCharType="end"/>
      </w:r>
      <w:r w:rsidRPr="0098213C">
        <w:rPr>
          <w:rFonts w:cs="Garamond"/>
          <w:szCs w:val="24"/>
        </w:rPr>
        <w:t xml:space="preserve">. In 2005, there were 734 new cases of cervical cancer reported in Australia and 221 deaths </w:t>
      </w:r>
      <w:r w:rsidRPr="0098213C">
        <w:rPr>
          <w:rFonts w:cs="Garamond"/>
          <w:szCs w:val="24"/>
        </w:rPr>
        <w:fldChar w:fldCharType="begin"/>
      </w:r>
      <w:r w:rsidRPr="0098213C">
        <w:rPr>
          <w:rFonts w:cs="Garamond"/>
          <w:szCs w:val="24"/>
        </w:rPr>
        <w:instrText xml:space="preserve"> ADDIN REFMGR.CITE &lt;Refman&gt;&lt;Cite&gt;&lt;Author&gt;AIHW&lt;/Author&gt;&lt;Year&gt;2008&lt;/Year&gt;&lt;RecNum&gt;4988&lt;/RecNum&gt;&lt;IDText&gt;Cancer in Australia: an overview, 2008&lt;/IDText&gt;&lt;MDL Ref_Type="Report"&gt;&lt;Ref_Type&gt;Report&lt;/Ref_Type&gt;&lt;Ref_ID&gt;4988&lt;/Ref_ID&gt;&lt;Title_Primary&gt;Cancer in Australia: an overview, 2008&lt;/Title_Primary&gt;&lt;Authors_Primary&gt;AIHW&lt;/Authors_Primary&gt;&lt;Authors_Primary&gt;AACR&lt;/Authors_Primary&gt;&lt;Date_Primary&gt;2008&lt;/Date_Primary&gt;&lt;Keywords&gt;Australia&lt;/Keywords&gt;&lt;Keywords&gt;Cancer&lt;/Keywords&gt;&lt;Keywords&gt;screening&lt;/Keywords&gt;&lt;Reprint&gt;In File&lt;/Reprint&gt;&lt;Volume&gt;AIHW cat No CAN 42&lt;/Volume&gt;&lt;Pub_Place&gt;Canberra: AIHW&lt;/Pub_Place&gt;&lt;Publisher&gt;Australian Institute of Health and Welfare &amp;amp; Australasian Association of Cancer Registries&lt;/Publisher&gt;&lt;Title_Series&gt;Cancer Series number 46&lt;/Title_Series&gt;&lt;ZZ_WorkformID&gt;24&lt;/ZZ_WorkformID&gt;&lt;/MDL&gt;&lt;/Cite&gt;&lt;/Refman&gt;</w:instrText>
      </w:r>
      <w:r w:rsidRPr="0098213C">
        <w:rPr>
          <w:rFonts w:cs="Garamond"/>
          <w:szCs w:val="24"/>
        </w:rPr>
        <w:fldChar w:fldCharType="separate"/>
      </w:r>
      <w:r w:rsidRPr="0098213C">
        <w:rPr>
          <w:rFonts w:cs="Garamond"/>
          <w:szCs w:val="24"/>
        </w:rPr>
        <w:t>(AIHW &amp; AACR 2008)</w:t>
      </w:r>
      <w:r w:rsidRPr="0098213C">
        <w:rPr>
          <w:rFonts w:cs="Garamond"/>
          <w:szCs w:val="24"/>
        </w:rPr>
        <w:fldChar w:fldCharType="end"/>
      </w:r>
      <w:r w:rsidRPr="0098213C">
        <w:rPr>
          <w:rFonts w:cs="Garamond"/>
          <w:szCs w:val="24"/>
        </w:rPr>
        <w:t>.</w:t>
      </w:r>
    </w:p>
    <w:p w:rsidR="00234376" w:rsidRPr="0098213C" w:rsidRDefault="00234376" w:rsidP="008E03A7">
      <w:r w:rsidRPr="0098213C">
        <w:rPr>
          <w:rFonts w:cs="Garamond"/>
          <w:szCs w:val="24"/>
        </w:rPr>
        <w:t xml:space="preserve">The </w:t>
      </w:r>
      <w:r w:rsidRPr="0098213C">
        <w:t>National</w:t>
      </w:r>
      <w:r w:rsidRPr="0098213C">
        <w:rPr>
          <w:rFonts w:cs="Garamond"/>
          <w:szCs w:val="24"/>
        </w:rPr>
        <w:t xml:space="preserve"> Cervical Screening Program recommends 2-yearly cytology tests for women aged between 18–20 years and 69 years</w:t>
      </w:r>
      <w:r w:rsidR="00F41424" w:rsidRPr="0098213C">
        <w:rPr>
          <w:rFonts w:cs="Garamond"/>
          <w:szCs w:val="24"/>
        </w:rPr>
        <w:t xml:space="preserve"> (</w:t>
      </w:r>
      <w:r w:rsidR="00F41424" w:rsidRPr="0098213C">
        <w:t>Australian Government Department of Health and Ageing 2007)</w:t>
      </w:r>
      <w:r w:rsidRPr="0098213C">
        <w:rPr>
          <w:rFonts w:cs="Garamond"/>
          <w:szCs w:val="24"/>
        </w:rPr>
        <w:t>.</w:t>
      </w:r>
      <w:r w:rsidRPr="0098213C">
        <w:t xml:space="preserve"> Since its introduction, new cases of cervical cancer among women of all ages almost halved from 13.2 new cancers per 100 000 women in 1991 to 6.9 new cancers per 100 000 women in 2005 </w:t>
      </w:r>
      <w:r w:rsidRPr="0098213C">
        <w:fldChar w:fldCharType="begin"/>
      </w:r>
      <w:r w:rsidRPr="0098213C">
        <w:instrText xml:space="preserve"> ADDIN REFMGR.CITE &lt;Refman&gt;&lt;Cite&gt;&lt;Author&gt;AIHW&lt;/Author&gt;&lt;Year&gt;2008&lt;/Year&gt;&lt;RecNum&gt;4988&lt;/RecNum&gt;&lt;IDText&gt;Cancer in Australia: an overview, 2008&lt;/IDText&gt;&lt;MDL Ref_Type="Report"&gt;&lt;Ref_Type&gt;Report&lt;/Ref_Type&gt;&lt;Ref_ID&gt;4988&lt;/Ref_ID&gt;&lt;Title_Primary&gt;Cancer in Australia: an overview, 2008&lt;/Title_Primary&gt;&lt;Authors_Primary&gt;AIHW&lt;/Authors_Primary&gt;&lt;Authors_Primary&gt;AACR&lt;/Authors_Primary&gt;&lt;Date_Primary&gt;2008&lt;/Date_Primary&gt;&lt;Keywords&gt;Australia&lt;/Keywords&gt;&lt;Keywords&gt;Cancer&lt;/Keywords&gt;&lt;Keywords&gt;screening&lt;/Keywords&gt;&lt;Reprint&gt;In File&lt;/Reprint&gt;&lt;Volume&gt;AIHW cat No CAN 42&lt;/Volume&gt;&lt;Pub_Place&gt;Canberra: AIHW&lt;/Pub_Place&gt;&lt;Publisher&gt;Australian Institute of Health and Welfare &amp;amp; Australasian Association of Cancer Registries&lt;/Publisher&gt;&lt;Title_Series&gt;Cancer Series number 46&lt;/Title_Series&gt;&lt;ZZ_WorkformID&gt;24&lt;/ZZ_WorkformID&gt;&lt;/MDL&gt;&lt;/Cite&gt;&lt;/Refman&gt;</w:instrText>
      </w:r>
      <w:r w:rsidRPr="0098213C">
        <w:fldChar w:fldCharType="separate"/>
      </w:r>
      <w:r w:rsidRPr="0098213C">
        <w:t>(AIHW &amp; AACR 2008)</w:t>
      </w:r>
      <w:r w:rsidRPr="0098213C">
        <w:fldChar w:fldCharType="end"/>
      </w:r>
      <w:r w:rsidRPr="0098213C">
        <w:t>. Mortality also halved from 4.0 deaths per 100 000 women in 1991 to 2.0 deaths per 100 000 women in 2005.</w:t>
      </w:r>
      <w:r w:rsidRPr="0098213C">
        <w:rPr>
          <w:rFonts w:ascii="BookAntiqua" w:hAnsi="BookAntiqua" w:cs="BookAntiqua"/>
          <w:sz w:val="22"/>
          <w:szCs w:val="22"/>
        </w:rPr>
        <w:t xml:space="preserve"> </w:t>
      </w:r>
      <w:r w:rsidRPr="0098213C">
        <w:rPr>
          <w:rFonts w:cs="Garamond"/>
          <w:szCs w:val="24"/>
        </w:rPr>
        <w:t>These improvements can be attributed to the cervical screening program as well as to improvements in therapy.</w:t>
      </w:r>
    </w:p>
    <w:p w:rsidR="00234376" w:rsidRPr="0098213C" w:rsidRDefault="00234376" w:rsidP="00B94BF8">
      <w:pPr>
        <w:pStyle w:val="Heading3a"/>
      </w:pPr>
      <w:r w:rsidRPr="0098213C">
        <w:t>Safety</w:t>
      </w:r>
    </w:p>
    <w:p w:rsidR="00234376" w:rsidRPr="0098213C" w:rsidRDefault="00234376" w:rsidP="008E03A7">
      <w:r w:rsidRPr="0098213C">
        <w:rPr>
          <w:snapToGrid w:val="0"/>
        </w:rPr>
        <w:t>LBC with manual or automation-assisted slide reading uses the same procedure for collecting cervical cell samples as conventional Pap cytology tests and is considered a safe procedure.</w:t>
      </w:r>
    </w:p>
    <w:p w:rsidR="00234376" w:rsidRPr="00537C3C" w:rsidRDefault="00234376" w:rsidP="00B94BF8">
      <w:pPr>
        <w:pStyle w:val="Heading3a"/>
      </w:pPr>
      <w:r w:rsidRPr="0098213C">
        <w:t>Effectiveness</w:t>
      </w:r>
    </w:p>
    <w:p w:rsidR="00234376" w:rsidRPr="00537C3C" w:rsidRDefault="00234376" w:rsidP="008E03A7">
      <w:pPr>
        <w:pStyle w:val="BodyText"/>
        <w:rPr>
          <w:vanish w:val="0"/>
          <w:color w:val="auto"/>
        </w:rPr>
      </w:pPr>
      <w:r w:rsidRPr="00B94BF8">
        <w:rPr>
          <w:vanish w:val="0"/>
          <w:color w:val="auto"/>
        </w:rPr>
        <w:t xml:space="preserve">No studies have assessed the impact of LBC with manual or automated slide reading on the incidence of invasive cervical cancer or consequent mortality rates compared to </w:t>
      </w:r>
      <w:bookmarkStart w:id="31" w:name="OLE_LINK627"/>
      <w:bookmarkStart w:id="32" w:name="OLE_LINK628"/>
      <w:r w:rsidRPr="00B94BF8">
        <w:rPr>
          <w:vanish w:val="0"/>
          <w:color w:val="auto"/>
        </w:rPr>
        <w:t>conventional cytology</w:t>
      </w:r>
      <w:bookmarkEnd w:id="31"/>
      <w:bookmarkEnd w:id="32"/>
      <w:r w:rsidRPr="00B94BF8">
        <w:rPr>
          <w:vanish w:val="0"/>
          <w:color w:val="auto"/>
        </w:rPr>
        <w:t>. The present review therefore relies on evidence about the relative accuracy of manual or automated LBC for detecting precancerous cervical lesions to draw conclusions about its relative effectiveness. This ‘linked evidence’ approach is justified by evidence that early detection and treatment of precancerous cervical lesions reduces the incidence of cervical cancer</w:t>
      </w:r>
      <w:r w:rsidRPr="00110B9C">
        <w:rPr>
          <w:vanish w:val="0"/>
          <w:color w:val="auto"/>
        </w:rPr>
        <w:t xml:space="preserve"> </w:t>
      </w:r>
      <w:r w:rsidRPr="00B94BF8">
        <w:rPr>
          <w:vanish w:val="0"/>
          <w:color w:val="auto"/>
        </w:rPr>
        <w:t>and consequent mortality.</w:t>
      </w:r>
    </w:p>
    <w:p w:rsidR="00234376" w:rsidRDefault="00234376" w:rsidP="00C97E47">
      <w:pPr>
        <w:pStyle w:val="Heading2"/>
      </w:pPr>
      <w:r w:rsidRPr="00537C3C">
        <w:t>Liquid-based cytology</w:t>
      </w:r>
    </w:p>
    <w:p w:rsidR="00234376" w:rsidRPr="00B94BF8" w:rsidRDefault="00234376" w:rsidP="008E03A7">
      <w:r w:rsidRPr="00B94BF8">
        <w:t xml:space="preserve">The most recent systematic review and meta-analysis of comparative accuracy </w:t>
      </w:r>
      <w:r w:rsidRPr="00B94BF8">
        <w:fldChar w:fldCharType="begin"/>
      </w:r>
      <w:r w:rsidRPr="00B94BF8">
        <w:instrText xml:space="preserve"> ADDIN REFMGR.CITE &lt;Refman&gt;&lt;Cite&gt;&lt;Author&gt;Arbyn&lt;/Author&gt;&lt;Year&gt;2008&lt;/Year&gt;&lt;RecNum&gt;5&lt;/RecNum&gt;&lt;IDText&gt;Liquid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B94BF8">
        <w:fldChar w:fldCharType="separate"/>
      </w:r>
      <w:r w:rsidRPr="00B94BF8">
        <w:t>(Arbyn et al. 2008)</w:t>
      </w:r>
      <w:r w:rsidRPr="00B94BF8">
        <w:fldChar w:fldCharType="end"/>
      </w:r>
      <w:r w:rsidRPr="00B94BF8">
        <w:t xml:space="preserve"> demonstrated that LBC compared to conventional cytology has no statistically significant increase in sensitivity to detect CIN 2+ (LBC : conventional sensitivity ratio </w:t>
      </w:r>
      <w:r w:rsidRPr="00B94BF8">
        <w:lastRenderedPageBreak/>
        <w:t xml:space="preserve">HSIL+ threshold 1.05, 95% CI 0.95–1.16; LSIL+ 1.03, 0.96–1.11; pLSIL+ 1.03, 0.97–1.09), no statistically significant difference in specificity to detect CIN 2+ at a test threshold of HSIL or LSIL (LBC : conventional specificity ratio HSIL+ 0.99, 95%CI 0.98–1.01; LSIL+ 0.97 95%CI 0.94–1.01) and a lower </w:t>
      </w:r>
      <w:r w:rsidRPr="00E11416">
        <w:t>specificity to detect CIN 2+ at a test threshold of pLSIL (ASCUS</w:t>
      </w:r>
      <w:r w:rsidRPr="00E11416">
        <w:rPr>
          <w:rFonts w:ascii="Tahoma" w:hAnsi="Tahoma"/>
          <w:b/>
          <w:sz w:val="22"/>
        </w:rPr>
        <w:t>+</w:t>
      </w:r>
      <w:r w:rsidRPr="00E11416">
        <w:t>, LBC : conventional specificity ratio 0.91, 95% CI 0.84–0.98)</w:t>
      </w:r>
    </w:p>
    <w:p w:rsidR="00234376" w:rsidRPr="00B94BF8" w:rsidRDefault="00234376" w:rsidP="008E03A7">
      <w:r w:rsidRPr="00B94BF8">
        <w:t xml:space="preserve">The most recent HTA and Bayesian meta-analysis of comparative unsatisfactory rates </w:t>
      </w:r>
      <w:r w:rsidRPr="00B94BF8">
        <w:fldChar w:fldCharType="begin"/>
      </w:r>
      <w:r w:rsidRPr="00B94BF8">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B94BF8">
        <w:fldChar w:fldCharType="separate"/>
      </w:r>
      <w:r w:rsidRPr="00B94BF8">
        <w:t>(Krahn et al. 2008)</w:t>
      </w:r>
      <w:r w:rsidRPr="00B94BF8">
        <w:fldChar w:fldCharType="end"/>
      </w:r>
      <w:r w:rsidRPr="00B94BF8">
        <w:t xml:space="preserve"> found significant between study heterogeneity with</w:t>
      </w:r>
    </w:p>
    <w:p w:rsidR="00234376" w:rsidRPr="00B94BF8" w:rsidRDefault="00234376" w:rsidP="008E03A7">
      <w:pPr>
        <w:numPr>
          <w:ilvl w:val="0"/>
          <w:numId w:val="13"/>
        </w:numPr>
      </w:pPr>
      <w:r w:rsidRPr="00B94BF8">
        <w:t>pooled unsatisfactory rates of 2.24% (95%CI 1.20 to 3.29%) for a filtration-based LBC method and 3.04% (1.92% to 4.16%) for conventional slides, with a difference of –0.81 (–1.87 to 0.24 %) in 44 studies</w:t>
      </w:r>
    </w:p>
    <w:p w:rsidR="00234376" w:rsidRPr="00B94BF8" w:rsidRDefault="00234376" w:rsidP="008E03A7">
      <w:pPr>
        <w:numPr>
          <w:ilvl w:val="0"/>
          <w:numId w:val="13"/>
        </w:numPr>
      </w:pPr>
      <w:r w:rsidRPr="00B94BF8">
        <w:t>pooled unsatisfactory rates of 0.82% (95%CI 0.14 to 1.51%) for a centrifugation-based LBC method and 3.31% (0.97% to 5.67%) for conventional slides, with a difference of –2.49 (–4.43 to –0.55%) in 15 studies</w:t>
      </w:r>
    </w:p>
    <w:p w:rsidR="00234376" w:rsidRDefault="00733570" w:rsidP="00234376">
      <w:pPr>
        <w:numPr>
          <w:ilvl w:val="0"/>
          <w:numId w:val="13"/>
        </w:numPr>
      </w:pPr>
      <w:r>
        <w:t>s</w:t>
      </w:r>
      <w:r w:rsidR="00234376" w:rsidRPr="00B94BF8">
        <w:t>ubgroup analyses by study quality, design or population were not conducted.</w:t>
      </w:r>
    </w:p>
    <w:p w:rsidR="00234376" w:rsidRPr="00B94BF8" w:rsidRDefault="00234376" w:rsidP="008E03A7">
      <w:pPr>
        <w:keepNext/>
      </w:pPr>
      <w:r w:rsidRPr="00B94BF8">
        <w:t xml:space="preserve">A recent large </w:t>
      </w:r>
      <w:bookmarkStart w:id="33" w:name="OLE_LINK88"/>
      <w:bookmarkStart w:id="34" w:name="OLE_LINK89"/>
      <w:r w:rsidRPr="00B94BF8">
        <w:t xml:space="preserve">RCT </w:t>
      </w:r>
      <w:bookmarkEnd w:id="33"/>
      <w:bookmarkEnd w:id="34"/>
      <w:r w:rsidRPr="00B94BF8">
        <w:t>of 45 174 women reported that LBC decreased the unsatisfactory rate (2.6% filtration-based LBC vs 4.1% conventional cytology, relative frequency 0.62, 95% CI 0.56–0.69).</w:t>
      </w:r>
    </w:p>
    <w:p w:rsidR="00234376" w:rsidRPr="00B94BF8" w:rsidRDefault="00234376" w:rsidP="008E03A7">
      <w:r w:rsidRPr="00B94BF8">
        <w:t xml:space="preserve">A recent HTA and meta-analysis </w:t>
      </w:r>
      <w:r w:rsidRPr="00B94BF8">
        <w:fldChar w:fldCharType="begin"/>
      </w:r>
      <w:r w:rsidRPr="00B94BF8">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B94BF8">
        <w:fldChar w:fldCharType="separate"/>
      </w:r>
      <w:r w:rsidRPr="00B94BF8">
        <w:t>(Krahn et al. 2008)</w:t>
      </w:r>
      <w:r w:rsidRPr="00B94BF8">
        <w:fldChar w:fldCharType="end"/>
      </w:r>
      <w:r w:rsidRPr="00B94BF8">
        <w:t xml:space="preserve"> demonstrated that LBC compared to conventional cytology classified significantly more slides as LSIL and did not classify a significantly different proportion of slides as HSIL+.</w:t>
      </w:r>
    </w:p>
    <w:p w:rsidR="00234376" w:rsidRPr="00537C3C" w:rsidRDefault="00234376" w:rsidP="008E03A7">
      <w:r w:rsidRPr="00B94BF8">
        <w:t>Data from two systematic reviews indicated in subgroup analyses that there may be variations in accuracy and unsatisfactory rates according to proprietary name.</w:t>
      </w:r>
    </w:p>
    <w:p w:rsidR="00234376" w:rsidRDefault="00234376" w:rsidP="00234376">
      <w:pPr>
        <w:pStyle w:val="Heading3"/>
      </w:pPr>
      <w:r w:rsidRPr="00537C3C">
        <w:t>Automated slide reading</w:t>
      </w:r>
    </w:p>
    <w:p w:rsidR="00234376" w:rsidRPr="00537C3C" w:rsidRDefault="00234376" w:rsidP="008E03A7">
      <w:pPr>
        <w:pStyle w:val="Heading4"/>
      </w:pPr>
      <w:r w:rsidRPr="00B94BF8">
        <w:t>FocalPoint</w:t>
      </w:r>
    </w:p>
    <w:p w:rsidR="00234376" w:rsidRPr="00537C3C" w:rsidRDefault="00234376" w:rsidP="008E03A7">
      <w:r w:rsidRPr="00B94BF8">
        <w:t xml:space="preserve">No eligible studies of the accuracy of the FocalPoint system for reading LBC slides compared to manual reading of conventional slides were identified (primary research question). No evidence for an accuracy advantage, disadvantage or equivalence of the AutoPap system was found in two studies comparing </w:t>
      </w:r>
      <w:bookmarkStart w:id="35" w:name="OLE_LINK72"/>
      <w:bookmarkStart w:id="36" w:name="OLE_LINK73"/>
      <w:r w:rsidRPr="00B94BF8">
        <w:t>AutoPap</w:t>
      </w:r>
      <w:bookmarkEnd w:id="35"/>
      <w:bookmarkEnd w:id="36"/>
      <w:r w:rsidRPr="00B94BF8">
        <w:t>-assisted reading of conventional slides to manual reading of conventional slides or in a single study of highly limited applicability comparing AutoPap-assisted reading of LBC to manual reading of LBC (secondary research questions). The AutoPap-assisted reading of conventional slides reduced unsatisfactory rates (one study) compared to manual reading. However, process advantages are not considered relevant if sufficient evidence of accuracy is not available.</w:t>
      </w:r>
    </w:p>
    <w:p w:rsidR="00234376" w:rsidRPr="00537C3C" w:rsidRDefault="00234376" w:rsidP="008E03A7">
      <w:pPr>
        <w:pStyle w:val="Heading4"/>
      </w:pPr>
      <w:r w:rsidRPr="00537C3C">
        <w:t>ThinPrep Imager</w:t>
      </w:r>
    </w:p>
    <w:p w:rsidR="00234376" w:rsidRPr="00B94BF8" w:rsidRDefault="00234376" w:rsidP="008E03A7">
      <w:r w:rsidRPr="00B94BF8">
        <w:t xml:space="preserve">Two eligible studies of the ThinPrep Imager system addressed the primary research question. One fair-quality Australian study </w:t>
      </w:r>
      <w:r w:rsidRPr="00B94BF8">
        <w:fldChar w:fldCharType="begin"/>
      </w:r>
      <w:r w:rsidRPr="00B94BF8">
        <w:instrText xml:space="preserve"> ADDIN REFMGR.CITE &lt;Refman&gt;&lt;Cite&gt;&lt;Author&gt;Davey&lt;/Author&gt;&lt;Year&gt;2007&lt;/Year&gt;&lt;RecNum&gt;65&lt;/RecNum&gt;&lt;IDText&gt;Accuracy of reading liquid based cytology slides using the ThinPrep Imager compared with conventional cytology: Prospective study&lt;/IDText&gt;&lt;MDL Ref_Type="Journal"&gt;&lt;Ref_Type&gt;Journal&lt;/Ref_Type&gt;&lt;Ref_ID&gt;65&lt;/Ref_ID&gt;&lt;Title_Primary&gt;Accuracy of reading liquid based cytology slides using the ThinPrep Imager compared with conventional cytology: Prospective study&lt;/Title_Primary&gt;&lt;Authors_Primary&gt;Davey,E.&lt;/Authors_Primary&gt;&lt;Authors_Primary&gt;D&amp;apos;Assuncao,J.&lt;/Authors_Primary&gt;&lt;Authors_Primary&gt;Irwig,L.&lt;/Authors_Primary&gt;&lt;Authors_Primary&gt;Macaskill,P.&lt;/Authors_Primary&gt;&lt;Authors_Primary&gt;Chan,S.F.&lt;/Authors_Primary&gt;&lt;Authors_Primary&gt;Richards,A.&lt;/Authors_Primary&gt;&lt;Authors_Primary&gt;Farnsworth,A.&lt;/Authors_Primary&gt;&lt;Date_Primary&gt;2007&lt;/Date_Primary&gt;&lt;Keywords&gt;adult&lt;/Keywords&gt;&lt;Keywords&gt;article&lt;/Keywords&gt;&lt;Keywords&gt;Australia&lt;/Keywords&gt;&lt;Keywords&gt;cancer screening&lt;/Keywords&gt;&lt;Keywords&gt;clinical laboratory&lt;/Keywords&gt;&lt;Keywords&gt;diagnostic accuracy&lt;/Keywords&gt;&lt;Keywords&gt;female&lt;/Keywords&gt;&lt;Keywords&gt;human&lt;/Keywords&gt;&lt;Keywords&gt;human cell&lt;/Keywords&gt;&lt;Keywords&gt;intermethod comparison&lt;/Keywords&gt;&lt;Keywords&gt;liquid based cytology&lt;/Keywords&gt;&lt;Keywords&gt;major clinical study&lt;/Keywords&gt;&lt;Keywords&gt;Papanicolaou test&lt;/Keywords&gt;&lt;Keywords&gt;priority journal&lt;/Keywords&gt;&lt;Keywords&gt;ThinPrep&lt;/Keywords&gt;&lt;Keywords&gt;uterine cervix biopsy&lt;/Keywords&gt;&lt;Keywords&gt;uterine cervix cancer&lt;/Keywords&gt;&lt;Keywords&gt;uterine cervix carcinoma in situ&lt;/Keywords&gt;&lt;Keywords&gt;uterine cervix cytology&lt;/Keywords&gt;&lt;Reprint&gt;In File&lt;/Reprint&gt;&lt;Start_Page&gt;31&lt;/Start_Page&gt;&lt;End_Page&gt;35&lt;/End_Page&gt;&lt;Periodical&gt;British Medical Journal&lt;/Periodical&gt;&lt;Volume&gt;335&lt;/Volume&gt;&lt;Issue&gt;7609&lt;/Issue&gt;&lt;ISSN_ISBN&gt;0959-8146&lt;/ISSN_ISBN&gt;&lt;Address&gt;Davey, E., Screening and Test Evaluation Program, School of Public Health, University of Sydney, Sydney, NSW 2006, Australia&lt;/Address&gt;&lt;ZZ_JournalFull&gt;&lt;f name="System"&gt;British Medical Journal&lt;/f&gt;&lt;/ZZ_JournalFull&gt;&lt;ZZ_JournalStdAbbrev&gt;&lt;f name="System"&gt;Br.Med.J.&lt;/f&gt;&lt;/ZZ_JournalStdAbbrev&gt;&lt;ZZ_WorkformID&gt;1&lt;/ZZ_WorkformID&gt;&lt;/MDL&gt;&lt;/Cite&gt;&lt;/Refman&gt;</w:instrText>
      </w:r>
      <w:r w:rsidRPr="00B94BF8">
        <w:fldChar w:fldCharType="separate"/>
      </w:r>
      <w:r w:rsidRPr="00B94BF8">
        <w:t>(</w:t>
      </w:r>
      <w:bookmarkStart w:id="37" w:name="OLE_LINK419"/>
      <w:bookmarkStart w:id="38" w:name="OLE_LINK420"/>
      <w:r w:rsidRPr="00B94BF8">
        <w:t xml:space="preserve">Davey </w:t>
      </w:r>
      <w:bookmarkEnd w:id="37"/>
      <w:bookmarkEnd w:id="38"/>
      <w:r w:rsidRPr="00B94BF8">
        <w:t>et al. 2007a)</w:t>
      </w:r>
      <w:r w:rsidRPr="00B94BF8">
        <w:fldChar w:fldCharType="end"/>
      </w:r>
      <w:r w:rsidRPr="00B94BF8">
        <w:t xml:space="preserve"> of the ThinPrep Imager system compared to manual reading of conventional cytology found a significant increase in the detection of CIN 2+ lesions (</w:t>
      </w:r>
      <w:bookmarkStart w:id="39" w:name="OLE_LINK90"/>
      <w:bookmarkStart w:id="40" w:name="OLE_LINK91"/>
      <w:r w:rsidRPr="00B94BF8">
        <w:t xml:space="preserve">pHSIL </w:t>
      </w:r>
      <w:bookmarkEnd w:id="39"/>
      <w:bookmarkEnd w:id="40"/>
      <w:r w:rsidRPr="00B94BF8">
        <w:t xml:space="preserve">threshold; additional 0.82 cases per 1000 </w:t>
      </w:r>
      <w:r w:rsidRPr="00B94BF8">
        <w:lastRenderedPageBreak/>
        <w:t>women screened) and no significant increase in the number of false positive biopsy results (at a pHSIL threshold).</w:t>
      </w:r>
    </w:p>
    <w:p w:rsidR="00234376" w:rsidRPr="00B94BF8" w:rsidRDefault="00234376" w:rsidP="008E03A7">
      <w:r w:rsidRPr="00B94BF8">
        <w:t>A second fair-quality Australian study (</w:t>
      </w:r>
      <w:bookmarkStart w:id="41" w:name="OLE_LINK460"/>
      <w:bookmarkStart w:id="42" w:name="OLE_LINK461"/>
      <w:r w:rsidRPr="00B94BF8">
        <w:t>Roberts et al. 2007</w:t>
      </w:r>
      <w:bookmarkEnd w:id="41"/>
      <w:bookmarkEnd w:id="42"/>
      <w:r w:rsidRPr="00B94BF8">
        <w:t>) of the ThinPrep Imager system, with a higher possibility of verification bias, found a non-significant increase in the detection of high-grade lesions (pHSIL threshold, 1.49 additional cases per 1000 women screened); a significant increase in the number of false positive biopsy results (pHSIL threshold, 1.93 additional cases per 1000); and a significant increase in the detection of high-grade lesions on manual LBC compared to conventional cytology (pHSIL threshold, 2.8 additional cases per 1000)</w:t>
      </w:r>
    </w:p>
    <w:p w:rsidR="00234376" w:rsidRPr="00B94BF8" w:rsidRDefault="00234376" w:rsidP="008E03A7">
      <w:r w:rsidRPr="00B94BF8">
        <w:t>Three studies comparing ThinPrep Imager reading of LBC slides to manual reading of LBC slides (secondary research question) found no significant difference in the number of high-grade cases detected and significantly fewer false positive cases for high-grade lesions at a test threshold of pHSIL or HSIL, in two of three studies, respectively. There is a possibility of verification bias in one of these studies.</w:t>
      </w:r>
    </w:p>
    <w:p w:rsidR="00234376" w:rsidRPr="00B94BF8" w:rsidRDefault="00234376" w:rsidP="008E03A7">
      <w:r w:rsidRPr="00B94BF8">
        <w:t xml:space="preserve">One Australian study demonstrated a significant decrease in classification of unsatisfactory slides by the ThinPrep Imager system compared to conventional cytology (1.8% vs 3.1%; </w:t>
      </w:r>
      <w:r w:rsidRPr="00B94BF8">
        <w:rPr>
          <w:i/>
        </w:rPr>
        <w:t>P</w:t>
      </w:r>
      <w:r w:rsidRPr="00B94BF8">
        <w:t xml:space="preserve"> &lt; 0.001).</w:t>
      </w:r>
    </w:p>
    <w:p w:rsidR="00234376" w:rsidRPr="00B94BF8" w:rsidRDefault="00234376" w:rsidP="008E03A7">
      <w:r w:rsidRPr="00B94BF8">
        <w:t xml:space="preserve">Two Australian studies found the ThinPrep Imager compared to conventional cytology decreased slide reading time (mean difference 7.18 slides per hour [95%CI 6.17–8.20]; </w:t>
      </w:r>
      <w:r w:rsidRPr="00B94BF8">
        <w:rPr>
          <w:i/>
        </w:rPr>
        <w:t>P</w:t>
      </w:r>
      <w:r w:rsidRPr="00B94BF8">
        <w:t xml:space="preserve"> &lt; 0.001, </w:t>
      </w:r>
      <w:bookmarkStart w:id="43" w:name="OLE_LINK536"/>
      <w:bookmarkStart w:id="44" w:name="OLE_LINK537"/>
      <w:r w:rsidRPr="00B94BF8">
        <w:t>Davey et al. 2007b</w:t>
      </w:r>
      <w:bookmarkEnd w:id="43"/>
      <w:bookmarkEnd w:id="44"/>
      <w:r w:rsidRPr="00B94BF8">
        <w:t>) and significantly increased the number of slides classified with low-grade abnormalities.</w:t>
      </w:r>
    </w:p>
    <w:p w:rsidR="00234376" w:rsidRPr="00537C3C" w:rsidRDefault="00234376" w:rsidP="008E03A7">
      <w:r w:rsidRPr="00B94BF8">
        <w:t>It is unclear whether any increase in detection of high-grade lesions by the ThinPrep Imager system is attributable to LBC alone, to the automation-assisted reading system, or a combination of both.</w:t>
      </w:r>
    </w:p>
    <w:p w:rsidR="00234376" w:rsidRDefault="00234376" w:rsidP="00234376">
      <w:pPr>
        <w:pStyle w:val="Heading3"/>
      </w:pPr>
      <w:r w:rsidRPr="00537C3C">
        <w:t>Economic considerations</w:t>
      </w:r>
    </w:p>
    <w:p w:rsidR="00234376" w:rsidRPr="00B94BF8" w:rsidRDefault="00234376" w:rsidP="008E03A7">
      <w:r w:rsidRPr="00B94BF8">
        <w:t>A modelled analysis of cervical cancer screening, diagnosis and treatment is necessary to explore the potential long-term benefits and trade-offs of using these technologies in the Australian screening program.</w:t>
      </w:r>
    </w:p>
    <w:p w:rsidR="00234376" w:rsidRPr="00733570" w:rsidRDefault="00234376" w:rsidP="008E03A7">
      <w:r w:rsidRPr="00B94BF8">
        <w:t xml:space="preserve">Published data were used to construct a model of </w:t>
      </w:r>
      <w:bookmarkStart w:id="45" w:name="OLE_LINK92"/>
      <w:bookmarkStart w:id="46" w:name="OLE_LINK93"/>
      <w:r w:rsidRPr="00B94BF8">
        <w:t xml:space="preserve">the natural history of human papillomavirus (HPV) </w:t>
      </w:r>
      <w:bookmarkEnd w:id="45"/>
      <w:bookmarkEnd w:id="46"/>
      <w:r w:rsidRPr="00B94BF8">
        <w:t xml:space="preserve">and cervical </w:t>
      </w:r>
      <w:r w:rsidRPr="00733570">
        <w:t xml:space="preserve">cancer screening in </w:t>
      </w:r>
      <w:smartTag w:uri="urn:schemas-microsoft-com:office:smarttags" w:element="place">
        <w:smartTag w:uri="urn:schemas-microsoft-com:office:smarttags" w:element="country-region">
          <w:r w:rsidRPr="00733570">
            <w:t>Australia</w:t>
          </w:r>
        </w:smartTag>
      </w:smartTag>
      <w:r w:rsidRPr="00733570">
        <w:t>. This model was used to evaluate the cost-effectiveness of LBC with manual or automation-assisted slide reading.</w:t>
      </w:r>
    </w:p>
    <w:p w:rsidR="00234376" w:rsidRPr="00537C3C" w:rsidRDefault="00234376" w:rsidP="008E03A7">
      <w:r w:rsidRPr="00733570">
        <w:t xml:space="preserve">Modelled analysis predicts that LBC with manual reading detects an additional 314 histologically confirmed high-grade lesions and would prevent 23 cervical cancer cases and 6 deaths due to cervical cancer annually. This would be accompanied by additional investigations and treatments, including 22 763 smear tests, 6770 </w:t>
      </w:r>
      <w:bookmarkStart w:id="47" w:name="OLE_LINK76"/>
      <w:bookmarkStart w:id="48" w:name="OLE_LINK77"/>
      <w:r w:rsidRPr="00733570">
        <w:t>colpscopies</w:t>
      </w:r>
      <w:bookmarkEnd w:id="47"/>
      <w:bookmarkEnd w:id="48"/>
      <w:r w:rsidRPr="00733570">
        <w:t xml:space="preserve">, 3273 biopsies </w:t>
      </w:r>
      <w:r w:rsidR="00386582" w:rsidRPr="00733570">
        <w:t xml:space="preserve">and </w:t>
      </w:r>
      <w:r w:rsidRPr="00733570">
        <w:t>735 treatments for CIN 2/3 per year. The modelled analysis also predicts that automated LBC would detect an additional 1086 histologically confirmed high-grade lesions and prevent 68 cervical cancer cases and 19 deaths due to cervical cancer annually. Additional investigations and treatments would include 38 346 additional smear tests, 10 788 additional colpscopies, 5154 additional biopsies</w:t>
      </w:r>
      <w:r w:rsidR="00386582" w:rsidRPr="00733570">
        <w:t xml:space="preserve"> and</w:t>
      </w:r>
      <w:r w:rsidRPr="00733570">
        <w:t xml:space="preserve"> 1751 additional</w:t>
      </w:r>
      <w:r w:rsidRPr="00B94BF8">
        <w:t xml:space="preserve"> treatments for CIN 2/3 per year. These predictions are made under favourable assumptions of test accuracy. Whether this outcome is considered as an improvement in overall health outcomes depends on the trade-off between the benefit from a reduction </w:t>
      </w:r>
      <w:r w:rsidRPr="00B94BF8">
        <w:lastRenderedPageBreak/>
        <w:t>in cancer incidence and the harms associated with increased investigations among women who are not destined to develop cancer.</w:t>
      </w:r>
    </w:p>
    <w:p w:rsidR="00234376" w:rsidRPr="00B94BF8" w:rsidRDefault="00234376" w:rsidP="008E03A7">
      <w:pPr>
        <w:rPr>
          <w:color w:val="000000"/>
        </w:rPr>
      </w:pPr>
      <w:r w:rsidRPr="00B94BF8">
        <w:rPr>
          <w:color w:val="000000"/>
        </w:rPr>
        <w:t xml:space="preserve">Cost-effectiveness ratios were estimated from lifetime costs and </w:t>
      </w:r>
      <w:smartTag w:uri="urn:schemas-microsoft-com:office:smarttags" w:element="place">
        <w:r w:rsidRPr="00B94BF8">
          <w:rPr>
            <w:color w:val="000000"/>
          </w:rPr>
          <w:t>LYS</w:t>
        </w:r>
      </w:smartTag>
      <w:r w:rsidRPr="00B94BF8">
        <w:rPr>
          <w:color w:val="000000"/>
        </w:rPr>
        <w:t xml:space="preserve">, both of which were discounted at 5 per cent per annum. Automated LBC </w:t>
      </w:r>
      <w:r w:rsidR="00A40693">
        <w:rPr>
          <w:color w:val="000000"/>
        </w:rPr>
        <w:t xml:space="preserve"> (ThinPrep Imager) </w:t>
      </w:r>
      <w:r w:rsidRPr="00B94BF8">
        <w:rPr>
          <w:color w:val="000000"/>
        </w:rPr>
        <w:t xml:space="preserve">was associated with a cost of $194 835 per </w:t>
      </w:r>
      <w:smartTag w:uri="urn:schemas-microsoft-com:office:smarttags" w:element="place">
        <w:r w:rsidRPr="00B94BF8">
          <w:rPr>
            <w:color w:val="000000"/>
          </w:rPr>
          <w:t>LYS</w:t>
        </w:r>
      </w:smartTag>
      <w:r w:rsidRPr="00B94BF8">
        <w:rPr>
          <w:color w:val="000000"/>
        </w:rPr>
        <w:t xml:space="preserve">. The cost associated with manual LBC varied depending on the level of reimbursement, but ranged from $126 315 per LYS ($2.40 incremental cost relative to current </w:t>
      </w:r>
      <w:bookmarkStart w:id="49" w:name="OLE_LINK562"/>
      <w:bookmarkStart w:id="50" w:name="OLE_LINK563"/>
      <w:r w:rsidRPr="00B94BF8">
        <w:rPr>
          <w:color w:val="000000"/>
        </w:rPr>
        <w:t>Medicare Benefits Schedule</w:t>
      </w:r>
      <w:bookmarkEnd w:id="49"/>
      <w:bookmarkEnd w:id="50"/>
      <w:r w:rsidRPr="00B94BF8">
        <w:rPr>
          <w:color w:val="000000"/>
        </w:rPr>
        <w:t xml:space="preserve"> [MBS] reimbursement for conventional cytology) to $385 982 per </w:t>
      </w:r>
      <w:smartTag w:uri="urn:schemas-microsoft-com:office:smarttags" w:element="place">
        <w:r w:rsidRPr="00B94BF8">
          <w:rPr>
            <w:color w:val="000000"/>
          </w:rPr>
          <w:t>LYS</w:t>
        </w:r>
      </w:smartTag>
      <w:r w:rsidRPr="00B94BF8">
        <w:rPr>
          <w:color w:val="000000"/>
        </w:rPr>
        <w:t xml:space="preserve"> ($10.90 incremental cost).</w:t>
      </w:r>
    </w:p>
    <w:p w:rsidR="00234376" w:rsidRPr="00B94BF8" w:rsidRDefault="00234376" w:rsidP="008E03A7">
      <w:pPr>
        <w:rPr>
          <w:rFonts w:cs="Arial"/>
          <w:color w:val="000000"/>
          <w:szCs w:val="24"/>
        </w:rPr>
      </w:pPr>
      <w:r w:rsidRPr="00B94BF8">
        <w:rPr>
          <w:color w:val="000000"/>
        </w:rPr>
        <w:t>The findings are sensitive to</w:t>
      </w:r>
      <w:r w:rsidRPr="00B94BF8">
        <w:rPr>
          <w:rFonts w:cs="Arial"/>
          <w:color w:val="000000"/>
          <w:szCs w:val="24"/>
        </w:rPr>
        <w:t xml:space="preserve"> assumed relative test accuracy, differences in the unsatisfactory smear rate, assumptions about disease natural history (particularly for high-grade regression and progression) and the recommended screening interval. Favourable assumptions were made about the accuracy of the new technologies. On this basis, both technologies would result in an improvement in </w:t>
      </w:r>
      <w:smartTag w:uri="urn:schemas-microsoft-com:office:smarttags" w:element="place">
        <w:r w:rsidRPr="00B94BF8">
          <w:rPr>
            <w:rFonts w:cs="Arial"/>
            <w:color w:val="000000"/>
            <w:szCs w:val="24"/>
          </w:rPr>
          <w:t>LYS</w:t>
        </w:r>
      </w:smartTag>
      <w:r w:rsidRPr="00B94BF8">
        <w:rPr>
          <w:rFonts w:cs="Arial"/>
          <w:color w:val="000000"/>
          <w:szCs w:val="24"/>
        </w:rPr>
        <w:t>, but this would come at a substantially higher cost, due mainly to direct cytology test costs, but also to follow-up costs for an increased number of test positives.</w:t>
      </w:r>
    </w:p>
    <w:p w:rsidR="00234376" w:rsidRPr="00B94BF8" w:rsidRDefault="00234376" w:rsidP="008E03A7">
      <w:r w:rsidRPr="00B94BF8">
        <w:t>Net annual costs for manual LBC screening (including management and follow-up) are estimated to range from $173.4 million (when reimbursed at an incremental cost of $2.40) to $189.7 million (at $10.90). This represents an annual increase of $7.3 million to $23.6 million (or 4%–14%). Net annual costs for automated LBC are estimated as $203.5 million, which represents an annual incremental cost of $37.4 million (or 22.5%).</w:t>
      </w:r>
    </w:p>
    <w:p w:rsidR="00234376" w:rsidRPr="00537C3C" w:rsidRDefault="00234376" w:rsidP="008E03A7">
      <w:r w:rsidRPr="00B94BF8">
        <w:t xml:space="preserve">Cost-effectiveness ratios were calculated for both manual and automated LBC. These are high for both test technologies, and would appear to be unfavourable in the Australian context. The results presented are based on the current screening program in </w:t>
      </w:r>
      <w:smartTag w:uri="urn:schemas-microsoft-com:office:smarttags" w:element="place">
        <w:smartTag w:uri="urn:schemas-microsoft-com:office:smarttags" w:element="country-region">
          <w:r w:rsidRPr="00B94BF8">
            <w:t>Australia</w:t>
          </w:r>
        </w:smartTag>
      </w:smartTag>
      <w:r w:rsidRPr="00B94BF8">
        <w:t xml:space="preserve"> without taking into account potential changes resulting from HPV vaccination. The findings may be different for different screening populations, for different screening programs, or once the anticipated impact of vaccination on the incidence of cervical neoplasia and precursor lesions occurs. The current Australian program of biennial screening for women aged 18–69 is more intensive than many programs internationally. As more tests are performed at the primary screening level in </w:t>
      </w:r>
      <w:smartTag w:uri="urn:schemas-microsoft-com:office:smarttags" w:element="place">
        <w:smartTag w:uri="urn:schemas-microsoft-com:office:smarttags" w:element="country-region">
          <w:r w:rsidRPr="00B94BF8">
            <w:t>Australia</w:t>
          </w:r>
        </w:smartTag>
      </w:smartTag>
      <w:r w:rsidRPr="00B94BF8">
        <w:t>, annual incremental costs associated with the new technologies are higher. If changes to the Australian screening program are considered in the future, and as changes due to vaccination are realised, reassessment of the cost-effectiveness of these technologies, using similar methods, would be warranted as part of any review of screening strategies and technologies.</w:t>
      </w:r>
    </w:p>
    <w:p w:rsidR="00234376" w:rsidRDefault="00234376" w:rsidP="00234376">
      <w:pPr>
        <w:pStyle w:val="Heading3"/>
      </w:pPr>
      <w:r w:rsidRPr="00537C3C">
        <w:t>Other relevant considerations</w:t>
      </w:r>
    </w:p>
    <w:p w:rsidR="00234376" w:rsidRPr="00B94BF8" w:rsidRDefault="00234376" w:rsidP="008E03A7">
      <w:r w:rsidRPr="00B94BF8">
        <w:t xml:space="preserve">The collection of cervical cytology samples into an LBC medium provides the opportunity for reflex testing of a range of pathogens, including HPV, </w:t>
      </w:r>
      <w:r w:rsidRPr="00B94BF8">
        <w:rPr>
          <w:i/>
        </w:rPr>
        <w:t xml:space="preserve">Chlamydia trachomatis </w:t>
      </w:r>
      <w:r w:rsidRPr="00B94BF8">
        <w:t>and</w:t>
      </w:r>
      <w:r w:rsidRPr="00B94BF8">
        <w:rPr>
          <w:i/>
        </w:rPr>
        <w:t xml:space="preserve"> Neisseria gonorrhoeae</w:t>
      </w:r>
      <w:r w:rsidRPr="00B94BF8">
        <w:t>.</w:t>
      </w:r>
    </w:p>
    <w:p w:rsidR="00234376" w:rsidRPr="00537C3C" w:rsidRDefault="00234376" w:rsidP="008E03A7">
      <w:r w:rsidRPr="00B94BF8">
        <w:t xml:space="preserve">There is an increasing shortage of trained </w:t>
      </w:r>
      <w:bookmarkStart w:id="51" w:name="OLE_LINK94"/>
      <w:bookmarkStart w:id="52" w:name="OLE_LINK95"/>
      <w:r w:rsidRPr="00B94BF8">
        <w:t xml:space="preserve">cytotechnologists </w:t>
      </w:r>
      <w:bookmarkEnd w:id="51"/>
      <w:bookmarkEnd w:id="52"/>
      <w:r w:rsidRPr="00B94BF8">
        <w:t xml:space="preserve">in </w:t>
      </w:r>
      <w:smartTag w:uri="urn:schemas-microsoft-com:office:smarttags" w:element="place">
        <w:smartTag w:uri="urn:schemas-microsoft-com:office:smarttags" w:element="country-region">
          <w:r w:rsidRPr="00B94BF8">
            <w:t>Australia</w:t>
          </w:r>
        </w:smartTag>
      </w:smartTag>
      <w:r w:rsidRPr="00B94BF8">
        <w:t xml:space="preserve">. Technologies which decrease cytology slide screening time and increase productivity may aid in addressing workforce shortages by decreasing staff requirements. With the recent introduction of the HPV vaccine in </w:t>
      </w:r>
      <w:smartTag w:uri="urn:schemas-microsoft-com:office:smarttags" w:element="place">
        <w:smartTag w:uri="urn:schemas-microsoft-com:office:smarttags" w:element="country-region">
          <w:r w:rsidRPr="00B94BF8">
            <w:t>Australia</w:t>
          </w:r>
        </w:smartTag>
      </w:smartTag>
      <w:r w:rsidRPr="00B94BF8">
        <w:t>, the expected impact is a decrease in the prevalence of HPV and pre-cancerous cytological abnormalities and also alteration of the distribution of cytological abnormalities, increasing technical difficulties for cytotechnologists manually screening slides even further.</w:t>
      </w:r>
    </w:p>
    <w:p w:rsidR="00234376" w:rsidRDefault="00234376" w:rsidP="00234376">
      <w:pPr>
        <w:pStyle w:val="Heading3"/>
      </w:pPr>
      <w:r w:rsidRPr="00537C3C">
        <w:lastRenderedPageBreak/>
        <w:t>Conclusions</w:t>
      </w:r>
    </w:p>
    <w:p w:rsidR="00234376" w:rsidRPr="00537C3C" w:rsidRDefault="00234376" w:rsidP="008E03A7">
      <w:pPr>
        <w:pStyle w:val="Heading4"/>
      </w:pPr>
      <w:r w:rsidRPr="00537C3C">
        <w:t>Liquid-based cytology</w:t>
      </w:r>
    </w:p>
    <w:p w:rsidR="00234376" w:rsidRPr="00B94BF8" w:rsidRDefault="00234376" w:rsidP="008E03A7">
      <w:r w:rsidRPr="00B94BF8">
        <w:t>LBC compared to conventional cytology</w:t>
      </w:r>
    </w:p>
    <w:p w:rsidR="00234376" w:rsidRPr="00B94BF8" w:rsidRDefault="00234376" w:rsidP="008E03A7">
      <w:pPr>
        <w:numPr>
          <w:ilvl w:val="0"/>
          <w:numId w:val="9"/>
        </w:numPr>
      </w:pPr>
      <w:r w:rsidRPr="00B94BF8">
        <w:t>is safe</w:t>
      </w:r>
    </w:p>
    <w:p w:rsidR="00234376" w:rsidRPr="00B94BF8" w:rsidRDefault="00234376" w:rsidP="008E03A7">
      <w:pPr>
        <w:numPr>
          <w:ilvl w:val="0"/>
          <w:numId w:val="9"/>
        </w:numPr>
      </w:pPr>
      <w:r w:rsidRPr="00B94BF8">
        <w:t>provides no statistically significant increase in sensitivity or specificity</w:t>
      </w:r>
    </w:p>
    <w:p w:rsidR="00234376" w:rsidRPr="00B94BF8" w:rsidRDefault="00234376" w:rsidP="008E03A7">
      <w:pPr>
        <w:numPr>
          <w:ilvl w:val="0"/>
          <w:numId w:val="9"/>
        </w:numPr>
      </w:pPr>
      <w:r w:rsidRPr="00B94BF8">
        <w:t>provides no statistically significant difference in sensitivity (HSIL, LSIL or pLSIL thresholds) or specificity (HSIL or LSIL thresholds) for the detection of CIN 2+</w:t>
      </w:r>
    </w:p>
    <w:p w:rsidR="00234376" w:rsidRPr="00B94BF8" w:rsidRDefault="00234376" w:rsidP="008E03A7">
      <w:pPr>
        <w:numPr>
          <w:ilvl w:val="0"/>
          <w:numId w:val="9"/>
        </w:numPr>
      </w:pPr>
      <w:r w:rsidRPr="00B94BF8">
        <w:t>reduces the specificity for the detection of CIN 2+ at a test threshold of pLSIL</w:t>
      </w:r>
    </w:p>
    <w:p w:rsidR="00234376" w:rsidRPr="00B94BF8" w:rsidRDefault="00234376" w:rsidP="008E03A7">
      <w:pPr>
        <w:numPr>
          <w:ilvl w:val="0"/>
          <w:numId w:val="9"/>
        </w:numPr>
      </w:pPr>
      <w:r w:rsidRPr="00B94BF8">
        <w:t>classifies more slides as positive for low-grade lesions</w:t>
      </w:r>
    </w:p>
    <w:p w:rsidR="00234376" w:rsidRPr="00B94BF8" w:rsidRDefault="00234376" w:rsidP="008E03A7">
      <w:pPr>
        <w:numPr>
          <w:ilvl w:val="0"/>
          <w:numId w:val="9"/>
        </w:numPr>
      </w:pPr>
      <w:r w:rsidRPr="00B94BF8">
        <w:t>reduces the rate of unsatisfactory smears</w:t>
      </w:r>
    </w:p>
    <w:p w:rsidR="00234376" w:rsidRPr="00B94BF8" w:rsidRDefault="00234376" w:rsidP="008E03A7">
      <w:pPr>
        <w:numPr>
          <w:ilvl w:val="0"/>
          <w:numId w:val="9"/>
        </w:numPr>
      </w:pPr>
      <w:r w:rsidRPr="00B94BF8">
        <w:t>has a high cost-effectiveness ratio which appears to be unfavourable in the current Australian setting</w:t>
      </w:r>
    </w:p>
    <w:p w:rsidR="00234376" w:rsidRPr="00537C3C" w:rsidRDefault="00234376" w:rsidP="008E03A7">
      <w:pPr>
        <w:pStyle w:val="Heading4"/>
      </w:pPr>
      <w:r w:rsidRPr="00537C3C">
        <w:t>Automated slide reading</w:t>
      </w:r>
    </w:p>
    <w:p w:rsidR="00234376" w:rsidRPr="00B94BF8" w:rsidRDefault="00234376" w:rsidP="008E03A7">
      <w:r w:rsidRPr="00B94BF8">
        <w:t xml:space="preserve">Automation-assisted reading of LBC slides with the </w:t>
      </w:r>
      <w:bookmarkStart w:id="53" w:name="OLE_LINK96"/>
      <w:bookmarkStart w:id="54" w:name="OLE_LINK97"/>
      <w:r w:rsidRPr="00B94BF8">
        <w:t xml:space="preserve">ThinPrepImager </w:t>
      </w:r>
      <w:bookmarkEnd w:id="53"/>
      <w:bookmarkEnd w:id="54"/>
      <w:r w:rsidRPr="00B94BF8">
        <w:t>system compared to manual reading of conventional cytology</w:t>
      </w:r>
    </w:p>
    <w:p w:rsidR="00234376" w:rsidRPr="00B94BF8" w:rsidRDefault="00234376" w:rsidP="008E03A7">
      <w:pPr>
        <w:numPr>
          <w:ilvl w:val="0"/>
          <w:numId w:val="10"/>
        </w:numPr>
      </w:pPr>
      <w:r w:rsidRPr="00B94BF8">
        <w:t>is safe</w:t>
      </w:r>
    </w:p>
    <w:p w:rsidR="00234376" w:rsidRPr="00B94BF8" w:rsidRDefault="00234376" w:rsidP="008E03A7">
      <w:pPr>
        <w:numPr>
          <w:ilvl w:val="0"/>
          <w:numId w:val="10"/>
        </w:numPr>
      </w:pPr>
      <w:r w:rsidRPr="00B94BF8">
        <w:t>detects at least as many CIN 2+ lesions, and may detect more</w:t>
      </w:r>
    </w:p>
    <w:p w:rsidR="00234376" w:rsidRPr="00B94BF8" w:rsidRDefault="00234376" w:rsidP="008E03A7">
      <w:pPr>
        <w:numPr>
          <w:ilvl w:val="0"/>
          <w:numId w:val="10"/>
        </w:numPr>
      </w:pPr>
      <w:r w:rsidRPr="00B94BF8">
        <w:t>increases the number of slides classified as having low-grade lesions on cytology</w:t>
      </w:r>
    </w:p>
    <w:p w:rsidR="00234376" w:rsidRPr="00B94BF8" w:rsidRDefault="00234376" w:rsidP="008E03A7">
      <w:pPr>
        <w:numPr>
          <w:ilvl w:val="0"/>
          <w:numId w:val="10"/>
        </w:numPr>
      </w:pPr>
      <w:r w:rsidRPr="00B94BF8">
        <w:t>reduces the rate of unsatisfactory slides</w:t>
      </w:r>
    </w:p>
    <w:p w:rsidR="00234376" w:rsidRPr="00B94BF8" w:rsidRDefault="00234376" w:rsidP="008E03A7">
      <w:pPr>
        <w:numPr>
          <w:ilvl w:val="0"/>
          <w:numId w:val="10"/>
        </w:numPr>
      </w:pPr>
      <w:r w:rsidRPr="00B94BF8">
        <w:t>reduces slide processing time</w:t>
      </w:r>
    </w:p>
    <w:p w:rsidR="00234376" w:rsidRPr="00686AA1" w:rsidRDefault="00234376" w:rsidP="008E03A7">
      <w:pPr>
        <w:numPr>
          <w:ilvl w:val="0"/>
          <w:numId w:val="10"/>
        </w:numPr>
      </w:pPr>
      <w:r w:rsidRPr="00B94BF8">
        <w:t xml:space="preserve">has a </w:t>
      </w:r>
      <w:r w:rsidRPr="00686AA1">
        <w:t>high cost-effectiveness ratio which appears to be unfavourable in the current Australian setting</w:t>
      </w:r>
    </w:p>
    <w:p w:rsidR="00234376" w:rsidRPr="00537C3C" w:rsidRDefault="00234376">
      <w:pPr>
        <w:sectPr w:rsidR="00234376" w:rsidRPr="00537C3C" w:rsidSect="00F93CFD">
          <w:headerReference w:type="even" r:id="rId16"/>
          <w:headerReference w:type="default" r:id="rId17"/>
          <w:footerReference w:type="default" r:id="rId18"/>
          <w:headerReference w:type="first" r:id="rId19"/>
          <w:type w:val="oddPage"/>
          <w:pgSz w:w="11906" w:h="16838"/>
          <w:pgMar w:top="1440" w:right="1440" w:bottom="1440" w:left="1440" w:header="720" w:footer="416" w:gutter="0"/>
          <w:pgNumType w:fmt="lowerRoman"/>
          <w:cols w:space="720"/>
        </w:sectPr>
      </w:pPr>
    </w:p>
    <w:p w:rsidR="00234376" w:rsidRPr="00686AA1" w:rsidRDefault="00234376">
      <w:pPr>
        <w:pStyle w:val="Heading1"/>
        <w:ind w:left="0"/>
      </w:pPr>
      <w:bookmarkStart w:id="55" w:name="_Toc451749499"/>
      <w:bookmarkStart w:id="56" w:name="_Toc95971054"/>
      <w:bookmarkStart w:id="57" w:name="_Toc241658153"/>
      <w:r w:rsidRPr="00686AA1">
        <w:lastRenderedPageBreak/>
        <w:t>Introduction</w:t>
      </w:r>
      <w:bookmarkEnd w:id="55"/>
      <w:bookmarkEnd w:id="56"/>
      <w:bookmarkEnd w:id="57"/>
    </w:p>
    <w:p w:rsidR="00234376" w:rsidRPr="00686AA1" w:rsidRDefault="00234376">
      <w:pPr>
        <w:pStyle w:val="BlockText"/>
      </w:pPr>
      <w:r w:rsidRPr="00686AA1">
        <w:t>The Medical Services Advisory Committee (MSAC) has reviewed the use of automation-assisted and liquid-based cytology, which is a technology for cervical cancer screening. MSAC evaluates new and existing diagnostic technologies and procedures for which funding is sought under the Medicare Benefits Scheme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rsidR="00234376" w:rsidRPr="00686AA1" w:rsidRDefault="00234376">
      <w:pPr>
        <w:ind w:left="709"/>
      </w:pPr>
      <w:r w:rsidRPr="00686AA1">
        <w:t>MSAC’s terms of reference and membership are at Appendix A. MSAC is a multidisciplinary expert body, comprising members drawn from such disciplines as diagnostic imaging, pathology, surgery, internal medicine and general practice, clinical epidemiology, health economics, consumer health and health administration.</w:t>
      </w:r>
    </w:p>
    <w:p w:rsidR="00234376" w:rsidRPr="00537C3C" w:rsidRDefault="00234376">
      <w:r w:rsidRPr="00686AA1">
        <w:t xml:space="preserve">This report summarises the assessment of evidence for automation-assisted and liquid-based cytology (LBC) for cervical cancer screening published since the previous MSAC assessments in 2002 and 2003 </w:t>
      </w:r>
      <w:r w:rsidRPr="00686AA1">
        <w:fldChar w:fldCharType="begin"/>
      </w:r>
      <w:r w:rsidRPr="00686AA1">
        <w:instrText xml:space="preserve"> ADDIN REFMGR.CITE &lt;Refman&gt;&lt;Cite&gt;&lt;Author&gt;Medical Services Advisory Committee&lt;/Author&gt;&lt;Year&gt;2002&lt;/Year&gt;&lt;RecNum&gt;2850&lt;/RecNum&gt;&lt;IDText&gt;Liquid based cytology for cervical screening&lt;/IDText&gt;&lt;MDL Ref_Type="Report"&gt;&lt;Ref_Type&gt;Report&lt;/Ref_Type&gt;&lt;Ref_ID&gt;2850&lt;/Ref_ID&gt;&lt;Title_Primary&gt;Liquid based cytology for cervical screening&lt;/Title_Primary&gt;&lt;Authors_Primary&gt;Medical Services Advisory Committee&lt;/Authors_Primary&gt;&lt;Date_Primary&gt;2002&lt;/Date_Primary&gt;&lt;Reprint&gt;In File&lt;/Reprint&gt;&lt;Volume&gt;Reference 12a&lt;/Volume&gt;&lt;Pub_Place&gt;Canberra&lt;/Pub_Place&gt;&lt;Publisher&gt;Commonwealth of Australia&lt;/Publisher&gt;&lt;Web_URL&gt;&lt;u&gt;www.msac.gov.au&lt;/u&gt;&lt;/Web_URL&gt;&lt;ZZ_WorkformID&gt;24&lt;/ZZ_WorkformID&gt;&lt;/MDL&gt;&lt;/Cite&gt;&lt;Cite&gt;&lt;Author&gt;Medical Services Advisory Committee&lt;/Author&gt;&lt;Year&gt;2003&lt;/Year&gt;&lt;RecNum&gt;2851&lt;/RecNum&gt;&lt;IDText&gt;Computer-assisted image analysis for cervical screening&lt;/IDText&gt;&lt;MDL Ref_Type="Report"&gt;&lt;Ref_Type&gt;Report&lt;/Ref_Type&gt;&lt;Ref_ID&gt;2851&lt;/Ref_ID&gt;&lt;Title_Primary&gt;Computer-assisted image analysis for cervical screening&lt;/Title_Primary&gt;&lt;Authors_Primary&gt;Medical Services Advisory Committee&lt;/Authors_Primary&gt;&lt;Date_Primary&gt;2003&lt;/Date_Primary&gt;&lt;Reprint&gt;In File&lt;/Reprint&gt;&lt;Volume&gt;Reference 12c&lt;/Volume&gt;&lt;Pub_Place&gt;Canberra&lt;/Pub_Place&gt;&lt;Publisher&gt;Commonwealth of Australia&lt;/Publisher&gt;&lt;Web_URL&gt;&lt;u&gt;www.msac.gov.au&lt;/u&gt;&lt;/Web_URL&gt;&lt;ZZ_WorkformID&gt;24&lt;/ZZ_WorkformID&gt;&lt;/MDL&gt;&lt;/Cite&gt;&lt;/Refman&gt;</w:instrText>
      </w:r>
      <w:r w:rsidRPr="00686AA1">
        <w:fldChar w:fldCharType="separate"/>
      </w:r>
      <w:r w:rsidRPr="00686AA1">
        <w:t>(Medical Services Advisory Committee 2002b; Medical Services Advisory Committee 2003)</w:t>
      </w:r>
      <w:r w:rsidRPr="00686AA1">
        <w:fldChar w:fldCharType="end"/>
      </w:r>
      <w:r w:rsidRPr="00537C3C">
        <w:t>.</w:t>
      </w:r>
    </w:p>
    <w:p w:rsidR="00234376" w:rsidRPr="00537C3C" w:rsidRDefault="00234376">
      <w:pPr>
        <w:pStyle w:val="Heading1"/>
        <w:ind w:left="0"/>
      </w:pPr>
      <w:bookmarkStart w:id="58" w:name="_Toc451749500"/>
      <w:bookmarkStart w:id="59" w:name="_Toc95971055"/>
      <w:bookmarkStart w:id="60" w:name="_Toc241658154"/>
      <w:r w:rsidRPr="00537C3C">
        <w:lastRenderedPageBreak/>
        <w:t>Background</w:t>
      </w:r>
      <w:bookmarkEnd w:id="58"/>
      <w:bookmarkEnd w:id="59"/>
      <w:bookmarkEnd w:id="60"/>
    </w:p>
    <w:p w:rsidR="00234376" w:rsidRPr="00537C3C" w:rsidRDefault="00234376" w:rsidP="008E03A7">
      <w:pPr>
        <w:pStyle w:val="Heading2"/>
        <w:ind w:left="0"/>
      </w:pPr>
      <w:bookmarkStart w:id="61" w:name="_Toc95971056"/>
      <w:bookmarkStart w:id="62" w:name="_Toc241658155"/>
      <w:r w:rsidRPr="00537C3C">
        <w:t>Cervical cancer cytology</w:t>
      </w:r>
      <w:bookmarkEnd w:id="61"/>
      <w:bookmarkEnd w:id="62"/>
    </w:p>
    <w:p w:rsidR="00234376" w:rsidRPr="00537C3C" w:rsidRDefault="00234376" w:rsidP="008E03A7">
      <w:pPr>
        <w:rPr>
          <w:snapToGrid w:val="0"/>
        </w:rPr>
      </w:pPr>
      <w:r w:rsidRPr="00537C3C">
        <w:rPr>
          <w:snapToGrid w:val="0"/>
        </w:rPr>
        <w:t xml:space="preserve">In </w:t>
      </w:r>
      <w:smartTag w:uri="urn:schemas-microsoft-com:office:smarttags" w:element="place">
        <w:smartTag w:uri="urn:schemas-microsoft-com:office:smarttags" w:element="country-region">
          <w:r w:rsidRPr="00537C3C">
            <w:rPr>
              <w:snapToGrid w:val="0"/>
            </w:rPr>
            <w:t>Australia</w:t>
          </w:r>
        </w:smartTag>
      </w:smartTag>
      <w:r w:rsidRPr="00537C3C">
        <w:rPr>
          <w:snapToGrid w:val="0"/>
        </w:rPr>
        <w:t>, cervical cytology is conventionally undertaken using the Pap smear test. This involves the collection of cells from the uterine cervix by a medical practitioner using a vaginal speculum to visualise the cervix. Cells are collected from the cervix using a small cytobrush/broom or spatula. Cells are smeared onto a glass slide, fixed with a fixative solution, and then transported to the laboratory for examination under the microscope by a cytologist.</w:t>
      </w:r>
    </w:p>
    <w:p w:rsidR="00234376" w:rsidRPr="00537C3C" w:rsidRDefault="00234376" w:rsidP="008E03A7">
      <w:r w:rsidRPr="00537C3C">
        <w:rPr>
          <w:snapToGrid w:val="0"/>
        </w:rPr>
        <w:t>Pap tests are a safe and relatively cheap method for detecting pre-cancerous changes of the cervix and Their use in the National Cervical Cancer Screening Program has been associated with a reduction in cervical cancer incidence and mortality</w:t>
      </w:r>
      <w:r w:rsidR="001E08C1">
        <w:rPr>
          <w:snapToGrid w:val="0"/>
        </w:rPr>
        <w:t xml:space="preserve"> (</w:t>
      </w:r>
      <w:r w:rsidR="00F41424" w:rsidRPr="00537C3C">
        <w:t>Australian Government Department of Health and Ageing 2007</w:t>
      </w:r>
      <w:r w:rsidR="00F41424">
        <w:t>)</w:t>
      </w:r>
    </w:p>
    <w:p w:rsidR="00234376" w:rsidRDefault="00234376" w:rsidP="00234376">
      <w:pPr>
        <w:pStyle w:val="Heading3"/>
      </w:pPr>
      <w:r w:rsidRPr="00537C3C">
        <w:t>Liquid-based cytology</w:t>
      </w:r>
    </w:p>
    <w:p w:rsidR="00234376" w:rsidRPr="00537C3C" w:rsidRDefault="00234376" w:rsidP="008E03A7">
      <w:r w:rsidRPr="00537C3C">
        <w:t>Liquid-based cytology (</w:t>
      </w:r>
      <w:r w:rsidRPr="00BB76D8">
        <w:t>LBC</w:t>
      </w:r>
      <w:r w:rsidRPr="00537C3C">
        <w:t xml:space="preserve">) uses a different method for preparing cervical cells for cytological examination than the conventional Pap test. Cells are collected from the cervix using a brush, broom or spatula in the same way they are collected for conventional Pap, but the head of the brush or spatula is rinsed into a vial of liquid to produce a cell suspension which is sent to the laboratory. In the direct-to-vial collection method, instead of smearing the cells directly onto a glass slide, All cells collected from the cervical scraping are transferred directly to the </w:t>
      </w:r>
      <w:r w:rsidRPr="00BB76D8">
        <w:t>LBC</w:t>
      </w:r>
      <w:r w:rsidRPr="00537C3C">
        <w:t xml:space="preserve"> preservative fluid. In the split-sample collection method, the collected cervical cells are first smeared onto the glass slide and any residual sample on the spatula is transferred to the </w:t>
      </w:r>
      <w:r w:rsidRPr="00BB76D8">
        <w:t>LBC</w:t>
      </w:r>
      <w:r w:rsidRPr="00537C3C">
        <w:t xml:space="preserve"> fluid. Studies comparing conventional cytology and </w:t>
      </w:r>
      <w:r w:rsidRPr="00BB76D8">
        <w:t>LBC</w:t>
      </w:r>
      <w:r w:rsidRPr="00537C3C">
        <w:t xml:space="preserve"> using the split-sample method may disadvantage </w:t>
      </w:r>
      <w:r w:rsidRPr="00BB76D8">
        <w:t>LBC</w:t>
      </w:r>
      <w:r w:rsidRPr="00537C3C">
        <w:t xml:space="preserve"> as most of the cells are transferred to the conventional slide.</w:t>
      </w:r>
    </w:p>
    <w:p w:rsidR="00234376" w:rsidRPr="00537C3C" w:rsidRDefault="00234376" w:rsidP="008E03A7">
      <w:r w:rsidRPr="00537C3C">
        <w:t xml:space="preserve">At the laboratory, the cell sample is treated to remove other material, such as blood and mucus, so that a thin layer of cervical cells can be placed on a slide for microscopic examination. This method has been developed to overcome the problem of ‘unsatisfactory’ Pap tests, where microscopic examination of the cervical cell smear is difficult and sometimes impossible due to the presence of blood or mucus. In these situations, it is expected that </w:t>
      </w:r>
      <w:r w:rsidRPr="00BB76D8">
        <w:t>LBC</w:t>
      </w:r>
      <w:r w:rsidRPr="00537C3C">
        <w:t xml:space="preserve"> would be less time consuming and avoid the need for asking some women to return for a second Pap test. Other advantages of </w:t>
      </w:r>
      <w:r w:rsidRPr="00BB76D8">
        <w:t>LBC</w:t>
      </w:r>
      <w:r w:rsidRPr="00537C3C">
        <w:t xml:space="preserve"> are that the cell sample can be used for adjunctive testing for a range of pathogens including human papilloma virus (</w:t>
      </w:r>
      <w:r w:rsidRPr="00BB76D8">
        <w:t>HPV</w:t>
      </w:r>
      <w:r w:rsidRPr="00537C3C">
        <w:t xml:space="preserve">), </w:t>
      </w:r>
      <w:r w:rsidRPr="00537C3C">
        <w:rPr>
          <w:i/>
        </w:rPr>
        <w:t xml:space="preserve">Chlamydia trachomatis </w:t>
      </w:r>
      <w:r w:rsidRPr="00537C3C">
        <w:t>and</w:t>
      </w:r>
      <w:r w:rsidRPr="00537C3C">
        <w:rPr>
          <w:i/>
        </w:rPr>
        <w:t xml:space="preserve"> Neisseria gonorrhoeae </w:t>
      </w:r>
      <w:r w:rsidRPr="00537C3C">
        <w:t xml:space="preserve">and that it may be more suited to automated screening technologies. The main disadvantage of </w:t>
      </w:r>
      <w:r w:rsidRPr="00BB76D8">
        <w:t>LBC</w:t>
      </w:r>
      <w:r w:rsidRPr="00537C3C">
        <w:t xml:space="preserve"> is that it is more costly than Pap tests.</w:t>
      </w:r>
    </w:p>
    <w:p w:rsidR="00234376" w:rsidRDefault="00234376" w:rsidP="00234376">
      <w:pPr>
        <w:pStyle w:val="Heading3"/>
      </w:pPr>
      <w:r w:rsidRPr="00537C3C">
        <w:t>Automated slide reading</w:t>
      </w:r>
    </w:p>
    <w:p w:rsidR="00234376" w:rsidRPr="00537C3C" w:rsidRDefault="00234376" w:rsidP="008E03A7">
      <w:r w:rsidRPr="00537C3C">
        <w:t xml:space="preserve">Automated cytology refers to the use of a computer imager to scan slides prepared using </w:t>
      </w:r>
      <w:r w:rsidRPr="00BB76D8">
        <w:t>LBC</w:t>
      </w:r>
      <w:r w:rsidRPr="00537C3C">
        <w:t xml:space="preserve"> or conventional techniques. The aim of automated slide reading is to reduce detection error and cytology reading time. A reduction in reading time would enable cytologists to screen more cervical cytology slides in a given time period. Automated cytology can be used to identify areas on the slide that are most likely to contain abnormal cells, deselect slides from manual reading, or as a </w:t>
      </w:r>
      <w:bookmarkStart w:id="63" w:name="OLE_LINK566"/>
      <w:bookmarkStart w:id="64" w:name="OLE_LINK567"/>
      <w:r w:rsidRPr="006C24DD">
        <w:t>quality control</w:t>
      </w:r>
      <w:bookmarkEnd w:id="63"/>
      <w:bookmarkEnd w:id="64"/>
      <w:r w:rsidRPr="006C24DD">
        <w:t xml:space="preserve"> (QC</w:t>
      </w:r>
      <w:r w:rsidRPr="00537C3C">
        <w:t xml:space="preserve">) </w:t>
      </w:r>
      <w:r w:rsidRPr="00537C3C">
        <w:lastRenderedPageBreak/>
        <w:t>procedure rescreen slides processed manually. Different technologies are designed specifically for use at different points in the slide screening process.</w:t>
      </w:r>
    </w:p>
    <w:p w:rsidR="00234376" w:rsidRPr="00537C3C" w:rsidRDefault="00234376" w:rsidP="008E03A7">
      <w:pPr>
        <w:pStyle w:val="Heading4"/>
      </w:pPr>
      <w:r w:rsidRPr="00537C3C">
        <w:t>The ThinPrep system</w:t>
      </w:r>
    </w:p>
    <w:p w:rsidR="00234376" w:rsidRPr="00537C3C" w:rsidRDefault="00234376" w:rsidP="008E03A7">
      <w:r w:rsidRPr="00537C3C">
        <w:t>The ThinPrep</w:t>
      </w:r>
      <w:r w:rsidRPr="00537C3C">
        <w:rPr>
          <w:vertAlign w:val="superscript"/>
        </w:rPr>
        <w:t>®</w:t>
      </w:r>
      <w:r w:rsidRPr="00537C3C">
        <w:t xml:space="preserve"> System (Cytyc Pty Ltd) is designed for primary automated screening. The ThinPrep System incorporates the </w:t>
      </w:r>
      <w:bookmarkStart w:id="65" w:name="OLE_LINK642"/>
      <w:bookmarkStart w:id="66" w:name="OLE_LINK643"/>
      <w:r w:rsidRPr="00537C3C">
        <w:t>ThinPrep Imager</w:t>
      </w:r>
      <w:bookmarkEnd w:id="65"/>
      <w:bookmarkEnd w:id="66"/>
      <w:r w:rsidRPr="00537C3C">
        <w:t xml:space="preserve">, a computerised cytology reading device, and the </w:t>
      </w:r>
      <w:r w:rsidRPr="00B94BF8">
        <w:t>Thin Prep</w:t>
      </w:r>
      <w:r w:rsidRPr="00537C3C">
        <w:t xml:space="preserve"> Pap Test, a liquid-based cytology preparation system. The ThinPrep Imager identifies 22 areas on a slide that are most likely to contain abnormal cells. These areas, commonly referred to as </w:t>
      </w:r>
      <w:bookmarkStart w:id="67" w:name="OLE_LINK564"/>
      <w:bookmarkStart w:id="68" w:name="OLE_LINK565"/>
      <w:r w:rsidRPr="006C24DD">
        <w:t>fields of view</w:t>
      </w:r>
      <w:bookmarkEnd w:id="67"/>
      <w:bookmarkEnd w:id="68"/>
      <w:r w:rsidRPr="006C24DD">
        <w:t xml:space="preserve"> (FOV</w:t>
      </w:r>
      <w:r w:rsidRPr="00537C3C">
        <w:t xml:space="preserve">), are then manually examined by the cytologist under high-resolution magnification. This system has been studied in a recent large prospective trial conducted in Australia </w:t>
      </w:r>
      <w:r w:rsidRPr="00537C3C">
        <w:fldChar w:fldCharType="begin"/>
      </w:r>
      <w:r w:rsidRPr="00537C3C">
        <w:instrText xml:space="preserve"> ADDIN REFMGR.CITE &lt;Refman&gt;&lt;Cite&gt;&lt;Author&gt;Davey&lt;/Author&gt;&lt;Year&gt;2007&lt;/Year&gt;&lt;RecNum&gt;65&lt;/RecNum&gt;&lt;IDText&gt;Accuracy of reading liquid based cytology slides using the ThinPrep Imager compared with conventional cytology: Prospective study&lt;/IDText&gt;&lt;MDL Ref_Type="Journal"&gt;&lt;Ref_Type&gt;Journal&lt;/Ref_Type&gt;&lt;Ref_ID&gt;65&lt;/Ref_ID&gt;&lt;Title_Primary&gt;Accuracy of reading liquid based cytology slides using the ThinPrep Imager compared with conventional cytology: Prospective study&lt;/Title_Primary&gt;&lt;Authors_Primary&gt;Davey,E.&lt;/Authors_Primary&gt;&lt;Authors_Primary&gt;D&amp;apos;Assuncao,J.&lt;/Authors_Primary&gt;&lt;Authors_Primary&gt;Irwig,L.&lt;/Authors_Primary&gt;&lt;Authors_Primary&gt;Macaskill,P.&lt;/Authors_Primary&gt;&lt;Authors_Primary&gt;Chan,S.F.&lt;/Authors_Primary&gt;&lt;Authors_Primary&gt;Richards,A.&lt;/Authors_Primary&gt;&lt;Authors_Primary&gt;Farnsworth,A.&lt;/Authors_Primary&gt;&lt;Date_Primary&gt;2007&lt;/Date_Primary&gt;&lt;Keywords&gt;adult&lt;/Keywords&gt;&lt;Keywords&gt;article&lt;/Keywords&gt;&lt;Keywords&gt;Australia&lt;/Keywords&gt;&lt;Keywords&gt;cancer screening&lt;/Keywords&gt;&lt;Keywords&gt;clinical laboratory&lt;/Keywords&gt;&lt;Keywords&gt;diagnostic accuracy&lt;/Keywords&gt;&lt;Keywords&gt;female&lt;/Keywords&gt;&lt;Keywords&gt;human&lt;/Keywords&gt;&lt;Keywords&gt;human cell&lt;/Keywords&gt;&lt;Keywords&gt;intermethod comparison&lt;/Keywords&gt;&lt;Keywords&gt;liquid based cytology&lt;/Keywords&gt;&lt;Keywords&gt;major clinical study&lt;/Keywords&gt;&lt;Keywords&gt;Papanicolaou test&lt;/Keywords&gt;&lt;Keywords&gt;priority journal&lt;/Keywords&gt;&lt;Keywords&gt;ThinPrep&lt;/Keywords&gt;&lt;Keywords&gt;uterine cervix biopsy&lt;/Keywords&gt;&lt;Keywords&gt;uterine cervix cancer&lt;/Keywords&gt;&lt;Keywords&gt;uterine cervix carcinoma in situ&lt;/Keywords&gt;&lt;Keywords&gt;uterine cervix cytology&lt;/Keywords&gt;&lt;Reprint&gt;In File&lt;/Reprint&gt;&lt;Start_Page&gt;31&lt;/Start_Page&gt;&lt;End_Page&gt;35&lt;/End_Page&gt;&lt;Periodical&gt;British Medical Journal&lt;/Periodical&gt;&lt;Volume&gt;335&lt;/Volume&gt;&lt;Issue&gt;7609&lt;/Issue&gt;&lt;ISSN_ISBN&gt;0959-8146&lt;/ISSN_ISBN&gt;&lt;Address&gt;Davey, E., Screening and Test Evaluation Program, School of Public Health, University of Sydney, Sydney, NSW 2006, Australia&lt;/Address&gt;&lt;ZZ_JournalFull&gt;&lt;f name="System"&gt;British Medical Journal&lt;/f&gt;&lt;/ZZ_JournalFull&gt;&lt;ZZ_JournalStdAbbrev&gt;&lt;f name="System"&gt;Br.Med.J.&lt;/f&gt;&lt;/ZZ_JournalStdAbbrev&gt;&lt;ZZ_WorkformID&gt;1&lt;/ZZ_WorkformID&gt;&lt;/MDL&gt;&lt;/Cite&gt;&lt;/Refman&gt;</w:instrText>
      </w:r>
      <w:r w:rsidRPr="00537C3C">
        <w:fldChar w:fldCharType="separate"/>
      </w:r>
      <w:r w:rsidRPr="00537C3C">
        <w:t>(Davey et al. 2007a)</w:t>
      </w:r>
      <w:r w:rsidRPr="00537C3C">
        <w:fldChar w:fldCharType="end"/>
      </w:r>
      <w:r w:rsidRPr="00537C3C">
        <w:t>.</w:t>
      </w:r>
    </w:p>
    <w:p w:rsidR="00234376" w:rsidRPr="00537C3C" w:rsidRDefault="00234376" w:rsidP="008E03A7">
      <w:pPr>
        <w:pStyle w:val="Heading4"/>
      </w:pPr>
      <w:r w:rsidRPr="00537C3C">
        <w:t>FocalPoint/AutoPap</w:t>
      </w:r>
    </w:p>
    <w:p w:rsidR="00234376" w:rsidRPr="00537C3C" w:rsidRDefault="00234376" w:rsidP="008E03A7">
      <w:r w:rsidRPr="00537C3C">
        <w:t xml:space="preserve">The FocalPoint Imaging System (Becton Dickinson Pty Ltd, formerly </w:t>
      </w:r>
      <w:bookmarkStart w:id="69" w:name="OLE_LINK98"/>
      <w:bookmarkStart w:id="70" w:name="OLE_LINK99"/>
      <w:r w:rsidRPr="00537C3C">
        <w:t xml:space="preserve">TriPath </w:t>
      </w:r>
      <w:bookmarkEnd w:id="69"/>
      <w:bookmarkEnd w:id="70"/>
      <w:r w:rsidRPr="00537C3C">
        <w:t xml:space="preserve">Imaging Inc.) is also designed for primary screening of slides. The FocalPoint slide profiler was previously marketed as the AutoPap Primary Screening System. FocalPoint can be used on conventionally prepared or </w:t>
      </w:r>
      <w:r w:rsidRPr="00BB76D8">
        <w:t>LBC</w:t>
      </w:r>
      <w:r w:rsidRPr="00537C3C">
        <w:t xml:space="preserve"> slides. This automated cytology system ranks slides according to the likelihood of abnormality. The AutoPap system has been used to identify slides without abnormality that do not require manual review. Up to 25 per cent of slides are read by the automated system and</w:t>
      </w:r>
      <w:r w:rsidR="009E6BC9">
        <w:t xml:space="preserve"> are </w:t>
      </w:r>
      <w:r w:rsidRPr="00537C3C">
        <w:t xml:space="preserve"> archived without cytologist review </w:t>
      </w:r>
      <w:r w:rsidRPr="00537C3C">
        <w:fldChar w:fldCharType="begin"/>
      </w:r>
      <w:r w:rsidRPr="00537C3C">
        <w:instrText xml:space="preserve"> ADDIN REFMGR.CITE &lt;Refman&gt;&lt;Cite&gt;&lt;Author&gt;Wilbur&lt;/Author&gt;&lt;Year&gt;2002&lt;/Year&gt;&lt;RecNum&gt;839&lt;/RecNum&gt;&lt;IDText&gt;Location-guided screening of liquid-based cervical cytology specimens: a potential improvement in accuracy and productivity is demonstrated in a preclinical feasibility trial&lt;/IDText&gt;&lt;MDL Ref_Type="Journal"&gt;&lt;Ref_Type&gt;Journal&lt;/Ref_Type&gt;&lt;Ref_ID&gt;839&lt;/Ref_ID&gt;&lt;Title_Primary&gt;Location-guided screening of liquid-based cervical cytology specimens: a potential improvement in accuracy and productivity is demonstrated in a preclinical feasibility trial&lt;/Title_Primary&gt;&lt;Authors_Primary&gt;Wilbur,D.C.&lt;/Authors_Primary&gt;&lt;Authors_Primary&gt;Parker,E.M.&lt;/Authors_Primary&gt;&lt;Authors_Primary&gt;Foti,J.A.&lt;/Authors_Primary&gt;&lt;Date_Primary&gt;2002&lt;/Date_Primary&gt;&lt;Keywords&gt;article&lt;/Keywords&gt;&lt;Keywords&gt;automation&lt;/Keywords&gt;&lt;Keywords&gt;clinical trial&lt;/Keywords&gt;&lt;Keywords&gt;comparative study&lt;/Keywords&gt;&lt;Keywords&gt;computer assisted diagnosis&lt;/Keywords&gt;&lt;Keywords&gt;controlled study&lt;/Keywords&gt;&lt;Keywords&gt;feasibility study&lt;/Keywords&gt;&lt;Keywords&gt;female&lt;/Keywords&gt;&lt;Keywords&gt;human&lt;/Keywords&gt;&lt;Keywords&gt;laboratory diagnosis&lt;/Keywords&gt;&lt;Keywords&gt;mass screening&lt;/Keywords&gt;&lt;Keywords&gt;methodology&lt;/Keywords&gt;&lt;Keywords&gt;pathology&lt;/Keywords&gt;&lt;Keywords&gt;reproducibility&lt;/Keywords&gt;&lt;Keywords&gt;retrospective study&lt;/Keywords&gt;&lt;Keywords&gt;sensitivity and specificity&lt;/Keywords&gt;&lt;Keywords&gt;single blind procedure&lt;/Keywords&gt;&lt;Keywords&gt;uterine cervix tumor&lt;/Keywords&gt;&lt;Keywords&gt;vagina smear&lt;/Keywords&gt;&lt;Reprint&gt;In File&lt;/Reprint&gt;&lt;Start_Page&gt;399&lt;/Start_Page&gt;&lt;End_Page&gt;407&lt;/End_Page&gt;&lt;Periodical&gt;American Journal of Clinical Pathology&lt;/Periodical&gt;&lt;Volume&gt;118&lt;/Volume&gt;&lt;Issue&gt;3&lt;/Issue&gt;&lt;ISSN_ISBN&gt;0002-9173&lt;/ISSN_ISBN&gt;&lt;Address&gt;Wilbur, D.C., Cytopathology Unit, ViaHealth, Rochester, NY, USA&lt;/Address&gt;&lt;ZZ_JournalFull&gt;&lt;f name="System"&gt;American Journal of Clinical Pathology&lt;/f&gt;&lt;/ZZ_JournalFull&gt;&lt;ZZ_JournalStdAbbrev&gt;&lt;f name="System"&gt;Am.J.Clin.Pathol.&lt;/f&gt;&lt;/ZZ_JournalStdAbbrev&gt;&lt;ZZ_WorkformID&gt;1&lt;/ZZ_WorkformID&gt;&lt;/MDL&gt;&lt;/Cite&gt;&lt;/Refman&gt;</w:instrText>
      </w:r>
      <w:r w:rsidRPr="00537C3C">
        <w:fldChar w:fldCharType="separate"/>
      </w:r>
      <w:r w:rsidRPr="00537C3C">
        <w:t>(Wilbur et al. 2002)</w:t>
      </w:r>
      <w:r w:rsidRPr="00537C3C">
        <w:fldChar w:fldCharType="end"/>
      </w:r>
      <w:r w:rsidRPr="00537C3C">
        <w:t xml:space="preserve">. The FocalPoint system is currently used to both rank slides and direct cytologists to the 10 </w:t>
      </w:r>
      <w:bookmarkStart w:id="71" w:name="OLE_LINK78"/>
      <w:bookmarkStart w:id="72" w:name="OLE_LINK79"/>
      <w:r w:rsidRPr="00BB76D8">
        <w:t>FOV</w:t>
      </w:r>
      <w:r w:rsidRPr="00537C3C">
        <w:t xml:space="preserve"> </w:t>
      </w:r>
      <w:bookmarkEnd w:id="71"/>
      <w:bookmarkEnd w:id="72"/>
      <w:r w:rsidRPr="00537C3C">
        <w:t xml:space="preserve">most likely to contain abnormal cells. In addition, it identifies at least 15 per cent of all slides for a </w:t>
      </w:r>
      <w:r w:rsidRPr="00BB76D8">
        <w:t>QC</w:t>
      </w:r>
      <w:r w:rsidRPr="00537C3C">
        <w:t xml:space="preserve"> </w:t>
      </w:r>
      <w:bookmarkStart w:id="73" w:name="OLE_LINK86"/>
      <w:bookmarkStart w:id="74" w:name="OLE_LINK87"/>
      <w:r w:rsidRPr="00537C3C">
        <w:t>rescreen</w:t>
      </w:r>
      <w:bookmarkEnd w:id="73"/>
      <w:bookmarkEnd w:id="74"/>
      <w:r w:rsidRPr="00537C3C">
        <w:t xml:space="preserve">. Earlier versions of the AutoPap system were used only for </w:t>
      </w:r>
      <w:r w:rsidRPr="00BB76D8">
        <w:t>QC</w:t>
      </w:r>
      <w:r w:rsidRPr="00537C3C">
        <w:t xml:space="preserve"> </w:t>
      </w:r>
      <w:bookmarkStart w:id="75" w:name="OLE_LINK80"/>
      <w:bookmarkStart w:id="76" w:name="OLE_LINK81"/>
      <w:bookmarkStart w:id="77" w:name="OLE_LINK100"/>
      <w:r w:rsidRPr="00537C3C">
        <w:t>rescreening</w:t>
      </w:r>
      <w:bookmarkEnd w:id="75"/>
      <w:bookmarkEnd w:id="76"/>
      <w:bookmarkEnd w:id="77"/>
      <w:r w:rsidRPr="00537C3C">
        <w:t xml:space="preserve">. Details of the processes used by the AutoPap system for primary screening or rescreening are provided in the previous </w:t>
      </w:r>
      <w:r w:rsidRPr="00BB76D8">
        <w:t>MSAC</w:t>
      </w:r>
      <w:r w:rsidRPr="00537C3C">
        <w:t xml:space="preserve"> review on computer-assisted image analysis </w:t>
      </w:r>
      <w:r w:rsidRPr="00537C3C">
        <w:fldChar w:fldCharType="begin"/>
      </w:r>
      <w:r w:rsidRPr="00537C3C">
        <w:instrText xml:space="preserve"> ADDIN REFMGR.CITE &lt;Refman&gt;&lt;Cite&gt;&lt;Author&gt;Medical Services Advisory Committee&lt;/Author&gt;&lt;Year&gt;2003&lt;/Year&gt;&lt;RecNum&gt;2851&lt;/RecNum&gt;&lt;IDText&gt;Computer-assisted image analysis for cervical screening&lt;/IDText&gt;&lt;MDL Ref_Type="Report"&gt;&lt;Ref_Type&gt;Report&lt;/Ref_Type&gt;&lt;Ref_ID&gt;2851&lt;/Ref_ID&gt;&lt;Title_Primary&gt;Computer-assisted image analysis for cervical screening&lt;/Title_Primary&gt;&lt;Authors_Primary&gt;Medical Services Advisory Committee&lt;/Authors_Primary&gt;&lt;Date_Primary&gt;2003&lt;/Date_Primary&gt;&lt;Reprint&gt;In File&lt;/Reprint&gt;&lt;Volume&gt;Reference 12c&lt;/Volume&gt;&lt;Pub_Place&gt;Canberra&lt;/Pub_Place&gt;&lt;Publisher&gt;Commonwealth of Australia&lt;/Publisher&gt;&lt;Web_URL&gt;&lt;u&gt;www.msac.gov.au&lt;/u&gt;&lt;/Web_URL&gt;&lt;ZZ_WorkformID&gt;24&lt;/ZZ_WorkformID&gt;&lt;/MDL&gt;&lt;/Cite&gt;&lt;/Refman&gt;</w:instrText>
      </w:r>
      <w:r w:rsidRPr="00537C3C">
        <w:fldChar w:fldCharType="separate"/>
      </w:r>
      <w:r w:rsidRPr="00537C3C">
        <w:t>(Medical Services Advisory Committee 2003)</w:t>
      </w:r>
      <w:r w:rsidRPr="00537C3C">
        <w:fldChar w:fldCharType="end"/>
      </w:r>
      <w:r w:rsidRPr="00537C3C">
        <w:t xml:space="preserve">. The </w:t>
      </w:r>
      <w:r w:rsidRPr="00BB76D8">
        <w:t>LBC</w:t>
      </w:r>
      <w:r w:rsidRPr="00537C3C">
        <w:t xml:space="preserve"> preparation system produced by this manufacturer is </w:t>
      </w:r>
      <w:bookmarkStart w:id="78" w:name="OLE_LINK84"/>
      <w:bookmarkStart w:id="79" w:name="OLE_LINK85"/>
      <w:r w:rsidRPr="00537C3C">
        <w:t>SurePath</w:t>
      </w:r>
      <w:bookmarkEnd w:id="78"/>
      <w:bookmarkEnd w:id="79"/>
      <w:r w:rsidRPr="00537C3C">
        <w:rPr>
          <w:vertAlign w:val="superscript"/>
        </w:rPr>
        <w:t>®</w:t>
      </w:r>
      <w:r w:rsidRPr="00537C3C">
        <w:t xml:space="preserve">, previously marketed as </w:t>
      </w:r>
      <w:bookmarkStart w:id="80" w:name="OLE_LINK82"/>
      <w:bookmarkStart w:id="81" w:name="OLE_LINK83"/>
      <w:r w:rsidRPr="00537C3C">
        <w:t xml:space="preserve">AutoCyte </w:t>
      </w:r>
      <w:bookmarkEnd w:id="80"/>
      <w:bookmarkEnd w:id="81"/>
      <w:r w:rsidRPr="00537C3C">
        <w:t>Prep.</w:t>
      </w:r>
    </w:p>
    <w:p w:rsidR="00234376" w:rsidRPr="00537C3C" w:rsidRDefault="00234376" w:rsidP="008E03A7">
      <w:pPr>
        <w:pStyle w:val="Heading2"/>
        <w:ind w:left="0"/>
        <w:rPr>
          <w:bCs/>
          <w:lang w:eastAsia="en-AU"/>
        </w:rPr>
      </w:pPr>
      <w:bookmarkStart w:id="82" w:name="_Toc241658156"/>
      <w:r w:rsidRPr="00537C3C">
        <w:rPr>
          <w:bCs/>
          <w:lang w:eastAsia="en-AU"/>
        </w:rPr>
        <w:t xml:space="preserve">The </w:t>
      </w:r>
      <w:bookmarkStart w:id="83" w:name="_Toc95971057"/>
      <w:r w:rsidRPr="00537C3C">
        <w:rPr>
          <w:bCs/>
          <w:lang w:eastAsia="en-AU"/>
        </w:rPr>
        <w:t>National Cervical Screening Program</w:t>
      </w:r>
      <w:bookmarkEnd w:id="82"/>
      <w:bookmarkEnd w:id="83"/>
    </w:p>
    <w:p w:rsidR="00234376" w:rsidRPr="00537C3C" w:rsidRDefault="00234376" w:rsidP="008E03A7">
      <w:r w:rsidRPr="00537C3C">
        <w:t>T</w:t>
      </w:r>
      <w:r w:rsidRPr="00537C3C">
        <w:rPr>
          <w:snapToGrid w:val="0"/>
        </w:rPr>
        <w:t>he National Cervical Screening Program</w:t>
      </w:r>
      <w:r w:rsidRPr="00537C3C">
        <w:t xml:space="preserve"> was established in </w:t>
      </w:r>
      <w:smartTag w:uri="urn:schemas-microsoft-com:office:smarttags" w:element="place">
        <w:smartTag w:uri="urn:schemas-microsoft-com:office:smarttags" w:element="country-region">
          <w:r w:rsidRPr="00537C3C">
            <w:t>Australia</w:t>
          </w:r>
        </w:smartTag>
      </w:smartTag>
      <w:r w:rsidRPr="00537C3C">
        <w:t xml:space="preserve"> in 1991 to identify and treat women with </w:t>
      </w:r>
      <w:r w:rsidRPr="00537C3C">
        <w:rPr>
          <w:rFonts w:cs="Garamond"/>
          <w:szCs w:val="24"/>
        </w:rPr>
        <w:t xml:space="preserve">precancerous </w:t>
      </w:r>
      <w:bookmarkStart w:id="84" w:name="OLE_LINK554"/>
      <w:bookmarkStart w:id="85" w:name="OLE_LINK555"/>
      <w:r w:rsidRPr="006C24DD">
        <w:rPr>
          <w:rFonts w:cs="Garamond"/>
          <w:szCs w:val="24"/>
        </w:rPr>
        <w:t xml:space="preserve">cervical intraepithelial neoplasia </w:t>
      </w:r>
      <w:bookmarkEnd w:id="84"/>
      <w:bookmarkEnd w:id="85"/>
      <w:r w:rsidRPr="006C24DD">
        <w:rPr>
          <w:rFonts w:cs="Garamond"/>
          <w:szCs w:val="24"/>
        </w:rPr>
        <w:t>(CIN</w:t>
      </w:r>
      <w:r w:rsidRPr="00537C3C">
        <w:rPr>
          <w:rFonts w:cs="Garamond"/>
          <w:szCs w:val="24"/>
        </w:rPr>
        <w:t>) before it progresses to invasive cancer. C</w:t>
      </w:r>
      <w:r w:rsidRPr="00537C3C">
        <w:t xml:space="preserve">ervical </w:t>
      </w:r>
      <w:r w:rsidRPr="00537C3C">
        <w:rPr>
          <w:snapToGrid w:val="0"/>
        </w:rPr>
        <w:t xml:space="preserve">cytology tests are recommended </w:t>
      </w:r>
      <w:r w:rsidRPr="00537C3C">
        <w:t xml:space="preserve">every 2 years starting at age 18 to </w:t>
      </w:r>
      <w:r w:rsidRPr="00537C3C">
        <w:rPr>
          <w:snapToGrid w:val="0"/>
        </w:rPr>
        <w:t>20</w:t>
      </w:r>
      <w:r w:rsidRPr="00537C3C">
        <w:t xml:space="preserve"> years for asymptomatic, sexually active women (or within 1 to 2 years of their becoming sexually active) and ceasing at age 70 years</w:t>
      </w:r>
      <w:r w:rsidRPr="00537C3C">
        <w:rPr>
          <w:snapToGrid w:val="0"/>
        </w:rPr>
        <w:t xml:space="preserve"> </w:t>
      </w:r>
      <w:r w:rsidRPr="00537C3C">
        <w:rPr>
          <w:snapToGrid w:val="0"/>
        </w:rPr>
        <w:fldChar w:fldCharType="begin"/>
      </w:r>
      <w:r w:rsidRPr="00537C3C">
        <w:rPr>
          <w:snapToGrid w:val="0"/>
        </w:rPr>
        <w:instrText xml:space="preserve"> ADDIN REFMGR.CITE &lt;Refman&gt;&lt;Cite&gt;&lt;Author&gt;National Cervical Screening Program&lt;/Author&gt;&lt;Year&gt;2007&lt;/Year&gt;&lt;RecNum&gt;1305&lt;/RecNum&gt;&lt;MDL Ref_Type="Electronic Citation"&gt;&lt;Ref_Type&gt;Electronic Citation&lt;/Ref_Type&gt;&lt;Ref_ID&gt;1305&lt;/Ref_ID&gt;&lt;Authors_Primary&gt;National Cervical Screening Program&lt;/Authors_Primary&gt;&lt;Date_Primary&gt;2007/3/26&lt;/Date_Primary&gt;&lt;Keywords&gt;screening&lt;/Keywords&gt;&lt;Reprint&gt;In File&lt;/Reprint&gt;&lt;Periodical&gt;http://www.cancerscreening.gov.au/internet/screening/publishing.nsf/Content/cervical-1lp&lt;/Periodical&gt;&lt;Publisher&gt;Commonwealth of Australia&lt;/Publisher&gt;&lt;Date_Secondary&gt;2007/8/21&lt;/Date_Secondary&gt;&lt;ZZ_JournalStdAbbrev&gt;&lt;f name="System"&gt;http://www.cancerscreening.gov.au/internet/screening/publishing.nsf/Content/cervical-1lp&lt;/f&gt;&lt;/ZZ_JournalStdAbbrev&gt;&lt;ZZ_WorkformID&gt;34&lt;/ZZ_WorkformID&gt;&lt;/MDL&gt;&lt;/Cite&gt;&lt;/Refman&gt;</w:instrText>
      </w:r>
      <w:r w:rsidRPr="00537C3C">
        <w:rPr>
          <w:snapToGrid w:val="0"/>
        </w:rPr>
        <w:fldChar w:fldCharType="separate"/>
      </w:r>
      <w:r w:rsidRPr="00537C3C">
        <w:rPr>
          <w:snapToGrid w:val="0"/>
        </w:rPr>
        <w:t>(</w:t>
      </w:r>
      <w:r w:rsidR="00F41424" w:rsidRPr="00F41424">
        <w:t xml:space="preserve"> </w:t>
      </w:r>
      <w:r w:rsidR="00F41424" w:rsidRPr="00537C3C">
        <w:t>Australian Government Department of Health and Ageing 2007</w:t>
      </w:r>
      <w:r w:rsidR="00F41424">
        <w:t xml:space="preserve">, </w:t>
      </w:r>
      <w:r w:rsidRPr="00537C3C">
        <w:rPr>
          <w:snapToGrid w:val="0"/>
        </w:rPr>
        <w:t>National Cervical Screening Program)</w:t>
      </w:r>
      <w:r w:rsidRPr="00537C3C">
        <w:rPr>
          <w:snapToGrid w:val="0"/>
        </w:rPr>
        <w:fldChar w:fldCharType="end"/>
      </w:r>
      <w:r w:rsidRPr="00537C3C">
        <w:rPr>
          <w:snapToGrid w:val="0"/>
        </w:rPr>
        <w:t>.</w:t>
      </w:r>
      <w:r w:rsidRPr="00537C3C">
        <w:t xml:space="preserve"> If the cytology results are suggestive of pre-cancerous changes, women are referred to a specialist for histological diagnosis and appropriate treatment.</w:t>
      </w:r>
    </w:p>
    <w:p w:rsidR="00234376" w:rsidRDefault="00234376" w:rsidP="00234376">
      <w:pPr>
        <w:pStyle w:val="Heading3"/>
      </w:pPr>
      <w:bookmarkStart w:id="86" w:name="_Toc200863626"/>
      <w:r w:rsidRPr="00537C3C">
        <w:t>Classification and management of cytological and histological abnormalities</w:t>
      </w:r>
      <w:bookmarkEnd w:id="86"/>
    </w:p>
    <w:p w:rsidR="00234376" w:rsidRPr="00537C3C" w:rsidRDefault="00234376" w:rsidP="008E03A7">
      <w:pPr>
        <w:autoSpaceDE w:val="0"/>
        <w:autoSpaceDN w:val="0"/>
        <w:adjustRightInd w:val="0"/>
        <w:ind w:left="709"/>
      </w:pPr>
      <w:r w:rsidRPr="00537C3C">
        <w:t>Different systems are used for classifying cytolog</w:t>
      </w:r>
      <w:r w:rsidRPr="00537C3C" w:rsidDel="00B94BF8">
        <w:t>ical</w:t>
      </w:r>
      <w:r w:rsidRPr="00537C3C">
        <w:t xml:space="preserve"> and histological abnormalities in cervical screening. In </w:t>
      </w:r>
      <w:smartTag w:uri="urn:schemas-microsoft-com:office:smarttags" w:element="place">
        <w:smartTag w:uri="urn:schemas-microsoft-com:office:smarttags" w:element="country-region">
          <w:r w:rsidRPr="00537C3C">
            <w:t>Australia</w:t>
          </w:r>
        </w:smartTag>
      </w:smartTag>
      <w:r w:rsidRPr="00537C3C">
        <w:t>, cytological abnormalities are classified by using the Australian Modified Bethesda System (</w:t>
      </w:r>
      <w:r w:rsidRPr="00BB76D8">
        <w:t>AMBS</w:t>
      </w:r>
      <w:r w:rsidRPr="00537C3C">
        <w:t xml:space="preserve">). Under this system, cytological abnormalities of squamous cells are classified as high-grade </w:t>
      </w:r>
      <w:r w:rsidRPr="006C24DD">
        <w:t>squamous intraepithelial lesions (HSIL</w:t>
      </w:r>
      <w:r w:rsidRPr="00537C3C">
        <w:t xml:space="preserve">), possible </w:t>
      </w:r>
      <w:r w:rsidRPr="00BB76D8">
        <w:t>HSIL (pHSIL)</w:t>
      </w:r>
      <w:r w:rsidRPr="00537C3C">
        <w:t>, low-grade squamous intraepithelial lesions (</w:t>
      </w:r>
      <w:r w:rsidRPr="00BB76D8">
        <w:t>LSIL</w:t>
      </w:r>
      <w:r w:rsidRPr="00537C3C">
        <w:t xml:space="preserve">) or possible </w:t>
      </w:r>
      <w:r w:rsidRPr="00BB76D8">
        <w:t>LSIL</w:t>
      </w:r>
      <w:r w:rsidRPr="00537C3C">
        <w:t xml:space="preserve"> (pLSIL) (</w:t>
      </w:r>
      <w:r w:rsidRPr="00537C3C">
        <w:fldChar w:fldCharType="begin"/>
      </w:r>
      <w:r w:rsidRPr="00537C3C">
        <w:instrText xml:space="preserve"> REF _Ref190760374 \h </w:instrText>
      </w:r>
      <w:r w:rsidRPr="00537C3C">
        <w:fldChar w:fldCharType="separate"/>
      </w:r>
      <w:r w:rsidR="007D3DFF" w:rsidRPr="00537C3C">
        <w:t xml:space="preserve">Table </w:t>
      </w:r>
      <w:r w:rsidR="007D3DFF">
        <w:rPr>
          <w:noProof/>
        </w:rPr>
        <w:t>1</w:t>
      </w:r>
      <w:r w:rsidRPr="00537C3C">
        <w:fldChar w:fldCharType="end"/>
      </w:r>
      <w:r w:rsidRPr="00537C3C">
        <w:t xml:space="preserve">). The international literature most commonly uses the US Bethesda System, which uses a slightly different terminology. </w:t>
      </w:r>
      <w:r w:rsidRPr="00537C3C" w:rsidDel="00B94BF8">
        <w:t>p</w:t>
      </w:r>
      <w:r w:rsidRPr="00BB76D8">
        <w:t>LSIL</w:t>
      </w:r>
      <w:r w:rsidRPr="00537C3C">
        <w:t xml:space="preserve"> is </w:t>
      </w:r>
      <w:r w:rsidRPr="00537C3C">
        <w:lastRenderedPageBreak/>
        <w:t xml:space="preserve">equivalent to </w:t>
      </w:r>
      <w:bookmarkStart w:id="87" w:name="OLE_LINK556"/>
      <w:bookmarkStart w:id="88" w:name="OLE_LINK557"/>
      <w:r w:rsidRPr="006C24DD">
        <w:t xml:space="preserve">atypical squamous cells of undetermined significance </w:t>
      </w:r>
      <w:bookmarkEnd w:id="87"/>
      <w:bookmarkEnd w:id="88"/>
      <w:r w:rsidRPr="006C24DD">
        <w:t>(ASCUS</w:t>
      </w:r>
      <w:r w:rsidRPr="00537C3C">
        <w:t>) under the US Bethesda System (</w:t>
      </w:r>
      <w:r>
        <w:fldChar w:fldCharType="begin"/>
      </w:r>
      <w:r>
        <w:instrText xml:space="preserve"> REF _Ref190760374 \h  \* MERGEFORMAT </w:instrText>
      </w:r>
      <w:r>
        <w:fldChar w:fldCharType="separate"/>
      </w:r>
      <w:r w:rsidR="007D3DFF" w:rsidRPr="00537C3C">
        <w:t xml:space="preserve">Table </w:t>
      </w:r>
      <w:r w:rsidR="007D3DFF">
        <w:rPr>
          <w:noProof/>
        </w:rPr>
        <w:t>1</w:t>
      </w:r>
      <w:r>
        <w:fldChar w:fldCharType="end"/>
      </w:r>
      <w:r w:rsidRPr="00537C3C">
        <w:t>).</w:t>
      </w:r>
    </w:p>
    <w:p w:rsidR="00234376" w:rsidRPr="00537C3C" w:rsidRDefault="00234376" w:rsidP="008E03A7">
      <w:pPr>
        <w:autoSpaceDE w:val="0"/>
        <w:autoSpaceDN w:val="0"/>
        <w:adjustRightInd w:val="0"/>
        <w:ind w:left="709"/>
        <w:rPr>
          <w:rFonts w:cs="Garamond"/>
          <w:szCs w:val="24"/>
        </w:rPr>
      </w:pPr>
      <w:r w:rsidRPr="00537C3C">
        <w:t xml:space="preserve">Women with </w:t>
      </w:r>
      <w:r w:rsidRPr="00BB76D8">
        <w:t>HSIL</w:t>
      </w:r>
      <w:r w:rsidRPr="00537C3C">
        <w:t xml:space="preserve"> are </w:t>
      </w:r>
      <w:r w:rsidRPr="00537C3C">
        <w:rPr>
          <w:rFonts w:cs="Garamond"/>
          <w:szCs w:val="24"/>
        </w:rPr>
        <w:t xml:space="preserve">referred to a specialist for examination of the cervix by use of a colposcope, in a procedure called colposcopy. Abnormal lesions identified at colposcopy are biopsied and classified as </w:t>
      </w:r>
      <w:r w:rsidRPr="00BB76D8">
        <w:rPr>
          <w:rFonts w:cs="Garamond"/>
          <w:szCs w:val="24"/>
        </w:rPr>
        <w:t>CIN</w:t>
      </w:r>
      <w:r w:rsidRPr="00537C3C">
        <w:rPr>
          <w:rFonts w:cs="Garamond"/>
          <w:szCs w:val="24"/>
        </w:rPr>
        <w:t xml:space="preserve"> grades 1–3 on the bas</w:t>
      </w:r>
      <w:r w:rsidRPr="00537C3C" w:rsidDel="00B94BF8">
        <w:rPr>
          <w:rFonts w:cs="Garamond"/>
          <w:szCs w:val="24"/>
        </w:rPr>
        <w:t>is</w:t>
      </w:r>
      <w:r w:rsidRPr="00537C3C">
        <w:rPr>
          <w:rFonts w:cs="Garamond"/>
          <w:szCs w:val="24"/>
        </w:rPr>
        <w:t xml:space="preserve"> o</w:t>
      </w:r>
      <w:r w:rsidRPr="00537C3C" w:rsidDel="00B94BF8">
        <w:rPr>
          <w:rFonts w:cs="Garamond"/>
          <w:szCs w:val="24"/>
        </w:rPr>
        <w:t>f</w:t>
      </w:r>
      <w:r w:rsidRPr="00537C3C">
        <w:rPr>
          <w:rFonts w:cs="Garamond"/>
          <w:szCs w:val="24"/>
        </w:rPr>
        <w:t xml:space="preserve"> the histological findings (</w:t>
      </w:r>
      <w:r>
        <w:fldChar w:fldCharType="begin"/>
      </w:r>
      <w:r>
        <w:instrText xml:space="preserve"> REF _Ref170915634 \h  \* MERGEFORMAT </w:instrText>
      </w:r>
      <w:r>
        <w:fldChar w:fldCharType="separate"/>
      </w:r>
      <w:r w:rsidR="007D3DFF" w:rsidRPr="00537C3C">
        <w:t xml:space="preserve">Table </w:t>
      </w:r>
      <w:r w:rsidR="007D3DFF">
        <w:rPr>
          <w:noProof/>
        </w:rPr>
        <w:t>2</w:t>
      </w:r>
      <w:r>
        <w:fldChar w:fldCharType="end"/>
      </w:r>
      <w:r w:rsidRPr="00537C3C">
        <w:rPr>
          <w:rFonts w:cs="Garamond"/>
          <w:szCs w:val="24"/>
        </w:rPr>
        <w:t xml:space="preserve">). Although it was originally believed that neoplastic cellular changes occurred along a continuum from </w:t>
      </w:r>
      <w:r w:rsidRPr="00BB76D8">
        <w:rPr>
          <w:rFonts w:cs="Garamond"/>
          <w:szCs w:val="24"/>
        </w:rPr>
        <w:t>CIN</w:t>
      </w:r>
      <w:r w:rsidRPr="00537C3C">
        <w:rPr>
          <w:rFonts w:cs="Garamond"/>
          <w:szCs w:val="24"/>
        </w:rPr>
        <w:t xml:space="preserve"> 1 to 2 to 3, </w:t>
      </w:r>
      <w:r w:rsidRPr="00BB76D8">
        <w:rPr>
          <w:rFonts w:cs="Garamond"/>
          <w:szCs w:val="24"/>
        </w:rPr>
        <w:t>CIN</w:t>
      </w:r>
      <w:r w:rsidRPr="00537C3C">
        <w:rPr>
          <w:rFonts w:cs="Garamond"/>
          <w:szCs w:val="24"/>
        </w:rPr>
        <w:t xml:space="preserve"> 1 is now regarded as a manifestation of the </w:t>
      </w:r>
      <w:r w:rsidRPr="00BB76D8">
        <w:rPr>
          <w:rFonts w:cs="Garamond"/>
          <w:szCs w:val="24"/>
        </w:rPr>
        <w:t>HPV</w:t>
      </w:r>
      <w:r w:rsidRPr="00537C3C">
        <w:rPr>
          <w:rFonts w:cs="Garamond"/>
          <w:szCs w:val="24"/>
        </w:rPr>
        <w:t xml:space="preserve"> infective process, rather than as the first step in the neoplastic process.</w:t>
      </w:r>
    </w:p>
    <w:p w:rsidR="00234376" w:rsidRPr="00537C3C" w:rsidRDefault="00234376" w:rsidP="008E03A7">
      <w:pPr>
        <w:autoSpaceDE w:val="0"/>
        <w:autoSpaceDN w:val="0"/>
        <w:adjustRightInd w:val="0"/>
        <w:ind w:left="709"/>
        <w:rPr>
          <w:rFonts w:cs="Garamond"/>
          <w:szCs w:val="24"/>
        </w:rPr>
      </w:pPr>
      <w:r w:rsidRPr="00BB76D8">
        <w:rPr>
          <w:rFonts w:cs="Garamond"/>
          <w:szCs w:val="24"/>
        </w:rPr>
        <w:t>HPV</w:t>
      </w:r>
      <w:r w:rsidRPr="00537C3C">
        <w:rPr>
          <w:rFonts w:cs="Garamond"/>
          <w:szCs w:val="24"/>
        </w:rPr>
        <w:t xml:space="preserve"> infection of the cervix is usually asymptomatic, and most infections are transient. </w:t>
      </w:r>
      <w:r w:rsidRPr="00BB76D8">
        <w:rPr>
          <w:rFonts w:cs="Garamond"/>
          <w:szCs w:val="24"/>
        </w:rPr>
        <w:t>HPV</w:t>
      </w:r>
      <w:r w:rsidRPr="00537C3C">
        <w:rPr>
          <w:rFonts w:cs="Garamond"/>
          <w:szCs w:val="24"/>
        </w:rPr>
        <w:t xml:space="preserve"> infection may not cause any change in cell morphology or it may cause the cytopathic effect previously recognised as mild dysplasia and classified as </w:t>
      </w:r>
      <w:r w:rsidRPr="00BB76D8">
        <w:rPr>
          <w:rFonts w:cs="Garamond"/>
          <w:szCs w:val="24"/>
        </w:rPr>
        <w:t>CIN</w:t>
      </w:r>
      <w:r w:rsidRPr="00537C3C">
        <w:rPr>
          <w:rFonts w:cs="Garamond"/>
          <w:szCs w:val="24"/>
        </w:rPr>
        <w:t xml:space="preserve"> 1. Thus, </w:t>
      </w:r>
      <w:r w:rsidRPr="00BB76D8">
        <w:rPr>
          <w:rFonts w:cs="Garamond"/>
          <w:szCs w:val="24"/>
        </w:rPr>
        <w:t>CIN</w:t>
      </w:r>
      <w:r w:rsidRPr="00537C3C">
        <w:rPr>
          <w:rFonts w:cs="Garamond"/>
          <w:szCs w:val="24"/>
        </w:rPr>
        <w:t xml:space="preserve"> 1 lesions are now monitored by repeat cytology with the expectation that the cellular changes will regress when </w:t>
      </w:r>
      <w:r w:rsidRPr="00BB76D8">
        <w:rPr>
          <w:rFonts w:cs="Garamond"/>
          <w:szCs w:val="24"/>
        </w:rPr>
        <w:t>HPV</w:t>
      </w:r>
      <w:r w:rsidRPr="00537C3C">
        <w:rPr>
          <w:rFonts w:cs="Garamond"/>
          <w:szCs w:val="24"/>
        </w:rPr>
        <w:t xml:space="preserve"> infection resolves. In a small proportion of women, persistent </w:t>
      </w:r>
      <w:r w:rsidRPr="00BB76D8">
        <w:rPr>
          <w:rFonts w:cs="Garamond"/>
          <w:szCs w:val="24"/>
        </w:rPr>
        <w:t>HPV</w:t>
      </w:r>
      <w:r w:rsidRPr="00537C3C">
        <w:rPr>
          <w:rFonts w:cs="Garamond"/>
          <w:szCs w:val="24"/>
        </w:rPr>
        <w:t xml:space="preserve"> infection may occur.</w:t>
      </w:r>
    </w:p>
    <w:p w:rsidR="00234376" w:rsidRPr="00537C3C" w:rsidRDefault="00234376" w:rsidP="008E03A7">
      <w:pPr>
        <w:autoSpaceDE w:val="0"/>
        <w:autoSpaceDN w:val="0"/>
        <w:adjustRightInd w:val="0"/>
        <w:ind w:left="709"/>
        <w:rPr>
          <w:rFonts w:cs="Garamond"/>
          <w:szCs w:val="24"/>
        </w:rPr>
      </w:pPr>
      <w:r w:rsidRPr="00537C3C">
        <w:rPr>
          <w:rFonts w:cs="Garamond"/>
          <w:szCs w:val="24"/>
        </w:rPr>
        <w:t xml:space="preserve">Persistent infection with oncogenic genotypes precedes precancerous changes, which are classified as </w:t>
      </w:r>
      <w:r w:rsidRPr="00BB76D8">
        <w:rPr>
          <w:rFonts w:cs="Garamond"/>
          <w:szCs w:val="24"/>
        </w:rPr>
        <w:t>CIN</w:t>
      </w:r>
      <w:r w:rsidRPr="00537C3C">
        <w:rPr>
          <w:rFonts w:cs="Garamond"/>
          <w:szCs w:val="24"/>
        </w:rPr>
        <w:t xml:space="preserve"> 2 (moderate dysplasia) or </w:t>
      </w:r>
      <w:r w:rsidRPr="00BB76D8">
        <w:rPr>
          <w:rFonts w:cs="Garamond"/>
          <w:szCs w:val="24"/>
        </w:rPr>
        <w:t>CIN</w:t>
      </w:r>
      <w:r w:rsidRPr="00537C3C">
        <w:rPr>
          <w:rFonts w:cs="Garamond"/>
          <w:szCs w:val="24"/>
        </w:rPr>
        <w:t xml:space="preserve"> 3 (severe dysplasia). These lesions are treated by ablative therapy to prevent progression to invasive cancer. It is now accepted that </w:t>
      </w:r>
      <w:r w:rsidRPr="00BB76D8">
        <w:rPr>
          <w:rFonts w:cs="Garamond"/>
          <w:szCs w:val="24"/>
        </w:rPr>
        <w:t>CIN</w:t>
      </w:r>
      <w:r w:rsidRPr="00537C3C">
        <w:rPr>
          <w:rFonts w:cs="Garamond"/>
          <w:szCs w:val="24"/>
        </w:rPr>
        <w:t xml:space="preserve"> 2 or 3 can occur </w:t>
      </w:r>
      <w:r w:rsidRPr="00234376">
        <w:rPr>
          <w:rFonts w:cs="Garamond"/>
          <w:i/>
          <w:szCs w:val="24"/>
        </w:rPr>
        <w:t>de novo</w:t>
      </w:r>
      <w:r w:rsidRPr="00537C3C">
        <w:rPr>
          <w:rFonts w:cs="Garamond"/>
          <w:szCs w:val="24"/>
        </w:rPr>
        <w:t xml:space="preserve">, rather than as a continuum from </w:t>
      </w:r>
      <w:r w:rsidRPr="00BB76D8">
        <w:rPr>
          <w:rFonts w:cs="Garamond"/>
          <w:szCs w:val="24"/>
        </w:rPr>
        <w:t>CIN</w:t>
      </w:r>
      <w:r w:rsidRPr="00537C3C">
        <w:rPr>
          <w:rFonts w:cs="Garamond"/>
          <w:szCs w:val="24"/>
        </w:rPr>
        <w:t xml:space="preserve"> 1 lesions. A trial-based quality control assessment of community pathology biopsy diagnoses has demonstrated that the detection of </w:t>
      </w:r>
      <w:r w:rsidRPr="00BB76D8">
        <w:rPr>
          <w:rFonts w:cs="Garamond"/>
          <w:szCs w:val="24"/>
        </w:rPr>
        <w:t>CIN</w:t>
      </w:r>
      <w:r w:rsidRPr="00537C3C">
        <w:rPr>
          <w:rFonts w:cs="Garamond"/>
          <w:szCs w:val="24"/>
        </w:rPr>
        <w:t xml:space="preserve"> 2 has poor reproducibility compared to the detection of </w:t>
      </w:r>
      <w:r w:rsidRPr="00BB76D8">
        <w:rPr>
          <w:rFonts w:cs="Garamond"/>
          <w:szCs w:val="24"/>
        </w:rPr>
        <w:t>CIN</w:t>
      </w:r>
      <w:r w:rsidRPr="00537C3C">
        <w:rPr>
          <w:rFonts w:cs="Garamond"/>
          <w:szCs w:val="24"/>
        </w:rPr>
        <w:t xml:space="preserve"> 3, with 56 per cent of 523 </w:t>
      </w:r>
      <w:r w:rsidRPr="00BB76D8">
        <w:rPr>
          <w:rFonts w:cs="Garamond"/>
          <w:szCs w:val="24"/>
        </w:rPr>
        <w:t>CIN</w:t>
      </w:r>
      <w:r w:rsidRPr="00537C3C">
        <w:rPr>
          <w:rFonts w:cs="Garamond"/>
          <w:szCs w:val="24"/>
        </w:rPr>
        <w:t xml:space="preserve"> 2 cases reclassified as </w:t>
      </w:r>
      <w:r w:rsidRPr="00BB76D8">
        <w:rPr>
          <w:rFonts w:cs="Garamond"/>
          <w:szCs w:val="24"/>
        </w:rPr>
        <w:t>CIN</w:t>
      </w:r>
      <w:r w:rsidRPr="00537C3C">
        <w:rPr>
          <w:rFonts w:cs="Garamond"/>
          <w:szCs w:val="24"/>
        </w:rPr>
        <w:t xml:space="preserve"> 3 (27%) or &lt; </w:t>
      </w:r>
      <w:r w:rsidRPr="00BB76D8">
        <w:rPr>
          <w:rFonts w:cs="Garamond"/>
          <w:szCs w:val="24"/>
        </w:rPr>
        <w:t>CIN</w:t>
      </w:r>
      <w:r w:rsidRPr="00537C3C">
        <w:rPr>
          <w:rFonts w:cs="Garamond"/>
          <w:szCs w:val="24"/>
        </w:rPr>
        <w:t xml:space="preserve"> 2 (29%) at the quality control assessment </w:t>
      </w:r>
      <w:r w:rsidRPr="00537C3C">
        <w:rPr>
          <w:rFonts w:cs="Garamond"/>
          <w:szCs w:val="24"/>
        </w:rPr>
        <w:fldChar w:fldCharType="begin"/>
      </w:r>
      <w:r w:rsidRPr="00537C3C">
        <w:rPr>
          <w:rFonts w:cs="Garamond"/>
          <w:szCs w:val="24"/>
        </w:rPr>
        <w:instrText xml:space="preserve"> ADDIN REFMGR.CITE &lt;Refman&gt;&lt;Cite&gt;&lt;Author&gt;Castle&lt;/Author&gt;&lt;Year&gt;2007&lt;/Year&gt;&lt;RecNum&gt;4989&lt;/RecNum&gt;&lt;IDText&gt;The relationship of community biopsy-diagnosed cervical intraepithelial neoplasia grade 2 to the quality control pathology-reviewed diagnoses: an ALTS report&lt;/IDText&gt;&lt;MDL Ref_Type="Journal"&gt;&lt;Ref_Type&gt;Journal&lt;/Ref_Type&gt;&lt;Ref_ID&gt;4989&lt;/Ref_ID&gt;&lt;Title_Primary&gt;The relationship of community biopsy-diagnosed cervical intraepithelial neoplasia grade 2 to the quality control pathology-reviewed diagnoses: an ALTS report&lt;/Title_Primary&gt;&lt;Authors_Primary&gt;Castle,P.E.&lt;/Authors_Primary&gt;&lt;Authors_Primary&gt;Stoler,M.H.&lt;/Authors_Primary&gt;&lt;Authors_Primary&gt;Solomon,D.&lt;/Authors_Primary&gt;&lt;Authors_Primary&gt;Schiffman,M.&lt;/Authors_Primary&gt;&lt;Date_Primary&gt;2007/5&lt;/Date_Primary&gt;&lt;Keywords&gt;Adult&lt;/Keywords&gt;&lt;Keywords&gt;Biopsy&lt;/Keywords&gt;&lt;Keywords&gt;Cancer&lt;/Keywords&gt;&lt;Keywords&gt;Cervical Intraepithelial Neoplasia&lt;/Keywords&gt;&lt;Keywords&gt;Colposcopy&lt;/Keywords&gt;&lt;Keywords&gt;control&lt;/Keywords&gt;&lt;Keywords&gt;diagnosis&lt;/Keywords&gt;&lt;Keywords&gt;Electrosurgery&lt;/Keywords&gt;&lt;Keywords&gt;epidemiology&lt;/Keywords&gt;&lt;Keywords&gt;Female&lt;/Keywords&gt;&lt;Keywords&gt;genetics&lt;/Keywords&gt;&lt;Keywords&gt;Human papillomavirus 16&lt;/Keywords&gt;&lt;Keywords&gt;Humans&lt;/Keywords&gt;&lt;Keywords&gt;isolation &amp;amp; purification&lt;/Keywords&gt;&lt;Keywords&gt;pathology&lt;/Keywords&gt;&lt;Keywords&gt;Quality Control&lt;/Keywords&gt;&lt;Keywords&gt;Randomized Controlled Trials as Topic&lt;/Keywords&gt;&lt;Keywords&gt;Risk Factors&lt;/Keywords&gt;&lt;Keywords&gt;surgery&lt;/Keywords&gt;&lt;Keywords&gt;Triage&lt;/Keywords&gt;&lt;Keywords&gt;Uterine Cervical Neoplasms&lt;/Keywords&gt;&lt;Keywords&gt;virology&lt;/Keywords&gt;&lt;Reprint&gt;Not in File&lt;/Reprint&gt;&lt;Start_Page&gt;805&lt;/Start_Page&gt;&lt;End_Page&gt;815&lt;/End_Page&gt;&lt;Periodical&gt;Am.J.Clin.Pathol.&lt;/Periodical&gt;&lt;Volume&gt;127&lt;/Volume&gt;&lt;Issue&gt;5&lt;/Issue&gt;&lt;ZZ_JournalStdAbbrev&gt;&lt;f name="System"&gt;Am.J.Clin.Pathol.&lt;/f&gt;&lt;/ZZ_JournalStdAbbrev&gt;&lt;ZZ_WorkformID&gt;1&lt;/ZZ_WorkformID&gt;&lt;/MDL&gt;&lt;/Cite&gt;&lt;/Refman&gt;</w:instrText>
      </w:r>
      <w:r w:rsidRPr="00537C3C">
        <w:rPr>
          <w:rFonts w:cs="Garamond"/>
          <w:szCs w:val="24"/>
        </w:rPr>
        <w:fldChar w:fldCharType="separate"/>
      </w:r>
      <w:r w:rsidRPr="00537C3C">
        <w:rPr>
          <w:rFonts w:cs="Garamond"/>
          <w:szCs w:val="24"/>
        </w:rPr>
        <w:t>(Castle et al. 2007)</w:t>
      </w:r>
      <w:r w:rsidRPr="00537C3C">
        <w:rPr>
          <w:rFonts w:cs="Garamond"/>
          <w:szCs w:val="24"/>
        </w:rPr>
        <w:fldChar w:fldCharType="end"/>
      </w:r>
      <w:r w:rsidRPr="00537C3C">
        <w:rPr>
          <w:rFonts w:cs="Garamond"/>
          <w:szCs w:val="24"/>
        </w:rPr>
        <w:t xml:space="preserve">. The authors suggested that this evidence indicates that </w:t>
      </w:r>
      <w:r w:rsidRPr="00BB76D8">
        <w:rPr>
          <w:rFonts w:cs="Garamond"/>
          <w:szCs w:val="24"/>
        </w:rPr>
        <w:t>CIN</w:t>
      </w:r>
      <w:r w:rsidRPr="00537C3C">
        <w:rPr>
          <w:rFonts w:cs="Garamond"/>
          <w:szCs w:val="24"/>
        </w:rPr>
        <w:t xml:space="preserve"> 2 represents a mix of </w:t>
      </w:r>
      <w:r w:rsidRPr="00BB76D8">
        <w:rPr>
          <w:rFonts w:cs="Garamond"/>
          <w:szCs w:val="24"/>
        </w:rPr>
        <w:t>HPV</w:t>
      </w:r>
      <w:r w:rsidRPr="00537C3C">
        <w:rPr>
          <w:rFonts w:cs="Garamond"/>
          <w:szCs w:val="24"/>
        </w:rPr>
        <w:t xml:space="preserve"> infection and </w:t>
      </w:r>
      <w:r w:rsidRPr="00BB76D8">
        <w:rPr>
          <w:rFonts w:cs="Garamond"/>
          <w:szCs w:val="24"/>
        </w:rPr>
        <w:t>CIN</w:t>
      </w:r>
      <w:r w:rsidRPr="00537C3C">
        <w:rPr>
          <w:rFonts w:cs="Garamond"/>
          <w:szCs w:val="24"/>
        </w:rPr>
        <w:t xml:space="preserve"> 3, and that </w:t>
      </w:r>
      <w:r w:rsidRPr="00BB76D8">
        <w:rPr>
          <w:rFonts w:cs="Garamond"/>
          <w:szCs w:val="24"/>
        </w:rPr>
        <w:t>CIN</w:t>
      </w:r>
      <w:r w:rsidRPr="00537C3C">
        <w:rPr>
          <w:rFonts w:cs="Garamond"/>
          <w:szCs w:val="24"/>
        </w:rPr>
        <w:t xml:space="preserve"> 3 is the true precursor to cancer </w:t>
      </w:r>
      <w:r w:rsidRPr="00537C3C">
        <w:rPr>
          <w:rFonts w:cs="Garamond"/>
          <w:szCs w:val="24"/>
        </w:rPr>
        <w:fldChar w:fldCharType="begin"/>
      </w:r>
      <w:r w:rsidRPr="00537C3C">
        <w:rPr>
          <w:rFonts w:cs="Garamond"/>
          <w:szCs w:val="24"/>
        </w:rPr>
        <w:instrText xml:space="preserve"> ADDIN REFMGR.CITE &lt;Refman&gt;&lt;Cite&gt;&lt;Author&gt;Castle&lt;/Author&gt;&lt;Year&gt;2007&lt;/Year&gt;&lt;RecNum&gt;4989&lt;/RecNum&gt;&lt;IDText&gt;The relationship of community biopsy-diagnosed cervical intraepithelial neoplasia grade 2 to the quality control pathology-reviewed diagnoses: an ALTS report&lt;/IDText&gt;&lt;MDL Ref_Type="Journal"&gt;&lt;Ref_Type&gt;Journal&lt;/Ref_Type&gt;&lt;Ref_ID&gt;4989&lt;/Ref_ID&gt;&lt;Title_Primary&gt;The relationship of community biopsy-diagnosed cervical intraepithelial neoplasia grade 2 to the quality control pathology-reviewed diagnoses: an ALTS report&lt;/Title_Primary&gt;&lt;Authors_Primary&gt;Castle,P.E.&lt;/Authors_Primary&gt;&lt;Authors_Primary&gt;Stoler,M.H.&lt;/Authors_Primary&gt;&lt;Authors_Primary&gt;Solomon,D.&lt;/Authors_Primary&gt;&lt;Authors_Primary&gt;Schiffman,M.&lt;/Authors_Primary&gt;&lt;Date_Primary&gt;2007/5&lt;/Date_Primary&gt;&lt;Keywords&gt;Adult&lt;/Keywords&gt;&lt;Keywords&gt;Biopsy&lt;/Keywords&gt;&lt;Keywords&gt;Cancer&lt;/Keywords&gt;&lt;Keywords&gt;Cervical Intraepithelial Neoplasia&lt;/Keywords&gt;&lt;Keywords&gt;Colposcopy&lt;/Keywords&gt;&lt;Keywords&gt;control&lt;/Keywords&gt;&lt;Keywords&gt;diagnosis&lt;/Keywords&gt;&lt;Keywords&gt;Electrosurgery&lt;/Keywords&gt;&lt;Keywords&gt;epidemiology&lt;/Keywords&gt;&lt;Keywords&gt;Female&lt;/Keywords&gt;&lt;Keywords&gt;genetics&lt;/Keywords&gt;&lt;Keywords&gt;Human papillomavirus 16&lt;/Keywords&gt;&lt;Keywords&gt;Humans&lt;/Keywords&gt;&lt;Keywords&gt;isolation &amp;amp; purification&lt;/Keywords&gt;&lt;Keywords&gt;pathology&lt;/Keywords&gt;&lt;Keywords&gt;Quality Control&lt;/Keywords&gt;&lt;Keywords&gt;Randomized Controlled Trials as Topic&lt;/Keywords&gt;&lt;Keywords&gt;Risk Factors&lt;/Keywords&gt;&lt;Keywords&gt;surgery&lt;/Keywords&gt;&lt;Keywords&gt;Triage&lt;/Keywords&gt;&lt;Keywords&gt;Uterine Cervical Neoplasms&lt;/Keywords&gt;&lt;Keywords&gt;virology&lt;/Keywords&gt;&lt;Reprint&gt;Not in File&lt;/Reprint&gt;&lt;Start_Page&gt;805&lt;/Start_Page&gt;&lt;End_Page&gt;815&lt;/End_Page&gt;&lt;Periodical&gt;Am.J.Clin.Pathol.&lt;/Periodical&gt;&lt;Volume&gt;127&lt;/Volume&gt;&lt;Issue&gt;5&lt;/Issue&gt;&lt;ZZ_JournalStdAbbrev&gt;&lt;f name="System"&gt;Am.J.Clin.Pathol.&lt;/f&gt;&lt;/ZZ_JournalStdAbbrev&gt;&lt;ZZ_WorkformID&gt;1&lt;/ZZ_WorkformID&gt;&lt;/MDL&gt;&lt;/Cite&gt;&lt;/Refman&gt;</w:instrText>
      </w:r>
      <w:r w:rsidRPr="00537C3C">
        <w:rPr>
          <w:rFonts w:cs="Garamond"/>
          <w:szCs w:val="24"/>
        </w:rPr>
        <w:fldChar w:fldCharType="separate"/>
      </w:r>
      <w:r w:rsidRPr="00537C3C">
        <w:rPr>
          <w:rFonts w:cs="Garamond"/>
          <w:szCs w:val="24"/>
        </w:rPr>
        <w:t>(Castle et al. 2007)</w:t>
      </w:r>
      <w:r w:rsidRPr="00537C3C">
        <w:rPr>
          <w:rFonts w:cs="Garamond"/>
          <w:szCs w:val="24"/>
        </w:rPr>
        <w:fldChar w:fldCharType="end"/>
      </w:r>
      <w:r w:rsidRPr="00537C3C">
        <w:rPr>
          <w:rFonts w:cs="Garamond"/>
          <w:szCs w:val="24"/>
        </w:rPr>
        <w:t>.</w:t>
      </w:r>
    </w:p>
    <w:p w:rsidR="00234376" w:rsidRPr="00537C3C" w:rsidRDefault="00234376" w:rsidP="008E03A7">
      <w:pPr>
        <w:autoSpaceDE w:val="0"/>
        <w:autoSpaceDN w:val="0"/>
        <w:adjustRightInd w:val="0"/>
        <w:ind w:left="709"/>
      </w:pPr>
      <w:r w:rsidRPr="00537C3C">
        <w:rPr>
          <w:rFonts w:cs="Garamond"/>
          <w:szCs w:val="24"/>
        </w:rPr>
        <w:t xml:space="preserve">Women with a cytological finding of possible or definite </w:t>
      </w:r>
      <w:r w:rsidRPr="00BB76D8">
        <w:rPr>
          <w:rFonts w:cs="Garamond"/>
          <w:szCs w:val="24"/>
        </w:rPr>
        <w:t>LSIL</w:t>
      </w:r>
      <w:r w:rsidRPr="00537C3C">
        <w:rPr>
          <w:rFonts w:cs="Garamond"/>
          <w:szCs w:val="24"/>
        </w:rPr>
        <w:t xml:space="preserve"> are managed more conservatively, with cervical cytology repeated at 12 and 24 months and referral for colposcopy only if these lesions are persistent, because the majority represent an infective process due to </w:t>
      </w:r>
      <w:r w:rsidRPr="00BB76D8">
        <w:rPr>
          <w:rFonts w:cs="Garamond"/>
          <w:szCs w:val="24"/>
        </w:rPr>
        <w:t>HPV</w:t>
      </w:r>
      <w:r w:rsidRPr="00537C3C">
        <w:rPr>
          <w:rFonts w:cs="Garamond"/>
          <w:szCs w:val="24"/>
        </w:rPr>
        <w:t xml:space="preserve"> and will resolve spontaneously without treatment. However, around 20 per cent of </w:t>
      </w:r>
      <w:r w:rsidRPr="00BB76D8">
        <w:rPr>
          <w:rFonts w:cs="Garamond"/>
          <w:szCs w:val="24"/>
        </w:rPr>
        <w:t>LSIL</w:t>
      </w:r>
      <w:r w:rsidRPr="00537C3C">
        <w:rPr>
          <w:rFonts w:cs="Garamond"/>
          <w:szCs w:val="24"/>
        </w:rPr>
        <w:t xml:space="preserve"> cases will be confirmed as </w:t>
      </w:r>
      <w:r w:rsidRPr="00BB76D8">
        <w:rPr>
          <w:rFonts w:cs="Garamond"/>
          <w:szCs w:val="24"/>
        </w:rPr>
        <w:t>CIN</w:t>
      </w:r>
      <w:r w:rsidRPr="00537C3C">
        <w:rPr>
          <w:rFonts w:cs="Garamond"/>
          <w:szCs w:val="24"/>
        </w:rPr>
        <w:t xml:space="preserve"> 2–3 at histology if immediate colposcopy and biopsy are performed (pooled prevalence from 10 studies: 18.8% [95% </w:t>
      </w:r>
      <w:r w:rsidRPr="00BB76D8">
        <w:rPr>
          <w:rFonts w:cs="Garamond"/>
          <w:szCs w:val="24"/>
        </w:rPr>
        <w:t>CI</w:t>
      </w:r>
      <w:r w:rsidRPr="00537C3C">
        <w:rPr>
          <w:rFonts w:cs="Garamond"/>
          <w:szCs w:val="24"/>
        </w:rPr>
        <w:t xml:space="preserve"> 1.24%–25.2%]; </w:t>
      </w:r>
      <w:r w:rsidRPr="00537C3C">
        <w:rPr>
          <w:rFonts w:cs="Garamond"/>
          <w:szCs w:val="24"/>
        </w:rPr>
        <w:fldChar w:fldCharType="begin"/>
      </w:r>
      <w:r w:rsidRPr="00537C3C">
        <w:rPr>
          <w:rFonts w:cs="Garamond"/>
          <w:szCs w:val="24"/>
        </w:rPr>
        <w:instrText xml:space="preserve"> ADDIN REFMGR.CITE &lt;Refman&gt;&lt;Cite&gt;&lt;Author&gt;Arbyn&lt;/Author&gt;&lt;Year&gt;2006&lt;/Year&gt;&lt;RecNum&gt;16&lt;/RecNum&gt;&lt;IDText&gt;Chapter 9: Clinical applications of HPV testing: A summary of meta-analyses&lt;/IDText&gt;&lt;Prefix&gt;pooled prevalence from 10 studies: 18.8%, 95% CI 1.24-25.2%, &lt;/Prefix&gt;&lt;MDL Ref_Type="Journal"&gt;&lt;Ref_Type&gt;Journal&lt;/Ref_Type&gt;&lt;Ref_ID&gt;16&lt;/Ref_ID&gt;&lt;Title_Primary&gt;Chapter 9: Clinical applications of HPV testing: A summary of meta-analyses&lt;/Title_Primary&gt;&lt;Authors_Primary&gt;Arbyn,M.&lt;/Authors_Primary&gt;&lt;Authors_Primary&gt;Sasieni,P.&lt;/Authors_Primary&gt;&lt;Authors_Primary&gt;Meijer,C.J.&lt;/Authors_Primary&gt;&lt;Authors_Primary&gt;Clavel,C.&lt;/Authors_Primary&gt;&lt;Authors_Primary&gt;Koliopoulos,G.&lt;/Authors_Primary&gt;&lt;Authors_Primary&gt;Dillner,J.&lt;/Authors_Primary&gt;&lt;Date_Primary&gt;2006&lt;/Date_Primary&gt;&lt;Reprint&gt;In File&lt;/Reprint&gt;&lt;Start_Page&gt;78&lt;/Start_Page&gt;&lt;End_Page&gt;89&lt;/End_Page&gt;&lt;Periodical&gt;Vaccine&lt;/Periodical&gt;&lt;Volume&gt;24&lt;/Volume&gt;&lt;Issue&gt;S3&lt;/Issue&gt;&lt;ZZ_JournalFull&gt;&lt;f name="System"&gt;Vaccine&lt;/f&gt;&lt;/ZZ_JournalFull&gt;&lt;ZZ_WorkformID&gt;1&lt;/ZZ_WorkformID&gt;&lt;/MDL&gt;&lt;/Cite&gt;&lt;/Refman&gt;</w:instrText>
      </w:r>
      <w:r w:rsidRPr="00537C3C">
        <w:rPr>
          <w:rFonts w:cs="Garamond"/>
          <w:szCs w:val="24"/>
        </w:rPr>
        <w:fldChar w:fldCharType="separate"/>
      </w:r>
      <w:r w:rsidRPr="00537C3C">
        <w:rPr>
          <w:rFonts w:cs="Garamond"/>
          <w:szCs w:val="24"/>
        </w:rPr>
        <w:t>Arbyn et al. 2006)</w:t>
      </w:r>
      <w:r w:rsidRPr="00537C3C">
        <w:rPr>
          <w:rFonts w:cs="Garamond"/>
          <w:szCs w:val="24"/>
        </w:rPr>
        <w:fldChar w:fldCharType="end"/>
      </w:r>
      <w:r w:rsidRPr="00537C3C">
        <w:rPr>
          <w:rFonts w:cs="Garamond"/>
          <w:szCs w:val="24"/>
        </w:rPr>
        <w:t>.</w:t>
      </w:r>
    </w:p>
    <w:p w:rsidR="00234376" w:rsidRPr="00537C3C" w:rsidRDefault="00234376" w:rsidP="001E08C1">
      <w:pPr>
        <w:pStyle w:val="TableNamea"/>
        <w:keepLines/>
        <w:ind w:hanging="510"/>
      </w:pPr>
      <w:bookmarkStart w:id="89" w:name="_Ref190760374"/>
      <w:bookmarkStart w:id="90" w:name="_Ref170915621"/>
      <w:bookmarkStart w:id="91" w:name="_Toc190691034"/>
      <w:bookmarkStart w:id="92" w:name="_Toc95971237"/>
      <w:r w:rsidRPr="00537C3C">
        <w:lastRenderedPageBreak/>
        <w:t xml:space="preserve">Table </w:t>
      </w:r>
      <w:fldSimple w:instr=" SEQ Table \* ARABIC ">
        <w:r w:rsidR="007D3DFF">
          <w:rPr>
            <w:noProof/>
          </w:rPr>
          <w:t>1</w:t>
        </w:r>
      </w:fldSimple>
      <w:bookmarkEnd w:id="89"/>
      <w:r w:rsidRPr="00537C3C">
        <w:tab/>
        <w:t xml:space="preserve">Comparison of the Australian Modified </w:t>
      </w:r>
      <w:smartTag w:uri="urn:schemas-microsoft-com:office:smarttags" w:element="City">
        <w:r w:rsidRPr="00537C3C">
          <w:t>Bethesda</w:t>
        </w:r>
      </w:smartTag>
      <w:r w:rsidRPr="00537C3C">
        <w:t xml:space="preserve"> System, 2004, and the </w:t>
      </w:r>
      <w:smartTag w:uri="urn:schemas-microsoft-com:office:smarttags" w:element="country-region">
        <w:r w:rsidRPr="00537C3C">
          <w:t>US</w:t>
        </w:r>
      </w:smartTag>
      <w:r w:rsidRPr="00537C3C">
        <w:t xml:space="preserve"> </w:t>
      </w:r>
      <w:smartTag w:uri="urn:schemas-microsoft-com:office:smarttags" w:element="place">
        <w:smartTag w:uri="urn:schemas-microsoft-com:office:smarttags" w:element="City">
          <w:r w:rsidRPr="00537C3C">
            <w:t>Bethesda</w:t>
          </w:r>
        </w:smartTag>
      </w:smartTag>
      <w:r w:rsidRPr="00537C3C">
        <w:t xml:space="preserve"> System, 2001.</w:t>
      </w:r>
      <w:bookmarkEnd w:id="90"/>
      <w:bookmarkEnd w:id="91"/>
      <w:bookmarkEnd w:id="92"/>
    </w:p>
    <w:tbl>
      <w:tblPr>
        <w:tblW w:w="8789" w:type="dxa"/>
        <w:tblInd w:w="675" w:type="dxa"/>
        <w:tblLook w:val="01E0" w:firstRow="1" w:lastRow="1" w:firstColumn="1" w:lastColumn="1" w:noHBand="0" w:noVBand="0"/>
      </w:tblPr>
      <w:tblGrid>
        <w:gridCol w:w="4678"/>
        <w:gridCol w:w="4111"/>
      </w:tblGrid>
      <w:tr w:rsidR="00234376" w:rsidRPr="00537C3C">
        <w:tc>
          <w:tcPr>
            <w:tcW w:w="4678" w:type="dxa"/>
            <w:tcBorders>
              <w:top w:val="single" w:sz="4" w:space="0" w:color="auto"/>
              <w:bottom w:val="single" w:sz="4" w:space="0" w:color="auto"/>
            </w:tcBorders>
          </w:tcPr>
          <w:p w:rsidR="00234376" w:rsidRPr="00537C3C" w:rsidRDefault="00234376" w:rsidP="008E03A7">
            <w:pPr>
              <w:pStyle w:val="TableHeading0"/>
              <w:keepLines/>
            </w:pPr>
            <w:r w:rsidRPr="00537C3C">
              <w:t xml:space="preserve">Australian Modified </w:t>
            </w:r>
            <w:smartTag w:uri="urn:schemas-microsoft-com:office:smarttags" w:element="place">
              <w:smartTag w:uri="urn:schemas-microsoft-com:office:smarttags" w:element="City">
                <w:r w:rsidRPr="00537C3C">
                  <w:t>Bethesda</w:t>
                </w:r>
              </w:smartTag>
            </w:smartTag>
            <w:r w:rsidRPr="00537C3C">
              <w:t xml:space="preserve"> System </w:t>
            </w:r>
          </w:p>
        </w:tc>
        <w:tc>
          <w:tcPr>
            <w:tcW w:w="4111" w:type="dxa"/>
            <w:tcBorders>
              <w:top w:val="single" w:sz="4" w:space="0" w:color="auto"/>
              <w:bottom w:val="single" w:sz="4" w:space="0" w:color="auto"/>
            </w:tcBorders>
          </w:tcPr>
          <w:p w:rsidR="00234376" w:rsidRPr="00537C3C" w:rsidRDefault="00234376" w:rsidP="008E03A7">
            <w:pPr>
              <w:pStyle w:val="TableHeading0"/>
              <w:keepLines/>
            </w:pPr>
            <w:r w:rsidRPr="00537C3C">
              <w:t xml:space="preserve">US </w:t>
            </w:r>
            <w:smartTag w:uri="urn:schemas-microsoft-com:office:smarttags" w:element="place">
              <w:smartTag w:uri="urn:schemas-microsoft-com:office:smarttags" w:element="City">
                <w:r w:rsidRPr="00537C3C">
                  <w:t>Bethesda</w:t>
                </w:r>
              </w:smartTag>
            </w:smartTag>
            <w:r w:rsidRPr="00537C3C">
              <w:t xml:space="preserve"> System</w:t>
            </w:r>
          </w:p>
        </w:tc>
      </w:tr>
      <w:tr w:rsidR="00234376" w:rsidRPr="00537C3C">
        <w:tc>
          <w:tcPr>
            <w:tcW w:w="8789" w:type="dxa"/>
            <w:gridSpan w:val="2"/>
            <w:tcBorders>
              <w:top w:val="single" w:sz="4" w:space="0" w:color="auto"/>
              <w:bottom w:val="single" w:sz="4" w:space="0" w:color="auto"/>
            </w:tcBorders>
          </w:tcPr>
          <w:p w:rsidR="00234376" w:rsidRPr="00537C3C" w:rsidRDefault="00234376" w:rsidP="008E03A7">
            <w:pPr>
              <w:pStyle w:val="TableHeading0"/>
              <w:keepLines/>
              <w:rPr>
                <w:i/>
              </w:rPr>
            </w:pPr>
            <w:r w:rsidRPr="00537C3C">
              <w:rPr>
                <w:i/>
              </w:rPr>
              <w:t>Squamous ab</w:t>
            </w:r>
            <w:r w:rsidRPr="00F1732D">
              <w:rPr>
                <w:i/>
              </w:rPr>
              <w:t>normalities</w:t>
            </w:r>
          </w:p>
        </w:tc>
      </w:tr>
      <w:tr w:rsidR="00234376" w:rsidRPr="00537C3C">
        <w:tc>
          <w:tcPr>
            <w:tcW w:w="4678" w:type="dxa"/>
            <w:tcBorders>
              <w:top w:val="single" w:sz="4" w:space="0" w:color="auto"/>
              <w:bottom w:val="single" w:sz="4" w:space="0" w:color="auto"/>
            </w:tcBorders>
          </w:tcPr>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Possible low-grade squamous intraepithelial lesion (</w:t>
            </w:r>
            <w:r w:rsidRPr="00BB76D8">
              <w:rPr>
                <w:rFonts w:ascii="Arial Narrow" w:hAnsi="Arial Narrow" w:cs="Arial Narrow"/>
                <w:sz w:val="20"/>
              </w:rPr>
              <w:t>pLSIL</w:t>
            </w:r>
            <w:r w:rsidRPr="00537C3C">
              <w:rPr>
                <w:rFonts w:ascii="Arial Narrow" w:hAnsi="Arial Narrow" w:cs="Arial Narrow"/>
                <w:sz w:val="20"/>
              </w:rPr>
              <w:t>)</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Low-grade squamous intraepithelial lesion (</w:t>
            </w:r>
            <w:r w:rsidRPr="00BB76D8">
              <w:rPr>
                <w:rFonts w:ascii="Arial Narrow" w:hAnsi="Arial Narrow" w:cs="Arial Narrow"/>
                <w:sz w:val="20"/>
              </w:rPr>
              <w:t>LSIL</w:t>
            </w:r>
            <w:r w:rsidRPr="00537C3C">
              <w:rPr>
                <w:rFonts w:ascii="Arial Narrow" w:hAnsi="Arial Narrow" w:cs="Arial Narrow"/>
                <w:sz w:val="20"/>
              </w:rPr>
              <w:t>)</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Possible high-grade squamous intraepithelial lesion (</w:t>
            </w:r>
            <w:r w:rsidRPr="00BB76D8">
              <w:rPr>
                <w:rFonts w:ascii="Arial Narrow" w:hAnsi="Arial Narrow" w:cs="Arial Narrow"/>
                <w:sz w:val="20"/>
              </w:rPr>
              <w:t>pHSIL</w:t>
            </w:r>
            <w:r w:rsidRPr="00537C3C">
              <w:rPr>
                <w:rFonts w:ascii="Arial Narrow" w:hAnsi="Arial Narrow" w:cs="Arial Narrow"/>
                <w:sz w:val="20"/>
              </w:rPr>
              <w:t>)</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High-grade squamous intraepithelial lesion (</w:t>
            </w:r>
            <w:r w:rsidRPr="00BB76D8">
              <w:rPr>
                <w:rFonts w:ascii="Arial Narrow" w:hAnsi="Arial Narrow" w:cs="Arial Narrow"/>
                <w:sz w:val="20"/>
              </w:rPr>
              <w:t>HSIL</w:t>
            </w:r>
            <w:r w:rsidRPr="00537C3C">
              <w:rPr>
                <w:rFonts w:ascii="Arial Narrow" w:hAnsi="Arial Narrow" w:cs="Arial Narrow"/>
                <w:sz w:val="20"/>
              </w:rPr>
              <w:t>)</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sz w:val="20"/>
              </w:rPr>
              <w:t>Squamous cell carcinoma (</w:t>
            </w:r>
            <w:r w:rsidRPr="00BB76D8">
              <w:rPr>
                <w:rFonts w:ascii="Arial Narrow" w:hAnsi="Arial Narrow"/>
                <w:sz w:val="20"/>
              </w:rPr>
              <w:t>SCC</w:t>
            </w:r>
            <w:r w:rsidRPr="00537C3C">
              <w:rPr>
                <w:rFonts w:ascii="Arial Narrow" w:hAnsi="Arial Narrow"/>
                <w:sz w:val="20"/>
              </w:rPr>
              <w:t>)</w:t>
            </w:r>
          </w:p>
        </w:tc>
        <w:tc>
          <w:tcPr>
            <w:tcW w:w="4111" w:type="dxa"/>
            <w:tcBorders>
              <w:top w:val="single" w:sz="4" w:space="0" w:color="auto"/>
              <w:bottom w:val="single" w:sz="4" w:space="0" w:color="auto"/>
            </w:tcBorders>
          </w:tcPr>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Atypical squamous cells, undetermined significance (</w:t>
            </w:r>
            <w:r w:rsidRPr="00BB76D8">
              <w:rPr>
                <w:rFonts w:ascii="Arial Narrow" w:hAnsi="Arial Narrow" w:cs="Arial Narrow"/>
                <w:sz w:val="20"/>
              </w:rPr>
              <w:t>ASCUS</w:t>
            </w:r>
            <w:r w:rsidRPr="00537C3C">
              <w:rPr>
                <w:rFonts w:ascii="Arial Narrow" w:hAnsi="Arial Narrow" w:cs="Arial Narrow"/>
                <w:sz w:val="20"/>
              </w:rPr>
              <w:t>)</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Low-grade squamous intraepithelial lesion</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Atypical squamous cells, possible high-grade lesion (</w:t>
            </w:r>
            <w:bookmarkStart w:id="93" w:name="OLE_LINK101"/>
            <w:bookmarkStart w:id="94" w:name="OLE_LINK102"/>
            <w:r w:rsidRPr="00BB76D8">
              <w:rPr>
                <w:rFonts w:ascii="Arial Narrow" w:hAnsi="Arial Narrow" w:cs="Arial Narrow"/>
                <w:sz w:val="20"/>
              </w:rPr>
              <w:t>ASC</w:t>
            </w:r>
            <w:bookmarkEnd w:id="93"/>
            <w:bookmarkEnd w:id="94"/>
            <w:r w:rsidRPr="00537C3C">
              <w:rPr>
                <w:rFonts w:ascii="Arial Narrow" w:hAnsi="Arial Narrow" w:cs="Arial Narrow"/>
                <w:sz w:val="20"/>
              </w:rPr>
              <w:t>-H)</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High-grade squamous intraepithelial lesion</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sz w:val="20"/>
              </w:rPr>
              <w:t>Squamous cell carcinoma</w:t>
            </w:r>
          </w:p>
        </w:tc>
      </w:tr>
      <w:tr w:rsidR="00234376" w:rsidRPr="00537C3C">
        <w:tc>
          <w:tcPr>
            <w:tcW w:w="8789" w:type="dxa"/>
            <w:gridSpan w:val="2"/>
            <w:tcBorders>
              <w:bottom w:val="single" w:sz="4" w:space="0" w:color="auto"/>
            </w:tcBorders>
          </w:tcPr>
          <w:p w:rsidR="00234376" w:rsidRPr="00537C3C" w:rsidRDefault="00234376" w:rsidP="008E03A7">
            <w:pPr>
              <w:pStyle w:val="TableHeading0"/>
              <w:keepLines/>
              <w:rPr>
                <w:i/>
              </w:rPr>
            </w:pPr>
            <w:r w:rsidRPr="00537C3C">
              <w:rPr>
                <w:i/>
              </w:rPr>
              <w:t>Glandular abnormality</w:t>
            </w:r>
          </w:p>
        </w:tc>
      </w:tr>
      <w:tr w:rsidR="00234376" w:rsidRPr="00537C3C">
        <w:tc>
          <w:tcPr>
            <w:tcW w:w="4678" w:type="dxa"/>
            <w:tcBorders>
              <w:top w:val="single" w:sz="4" w:space="0" w:color="auto"/>
              <w:bottom w:val="single" w:sz="4" w:space="0" w:color="auto"/>
            </w:tcBorders>
          </w:tcPr>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Atypical endocervical cells of undetermined significance</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Atypical glandular cells of undetermined significance (AGUS)</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Possible high-grade glandular lesion</w:t>
            </w:r>
          </w:p>
          <w:p w:rsidR="00234376" w:rsidRPr="006C24DD"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 xml:space="preserve">Endocervical adenocarcinoma </w:t>
            </w:r>
            <w:r w:rsidRPr="00234376">
              <w:rPr>
                <w:rFonts w:ascii="Arial Narrow" w:hAnsi="Arial Narrow" w:cs="Arial Narrow"/>
                <w:i/>
                <w:sz w:val="20"/>
              </w:rPr>
              <w:t>in situ</w:t>
            </w:r>
            <w:r w:rsidRPr="006C24DD">
              <w:rPr>
                <w:rFonts w:ascii="Arial Narrow" w:hAnsi="Arial Narrow" w:cs="Arial Narrow"/>
                <w:sz w:val="20"/>
              </w:rPr>
              <w:t xml:space="preserve"> (AIS)</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sz w:val="20"/>
              </w:rPr>
              <w:t>Adenocarcinoma</w:t>
            </w:r>
          </w:p>
        </w:tc>
        <w:tc>
          <w:tcPr>
            <w:tcW w:w="4111" w:type="dxa"/>
            <w:tcBorders>
              <w:top w:val="single" w:sz="4" w:space="0" w:color="auto"/>
              <w:bottom w:val="single" w:sz="4" w:space="0" w:color="auto"/>
            </w:tcBorders>
          </w:tcPr>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Atypical endocervical cells, undetermined significance</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Atypical glandular cells of undetermined significance</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Atypical endocervical cells, possibly neoplastic</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cs="Arial Narrow"/>
                <w:sz w:val="20"/>
              </w:rPr>
              <w:t xml:space="preserve">Endocervical adenocarcinoma </w:t>
            </w:r>
            <w:r w:rsidRPr="00234376">
              <w:rPr>
                <w:rFonts w:ascii="Arial Narrow" w:hAnsi="Arial Narrow" w:cs="Arial Narrow"/>
                <w:i/>
                <w:sz w:val="20"/>
              </w:rPr>
              <w:t>in situ</w:t>
            </w:r>
          </w:p>
          <w:p w:rsidR="00234376" w:rsidRPr="00537C3C" w:rsidRDefault="00234376" w:rsidP="008E03A7">
            <w:pPr>
              <w:keepNext/>
              <w:keepLines/>
              <w:autoSpaceDE w:val="0"/>
              <w:autoSpaceDN w:val="0"/>
              <w:adjustRightInd w:val="0"/>
              <w:spacing w:before="40" w:after="40"/>
              <w:ind w:left="0"/>
              <w:rPr>
                <w:rFonts w:ascii="Arial Narrow" w:hAnsi="Arial Narrow" w:cs="Arial Narrow"/>
                <w:sz w:val="20"/>
              </w:rPr>
            </w:pPr>
            <w:r w:rsidRPr="00537C3C">
              <w:rPr>
                <w:rFonts w:ascii="Arial Narrow" w:hAnsi="Arial Narrow"/>
                <w:sz w:val="20"/>
              </w:rPr>
              <w:t>Adenocarcinoma</w:t>
            </w:r>
          </w:p>
        </w:tc>
      </w:tr>
    </w:tbl>
    <w:p w:rsidR="00234376" w:rsidRPr="00537C3C" w:rsidRDefault="00234376" w:rsidP="008E03A7">
      <w:pPr>
        <w:pStyle w:val="TableNotes"/>
      </w:pPr>
      <w:r w:rsidRPr="00537C3C">
        <w:t>Source:</w:t>
      </w:r>
      <w:r w:rsidRPr="00537C3C">
        <w:rPr>
          <w:vertAlign w:val="superscript"/>
        </w:rPr>
        <w:t xml:space="preserve"> </w:t>
      </w:r>
      <w:r w:rsidRPr="00537C3C">
        <w:t xml:space="preserve">Extracted from the </w:t>
      </w:r>
      <w:r w:rsidRPr="00BB76D8">
        <w:t>NHMRC</w:t>
      </w:r>
      <w:r w:rsidRPr="00537C3C">
        <w:t xml:space="preserve"> Screening to Prevent Cervical Cancer Guidelines </w:t>
      </w:r>
      <w:r w:rsidRPr="00537C3C">
        <w:fldChar w:fldCharType="begin"/>
      </w:r>
      <w:r w:rsidRPr="00537C3C">
        <w:instrText xml:space="preserve"> ADDIN REFMGR.CITE &lt;Refman&gt;&lt;Cite&gt;&lt;Author&gt;NHMRC&lt;/Author&gt;&lt;Year&gt;2005&lt;/Year&gt;&lt;RecNum&gt;321&lt;/RecNum&gt;&lt;IDText&gt;Screening to prevent cervical cancer: Guidelines for the management of asymptomatic women with screen detected abnormalities&lt;/IDText&gt;&lt;MDL Ref_Type="Report"&gt;&lt;Ref_Type&gt;Report&lt;/Ref_Type&gt;&lt;Ref_ID&gt;321&lt;/Ref_ID&gt;&lt;Title_Primary&gt;Screening to prevent cervical cancer: Guidelines for the management of asymptomatic women with screen detected abnormalities&lt;/Title_Primary&gt;&lt;Authors_Primary&gt;NHMRC&lt;/Authors_Primary&gt;&lt;Date_Primary&gt;2005&lt;/Date_Primary&gt;&lt;Reprint&gt;In File&lt;/Reprint&gt;&lt;Pub_Place&gt;Canberra, ACT&lt;/Pub_Place&gt;&lt;Publisher&gt;National Health and Medical Research Council, Commonwealth of Australia&lt;/Publisher&gt;&lt;Web_URL&gt;&lt;u&gt;www.nhmrc.gov.au/publications&lt;/u&gt;&lt;/Web_URL&gt;&lt;ZZ_WorkformID&gt;24&lt;/ZZ_WorkformID&gt;&lt;/MDL&gt;&lt;/Cite&gt;&lt;/Refman&gt;</w:instrText>
      </w:r>
      <w:r w:rsidRPr="00537C3C">
        <w:fldChar w:fldCharType="separate"/>
      </w:r>
      <w:r w:rsidRPr="00537C3C">
        <w:t>(</w:t>
      </w:r>
      <w:r w:rsidRPr="00BB76D8">
        <w:t>NHMRC</w:t>
      </w:r>
      <w:r w:rsidRPr="00537C3C">
        <w:t xml:space="preserve"> 2005)</w:t>
      </w:r>
      <w:r w:rsidRPr="00537C3C">
        <w:fldChar w:fldCharType="end"/>
      </w:r>
      <w:r w:rsidRPr="00537C3C">
        <w:t>.</w:t>
      </w:r>
    </w:p>
    <w:p w:rsidR="00234376" w:rsidRPr="00537C3C" w:rsidRDefault="00234376" w:rsidP="001E08C1">
      <w:pPr>
        <w:pStyle w:val="Caption"/>
        <w:rPr>
          <w:rFonts w:cs="Garamond"/>
          <w:color w:val="000000"/>
          <w:szCs w:val="24"/>
        </w:rPr>
      </w:pPr>
      <w:bookmarkStart w:id="95" w:name="_Ref170915634"/>
      <w:bookmarkStart w:id="96" w:name="_Toc190577993"/>
      <w:bookmarkStart w:id="97" w:name="_Toc200890380"/>
      <w:bookmarkStart w:id="98" w:name="_Toc95971238"/>
      <w:r w:rsidRPr="00537C3C">
        <w:t xml:space="preserve">Table </w:t>
      </w:r>
      <w:fldSimple w:instr=" SEQ Table \* ARABIC ">
        <w:r w:rsidR="007D3DFF">
          <w:rPr>
            <w:noProof/>
          </w:rPr>
          <w:t>2</w:t>
        </w:r>
      </w:fldSimple>
      <w:bookmarkEnd w:id="95"/>
      <w:r w:rsidRPr="00537C3C">
        <w:tab/>
        <w:t>Classification of histological abnormalities as grades of cervical intraepithelial neoplasia (</w:t>
      </w:r>
      <w:r w:rsidRPr="00BB76D8">
        <w:t>CIN</w:t>
      </w:r>
      <w:r w:rsidRPr="00537C3C">
        <w:t>)</w:t>
      </w:r>
      <w:bookmarkEnd w:id="96"/>
      <w:bookmarkEnd w:id="97"/>
      <w:r w:rsidRPr="00537C3C">
        <w:t>.</w:t>
      </w:r>
      <w:bookmarkEnd w:id="98"/>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7866"/>
      </w:tblGrid>
      <w:tr w:rsidR="00234376" w:rsidRPr="00537C3C">
        <w:tc>
          <w:tcPr>
            <w:tcW w:w="923" w:type="dxa"/>
            <w:tcBorders>
              <w:left w:val="nil"/>
            </w:tcBorders>
          </w:tcPr>
          <w:p w:rsidR="00234376" w:rsidRPr="00537C3C" w:rsidRDefault="00234376" w:rsidP="008E03A7">
            <w:pPr>
              <w:pStyle w:val="TableText10pt"/>
              <w:rPr>
                <w:b/>
              </w:rPr>
            </w:pPr>
            <w:r w:rsidRPr="00537C3C">
              <w:rPr>
                <w:b/>
              </w:rPr>
              <w:t>Grade</w:t>
            </w:r>
          </w:p>
        </w:tc>
        <w:tc>
          <w:tcPr>
            <w:tcW w:w="7866" w:type="dxa"/>
            <w:tcBorders>
              <w:right w:val="nil"/>
            </w:tcBorders>
          </w:tcPr>
          <w:p w:rsidR="00234376" w:rsidRPr="00537C3C" w:rsidRDefault="00234376" w:rsidP="008E03A7">
            <w:pPr>
              <w:pStyle w:val="TableText10pt"/>
              <w:rPr>
                <w:rFonts w:cs="Garamond"/>
                <w:b/>
                <w:color w:val="000000"/>
                <w:szCs w:val="24"/>
              </w:rPr>
            </w:pPr>
            <w:r w:rsidRPr="00537C3C">
              <w:rPr>
                <w:rFonts w:cs="Garamond"/>
                <w:b/>
                <w:color w:val="000000"/>
                <w:szCs w:val="24"/>
              </w:rPr>
              <w:t>Definition</w:t>
            </w:r>
          </w:p>
        </w:tc>
      </w:tr>
      <w:tr w:rsidR="00234376" w:rsidRPr="00537C3C">
        <w:tc>
          <w:tcPr>
            <w:tcW w:w="923" w:type="dxa"/>
            <w:tcBorders>
              <w:left w:val="nil"/>
            </w:tcBorders>
          </w:tcPr>
          <w:p w:rsidR="00234376" w:rsidRPr="00537C3C" w:rsidRDefault="00234376" w:rsidP="008E03A7">
            <w:pPr>
              <w:pStyle w:val="TableText10pt"/>
            </w:pPr>
            <w:r w:rsidRPr="00BB76D8">
              <w:t>CIN</w:t>
            </w:r>
            <w:r w:rsidRPr="00537C3C">
              <w:t xml:space="preserve"> 1</w:t>
            </w:r>
          </w:p>
        </w:tc>
        <w:tc>
          <w:tcPr>
            <w:tcW w:w="7866" w:type="dxa"/>
            <w:tcBorders>
              <w:right w:val="nil"/>
            </w:tcBorders>
          </w:tcPr>
          <w:p w:rsidR="00234376" w:rsidRPr="00537C3C" w:rsidRDefault="00234376" w:rsidP="008E03A7">
            <w:pPr>
              <w:pStyle w:val="TableText10pt"/>
            </w:pPr>
            <w:r w:rsidRPr="00537C3C">
              <w:rPr>
                <w:rFonts w:cs="Garamond"/>
                <w:color w:val="000000"/>
                <w:szCs w:val="24"/>
              </w:rPr>
              <w:t>Mild dysplasia involving the basal 1/3 of the epithelium; an infective process</w:t>
            </w:r>
          </w:p>
        </w:tc>
      </w:tr>
      <w:tr w:rsidR="00234376" w:rsidRPr="00537C3C">
        <w:tc>
          <w:tcPr>
            <w:tcW w:w="923" w:type="dxa"/>
            <w:tcBorders>
              <w:left w:val="nil"/>
            </w:tcBorders>
          </w:tcPr>
          <w:p w:rsidR="00234376" w:rsidRPr="00537C3C" w:rsidRDefault="00234376" w:rsidP="008E03A7">
            <w:pPr>
              <w:pStyle w:val="TableText10pt"/>
            </w:pPr>
            <w:r w:rsidRPr="00BB76D8">
              <w:t>CIN</w:t>
            </w:r>
            <w:r w:rsidRPr="00537C3C">
              <w:t xml:space="preserve"> 2</w:t>
            </w:r>
          </w:p>
        </w:tc>
        <w:tc>
          <w:tcPr>
            <w:tcW w:w="7866" w:type="dxa"/>
            <w:tcBorders>
              <w:right w:val="nil"/>
            </w:tcBorders>
          </w:tcPr>
          <w:p w:rsidR="00234376" w:rsidRPr="00537C3C" w:rsidRDefault="00234376" w:rsidP="008E03A7">
            <w:pPr>
              <w:pStyle w:val="TableText10pt"/>
            </w:pPr>
            <w:r w:rsidRPr="00537C3C">
              <w:rPr>
                <w:rFonts w:cs="Garamond"/>
                <w:color w:val="000000"/>
                <w:szCs w:val="24"/>
              </w:rPr>
              <w:t xml:space="preserve">Moderate dysplasia involving </w:t>
            </w:r>
            <w:r w:rsidRPr="00537C3C">
              <w:t>the basal 2/3 of the epithelium</w:t>
            </w:r>
          </w:p>
        </w:tc>
      </w:tr>
      <w:tr w:rsidR="00234376" w:rsidRPr="00537C3C">
        <w:tc>
          <w:tcPr>
            <w:tcW w:w="923" w:type="dxa"/>
            <w:tcBorders>
              <w:left w:val="nil"/>
            </w:tcBorders>
          </w:tcPr>
          <w:p w:rsidR="00234376" w:rsidRPr="00537C3C" w:rsidRDefault="00234376" w:rsidP="008E03A7">
            <w:pPr>
              <w:pStyle w:val="TableText10pt"/>
            </w:pPr>
            <w:r w:rsidRPr="00BB76D8">
              <w:t>CIN</w:t>
            </w:r>
            <w:r w:rsidRPr="00537C3C">
              <w:t xml:space="preserve"> 3</w:t>
            </w:r>
          </w:p>
        </w:tc>
        <w:tc>
          <w:tcPr>
            <w:tcW w:w="7866" w:type="dxa"/>
            <w:tcBorders>
              <w:right w:val="nil"/>
            </w:tcBorders>
          </w:tcPr>
          <w:p w:rsidR="00234376" w:rsidRPr="00537C3C" w:rsidRDefault="00234376" w:rsidP="008E03A7">
            <w:pPr>
              <w:pStyle w:val="TableText10pt"/>
            </w:pPr>
            <w:r w:rsidRPr="00537C3C">
              <w:rPr>
                <w:rFonts w:cs="Garamond"/>
                <w:color w:val="000000"/>
                <w:szCs w:val="24"/>
              </w:rPr>
              <w:t xml:space="preserve">Severe dysplasia involving more than 2/3 of the cervical epithelium; also referred to as cervical cancer </w:t>
            </w:r>
            <w:r w:rsidRPr="00234376">
              <w:rPr>
                <w:rFonts w:cs="Garamond"/>
                <w:i/>
                <w:color w:val="000000"/>
                <w:szCs w:val="24"/>
              </w:rPr>
              <w:t>in situ</w:t>
            </w:r>
          </w:p>
        </w:tc>
      </w:tr>
    </w:tbl>
    <w:p w:rsidR="00234376" w:rsidRPr="00537C3C" w:rsidRDefault="00234376" w:rsidP="008E03A7">
      <w:pPr>
        <w:autoSpaceDE w:val="0"/>
        <w:autoSpaceDN w:val="0"/>
        <w:adjustRightInd w:val="0"/>
        <w:rPr>
          <w:rFonts w:cs="Garamond"/>
          <w:szCs w:val="24"/>
        </w:rPr>
      </w:pPr>
    </w:p>
    <w:p w:rsidR="00234376" w:rsidRPr="00537C3C" w:rsidRDefault="00234376" w:rsidP="008E03A7">
      <w:pPr>
        <w:pStyle w:val="Heading2"/>
        <w:ind w:left="0"/>
        <w:rPr>
          <w:bCs/>
        </w:rPr>
      </w:pPr>
      <w:bookmarkStart w:id="99" w:name="_Toc95971058"/>
      <w:bookmarkStart w:id="100" w:name="_Toc241658157"/>
      <w:r w:rsidRPr="00537C3C">
        <w:rPr>
          <w:bCs/>
        </w:rPr>
        <w:t xml:space="preserve">Intended purpose of </w:t>
      </w:r>
      <w:r w:rsidRPr="00B94BF8">
        <w:rPr>
          <w:bCs/>
        </w:rPr>
        <w:t>LBC</w:t>
      </w:r>
      <w:bookmarkEnd w:id="99"/>
      <w:bookmarkEnd w:id="100"/>
    </w:p>
    <w:p w:rsidR="00234376" w:rsidRPr="00537C3C" w:rsidRDefault="00234376" w:rsidP="008E03A7">
      <w:r w:rsidRPr="00537C3C">
        <w:t xml:space="preserve">This report assesses the use of </w:t>
      </w:r>
      <w:r w:rsidRPr="00BB76D8">
        <w:t>LBC</w:t>
      </w:r>
      <w:r w:rsidRPr="00537C3C">
        <w:t xml:space="preserve"> with or without automated slide reading as a replacement for conventional Pap cytology tests for the detection of abnormal cervical cytology.</w:t>
      </w:r>
    </w:p>
    <w:p w:rsidR="00234376" w:rsidRPr="00537C3C" w:rsidRDefault="00234376" w:rsidP="008E03A7">
      <w:pPr>
        <w:pStyle w:val="Heading2"/>
        <w:ind w:left="0"/>
        <w:rPr>
          <w:bCs/>
        </w:rPr>
      </w:pPr>
      <w:bookmarkStart w:id="101" w:name="_Ref128893306"/>
      <w:bookmarkStart w:id="102" w:name="_Toc131502010"/>
      <w:bookmarkStart w:id="103" w:name="_Toc139433351"/>
      <w:bookmarkStart w:id="104" w:name="_Toc142967813"/>
      <w:bookmarkStart w:id="105" w:name="_Toc144284138"/>
      <w:bookmarkStart w:id="106" w:name="_Toc150137599"/>
      <w:bookmarkStart w:id="107" w:name="_Toc170913738"/>
      <w:bookmarkStart w:id="108" w:name="_Toc170913824"/>
      <w:bookmarkStart w:id="109" w:name="_Toc95971059"/>
      <w:bookmarkStart w:id="110" w:name="_Toc241658158"/>
      <w:r w:rsidRPr="00537C3C">
        <w:rPr>
          <w:bCs/>
        </w:rPr>
        <w:t>Clinical need</w:t>
      </w:r>
      <w:bookmarkEnd w:id="101"/>
      <w:bookmarkEnd w:id="102"/>
      <w:bookmarkEnd w:id="103"/>
      <w:bookmarkEnd w:id="104"/>
      <w:bookmarkEnd w:id="105"/>
      <w:bookmarkEnd w:id="106"/>
      <w:bookmarkEnd w:id="107"/>
      <w:bookmarkEnd w:id="108"/>
      <w:r w:rsidRPr="00537C3C">
        <w:rPr>
          <w:bCs/>
        </w:rPr>
        <w:t xml:space="preserve"> for </w:t>
      </w:r>
      <w:r w:rsidRPr="00B94BF8">
        <w:rPr>
          <w:bCs/>
        </w:rPr>
        <w:t>LBC</w:t>
      </w:r>
      <w:bookmarkEnd w:id="109"/>
      <w:bookmarkEnd w:id="110"/>
    </w:p>
    <w:p w:rsidR="00234376" w:rsidRDefault="00234376" w:rsidP="00234376">
      <w:pPr>
        <w:pStyle w:val="Heading3"/>
      </w:pPr>
      <w:bookmarkStart w:id="111" w:name="_Toc170913739"/>
      <w:bookmarkStart w:id="112" w:name="_Toc190763839"/>
      <w:bookmarkStart w:id="113" w:name="_Toc200863630"/>
      <w:r w:rsidRPr="00537C3C">
        <w:t>Natural history of cervical cancer</w:t>
      </w:r>
      <w:bookmarkEnd w:id="111"/>
      <w:bookmarkEnd w:id="112"/>
      <w:bookmarkEnd w:id="113"/>
    </w:p>
    <w:p w:rsidR="00234376" w:rsidRPr="00537C3C" w:rsidRDefault="000C5F66" w:rsidP="008E03A7">
      <w:pPr>
        <w:autoSpaceDE w:val="0"/>
        <w:autoSpaceDN w:val="0"/>
        <w:adjustRightInd w:val="0"/>
      </w:pPr>
      <w:r>
        <w:t>Invasive c</w:t>
      </w:r>
      <w:r w:rsidR="00234376" w:rsidRPr="00537C3C">
        <w:t xml:space="preserve">ervical cancer arises most commonly in the squamous epithelium of the transformation zone of the cervix (squamous cell carcinomas), or less commonly in the glandular epithelium of the cervix (as adenocarcinoma). Persistent infection with a high-risk subtype of </w:t>
      </w:r>
      <w:r w:rsidR="00234376" w:rsidRPr="00BB76D8">
        <w:t>HPV</w:t>
      </w:r>
      <w:r w:rsidR="00234376" w:rsidRPr="00537C3C">
        <w:t xml:space="preserve"> </w:t>
      </w:r>
      <w:r w:rsidR="00234376" w:rsidRPr="00537C3C">
        <w:rPr>
          <w:rFonts w:cs="Garamond"/>
          <w:szCs w:val="24"/>
        </w:rPr>
        <w:t xml:space="preserve">is necessary for the initiation and progression of </w:t>
      </w:r>
      <w:r w:rsidR="00234376" w:rsidRPr="00BB76D8">
        <w:rPr>
          <w:rFonts w:cs="Garamond"/>
          <w:szCs w:val="24"/>
        </w:rPr>
        <w:t>CIN</w:t>
      </w:r>
      <w:r w:rsidR="00234376" w:rsidRPr="00537C3C">
        <w:rPr>
          <w:rFonts w:cs="Garamond"/>
          <w:szCs w:val="24"/>
        </w:rPr>
        <w:t xml:space="preserve"> to invasive cancer, although cervical cancer is still a rare outcome of oncogenic </w:t>
      </w:r>
      <w:r w:rsidR="00234376" w:rsidRPr="00BB76D8">
        <w:rPr>
          <w:rFonts w:cs="Garamond"/>
          <w:szCs w:val="24"/>
        </w:rPr>
        <w:t>HPV</w:t>
      </w:r>
      <w:r w:rsidR="00234376" w:rsidRPr="00537C3C">
        <w:rPr>
          <w:rFonts w:cs="Garamond"/>
          <w:szCs w:val="24"/>
        </w:rPr>
        <w:t xml:space="preserve"> infection</w:t>
      </w:r>
      <w:r w:rsidR="00234376" w:rsidRPr="00537C3C">
        <w:t xml:space="preserve"> </w:t>
      </w:r>
      <w:r w:rsidR="00234376" w:rsidRPr="00537C3C">
        <w:fldChar w:fldCharType="begin"/>
      </w:r>
      <w:r w:rsidR="00234376" w:rsidRPr="00537C3C">
        <w:instrText xml:space="preserve"> ADDIN REFMGR.CITE &lt;Refman&gt;&lt;Cite&gt;&lt;Author&gt;Bosch&lt;/Author&gt;&lt;Year&gt;2006&lt;/Year&gt;&lt;RecNum&gt;3363&lt;/RecNum&gt;&lt;IDText&gt;The epidemiology of human papillomavirus infection and its association with cervical cancer&lt;/IDText&gt;&lt;MDL Ref_Type="Journal"&gt;&lt;Ref_Type&gt;Journal&lt;/Ref_Type&gt;&lt;Ref_ID&gt;3363&lt;/Ref_ID&gt;&lt;Title_Primary&gt;&lt;f name="TrebuchetMS-Bold"&gt;The epidemiology of human papillomavirus infection and its association with cervical cancer&lt;/f&gt;&lt;/Title_Primary&gt;&lt;Authors_Primary&gt;Bosch,F.X.&lt;/Authors_Primary&gt;&lt;Authors_Primary&gt;Qiao,Y.&lt;/Authors_Primary&gt;&lt;Authors_Primary&gt;Castellsague,X.&lt;/Authors_Primary&gt;&lt;Date_Primary&gt;2006&lt;/Date_Primary&gt;&lt;Keywords&gt;epidemiology&lt;/Keywords&gt;&lt;Keywords&gt;human&lt;/Keywords&gt;&lt;Keywords&gt;infection&lt;/Keywords&gt;&lt;Reprint&gt;Not in File&lt;/Reprint&gt;&lt;Start_Page&gt;S8&lt;/Start_Page&gt;&lt;End_Page&gt;S21&lt;/End_Page&gt;&lt;Periodical&gt;International Journal of Gynecology and Obstetrics&lt;/Periodical&gt;&lt;Volume&gt;94&lt;/Volume&gt;&lt;Issue&gt;Supplement 1&lt;/Issue&gt;&lt;ZZ_JournalFull&gt;&lt;f name="System"&gt;International Journal of Gynecology and Obstetrics&lt;/f&gt;&lt;/ZZ_JournalFull&gt;&lt;ZZ_JournalStdAbbrev&gt;&lt;f name="System"&gt;Int.J.Gynecol.Obstet.&lt;/f&gt;&lt;/ZZ_JournalStdAbbrev&gt;&lt;ZZ_WorkformID&gt;1&lt;/ZZ_WorkformID&gt;&lt;/MDL&gt;&lt;/Cite&gt;&lt;/Refman&gt;</w:instrText>
      </w:r>
      <w:r w:rsidR="00234376" w:rsidRPr="00537C3C">
        <w:fldChar w:fldCharType="separate"/>
      </w:r>
      <w:r w:rsidR="00234376" w:rsidRPr="00537C3C">
        <w:t>(Bosch et al. 2006)</w:t>
      </w:r>
      <w:r w:rsidR="00234376" w:rsidRPr="00537C3C">
        <w:fldChar w:fldCharType="end"/>
      </w:r>
      <w:r w:rsidR="00234376" w:rsidRPr="00537C3C">
        <w:t>.</w:t>
      </w:r>
    </w:p>
    <w:p w:rsidR="00234376" w:rsidRPr="00537C3C" w:rsidRDefault="00234376" w:rsidP="002B155C">
      <w:pPr>
        <w:autoSpaceDE w:val="0"/>
        <w:autoSpaceDN w:val="0"/>
        <w:adjustRightInd w:val="0"/>
        <w:spacing w:after="120"/>
      </w:pPr>
      <w:r w:rsidRPr="00537C3C">
        <w:rPr>
          <w:rFonts w:cs="Garamond"/>
          <w:szCs w:val="24"/>
        </w:rPr>
        <w:t xml:space="preserve">As </w:t>
      </w:r>
      <w:r w:rsidR="001E08C1">
        <w:rPr>
          <w:rFonts w:cs="Garamond"/>
          <w:szCs w:val="24"/>
        </w:rPr>
        <w:t>above,</w:t>
      </w:r>
      <w:r w:rsidRPr="00537C3C">
        <w:rPr>
          <w:rFonts w:cs="Garamond"/>
          <w:szCs w:val="24"/>
        </w:rPr>
        <w:t xml:space="preserve"> </w:t>
      </w:r>
      <w:r w:rsidR="000C5F66">
        <w:rPr>
          <w:rFonts w:cs="Garamond"/>
          <w:szCs w:val="24"/>
        </w:rPr>
        <w:t>manifestation of HPV infection of the cervix has the appearance of LSIL on cytological examination and CIN 1</w:t>
      </w:r>
      <w:r w:rsidRPr="00537C3C">
        <w:rPr>
          <w:rFonts w:cs="Garamond"/>
          <w:szCs w:val="24"/>
        </w:rPr>
        <w:t xml:space="preserve"> (mild dysplasia due to </w:t>
      </w:r>
      <w:r w:rsidRPr="00BB76D8">
        <w:rPr>
          <w:rFonts w:cs="Garamond"/>
          <w:szCs w:val="24"/>
        </w:rPr>
        <w:t>HPV</w:t>
      </w:r>
      <w:r w:rsidRPr="00537C3C">
        <w:rPr>
          <w:rFonts w:cs="Garamond"/>
          <w:szCs w:val="24"/>
        </w:rPr>
        <w:t>)</w:t>
      </w:r>
      <w:r w:rsidR="000C5F66">
        <w:rPr>
          <w:rFonts w:cs="Garamond"/>
          <w:szCs w:val="24"/>
        </w:rPr>
        <w:t xml:space="preserve"> on histological examination</w:t>
      </w:r>
      <w:r w:rsidRPr="00537C3C">
        <w:rPr>
          <w:rFonts w:cs="Garamond"/>
          <w:szCs w:val="24"/>
        </w:rPr>
        <w:t xml:space="preserve">. If the </w:t>
      </w:r>
      <w:r w:rsidRPr="00BB76D8">
        <w:rPr>
          <w:rFonts w:cs="Garamond"/>
          <w:szCs w:val="24"/>
        </w:rPr>
        <w:t>HPV</w:t>
      </w:r>
      <w:r w:rsidRPr="00537C3C">
        <w:rPr>
          <w:rFonts w:cs="Garamond"/>
          <w:szCs w:val="24"/>
        </w:rPr>
        <w:t xml:space="preserve"> infection resolves, these infective intraepithelial changes regress, but if the infection persists</w:t>
      </w:r>
      <w:r w:rsidR="000C5F66">
        <w:rPr>
          <w:rFonts w:cs="Garamond"/>
          <w:szCs w:val="24"/>
        </w:rPr>
        <w:t xml:space="preserve"> with other mutagenic events</w:t>
      </w:r>
      <w:r w:rsidRPr="00537C3C">
        <w:rPr>
          <w:rFonts w:cs="Garamond"/>
          <w:szCs w:val="24"/>
        </w:rPr>
        <w:t xml:space="preserve">, a neoplastic process </w:t>
      </w:r>
      <w:r w:rsidRPr="00537C3C">
        <w:rPr>
          <w:rFonts w:cs="Garamond"/>
          <w:szCs w:val="24"/>
        </w:rPr>
        <w:lastRenderedPageBreak/>
        <w:t>may be initiated</w:t>
      </w:r>
      <w:r w:rsidR="000C5F66">
        <w:rPr>
          <w:rFonts w:cs="Garamond"/>
          <w:szCs w:val="24"/>
        </w:rPr>
        <w:t xml:space="preserve"> </w:t>
      </w:r>
      <w:r w:rsidRPr="00537C3C">
        <w:rPr>
          <w:rFonts w:cs="Garamond"/>
          <w:szCs w:val="24"/>
        </w:rPr>
        <w:t xml:space="preserve">with cytological findings of </w:t>
      </w:r>
      <w:r w:rsidRPr="00BB76D8">
        <w:rPr>
          <w:rFonts w:cs="Garamond"/>
          <w:szCs w:val="24"/>
        </w:rPr>
        <w:t>HSIL</w:t>
      </w:r>
      <w:r w:rsidRPr="00537C3C">
        <w:rPr>
          <w:rFonts w:cs="Garamond"/>
          <w:szCs w:val="24"/>
        </w:rPr>
        <w:t xml:space="preserve"> and histological findings of </w:t>
      </w:r>
      <w:r w:rsidRPr="00BB76D8">
        <w:rPr>
          <w:rFonts w:cs="Garamond"/>
          <w:szCs w:val="24"/>
        </w:rPr>
        <w:t>CIN</w:t>
      </w:r>
      <w:r w:rsidRPr="00537C3C">
        <w:rPr>
          <w:rFonts w:cs="Garamond"/>
          <w:szCs w:val="24"/>
        </w:rPr>
        <w:t xml:space="preserve"> 2-</w:t>
      </w:r>
      <w:r w:rsidRPr="00BB76D8">
        <w:rPr>
          <w:rFonts w:cs="Garamond"/>
          <w:szCs w:val="24"/>
        </w:rPr>
        <w:t>CIN</w:t>
      </w:r>
      <w:r w:rsidRPr="00537C3C">
        <w:rPr>
          <w:rFonts w:cs="Garamond"/>
          <w:szCs w:val="24"/>
        </w:rPr>
        <w:t xml:space="preserve"> 3. Some of these precancerous lesions may regress spontaneously; but others will progress to invasive cancer if untreated. To date there are no clear predictors of which </w:t>
      </w:r>
      <w:r w:rsidRPr="00BB76D8">
        <w:rPr>
          <w:rFonts w:cs="Garamond"/>
          <w:szCs w:val="24"/>
        </w:rPr>
        <w:t>CIN</w:t>
      </w:r>
      <w:r w:rsidRPr="00537C3C">
        <w:rPr>
          <w:rFonts w:cs="Garamond"/>
          <w:szCs w:val="24"/>
        </w:rPr>
        <w:t xml:space="preserve"> 3 lesions will progress, although various makers are currently being developed and </w:t>
      </w:r>
      <w:r w:rsidR="009E6BC9" w:rsidRPr="00537C3C">
        <w:rPr>
          <w:rFonts w:cs="Garamond"/>
          <w:szCs w:val="24"/>
        </w:rPr>
        <w:t>assessed</w:t>
      </w:r>
      <w:r w:rsidRPr="00537C3C">
        <w:rPr>
          <w:rFonts w:cs="Garamond"/>
          <w:szCs w:val="24"/>
        </w:rPr>
        <w:t>.</w:t>
      </w:r>
    </w:p>
    <w:p w:rsidR="00234376" w:rsidRPr="00537C3C" w:rsidRDefault="00234376" w:rsidP="002B155C">
      <w:pPr>
        <w:autoSpaceDE w:val="0"/>
        <w:autoSpaceDN w:val="0"/>
        <w:adjustRightInd w:val="0"/>
        <w:spacing w:after="120"/>
      </w:pPr>
      <w:r w:rsidRPr="00537C3C">
        <w:t xml:space="preserve">The prevalence of transient </w:t>
      </w:r>
      <w:r w:rsidRPr="00BB76D8">
        <w:t>HPV</w:t>
      </w:r>
      <w:r w:rsidRPr="00537C3C">
        <w:t xml:space="preserve"> infections is highest among young women in the first few years after the initiation of sexual activity, because genital </w:t>
      </w:r>
      <w:r w:rsidRPr="00BB76D8">
        <w:t>HPV</w:t>
      </w:r>
      <w:r w:rsidRPr="00537C3C">
        <w:t xml:space="preserve"> is primarily sexually acquired and readily transmissible. </w:t>
      </w:r>
      <w:r w:rsidRPr="00BB76D8">
        <w:rPr>
          <w:rFonts w:cs="Garamond"/>
          <w:szCs w:val="24"/>
        </w:rPr>
        <w:t>CIN</w:t>
      </w:r>
      <w:r w:rsidRPr="00537C3C">
        <w:rPr>
          <w:rFonts w:cs="Garamond"/>
          <w:szCs w:val="24"/>
        </w:rPr>
        <w:t xml:space="preserve"> 2 and 3 occur a few years after infection, and</w:t>
      </w:r>
      <w:r w:rsidRPr="00537C3C">
        <w:t xml:space="preserve"> precancerous cervical lesions (</w:t>
      </w:r>
      <w:r w:rsidRPr="00BB76D8">
        <w:t>CIN</w:t>
      </w:r>
      <w:r w:rsidRPr="00537C3C">
        <w:t>) peak a decade later (</w:t>
      </w:r>
      <w:r w:rsidRPr="00537C3C">
        <w:fldChar w:fldCharType="begin"/>
      </w:r>
      <w:r w:rsidRPr="00537C3C">
        <w:instrText xml:space="preserve"> REF _Ref95969592 \h </w:instrText>
      </w:r>
      <w:r w:rsidRPr="00537C3C">
        <w:fldChar w:fldCharType="separate"/>
      </w:r>
      <w:r w:rsidR="007D3DFF" w:rsidRPr="00D532BF">
        <w:t xml:space="preserve">Figure </w:t>
      </w:r>
      <w:r w:rsidR="007D3DFF">
        <w:rPr>
          <w:noProof/>
        </w:rPr>
        <w:t>1</w:t>
      </w:r>
      <w:r w:rsidRPr="00537C3C">
        <w:fldChar w:fldCharType="end"/>
      </w:r>
      <w:r w:rsidRPr="00537C3C">
        <w:t xml:space="preserve">). In a small proportion of these women, </w:t>
      </w:r>
      <w:r w:rsidRPr="00BB76D8">
        <w:t>CIN</w:t>
      </w:r>
      <w:r w:rsidRPr="00537C3C">
        <w:t xml:space="preserve"> 3 progresses to invasive cancer over </w:t>
      </w:r>
      <w:r w:rsidRPr="00537C3C">
        <w:rPr>
          <w:rFonts w:cs="Garamond"/>
          <w:szCs w:val="24"/>
        </w:rPr>
        <w:t xml:space="preserve">a period of 10 to 20 years, </w:t>
      </w:r>
      <w:r w:rsidRPr="00537C3C">
        <w:t xml:space="preserve">peaking </w:t>
      </w:r>
      <w:r w:rsidRPr="00537C3C">
        <w:rPr>
          <w:rFonts w:cs="Garamond"/>
          <w:szCs w:val="24"/>
        </w:rPr>
        <w:t>among women aged 40 to 50 years (</w:t>
      </w:r>
      <w:r w:rsidRPr="00537C3C">
        <w:rPr>
          <w:rFonts w:cs="Garamond"/>
          <w:szCs w:val="24"/>
        </w:rPr>
        <w:fldChar w:fldCharType="begin"/>
      </w:r>
      <w:r w:rsidRPr="00537C3C">
        <w:rPr>
          <w:rFonts w:cs="Garamond"/>
          <w:szCs w:val="24"/>
        </w:rPr>
        <w:instrText xml:space="preserve"> REF _Ref95969592 \h </w:instrText>
      </w:r>
      <w:r w:rsidRPr="00537C3C">
        <w:rPr>
          <w:rFonts w:cs="Garamond"/>
          <w:szCs w:val="24"/>
        </w:rPr>
      </w:r>
      <w:r w:rsidRPr="00537C3C">
        <w:rPr>
          <w:rFonts w:cs="Garamond"/>
          <w:szCs w:val="24"/>
        </w:rPr>
        <w:fldChar w:fldCharType="separate"/>
      </w:r>
      <w:r w:rsidR="007D3DFF" w:rsidRPr="00D532BF">
        <w:t xml:space="preserve">Figure </w:t>
      </w:r>
      <w:r w:rsidR="007D3DFF">
        <w:rPr>
          <w:noProof/>
        </w:rPr>
        <w:t>1</w:t>
      </w:r>
      <w:r w:rsidRPr="00537C3C">
        <w:rPr>
          <w:rFonts w:cs="Garamond"/>
          <w:szCs w:val="24"/>
        </w:rPr>
        <w:fldChar w:fldCharType="end"/>
      </w:r>
      <w:r w:rsidRPr="00537C3C">
        <w:rPr>
          <w:rFonts w:cs="Garamond"/>
          <w:szCs w:val="24"/>
        </w:rPr>
        <w:t xml:space="preserve">). </w:t>
      </w:r>
      <w:r w:rsidRPr="00537C3C">
        <w:t xml:space="preserve">The cumulative incidence of invasive cancer within 30 years of a biopsy diagnosis of </w:t>
      </w:r>
      <w:r w:rsidRPr="00BB76D8">
        <w:t>CIN</w:t>
      </w:r>
      <w:r w:rsidRPr="00537C3C">
        <w:t xml:space="preserve"> 3 has been estimated at 31 per cent (95% </w:t>
      </w:r>
      <w:r w:rsidRPr="00BB76D8">
        <w:t>CI</w:t>
      </w:r>
      <w:r w:rsidRPr="00537C3C">
        <w:t xml:space="preserve"> 23%–42%) if the lesions are untreated. This estimate is based on a retrospective analysis of cancer incidence from 143 New Zealand women diagnosed with </w:t>
      </w:r>
      <w:r w:rsidRPr="00BB76D8">
        <w:t>CIN</w:t>
      </w:r>
      <w:r w:rsidRPr="00537C3C">
        <w:t xml:space="preserve"> 3 between 1965 and 1974 who did not receive treatment as part of an unethical clinical study </w:t>
      </w:r>
      <w:r w:rsidRPr="00537C3C">
        <w:fldChar w:fldCharType="begin"/>
      </w:r>
      <w:r w:rsidRPr="00537C3C">
        <w:instrText xml:space="preserve"> ADDIN REFMGR.CITE &lt;Refman&gt;&lt;Cite&gt;&lt;Author&gt;McCredie&lt;/Author&gt;&lt;Year&gt;2008&lt;/Year&gt;&lt;RecNum&gt;3356&lt;/RecNum&gt;&lt;IDText&gt;Natural history of cervical neoplasia and risk of invasive cancer in women with cervical intraepithelial neoplasia 3: a retrospective cohort study.[see comment]&lt;/IDText&gt;&lt;MDL Ref_Type="Journal"&gt;&lt;Ref_Type&gt;Journal&lt;/Ref_Type&gt;&lt;Ref_ID&gt;3356&lt;/Ref_ID&gt;&lt;Title_Primary&gt;Natural history of cervical neoplasia and risk of invasive cancer in women with cervical intraepithelial neoplasia 3: a retrospective cohort study.[see comment]&lt;/Title_Primary&gt;&lt;Authors_Primary&gt;McCredie,M.R.&lt;/Authors_Primary&gt;&lt;Authors_Primary&gt;Sharples,K.J.&lt;/Authors_Primary&gt;&lt;Authors_Primary&gt;Paul,C.&lt;/Authors_Primary&gt;&lt;Authors_Primary&gt;Baranyai,J.&lt;/Authors_Primary&gt;&lt;Authors_Primary&gt;Medley,G.&lt;/Authors_Primary&gt;&lt;Authors_Primary&gt;Jones,R.W.&lt;/Authors_Primary&gt;&lt;Authors_Primary&gt;Skegg,D.C.&lt;/Authors_Primary&gt;&lt;Date_Primary&gt;2008/5&lt;/Date_Primary&gt;&lt;Keywords&gt;Biopsy&lt;/Keywords&gt;&lt;Keywords&gt;Cervical Intraepithelial Neoplasia&lt;/Keywords&gt;&lt;Keywords&gt;diagnosis&lt;/Keywords&gt;&lt;Keywords&gt;Incidence&lt;/Keywords&gt;&lt;Keywords&gt;methods&lt;/Keywords&gt;&lt;Reprint&gt;Not in File&lt;/Reprint&gt;&lt;Periodical&gt;Lancet Oncology.9(5):425-34,&lt;/Periodical&gt;&lt;ZZ_JournalFull&gt;&lt;f name="System"&gt;Lancet Oncology.9(5):425-34,&lt;/f&gt;&lt;/ZZ_JournalFull&gt;&lt;ZZ_WorkformID&gt;1&lt;/ZZ_WorkformID&gt;&lt;/MDL&gt;&lt;/Cite&gt;&lt;/Refman&gt;</w:instrText>
      </w:r>
      <w:r w:rsidRPr="00537C3C">
        <w:fldChar w:fldCharType="separate"/>
      </w:r>
      <w:r w:rsidRPr="00537C3C">
        <w:t>(McCredie et al. 2008)</w:t>
      </w:r>
      <w:r w:rsidRPr="00537C3C">
        <w:fldChar w:fldCharType="end"/>
      </w:r>
      <w:r w:rsidRPr="00537C3C">
        <w:t xml:space="preserve">. Cancer incidence was higher in the subgroup of women with persistent </w:t>
      </w:r>
      <w:r w:rsidRPr="00BB76D8">
        <w:t>CIN</w:t>
      </w:r>
      <w:r w:rsidRPr="00537C3C">
        <w:t xml:space="preserve"> 3 at 2 years (50%, 95% </w:t>
      </w:r>
      <w:r w:rsidRPr="00BB76D8">
        <w:t>CI</w:t>
      </w:r>
      <w:r w:rsidRPr="00537C3C">
        <w:t xml:space="preserve"> 37%–65%), but less than 1 per cent among the 593 women assessed as having received adequate treatment. This study was conducted before the introduction of organised cervical screening, and the average age of participants was 38 years. The results could overestimate the invasion rates associated with small </w:t>
      </w:r>
      <w:r w:rsidRPr="00BB76D8">
        <w:t>CIN</w:t>
      </w:r>
      <w:r w:rsidRPr="00537C3C">
        <w:t xml:space="preserve"> 3 lesions detected in younger women participating in cervical screening programs </w:t>
      </w:r>
      <w:r w:rsidRPr="00537C3C">
        <w:fldChar w:fldCharType="begin"/>
      </w:r>
      <w:r w:rsidRPr="00537C3C">
        <w:instrText xml:space="preserve"> ADDIN REFMGR.CITE &lt;Refman&gt;&lt;Cite&gt;&lt;Author&gt;Schiffman&lt;/Author&gt;&lt;Year&gt;2008&lt;/Year&gt;&lt;RecNum&gt;3357&lt;/RecNum&gt;&lt;IDText&gt;Heterogeneity in CIN3 diagnosis.&lt;/IDText&gt;&lt;MDL Ref_Type="Journal"&gt;&lt;Ref_Type&gt;Journal&lt;/Ref_Type&gt;&lt;Ref_ID&gt;3357&lt;/Ref_ID&gt;&lt;Title_Primary&gt;Heterogeneity in CIN3 diagnosis.&lt;/Title_Primary&gt;&lt;Authors_Primary&gt;Schiffman,M.&lt;/Authors_Primary&gt;&lt;Authors_Primary&gt;Rodriguez,A.C.&lt;/Authors_Primary&gt;&lt;Date_Primary&gt;2008/5&lt;/Date_Primary&gt;&lt;Keywords&gt;diagnosis&lt;/Keywords&gt;&lt;Reprint&gt;Not in File&lt;/Reprint&gt;&lt;Periodical&gt;Lancet Oncology.9(5):404-6,&lt;/Periodical&gt;&lt;ZZ_JournalFull&gt;&lt;f name="System"&gt;Lancet Oncology.9(5):404-6,&lt;/f&gt;&lt;/ZZ_JournalFull&gt;&lt;ZZ_WorkformID&gt;1&lt;/ZZ_WorkformID&gt;&lt;/MDL&gt;&lt;/Cite&gt;&lt;/Refman&gt;</w:instrText>
      </w:r>
      <w:r w:rsidRPr="00537C3C">
        <w:fldChar w:fldCharType="separate"/>
      </w:r>
      <w:r w:rsidRPr="00537C3C">
        <w:t>(Schiffman &amp; Rodriguez 2008)</w:t>
      </w:r>
      <w:r w:rsidRPr="00537C3C">
        <w:fldChar w:fldCharType="end"/>
      </w:r>
      <w:r w:rsidRPr="00537C3C">
        <w:t>.</w:t>
      </w:r>
    </w:p>
    <w:p w:rsidR="00234376" w:rsidRPr="00D532BF" w:rsidRDefault="00234376" w:rsidP="008E03A7">
      <w:r w:rsidRPr="00D532BF">
        <w:t xml:space="preserve">The success of the National Cervical Screening Program in reducing the incidence of cervical cancer has been attributed to the effectiveness of early detection and appropriate treatment of CIN (see page </w:t>
      </w:r>
      <w:r w:rsidR="00D532BF" w:rsidRPr="00D532BF">
        <w:t>9</w:t>
      </w:r>
      <w:r w:rsidRPr="00D532BF">
        <w:t>).</w:t>
      </w:r>
    </w:p>
    <w:p w:rsidR="00234376" w:rsidRPr="00537C3C" w:rsidRDefault="00234376" w:rsidP="008E03A7">
      <w:pPr>
        <w:pStyle w:val="Caption"/>
        <w:ind w:left="0" w:firstLine="0"/>
      </w:pPr>
      <w:bookmarkStart w:id="114" w:name="_Ref95969592"/>
      <w:bookmarkStart w:id="115" w:name="_Toc190764621"/>
      <w:bookmarkStart w:id="116" w:name="_Toc231895842"/>
      <w:bookmarkStart w:id="117" w:name="_Toc222823898"/>
      <w:r w:rsidRPr="00D532BF">
        <w:t xml:space="preserve">Figure </w:t>
      </w:r>
      <w:fldSimple w:instr=" SEQ Figure \* ARABIC ">
        <w:r w:rsidR="007D3DFF">
          <w:rPr>
            <w:noProof/>
          </w:rPr>
          <w:t>1</w:t>
        </w:r>
      </w:fldSimple>
      <w:bookmarkEnd w:id="114"/>
      <w:r w:rsidRPr="00D532BF">
        <w:tab/>
        <w:t>The natural history of HPV infection and cervical cancer</w:t>
      </w:r>
      <w:bookmarkEnd w:id="115"/>
      <w:r w:rsidRPr="00537C3C">
        <w:t xml:space="preserve">. </w:t>
      </w:r>
      <w:r w:rsidRPr="00537C3C">
        <w:rPr>
          <w:vertAlign w:val="superscript"/>
        </w:rPr>
        <w:t>a</w:t>
      </w:r>
      <w:bookmarkEnd w:id="116"/>
      <w:bookmarkEnd w:id="117"/>
    </w:p>
    <w:p w:rsidR="00234376" w:rsidRPr="00537C3C" w:rsidRDefault="006F242B" w:rsidP="00524EC0">
      <w:pPr>
        <w:autoSpaceDE w:val="0"/>
        <w:autoSpaceDN w:val="0"/>
        <w:adjustRightInd w:val="0"/>
        <w:rPr>
          <w:rFonts w:cs="Garamond"/>
          <w:color w:val="000000"/>
          <w:szCs w:val="24"/>
        </w:rPr>
      </w:pPr>
      <w:r>
        <w:rPr>
          <w:noProof/>
          <w:lang w:eastAsia="en-AU"/>
        </w:rPr>
        <w:drawing>
          <wp:inline distT="0" distB="0" distL="0" distR="0" wp14:anchorId="56005CA8" wp14:editId="66EF6C33">
            <wp:extent cx="5064760" cy="2604770"/>
            <wp:effectExtent l="0" t="0" r="2540" b="5080"/>
            <wp:docPr id="137" name="Picture 25" title="The natural history of HPV infection and cervical ca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4760" cy="2604770"/>
                    </a:xfrm>
                    <a:prstGeom prst="rect">
                      <a:avLst/>
                    </a:prstGeom>
                    <a:noFill/>
                  </pic:spPr>
                </pic:pic>
              </a:graphicData>
            </a:graphic>
          </wp:inline>
        </w:drawing>
      </w:r>
    </w:p>
    <w:p w:rsidR="002B155C" w:rsidRDefault="00234376" w:rsidP="008E03A7">
      <w:pPr>
        <w:pStyle w:val="TableNotes"/>
        <w:rPr>
          <w:vertAlign w:val="superscript"/>
        </w:rPr>
      </w:pPr>
      <w:r w:rsidRPr="00234376">
        <w:rPr>
          <w:vertAlign w:val="superscript"/>
        </w:rPr>
        <w:t>a</w:t>
      </w:r>
    </w:p>
    <w:p w:rsidR="00234376" w:rsidRPr="00537C3C" w:rsidRDefault="00234376" w:rsidP="008E03A7">
      <w:pPr>
        <w:pStyle w:val="TableNotes"/>
        <w:rPr>
          <w:rFonts w:ascii="Times-New-Roman+2" w:hAnsi="Times-New-Roman+2" w:cs="Times-New-Roman+2"/>
        </w:rPr>
      </w:pPr>
      <w:r w:rsidRPr="00537C3C">
        <w:t xml:space="preserve"> </w:t>
      </w:r>
      <w:r w:rsidR="001E08C1">
        <w:t xml:space="preserve">By permission of Massachusettes Medical Society. </w:t>
      </w:r>
    </w:p>
    <w:p w:rsidR="00234376" w:rsidRDefault="00234376" w:rsidP="009E6BC9">
      <w:pPr>
        <w:pStyle w:val="Heading3"/>
        <w:ind w:left="0"/>
      </w:pPr>
      <w:bookmarkStart w:id="118" w:name="_Toc131502011"/>
      <w:bookmarkStart w:id="119" w:name="_Toc170913740"/>
      <w:bookmarkStart w:id="120" w:name="_Toc190763840"/>
      <w:bookmarkStart w:id="121" w:name="_Toc200863632"/>
      <w:r w:rsidRPr="00537C3C">
        <w:lastRenderedPageBreak/>
        <w:t xml:space="preserve">Incidence of cervical cancer, mortality and </w:t>
      </w:r>
      <w:bookmarkEnd w:id="118"/>
      <w:r w:rsidRPr="00537C3C">
        <w:t>survival rates</w:t>
      </w:r>
      <w:bookmarkEnd w:id="119"/>
      <w:bookmarkEnd w:id="120"/>
      <w:bookmarkEnd w:id="121"/>
    </w:p>
    <w:p w:rsidR="00234376" w:rsidRPr="00537C3C" w:rsidRDefault="00234376" w:rsidP="008E03A7">
      <w:pPr>
        <w:autoSpaceDE w:val="0"/>
        <w:autoSpaceDN w:val="0"/>
        <w:adjustRightInd w:val="0"/>
        <w:rPr>
          <w:rFonts w:cs="Garamond"/>
          <w:szCs w:val="24"/>
        </w:rPr>
      </w:pPr>
      <w:r w:rsidRPr="00537C3C">
        <w:rPr>
          <w:rFonts w:cs="Garamond"/>
          <w:szCs w:val="24"/>
        </w:rPr>
        <w:t xml:space="preserve">Approximately </w:t>
      </w:r>
      <w:smartTag w:uri="urn:schemas-microsoft-com:office:smarttags" w:element="metricconverter">
        <w:smartTagPr>
          <w:attr w:name="ProductID" w:val="1 in"/>
        </w:smartTagPr>
        <w:r w:rsidRPr="00537C3C">
          <w:rPr>
            <w:rFonts w:cs="Garamond"/>
            <w:szCs w:val="24"/>
          </w:rPr>
          <w:t>1 in</w:t>
        </w:r>
      </w:smartTag>
      <w:r w:rsidRPr="00537C3C">
        <w:rPr>
          <w:rFonts w:cs="Garamond"/>
          <w:szCs w:val="24"/>
        </w:rPr>
        <w:t xml:space="preserve"> </w:t>
      </w:r>
      <w:r w:rsidRPr="00537C3C">
        <w:t>179</w:t>
      </w:r>
      <w:r w:rsidRPr="00537C3C">
        <w:rPr>
          <w:rFonts w:cs="Garamond"/>
          <w:szCs w:val="24"/>
        </w:rPr>
        <w:t xml:space="preserve"> Australian women will develop cervical cancer by the age of 85 years </w:t>
      </w:r>
      <w:r w:rsidRPr="00537C3C">
        <w:rPr>
          <w:rFonts w:cs="Garamond"/>
          <w:szCs w:val="24"/>
        </w:rPr>
        <w:fldChar w:fldCharType="begin"/>
      </w:r>
      <w:r w:rsidRPr="00537C3C">
        <w:rPr>
          <w:rFonts w:cs="Garamond"/>
          <w:szCs w:val="24"/>
        </w:rPr>
        <w:instrText xml:space="preserve"> ADDIN REFMGR.CITE &lt;Refman&gt;&lt;Cite&gt;&lt;Author&gt;Tracey&lt;/Author&gt;&lt;Year&gt;2007&lt;/Year&gt;&lt;RecNum&gt;1323&lt;/RecNum&gt;&lt;IDText&gt;Cancer in New South Wales: Incidence, Mortality and Prevalence, 2005&lt;/IDText&gt;&lt;MDL Ref_Type="Report"&gt;&lt;Ref_Type&gt;Report&lt;/Ref_Type&gt;&lt;Ref_ID&gt;1323&lt;/Ref_ID&gt;&lt;Title_Primary&gt;Cancer in New South Wales: Incidence, Mortality and Prevalence, 2005&lt;/Title_Primary&gt;&lt;Authors_Primary&gt;Tracey,E.&lt;/Authors_Primary&gt;&lt;Authors_Primary&gt;Baker,D.&lt;/Authors_Primary&gt;&lt;Authors_Primary&gt;Chen,W.&lt;/Authors_Primary&gt;&lt;Authors_Primary&gt;Stavrou,E.&lt;/Authors_Primary&gt;&lt;Authors_Primary&gt;Bishop,J.&lt;/Authors_Primary&gt;&lt;Date_Primary&gt;2007&lt;/Date_Primary&gt;&lt;Keywords&gt;cancer&lt;/Keywords&gt;&lt;Keywords&gt;incidence&lt;/Keywords&gt;&lt;Keywords&gt;mortality&lt;/Keywords&gt;&lt;Keywords&gt;prevalence&lt;/Keywords&gt;&lt;Reprint&gt;In File&lt;/Reprint&gt;&lt;Pub_Place&gt;Sydney&lt;/Pub_Place&gt;&lt;Publisher&gt;Cancer Institute NSW&lt;/Publisher&gt;&lt;ZZ_WorkformID&gt;24&lt;/ZZ_WorkformID&gt;&lt;/MDL&gt;&lt;/Cite&gt;&lt;/Refman&gt;</w:instrText>
      </w:r>
      <w:r w:rsidRPr="00537C3C">
        <w:rPr>
          <w:rFonts w:cs="Garamond"/>
          <w:szCs w:val="24"/>
        </w:rPr>
        <w:fldChar w:fldCharType="separate"/>
      </w:r>
      <w:r w:rsidRPr="00537C3C">
        <w:rPr>
          <w:rFonts w:cs="Garamond"/>
          <w:szCs w:val="24"/>
        </w:rPr>
        <w:t>(Tracey et al. 2007)</w:t>
      </w:r>
      <w:r w:rsidRPr="00537C3C">
        <w:rPr>
          <w:rFonts w:cs="Garamond"/>
          <w:szCs w:val="24"/>
        </w:rPr>
        <w:fldChar w:fldCharType="end"/>
      </w:r>
      <w:r w:rsidRPr="00537C3C">
        <w:rPr>
          <w:rFonts w:cs="Garamond"/>
          <w:szCs w:val="24"/>
        </w:rPr>
        <w:t xml:space="preserve">. The cancer can present at any age after a woman becomes sexually active, but is extremely rare before the age of 20 years </w:t>
      </w:r>
      <w:r w:rsidRPr="00537C3C">
        <w:rPr>
          <w:rFonts w:cs="Garamond"/>
          <w:szCs w:val="24"/>
        </w:rPr>
        <w:fldChar w:fldCharType="begin"/>
      </w:r>
      <w:r w:rsidRPr="00537C3C">
        <w:rPr>
          <w:rFonts w:cs="Garamond"/>
          <w:szCs w:val="24"/>
        </w:rPr>
        <w:instrText xml:space="preserve"> ADDIN REFMGR.CITE &lt;Refman&gt;&lt;Cite&gt;&lt;Author&gt;AIHW&lt;/Author&gt;&lt;Year&gt;2008&lt;/Year&gt;&lt;RecNum&gt;4903&lt;/RecNum&gt;&lt;IDText&gt;Cervical screening in Australia 2005-2006&lt;/IDText&gt;&lt;MDL Ref_Type="Report"&gt;&lt;Ref_Type&gt;Report&lt;/Ref_Type&gt;&lt;Ref_ID&gt;4903&lt;/Ref_ID&gt;&lt;Title_Primary&gt;Cervical screening in Australia 2005-2006&lt;/Title_Primary&gt;&lt;Authors_Primary&gt;AIHW&lt;/Authors_Primary&gt;&lt;Date_Primary&gt;2008&lt;/Date_Primary&gt;&lt;Keywords&gt;Australia&lt;/Keywords&gt;&lt;Keywords&gt;Cancer&lt;/Keywords&gt;&lt;Keywords&gt;screening&lt;/Keywords&gt;&lt;Keywords&gt;cervical&lt;/Keywords&gt;&lt;Reprint&gt;Not in File&lt;/Reprint&gt;&lt;Volume&gt;AIHW cat. no. Can 36&lt;/Volume&gt;&lt;Pub_Place&gt;Canberra: AIHW&lt;/Pub_Place&gt;&lt;Publisher&gt;Australian Institute of Health and Welfare&lt;/Publisher&gt;&lt;Title_Series&gt;Cancer series no. 41&lt;/Title_Series&gt;&lt;ZZ_WorkformID&gt;24&lt;/ZZ_WorkformID&gt;&lt;/MDL&gt;&lt;/Cite&gt;&lt;/Refman&gt;</w:instrText>
      </w:r>
      <w:r w:rsidRPr="00537C3C">
        <w:rPr>
          <w:rFonts w:cs="Garamond"/>
          <w:szCs w:val="24"/>
        </w:rPr>
        <w:fldChar w:fldCharType="separate"/>
      </w:r>
      <w:r w:rsidRPr="00537C3C">
        <w:rPr>
          <w:rFonts w:cs="Garamond"/>
          <w:szCs w:val="24"/>
        </w:rPr>
        <w:t>(</w:t>
      </w:r>
      <w:r w:rsidRPr="00BB76D8">
        <w:rPr>
          <w:rFonts w:cs="Garamond"/>
          <w:szCs w:val="24"/>
        </w:rPr>
        <w:t>AIHW</w:t>
      </w:r>
      <w:r w:rsidRPr="00537C3C">
        <w:rPr>
          <w:rFonts w:cs="Garamond"/>
          <w:szCs w:val="24"/>
        </w:rPr>
        <w:t xml:space="preserve"> 2008)</w:t>
      </w:r>
      <w:r w:rsidRPr="00537C3C">
        <w:rPr>
          <w:rFonts w:cs="Garamond"/>
          <w:szCs w:val="24"/>
        </w:rPr>
        <w:fldChar w:fldCharType="end"/>
      </w:r>
      <w:r w:rsidRPr="00537C3C">
        <w:rPr>
          <w:rFonts w:cs="Garamond"/>
          <w:szCs w:val="24"/>
        </w:rPr>
        <w:t>.</w:t>
      </w:r>
    </w:p>
    <w:p w:rsidR="00234376" w:rsidRPr="00537C3C" w:rsidRDefault="00234376" w:rsidP="008E03A7">
      <w:pPr>
        <w:autoSpaceDE w:val="0"/>
        <w:autoSpaceDN w:val="0"/>
        <w:adjustRightInd w:val="0"/>
        <w:rPr>
          <w:rFonts w:cs="Garamond"/>
          <w:szCs w:val="24"/>
        </w:rPr>
      </w:pPr>
      <w:r w:rsidRPr="00537C3C">
        <w:rPr>
          <w:rFonts w:cs="Garamond"/>
          <w:szCs w:val="24"/>
        </w:rPr>
        <w:t xml:space="preserve">In 2005, there were 734 new cases of cervical cancer reported in Australia and 221 deaths </w:t>
      </w:r>
      <w:r w:rsidRPr="00537C3C">
        <w:rPr>
          <w:rFonts w:cs="Garamond"/>
          <w:szCs w:val="24"/>
        </w:rPr>
        <w:fldChar w:fldCharType="begin"/>
      </w:r>
      <w:r w:rsidRPr="00537C3C">
        <w:rPr>
          <w:rFonts w:cs="Garamond"/>
          <w:szCs w:val="24"/>
        </w:rPr>
        <w:instrText xml:space="preserve"> ADDIN REFMGR.CITE &lt;Refman&gt;&lt;Cite&gt;&lt;Author&gt;AIHW&lt;/Author&gt;&lt;Year&gt;2008&lt;/Year&gt;&lt;RecNum&gt;4988&lt;/RecNum&gt;&lt;IDText&gt;Cancer in Australia: an overview, 2008&lt;/IDText&gt;&lt;MDL Ref_Type="Report"&gt;&lt;Ref_Type&gt;Report&lt;/Ref_Type&gt;&lt;Ref_ID&gt;4988&lt;/Ref_ID&gt;&lt;Title_Primary&gt;Cancer in Australia: an overview, 2008&lt;/Title_Primary&gt;&lt;Authors_Primary&gt;AIHW&lt;/Authors_Primary&gt;&lt;Authors_Primary&gt;AACR&lt;/Authors_Primary&gt;&lt;Date_Primary&gt;2008&lt;/Date_Primary&gt;&lt;Keywords&gt;Australia&lt;/Keywords&gt;&lt;Keywords&gt;Cancer&lt;/Keywords&gt;&lt;Keywords&gt;screening&lt;/Keywords&gt;&lt;Reprint&gt;In File&lt;/Reprint&gt;&lt;Volume&gt;AIHW cat No CAN 42&lt;/Volume&gt;&lt;Pub_Place&gt;Canberra: AIHW&lt;/Pub_Place&gt;&lt;Publisher&gt;Australian Institute of Health and Welfare &amp;amp; Australasian Association of Cancer Registries&lt;/Publisher&gt;&lt;Title_Series&gt;Cancer Series number 46&lt;/Title_Series&gt;&lt;ZZ_WorkformID&gt;24&lt;/ZZ_WorkformID&gt;&lt;/MDL&gt;&lt;/Cite&gt;&lt;/Refman&gt;</w:instrText>
      </w:r>
      <w:r w:rsidRPr="00537C3C">
        <w:rPr>
          <w:rFonts w:cs="Garamond"/>
          <w:szCs w:val="24"/>
        </w:rPr>
        <w:fldChar w:fldCharType="separate"/>
      </w:r>
      <w:r w:rsidRPr="00537C3C">
        <w:rPr>
          <w:rFonts w:cs="Garamond"/>
          <w:szCs w:val="24"/>
        </w:rPr>
        <w:t>(</w:t>
      </w:r>
      <w:r w:rsidRPr="00BB76D8">
        <w:rPr>
          <w:rFonts w:cs="Garamond"/>
          <w:szCs w:val="24"/>
        </w:rPr>
        <w:t>AIHW</w:t>
      </w:r>
      <w:r w:rsidRPr="00537C3C">
        <w:rPr>
          <w:rFonts w:cs="Garamond"/>
          <w:szCs w:val="24"/>
        </w:rPr>
        <w:t xml:space="preserve"> &amp; </w:t>
      </w:r>
      <w:r w:rsidRPr="00BB76D8">
        <w:rPr>
          <w:rFonts w:cs="Garamond"/>
          <w:szCs w:val="24"/>
        </w:rPr>
        <w:t>AACR</w:t>
      </w:r>
      <w:r w:rsidRPr="00537C3C">
        <w:rPr>
          <w:rFonts w:cs="Garamond"/>
          <w:szCs w:val="24"/>
        </w:rPr>
        <w:t xml:space="preserve"> 2008)</w:t>
      </w:r>
      <w:r w:rsidRPr="00537C3C">
        <w:rPr>
          <w:rFonts w:cs="Garamond"/>
          <w:szCs w:val="24"/>
        </w:rPr>
        <w:fldChar w:fldCharType="end"/>
      </w:r>
      <w:r w:rsidRPr="00537C3C">
        <w:rPr>
          <w:rFonts w:cs="Garamond"/>
          <w:szCs w:val="24"/>
        </w:rPr>
        <w:t>. The age-standardised incidence rate was 6.9 cases per 100 000, and the age-standardised mortality rate was 2.0 deaths per 100 000 women. During the 12 month period 2006–07 there were 1846 hospitalisations with a principal diagnosis of cervical cancer.</w:t>
      </w:r>
    </w:p>
    <w:p w:rsidR="00234376" w:rsidRPr="00537C3C" w:rsidRDefault="00234376" w:rsidP="008E03A7">
      <w:pPr>
        <w:rPr>
          <w:rFonts w:cs="Garamond"/>
          <w:szCs w:val="24"/>
        </w:rPr>
      </w:pPr>
      <w:r w:rsidRPr="00537C3C">
        <w:rPr>
          <w:rFonts w:cs="Garamond"/>
          <w:szCs w:val="24"/>
        </w:rPr>
        <w:t>Patient prognosis depends on the stage of disease at diagnosis. T</w:t>
      </w:r>
      <w:r w:rsidRPr="00537C3C">
        <w:t xml:space="preserve">he </w:t>
      </w:r>
      <w:r w:rsidRPr="006C24DD">
        <w:t xml:space="preserve">Federation Internationale de </w:t>
      </w:r>
      <w:bookmarkStart w:id="122" w:name="OLE_LINK568"/>
      <w:bookmarkStart w:id="123" w:name="OLE_LINK569"/>
      <w:bookmarkStart w:id="124" w:name="OLE_LINK421"/>
      <w:bookmarkStart w:id="125" w:name="OLE_LINK422"/>
      <w:r w:rsidRPr="006C24DD">
        <w:t>Gynecolog</w:t>
      </w:r>
      <w:bookmarkEnd w:id="122"/>
      <w:bookmarkEnd w:id="123"/>
      <w:r w:rsidRPr="006C24DD">
        <w:t xml:space="preserve">ie </w:t>
      </w:r>
      <w:bookmarkEnd w:id="124"/>
      <w:bookmarkEnd w:id="125"/>
      <w:r w:rsidRPr="006C24DD">
        <w:t>et d’Obstetrique (</w:t>
      </w:r>
      <w:bookmarkStart w:id="126" w:name="OLE_LINK103"/>
      <w:bookmarkStart w:id="127" w:name="OLE_LINK104"/>
      <w:bookmarkStart w:id="128" w:name="OLE_LINK105"/>
      <w:r w:rsidRPr="006C24DD">
        <w:t>FIGO</w:t>
      </w:r>
      <w:bookmarkEnd w:id="126"/>
      <w:bookmarkEnd w:id="127"/>
      <w:bookmarkEnd w:id="128"/>
      <w:r w:rsidRPr="00537C3C">
        <w:t xml:space="preserve">) system is used to classify the extent of disease from Stage I (confined to the cervix) to Stage </w:t>
      </w:r>
      <w:r w:rsidRPr="00BB76D8">
        <w:t>IV</w:t>
      </w:r>
      <w:r w:rsidRPr="00537C3C">
        <w:t xml:space="preserve"> (extension beyond the true pelvis or clinically involving the mucosa of the bladder and/or rectum (Appendix C).</w:t>
      </w:r>
    </w:p>
    <w:p w:rsidR="00234376" w:rsidRPr="00537C3C" w:rsidRDefault="00234376" w:rsidP="008E03A7">
      <w:pPr>
        <w:autoSpaceDE w:val="0"/>
        <w:autoSpaceDN w:val="0"/>
        <w:adjustRightInd w:val="0"/>
      </w:pPr>
      <w:r w:rsidRPr="00537C3C">
        <w:rPr>
          <w:rFonts w:cs="Garamond"/>
          <w:szCs w:val="24"/>
        </w:rPr>
        <w:t xml:space="preserve">Data from the </w:t>
      </w:r>
      <w:r w:rsidRPr="00BB76D8">
        <w:rPr>
          <w:rFonts w:cs="Garamond"/>
          <w:szCs w:val="24"/>
        </w:rPr>
        <w:t>NSW</w:t>
      </w:r>
      <w:r w:rsidRPr="00537C3C">
        <w:rPr>
          <w:rFonts w:cs="Garamond"/>
          <w:szCs w:val="24"/>
        </w:rPr>
        <w:t xml:space="preserve"> Cancer Register reported the 5-year survival among women with a diagnosis of cervical cancer from 1999 to 2004 was 73 per cent </w:t>
      </w:r>
      <w:r w:rsidRPr="00537C3C">
        <w:rPr>
          <w:rFonts w:cs="Garamond"/>
          <w:szCs w:val="24"/>
        </w:rPr>
        <w:fldChar w:fldCharType="begin"/>
      </w:r>
      <w:r w:rsidRPr="00537C3C">
        <w:rPr>
          <w:rFonts w:cs="Garamond"/>
          <w:szCs w:val="24"/>
        </w:rPr>
        <w:instrText xml:space="preserve"> ADDIN REFMGR.CITE &lt;Refman&gt;&lt;Cite&gt;&lt;Author&gt;Tracey&lt;/Author&gt;&lt;Year&gt;2007&lt;/Year&gt;&lt;RecNum&gt;1323&lt;/RecNum&gt;&lt;IDText&gt;Cancer in New South Wales: Incidence, Mortality and Prevalence, 2005&lt;/IDText&gt;&lt;MDL Ref_Type="Report"&gt;&lt;Ref_Type&gt;Report&lt;/Ref_Type&gt;&lt;Ref_ID&gt;1323&lt;/Ref_ID&gt;&lt;Title_Primary&gt;Cancer in New South Wales: Incidence, Mortality and Prevalence, 2005&lt;/Title_Primary&gt;&lt;Authors_Primary&gt;Tracey,E.&lt;/Authors_Primary&gt;&lt;Authors_Primary&gt;Baker,D.&lt;/Authors_Primary&gt;&lt;Authors_Primary&gt;Chen,W.&lt;/Authors_Primary&gt;&lt;Authors_Primary&gt;Stavrou,E.&lt;/Authors_Primary&gt;&lt;Authors_Primary&gt;Bishop,J.&lt;/Authors_Primary&gt;&lt;Date_Primary&gt;2007&lt;/Date_Primary&gt;&lt;Keywords&gt;cancer&lt;/Keywords&gt;&lt;Keywords&gt;incidence&lt;/Keywords&gt;&lt;Keywords&gt;mortality&lt;/Keywords&gt;&lt;Keywords&gt;prevalence&lt;/Keywords&gt;&lt;Reprint&gt;In File&lt;/Reprint&gt;&lt;Pub_Place&gt;Sydney&lt;/Pub_Place&gt;&lt;Publisher&gt;Cancer Institute NSW&lt;/Publisher&gt;&lt;ZZ_WorkformID&gt;24&lt;/ZZ_WorkformID&gt;&lt;/MDL&gt;&lt;/Cite&gt;&lt;/Refman&gt;</w:instrText>
      </w:r>
      <w:r w:rsidRPr="00537C3C">
        <w:rPr>
          <w:rFonts w:cs="Garamond"/>
          <w:szCs w:val="24"/>
        </w:rPr>
        <w:fldChar w:fldCharType="separate"/>
      </w:r>
      <w:r w:rsidRPr="00537C3C">
        <w:rPr>
          <w:rFonts w:cs="Garamond"/>
          <w:szCs w:val="24"/>
        </w:rPr>
        <w:t>(Tracey et al. 2007)</w:t>
      </w:r>
      <w:r w:rsidRPr="00537C3C">
        <w:rPr>
          <w:rFonts w:cs="Garamond"/>
          <w:szCs w:val="24"/>
        </w:rPr>
        <w:fldChar w:fldCharType="end"/>
      </w:r>
      <w:r w:rsidRPr="00537C3C">
        <w:rPr>
          <w:rFonts w:cs="Garamond"/>
          <w:szCs w:val="24"/>
        </w:rPr>
        <w:t xml:space="preserve">. Australian survival data are reported by extent of disease, not by </w:t>
      </w:r>
      <w:r w:rsidRPr="00BB76D8">
        <w:rPr>
          <w:rFonts w:cs="Garamond"/>
          <w:szCs w:val="24"/>
        </w:rPr>
        <w:t>FIGO</w:t>
      </w:r>
      <w:r w:rsidRPr="00537C3C">
        <w:rPr>
          <w:rFonts w:cs="Garamond"/>
          <w:szCs w:val="24"/>
        </w:rPr>
        <w:t xml:space="preserve"> stage. </w:t>
      </w:r>
      <w:r w:rsidRPr="00537C3C">
        <w:rPr>
          <w:rFonts w:cs="Garamond"/>
          <w:szCs w:val="24"/>
        </w:rPr>
        <w:fldChar w:fldCharType="begin"/>
      </w:r>
      <w:r w:rsidRPr="00537C3C">
        <w:rPr>
          <w:rFonts w:cs="Garamond"/>
          <w:szCs w:val="24"/>
        </w:rPr>
        <w:instrText xml:space="preserve"> REF _Ref219867316 \h </w:instrText>
      </w:r>
      <w:r w:rsidRPr="00537C3C">
        <w:rPr>
          <w:rFonts w:cs="Garamond"/>
          <w:szCs w:val="24"/>
        </w:rPr>
      </w:r>
      <w:r w:rsidRPr="00537C3C">
        <w:rPr>
          <w:rFonts w:cs="Garamond"/>
          <w:szCs w:val="24"/>
        </w:rPr>
        <w:fldChar w:fldCharType="separate"/>
      </w:r>
      <w:r w:rsidR="007D3DFF" w:rsidRPr="00537C3C">
        <w:t xml:space="preserve">Table </w:t>
      </w:r>
      <w:r w:rsidR="007D3DFF">
        <w:rPr>
          <w:noProof/>
        </w:rPr>
        <w:t>3</w:t>
      </w:r>
      <w:r w:rsidRPr="00537C3C">
        <w:rPr>
          <w:rFonts w:cs="Garamond"/>
          <w:szCs w:val="24"/>
        </w:rPr>
        <w:fldChar w:fldCharType="end"/>
      </w:r>
      <w:r w:rsidRPr="00537C3C">
        <w:rPr>
          <w:rFonts w:cs="Garamond"/>
          <w:szCs w:val="24"/>
        </w:rPr>
        <w:t xml:space="preserve"> shows 5-year and 10-year cumulative relative survival by extent of disease at diagnosis and corresponding </w:t>
      </w:r>
      <w:r w:rsidRPr="00BB76D8">
        <w:rPr>
          <w:rFonts w:cs="Garamond"/>
          <w:szCs w:val="24"/>
        </w:rPr>
        <w:t>FIGO</w:t>
      </w:r>
      <w:r w:rsidRPr="00537C3C">
        <w:rPr>
          <w:rFonts w:cs="Garamond"/>
          <w:szCs w:val="24"/>
        </w:rPr>
        <w:t xml:space="preserve"> stage.</w:t>
      </w:r>
    </w:p>
    <w:p w:rsidR="00234376" w:rsidRPr="00537C3C" w:rsidRDefault="00234376" w:rsidP="008E03A7">
      <w:pPr>
        <w:pStyle w:val="Caption"/>
        <w:rPr>
          <w:rFonts w:cs="Garamond"/>
          <w:color w:val="000000"/>
          <w:szCs w:val="24"/>
        </w:rPr>
      </w:pPr>
      <w:bookmarkStart w:id="129" w:name="_Ref219867316"/>
      <w:bookmarkStart w:id="130" w:name="_Toc200890381"/>
      <w:bookmarkStart w:id="131" w:name="_Toc95971239"/>
      <w:r w:rsidRPr="00537C3C">
        <w:t xml:space="preserve">Table </w:t>
      </w:r>
      <w:fldSimple w:instr=" SEQ Table \* ARABIC ">
        <w:r w:rsidR="007D3DFF">
          <w:rPr>
            <w:noProof/>
          </w:rPr>
          <w:t>3</w:t>
        </w:r>
      </w:fldSimple>
      <w:bookmarkEnd w:id="129"/>
      <w:r w:rsidRPr="00537C3C">
        <w:tab/>
        <w:t xml:space="preserve">Cumulative relative rates of survival </w:t>
      </w:r>
      <w:r w:rsidRPr="00537C3C" w:rsidDel="00B94BF8">
        <w:t>of</w:t>
      </w:r>
      <w:r w:rsidRPr="00537C3C">
        <w:t xml:space="preserve"> invasive cervical cancer at 5 and 10 years, by extent of disease and corresponding </w:t>
      </w:r>
      <w:r w:rsidRPr="00BB76D8">
        <w:t>FIGO</w:t>
      </w:r>
      <w:r w:rsidRPr="00537C3C">
        <w:t xml:space="preserve"> stage, </w:t>
      </w:r>
      <w:r w:rsidRPr="00BB76D8">
        <w:t>NSW</w:t>
      </w:r>
      <w:r w:rsidRPr="00537C3C">
        <w:t>, 1991–2000</w:t>
      </w:r>
      <w:bookmarkEnd w:id="130"/>
      <w:r w:rsidRPr="00537C3C">
        <w:t>.</w:t>
      </w:r>
      <w:bookmarkEnd w:id="131"/>
    </w:p>
    <w:tbl>
      <w:tblPr>
        <w:tblW w:w="6843" w:type="dxa"/>
        <w:tblInd w:w="801" w:type="dxa"/>
        <w:tblLook w:val="01E0" w:firstRow="1" w:lastRow="1" w:firstColumn="1" w:lastColumn="1" w:noHBand="0" w:noVBand="0"/>
      </w:tblPr>
      <w:tblGrid>
        <w:gridCol w:w="3835"/>
        <w:gridCol w:w="1253"/>
        <w:gridCol w:w="1755"/>
      </w:tblGrid>
      <w:tr w:rsidR="00234376" w:rsidRPr="00537C3C">
        <w:tc>
          <w:tcPr>
            <w:tcW w:w="3835" w:type="dxa"/>
            <w:vMerge w:val="restart"/>
            <w:tcBorders>
              <w:top w:val="single" w:sz="4" w:space="0" w:color="auto"/>
            </w:tcBorders>
          </w:tcPr>
          <w:p w:rsidR="00234376" w:rsidRPr="00537C3C" w:rsidRDefault="00234376" w:rsidP="008E03A7">
            <w:pPr>
              <w:pStyle w:val="TableText10pt"/>
              <w:spacing w:after="0"/>
              <w:rPr>
                <w:b/>
              </w:rPr>
            </w:pPr>
            <w:r w:rsidRPr="00537C3C">
              <w:rPr>
                <w:b/>
              </w:rPr>
              <w:t>Extent of disease</w:t>
            </w:r>
          </w:p>
          <w:p w:rsidR="00234376" w:rsidRPr="00537C3C" w:rsidRDefault="00234376" w:rsidP="008E03A7">
            <w:pPr>
              <w:pStyle w:val="TableText10pt"/>
              <w:rPr>
                <w:b/>
                <w:vertAlign w:val="superscript"/>
              </w:rPr>
            </w:pPr>
            <w:r w:rsidRPr="00537C3C">
              <w:rPr>
                <w:b/>
              </w:rPr>
              <w:t>(</w:t>
            </w:r>
            <w:r w:rsidRPr="00BB76D8">
              <w:rPr>
                <w:b/>
              </w:rPr>
              <w:t>FIGO</w:t>
            </w:r>
            <w:r w:rsidRPr="00537C3C">
              <w:rPr>
                <w:b/>
              </w:rPr>
              <w:t xml:space="preserve"> stage) </w:t>
            </w:r>
            <w:r w:rsidRPr="00537C3C">
              <w:rPr>
                <w:b/>
                <w:vertAlign w:val="superscript"/>
              </w:rPr>
              <w:t>a</w:t>
            </w:r>
          </w:p>
        </w:tc>
        <w:tc>
          <w:tcPr>
            <w:tcW w:w="3008" w:type="dxa"/>
            <w:gridSpan w:val="2"/>
            <w:tcBorders>
              <w:top w:val="single" w:sz="4" w:space="0" w:color="auto"/>
            </w:tcBorders>
          </w:tcPr>
          <w:p w:rsidR="00234376" w:rsidRDefault="00234376" w:rsidP="00234376">
            <w:pPr>
              <w:pStyle w:val="TableText10pt"/>
              <w:spacing w:after="0"/>
              <w:jc w:val="center"/>
              <w:rPr>
                <w:b/>
              </w:rPr>
            </w:pPr>
            <w:r w:rsidRPr="00537C3C">
              <w:rPr>
                <w:b/>
              </w:rPr>
              <w:t>Cumulative relative survival</w:t>
            </w:r>
          </w:p>
        </w:tc>
      </w:tr>
      <w:tr w:rsidR="00234376" w:rsidRPr="00537C3C">
        <w:tc>
          <w:tcPr>
            <w:tcW w:w="3835" w:type="dxa"/>
            <w:vMerge/>
            <w:tcBorders>
              <w:bottom w:val="single" w:sz="4" w:space="0" w:color="auto"/>
            </w:tcBorders>
          </w:tcPr>
          <w:p w:rsidR="00234376" w:rsidRPr="00537C3C" w:rsidRDefault="00234376" w:rsidP="008E03A7">
            <w:pPr>
              <w:pStyle w:val="TableText10pt"/>
              <w:spacing w:after="0"/>
              <w:rPr>
                <w:b/>
              </w:rPr>
            </w:pPr>
          </w:p>
        </w:tc>
        <w:tc>
          <w:tcPr>
            <w:tcW w:w="1253" w:type="dxa"/>
            <w:tcBorders>
              <w:bottom w:val="single" w:sz="4" w:space="0" w:color="auto"/>
            </w:tcBorders>
          </w:tcPr>
          <w:p w:rsidR="00234376" w:rsidRDefault="00234376" w:rsidP="00234376">
            <w:pPr>
              <w:pStyle w:val="TableText10pt"/>
              <w:spacing w:after="0"/>
              <w:jc w:val="center"/>
              <w:rPr>
                <w:b/>
              </w:rPr>
            </w:pPr>
            <w:r w:rsidRPr="00537C3C">
              <w:rPr>
                <w:b/>
              </w:rPr>
              <w:t>5-year</w:t>
            </w:r>
          </w:p>
        </w:tc>
        <w:tc>
          <w:tcPr>
            <w:tcW w:w="1755" w:type="dxa"/>
            <w:tcBorders>
              <w:bottom w:val="single" w:sz="4" w:space="0" w:color="auto"/>
            </w:tcBorders>
          </w:tcPr>
          <w:p w:rsidR="00234376" w:rsidRDefault="00234376" w:rsidP="00234376">
            <w:pPr>
              <w:pStyle w:val="TableText10pt"/>
              <w:spacing w:after="0"/>
              <w:jc w:val="center"/>
              <w:rPr>
                <w:b/>
              </w:rPr>
            </w:pPr>
            <w:r w:rsidRPr="00537C3C">
              <w:rPr>
                <w:b/>
              </w:rPr>
              <w:t>10-year</w:t>
            </w:r>
          </w:p>
        </w:tc>
      </w:tr>
      <w:tr w:rsidR="00234376" w:rsidRPr="00537C3C">
        <w:tc>
          <w:tcPr>
            <w:tcW w:w="3835" w:type="dxa"/>
            <w:tcBorders>
              <w:top w:val="single" w:sz="4" w:space="0" w:color="auto"/>
            </w:tcBorders>
          </w:tcPr>
          <w:p w:rsidR="00234376" w:rsidRPr="00537C3C" w:rsidRDefault="00234376" w:rsidP="008E03A7">
            <w:pPr>
              <w:pStyle w:val="TableText10pt"/>
              <w:spacing w:after="0"/>
            </w:pPr>
            <w:r w:rsidRPr="00537C3C">
              <w:t>Localised (</w:t>
            </w:r>
            <w:bookmarkStart w:id="132" w:name="OLE_LINK106"/>
            <w:bookmarkStart w:id="133" w:name="OLE_LINK107"/>
            <w:r w:rsidRPr="00537C3C">
              <w:t>IA</w:t>
            </w:r>
            <w:bookmarkEnd w:id="132"/>
            <w:bookmarkEnd w:id="133"/>
            <w:r w:rsidRPr="00537C3C">
              <w:t>, IB)</w:t>
            </w:r>
          </w:p>
        </w:tc>
        <w:tc>
          <w:tcPr>
            <w:tcW w:w="1253" w:type="dxa"/>
            <w:tcBorders>
              <w:top w:val="single" w:sz="4" w:space="0" w:color="auto"/>
            </w:tcBorders>
          </w:tcPr>
          <w:p w:rsidR="00234376" w:rsidRDefault="00234376" w:rsidP="00234376">
            <w:pPr>
              <w:pStyle w:val="TableText10pt"/>
              <w:spacing w:after="0"/>
              <w:jc w:val="center"/>
            </w:pPr>
            <w:r w:rsidRPr="00537C3C">
              <w:t>87.5%</w:t>
            </w:r>
          </w:p>
        </w:tc>
        <w:tc>
          <w:tcPr>
            <w:tcW w:w="1755" w:type="dxa"/>
            <w:tcBorders>
              <w:top w:val="single" w:sz="4" w:space="0" w:color="auto"/>
            </w:tcBorders>
          </w:tcPr>
          <w:p w:rsidR="00234376" w:rsidRDefault="00234376" w:rsidP="00234376">
            <w:pPr>
              <w:pStyle w:val="TableText10pt"/>
              <w:spacing w:after="0"/>
              <w:jc w:val="center"/>
            </w:pPr>
            <w:r w:rsidRPr="00537C3C">
              <w:t>85.9%</w:t>
            </w:r>
          </w:p>
        </w:tc>
      </w:tr>
      <w:tr w:rsidR="00234376" w:rsidRPr="00537C3C">
        <w:tc>
          <w:tcPr>
            <w:tcW w:w="3835" w:type="dxa"/>
          </w:tcPr>
          <w:p w:rsidR="00234376" w:rsidRPr="00537C3C" w:rsidRDefault="00234376" w:rsidP="008E03A7">
            <w:pPr>
              <w:pStyle w:val="TableText10pt"/>
              <w:spacing w:after="0"/>
            </w:pPr>
            <w:r w:rsidRPr="00537C3C">
              <w:t>Regional (IB or IIA &amp; lymph node involvement)</w:t>
            </w:r>
          </w:p>
        </w:tc>
        <w:tc>
          <w:tcPr>
            <w:tcW w:w="1253" w:type="dxa"/>
          </w:tcPr>
          <w:p w:rsidR="00234376" w:rsidRDefault="00234376" w:rsidP="00234376">
            <w:pPr>
              <w:pStyle w:val="TableText10pt"/>
              <w:spacing w:after="0"/>
              <w:jc w:val="center"/>
            </w:pPr>
            <w:r w:rsidRPr="00537C3C">
              <w:t>66.7%</w:t>
            </w:r>
          </w:p>
        </w:tc>
        <w:tc>
          <w:tcPr>
            <w:tcW w:w="1755" w:type="dxa"/>
          </w:tcPr>
          <w:p w:rsidR="00234376" w:rsidRDefault="00234376" w:rsidP="00234376">
            <w:pPr>
              <w:pStyle w:val="TableText10pt"/>
              <w:spacing w:after="0"/>
              <w:jc w:val="center"/>
            </w:pPr>
            <w:r w:rsidRPr="00537C3C">
              <w:t>57.6%</w:t>
            </w:r>
          </w:p>
        </w:tc>
      </w:tr>
      <w:tr w:rsidR="00234376" w:rsidRPr="00537C3C">
        <w:tc>
          <w:tcPr>
            <w:tcW w:w="3835" w:type="dxa"/>
          </w:tcPr>
          <w:p w:rsidR="00234376" w:rsidRPr="00537C3C" w:rsidRDefault="00234376" w:rsidP="008E03A7">
            <w:pPr>
              <w:pStyle w:val="TableText10pt"/>
              <w:spacing w:after="0"/>
            </w:pPr>
            <w:r w:rsidRPr="00537C3C">
              <w:t xml:space="preserve">Locally advanced (IIA, </w:t>
            </w:r>
            <w:bookmarkStart w:id="134" w:name="OLE_LINK108"/>
            <w:bookmarkStart w:id="135" w:name="OLE_LINK109"/>
            <w:r w:rsidRPr="00537C3C">
              <w:t>IIB</w:t>
            </w:r>
            <w:bookmarkEnd w:id="134"/>
            <w:bookmarkEnd w:id="135"/>
            <w:r w:rsidRPr="00537C3C">
              <w:t xml:space="preserve">, </w:t>
            </w:r>
            <w:bookmarkStart w:id="136" w:name="OLE_LINK110"/>
            <w:bookmarkStart w:id="137" w:name="OLE_LINK111"/>
            <w:r w:rsidRPr="00537C3C">
              <w:t>IIIA</w:t>
            </w:r>
            <w:bookmarkEnd w:id="136"/>
            <w:bookmarkEnd w:id="137"/>
            <w:r w:rsidRPr="00537C3C">
              <w:t xml:space="preserve">, </w:t>
            </w:r>
            <w:bookmarkStart w:id="138" w:name="OLE_LINK112"/>
            <w:bookmarkStart w:id="139" w:name="OLE_LINK113"/>
            <w:r w:rsidRPr="00537C3C">
              <w:t>IIIB</w:t>
            </w:r>
            <w:bookmarkEnd w:id="138"/>
            <w:bookmarkEnd w:id="139"/>
            <w:r w:rsidRPr="00537C3C">
              <w:t xml:space="preserve">, </w:t>
            </w:r>
            <w:bookmarkStart w:id="140" w:name="OLE_LINK114"/>
            <w:bookmarkStart w:id="141" w:name="OLE_LINK115"/>
            <w:r w:rsidRPr="00537C3C">
              <w:t>IVA</w:t>
            </w:r>
            <w:bookmarkEnd w:id="140"/>
            <w:bookmarkEnd w:id="141"/>
            <w:r w:rsidRPr="00537C3C">
              <w:t>)</w:t>
            </w:r>
          </w:p>
        </w:tc>
        <w:tc>
          <w:tcPr>
            <w:tcW w:w="1253" w:type="dxa"/>
          </w:tcPr>
          <w:p w:rsidR="00234376" w:rsidRDefault="00234376" w:rsidP="00234376">
            <w:pPr>
              <w:pStyle w:val="TableText10pt"/>
              <w:spacing w:after="0"/>
              <w:jc w:val="center"/>
            </w:pPr>
            <w:r w:rsidRPr="00537C3C">
              <w:t>53.6%</w:t>
            </w:r>
          </w:p>
        </w:tc>
        <w:tc>
          <w:tcPr>
            <w:tcW w:w="1755" w:type="dxa"/>
          </w:tcPr>
          <w:p w:rsidR="00234376" w:rsidRDefault="00234376" w:rsidP="00234376">
            <w:pPr>
              <w:pStyle w:val="TableText10pt"/>
              <w:spacing w:after="0"/>
              <w:jc w:val="center"/>
            </w:pPr>
            <w:r w:rsidRPr="00537C3C">
              <w:t>50.0%</w:t>
            </w:r>
          </w:p>
        </w:tc>
      </w:tr>
      <w:tr w:rsidR="00234376" w:rsidRPr="00537C3C">
        <w:tc>
          <w:tcPr>
            <w:tcW w:w="3835" w:type="dxa"/>
            <w:tcBorders>
              <w:bottom w:val="single" w:sz="4" w:space="0" w:color="auto"/>
            </w:tcBorders>
          </w:tcPr>
          <w:p w:rsidR="00234376" w:rsidRPr="00537C3C" w:rsidRDefault="00234376" w:rsidP="008E03A7">
            <w:pPr>
              <w:pStyle w:val="TableText10pt"/>
              <w:spacing w:after="0"/>
            </w:pPr>
            <w:r w:rsidRPr="00537C3C">
              <w:t>Distant (</w:t>
            </w:r>
            <w:bookmarkStart w:id="142" w:name="OLE_LINK116"/>
            <w:bookmarkStart w:id="143" w:name="OLE_LINK117"/>
            <w:r w:rsidRPr="00537C3C">
              <w:t>IVB</w:t>
            </w:r>
            <w:bookmarkEnd w:id="142"/>
            <w:bookmarkEnd w:id="143"/>
            <w:r w:rsidRPr="00537C3C">
              <w:t>)</w:t>
            </w:r>
          </w:p>
        </w:tc>
        <w:tc>
          <w:tcPr>
            <w:tcW w:w="1253" w:type="dxa"/>
            <w:tcBorders>
              <w:bottom w:val="single" w:sz="4" w:space="0" w:color="auto"/>
            </w:tcBorders>
          </w:tcPr>
          <w:p w:rsidR="00234376" w:rsidRDefault="00234376" w:rsidP="00234376">
            <w:pPr>
              <w:pStyle w:val="TableText10pt"/>
              <w:spacing w:after="0"/>
              <w:jc w:val="center"/>
            </w:pPr>
            <w:r w:rsidRPr="00537C3C">
              <w:t>30.1%</w:t>
            </w:r>
          </w:p>
        </w:tc>
        <w:tc>
          <w:tcPr>
            <w:tcW w:w="1755" w:type="dxa"/>
            <w:tcBorders>
              <w:bottom w:val="single" w:sz="4" w:space="0" w:color="auto"/>
            </w:tcBorders>
          </w:tcPr>
          <w:p w:rsidR="00234376" w:rsidRDefault="00234376" w:rsidP="00234376">
            <w:pPr>
              <w:pStyle w:val="TableText10pt"/>
              <w:spacing w:after="0"/>
              <w:jc w:val="center"/>
            </w:pPr>
            <w:r w:rsidRPr="00537C3C">
              <w:t>20.5%</w:t>
            </w:r>
          </w:p>
        </w:tc>
      </w:tr>
    </w:tbl>
    <w:p w:rsidR="00234376" w:rsidRPr="00537C3C" w:rsidRDefault="00234376" w:rsidP="008E03A7">
      <w:pPr>
        <w:pStyle w:val="TableNotes"/>
        <w:spacing w:before="120" w:after="0"/>
        <w:ind w:left="510" w:firstLine="210"/>
      </w:pPr>
      <w:r w:rsidRPr="00537C3C">
        <w:t xml:space="preserve">Source: </w:t>
      </w:r>
      <w:r w:rsidRPr="00BB76D8">
        <w:t>NSW</w:t>
      </w:r>
      <w:r w:rsidRPr="00537C3C">
        <w:t xml:space="preserve"> Cancer Council (unpublished data 2008).</w:t>
      </w:r>
    </w:p>
    <w:p w:rsidR="00234376" w:rsidRPr="00234376" w:rsidRDefault="00234376" w:rsidP="008E03A7">
      <w:pPr>
        <w:pStyle w:val="TableNotes"/>
        <w:spacing w:after="0"/>
        <w:ind w:left="851" w:hanging="131"/>
      </w:pPr>
      <w:r w:rsidRPr="00537C3C">
        <w:rPr>
          <w:vertAlign w:val="superscript"/>
        </w:rPr>
        <w:t xml:space="preserve">a </w:t>
      </w:r>
      <w:r w:rsidRPr="00537C3C">
        <w:t xml:space="preserve">This is an approximation; the cancer register classification of extent of disease does not directly correspond to </w:t>
      </w:r>
      <w:r w:rsidRPr="00BB76D8">
        <w:t>FIGO</w:t>
      </w:r>
      <w:r w:rsidRPr="00537C3C">
        <w:t xml:space="preserve"> classification system.</w:t>
      </w:r>
    </w:p>
    <w:p w:rsidR="00234376" w:rsidRDefault="00234376" w:rsidP="00234376">
      <w:pPr>
        <w:pStyle w:val="Heading3"/>
      </w:pPr>
      <w:bookmarkStart w:id="144" w:name="_Toc170913742"/>
      <w:bookmarkStart w:id="145" w:name="_Toc190763842"/>
      <w:bookmarkStart w:id="146" w:name="_Toc200863633"/>
      <w:r w:rsidRPr="00537C3C">
        <w:t>Risk factors for cervical cancer</w:t>
      </w:r>
      <w:bookmarkEnd w:id="144"/>
      <w:bookmarkEnd w:id="145"/>
      <w:bookmarkEnd w:id="146"/>
    </w:p>
    <w:p w:rsidR="00234376" w:rsidRPr="00537C3C" w:rsidRDefault="00234376" w:rsidP="008E03A7">
      <w:r w:rsidRPr="00537C3C">
        <w:t xml:space="preserve">The </w:t>
      </w:r>
      <w:r w:rsidR="0031643D">
        <w:t>addition of persistent HPV infection, other factors associated with an increased risk of cervical cancer are:</w:t>
      </w:r>
      <w:r w:rsidRPr="00537C3C">
        <w:t xml:space="preserve"> high parity (</w:t>
      </w:r>
      <w:r w:rsidR="0031643D">
        <w:t xml:space="preserve">large </w:t>
      </w:r>
      <w:r w:rsidRPr="00537C3C">
        <w:t xml:space="preserve">number of children), </w:t>
      </w:r>
      <w:r w:rsidR="0031643D">
        <w:t>high number of sexual partners, young age at first sexual intercourse (&lt;18 years), prior history of abnormal cytology tests or cancer  of the vagina or vulva, low socio-economic status, and history of smoking</w:t>
      </w:r>
      <w:r w:rsidRPr="00537C3C">
        <w:t xml:space="preserve"> </w:t>
      </w:r>
      <w:r w:rsidRPr="00537C3C">
        <w:fldChar w:fldCharType="begin"/>
      </w:r>
      <w:r w:rsidRPr="00537C3C">
        <w:instrText xml:space="preserve"> ADDIN REFMGR.CITE &lt;Refman&gt;&lt;Cite&gt;&lt;Author&gt;International Collaboration of Epidemiological Studies of Cervical Cancer&lt;/Author&gt;&lt;Year&gt;2007&lt;/Year&gt;&lt;RecNum&gt;1330&lt;/RecNum&gt;&lt;IDText&gt;Cervical cancer and hormonal contraceptives: collaborative reanalysis of individual data for 16,573 women with cervical cancer and 35,509 women without cervical cancer from 24 epidemiological studies.&lt;/IDText&gt;&lt;MDL Ref_Type="Journal"&gt;&lt;Ref_Type&gt;Journal&lt;/Ref_Type&gt;&lt;Ref_ID&gt;1330&lt;/Ref_ID&gt;&lt;Title_Primary&gt;Cervical cancer and hormonal contraceptives: collaborative reanalysis of individual data for 16,573 women with cervical cancer and 35,509 women without cervical cancer from 24 epidemiological studies.&lt;/Title_Primary&gt;&lt;Authors_Primary&gt;International Collaboration of Epidemiological Studies of Cervical Cancer&lt;/Authors_Primary&gt;&lt;Authors_Primary&gt;Appleby,P.&lt;/Authors_Primary&gt;&lt;Authors_Primary&gt;Beral,V.&lt;/Authors_Primary&gt;&lt;Authors_Primary&gt;Berrington de,Gonzalez A.&lt;/Authors_Primary&gt;&lt;Authors_Primary&gt;Colin,D.&lt;/Authors_Primary&gt;&lt;Authors_Primary&gt;Franceschi,S.&lt;/Authors_Primary&gt;&lt;Authors_Primary&gt;Goodhill,A.&lt;/Authors_Primary&gt;&lt;Authors_Primary&gt;Green,J.&lt;/Authors_Primary&gt;&lt;Authors_Primary&gt;Peto,J.&lt;/Authors_Primary&gt;&lt;Authors_Primary&gt;Plummer,M.&lt;/Authors_Primary&gt;&lt;Authors_Primary&gt;Sweetland,S.&lt;/Authors_Primary&gt;&lt;Date_Primary&gt;2007&lt;/Date_Primary&gt;&lt;Keywords&gt;age&lt;/Keywords&gt;&lt;Keywords&gt;article&lt;/Keywords&gt;&lt;Keywords&gt;cancer&lt;/Keywords&gt;&lt;Keywords&gt;cancer research&lt;/Keywords&gt;&lt;Keywords&gt;carcinoma&lt;/Keywords&gt;&lt;Keywords&gt;developed country&lt;/Keywords&gt;&lt;Keywords&gt;epidemiology&lt;/Keywords&gt;&lt;Keywords&gt;high risk Human papillomavirus&lt;/Keywords&gt;&lt;Keywords&gt;human&lt;/Keywords&gt;&lt;Keywords&gt;incidence&lt;/Keywords&gt;&lt;Keywords&gt;parity&lt;/Keywords&gt;&lt;Keywords&gt;public health&lt;/Keywords&gt;&lt;Keywords&gt;research&lt;/Keywords&gt;&lt;Keywords&gt;review&lt;/Keywords&gt;&lt;Keywords&gt;risk&lt;/Keywords&gt;&lt;Keywords&gt;screening&lt;/Keywords&gt;&lt;Keywords&gt;smoking&lt;/Keywords&gt;&lt;Reprint&gt;Not in File&lt;/Reprint&gt;&lt;Periodical&gt;Lancet.370(9599):1609-21,&lt;/Periodical&gt;&lt;ZZ_JournalFull&gt;&lt;f name="System"&gt;Lancet.370(9599):1609-21,&lt;/f&gt;&lt;/ZZ_JournalFull&gt;&lt;ZZ_WorkformID&gt;1&lt;/ZZ_WorkformID&gt;&lt;/MDL&gt;&lt;/Cite&gt;&lt;/Refman&gt;</w:instrText>
      </w:r>
      <w:r w:rsidRPr="00537C3C">
        <w:fldChar w:fldCharType="separate"/>
      </w:r>
      <w:r w:rsidRPr="00537C3C">
        <w:t>(International Collaboration of Epidemiological Studies of Cervical Cancer et al. 2007)</w:t>
      </w:r>
      <w:r w:rsidRPr="00537C3C">
        <w:fldChar w:fldCharType="end"/>
      </w:r>
      <w:r w:rsidRPr="00537C3C">
        <w:t xml:space="preserve">. Women with an immunodeficiency disorder, for example due to </w:t>
      </w:r>
      <w:r w:rsidRPr="00BB76D8">
        <w:t>HIV</w:t>
      </w:r>
      <w:r w:rsidRPr="00537C3C" w:rsidDel="0030078D">
        <w:t>,</w:t>
      </w:r>
      <w:r w:rsidRPr="00537C3C">
        <w:t xml:space="preserve"> are also at higher risk of cervical cancer.</w:t>
      </w:r>
    </w:p>
    <w:p w:rsidR="00234376" w:rsidRPr="00537C3C" w:rsidRDefault="00234376" w:rsidP="008E03A7">
      <w:pPr>
        <w:rPr>
          <w:rFonts w:ascii="Tahoma" w:hAnsi="Tahoma" w:cs="Arial"/>
          <w:b/>
          <w:bCs/>
          <w:sz w:val="22"/>
          <w:szCs w:val="22"/>
        </w:rPr>
      </w:pPr>
      <w:r w:rsidRPr="00537C3C">
        <w:rPr>
          <w:rFonts w:ascii="Tahoma" w:hAnsi="Tahoma" w:cs="Arial"/>
          <w:b/>
          <w:bCs/>
          <w:sz w:val="22"/>
          <w:szCs w:val="22"/>
        </w:rPr>
        <w:t>High-risk populations—Indigenous women</w:t>
      </w:r>
    </w:p>
    <w:p w:rsidR="00234376" w:rsidRPr="00537C3C" w:rsidRDefault="00234376" w:rsidP="008E03A7">
      <w:r w:rsidRPr="00537C3C">
        <w:t xml:space="preserve">Indigenous women are at higher risk of cervical cancer than non-Indigenous women, although there has been a substantial reduction in cervical cancer incidence and mortality in both groups following the introduction of the National Cervical Screening Program in 1991 </w:t>
      </w:r>
      <w:r w:rsidRPr="00537C3C">
        <w:fldChar w:fldCharType="begin"/>
      </w:r>
      <w:r w:rsidRPr="00537C3C">
        <w:instrText xml:space="preserve"> ADDIN REFMGR.CITE &lt;Refman&gt;&lt;Cite&gt;&lt;Author&gt;Cunningham&lt;/Author&gt;&lt;Year&gt;2008&lt;/Year&gt;&lt;RecNum&gt;1329&lt;/RecNum&gt;&lt;IDText&gt;Incidence, aetiology, and outcomes of cancer in Indigenous peoples in Australia&lt;/IDText&gt;&lt;MDL Ref_Type="Journal"&gt;&lt;Ref_Type&gt;Journal&lt;/Ref_Type&gt;&lt;Ref_ID&gt;1329&lt;/Ref_ID&gt;&lt;Title_Primary&gt;Incidence, aetiology, and outcomes of cancer in Indigenous peoples in Australia&lt;/Title_Primary&gt;&lt;Authors_Primary&gt;Cunningham,J.&lt;/Authors_Primary&gt;&lt;Authors_Primary&gt;Rumbold,A.R.&lt;/Authors_Primary&gt;&lt;Authors_Primary&gt;Zhang,X.&lt;/Authors_Primary&gt;&lt;Authors_Primary&gt;Condon,J.R.&lt;/Authors_Primary&gt;&lt;Date_Primary&gt;2008/6&lt;/Date_Primary&gt;&lt;Keywords&gt;article&lt;/Keywords&gt;&lt;Keywords&gt;Australia&lt;/Keywords&gt;&lt;Keywords&gt;cancer&lt;/Keywords&gt;&lt;Keywords&gt;cancer incidence&lt;/Keywords&gt;&lt;Keywords&gt;health&lt;/Keywords&gt;&lt;Keywords&gt;health service&lt;/Keywords&gt;&lt;Keywords&gt;incidence&lt;/Keywords&gt;&lt;Keywords&gt;Inform&lt;/Keywords&gt;&lt;Keywords&gt;liver cancer&lt;/Keywords&gt;&lt;Keywords&gt;mortality&lt;/Keywords&gt;&lt;Keywords&gt;performance&lt;/Keywords&gt;&lt;Keywords&gt;prognosis&lt;/Keywords&gt;&lt;Keywords&gt;register&lt;/Keywords&gt;&lt;Keywords&gt;research&lt;/Keywords&gt;&lt;Keywords&gt;school&lt;/Keywords&gt;&lt;Keywords&gt;smoking&lt;/Keywords&gt;&lt;Keywords&gt;tobacco&lt;/Keywords&gt;&lt;Keywords&gt;university&lt;/Keywords&gt;&lt;Reprint&gt;Not in File&lt;/Reprint&gt;&lt;Periodical&gt;Lancet Oncology.9(6):585-95,&lt;/Periodical&gt;&lt;ZZ_JournalFull&gt;&lt;f name="System"&gt;Lancet Oncology.9(6):585-95,&lt;/f&gt;&lt;/ZZ_JournalFull&gt;&lt;ZZ_WorkformID&gt;1&lt;/ZZ_WorkformID&gt;&lt;/MDL&gt;&lt;/Cite&gt;&lt;/Refman&gt;</w:instrText>
      </w:r>
      <w:r w:rsidRPr="00537C3C">
        <w:fldChar w:fldCharType="separate"/>
      </w:r>
      <w:r w:rsidRPr="00537C3C">
        <w:t>(Cunningham et al. 2008)</w:t>
      </w:r>
      <w:r w:rsidRPr="00537C3C">
        <w:fldChar w:fldCharType="end"/>
      </w:r>
      <w:r w:rsidRPr="00537C3C">
        <w:t>.</w:t>
      </w:r>
    </w:p>
    <w:p w:rsidR="00234376" w:rsidRPr="00537C3C" w:rsidRDefault="00234376" w:rsidP="008E03A7">
      <w:pPr>
        <w:autoSpaceDE w:val="0"/>
        <w:autoSpaceDN w:val="0"/>
        <w:adjustRightInd w:val="0"/>
        <w:rPr>
          <w:rFonts w:cs="Garamond"/>
          <w:szCs w:val="24"/>
        </w:rPr>
      </w:pPr>
      <w:r w:rsidRPr="00537C3C">
        <w:rPr>
          <w:rFonts w:cs="Garamond"/>
          <w:szCs w:val="24"/>
        </w:rPr>
        <w:lastRenderedPageBreak/>
        <w:t xml:space="preserve">High-quality national data on cancer incidence in Indigenous Australians are not available, because the Indigenous status of patients is not always correctly identified at registration. However, cancer registry information on Indigenous status from </w:t>
      </w:r>
      <w:smartTag w:uri="urn:schemas-microsoft-com:office:smarttags" w:element="State">
        <w:r w:rsidRPr="00537C3C">
          <w:rPr>
            <w:rFonts w:cs="Garamond"/>
            <w:szCs w:val="24"/>
          </w:rPr>
          <w:t>Queensland</w:t>
        </w:r>
      </w:smartTag>
      <w:r w:rsidRPr="00537C3C">
        <w:rPr>
          <w:rFonts w:cs="Garamond"/>
          <w:szCs w:val="24"/>
        </w:rPr>
        <w:t xml:space="preserve">, </w:t>
      </w:r>
      <w:smartTag w:uri="urn:schemas-microsoft-com:office:smarttags" w:element="State">
        <w:r w:rsidRPr="00537C3C">
          <w:rPr>
            <w:rFonts w:cs="Garamond"/>
            <w:szCs w:val="24"/>
          </w:rPr>
          <w:t>Western Australia</w:t>
        </w:r>
      </w:smartTag>
      <w:r w:rsidRPr="00537C3C">
        <w:rPr>
          <w:rFonts w:cs="Garamond"/>
          <w:szCs w:val="24"/>
        </w:rPr>
        <w:t xml:space="preserve">, </w:t>
      </w:r>
      <w:smartTag w:uri="urn:schemas-microsoft-com:office:smarttags" w:element="place">
        <w:smartTag w:uri="urn:schemas-microsoft-com:office:smarttags" w:element="State">
          <w:r w:rsidRPr="00537C3C">
            <w:rPr>
              <w:rFonts w:cs="Garamond"/>
              <w:szCs w:val="24"/>
            </w:rPr>
            <w:t>South Australia</w:t>
          </w:r>
        </w:smartTag>
      </w:smartTag>
      <w:r w:rsidRPr="00537C3C">
        <w:rPr>
          <w:rFonts w:cs="Garamond"/>
          <w:szCs w:val="24"/>
        </w:rPr>
        <w:t xml:space="preserve"> and the Northern Territory</w:t>
      </w:r>
      <w:r w:rsidR="009E6BC9">
        <w:rPr>
          <w:rFonts w:cs="Garamond"/>
          <w:szCs w:val="24"/>
        </w:rPr>
        <w:t xml:space="preserve"> (NT)</w:t>
      </w:r>
      <w:r w:rsidRPr="00537C3C">
        <w:rPr>
          <w:rFonts w:cs="Garamond"/>
          <w:szCs w:val="24"/>
        </w:rPr>
        <w:t xml:space="preserve"> is believed to be the most complete. Data from these registries indicate that the age-standardised incidence rate of cervical cancer among Indigenous women was at least 12 per 100 000 for the period 1997–2001 </w:t>
      </w:r>
      <w:r w:rsidRPr="00537C3C">
        <w:rPr>
          <w:rFonts w:cs="Garamond"/>
          <w:szCs w:val="24"/>
        </w:rPr>
        <w:fldChar w:fldCharType="begin"/>
      </w:r>
      <w:r w:rsidRPr="00537C3C">
        <w:rPr>
          <w:rFonts w:cs="Garamond"/>
          <w:szCs w:val="24"/>
        </w:rPr>
        <w:instrText xml:space="preserve"> ADDIN REFMGR.CITE &lt;Refman&gt;&lt;Cite&gt;&lt;Author&gt;Australian Bureau of Statistics (ABS)&lt;/Author&gt;&lt;Year&gt;2005&lt;/Year&gt;&lt;RecNum&gt;48&lt;/RecNum&gt;&lt;IDText&gt;The Health and Welfare of Australia&amp;apos;s Aboriginal and Torres Strait Islander Peoples&lt;/IDText&gt;&lt;MDL Ref_Type="Report"&gt;&lt;Ref_Type&gt;Report&lt;/Ref_Type&gt;&lt;Ref_ID&gt;48&lt;/Ref_ID&gt;&lt;Title_Primary&gt;&lt;f name="FranklinGothicITCbyBT-Demi"&gt;The Health and Welfare of Australia&amp;apos;s Aboriginal and Torres Strait Islander Peoples&lt;/f&gt;&lt;/Title_Primary&gt;&lt;Authors_Primary&gt;Australian Bureau of Statistics (ABS)&lt;/Authors_Primary&gt;&lt;Authors_Primary&gt;Australian Institute of Health and Welfare (AIHW)&lt;/Authors_Primary&gt;&lt;Date_Primary&gt;2005&lt;/Date_Primary&gt;&lt;Keywords&gt;health&lt;/Keywords&gt;&lt;Reprint&gt;In File&lt;/Reprint&gt;&lt;Volume&gt;&lt;f name="FranklinGothicITCbyBT-Book"&gt;ABS Catalogue No. 4704.0; &lt;/f&gt;AIHW &lt;f name="FranklinGothicITCbyBT-Book"&gt;Catalogue No. IHW14&lt;/f&gt;&lt;/Volume&gt;&lt;Pub_Place&gt;Canberra&lt;/Pub_Place&gt;&lt;Publisher&gt;&lt;f name="FranklinGothicITCbyBT-Book"&gt;Commonwealth of Australia&lt;/f&gt;&lt;/Publisher&gt;&lt;ZZ_WorkformID&gt;24&lt;/ZZ_WorkformID&gt;&lt;/MDL&gt;&lt;/Cite&gt;&lt;/Refman&gt;</w:instrText>
      </w:r>
      <w:r w:rsidRPr="00537C3C">
        <w:rPr>
          <w:rFonts w:cs="Garamond"/>
          <w:szCs w:val="24"/>
        </w:rPr>
        <w:fldChar w:fldCharType="separate"/>
      </w:r>
      <w:r w:rsidRPr="00537C3C">
        <w:rPr>
          <w:rFonts w:cs="Garamond"/>
          <w:szCs w:val="24"/>
        </w:rPr>
        <w:t>(Australian Bureau of Statistics [ABS] &amp; Australian Institute of Health and Welfare [</w:t>
      </w:r>
      <w:r w:rsidRPr="00BB76D8">
        <w:rPr>
          <w:rFonts w:cs="Garamond"/>
          <w:szCs w:val="24"/>
        </w:rPr>
        <w:t>AIHW]</w:t>
      </w:r>
      <w:r w:rsidRPr="00537C3C">
        <w:rPr>
          <w:rFonts w:cs="Garamond"/>
          <w:szCs w:val="24"/>
        </w:rPr>
        <w:t xml:space="preserve"> 2005)</w:t>
      </w:r>
      <w:r w:rsidRPr="00537C3C">
        <w:rPr>
          <w:rFonts w:cs="Garamond"/>
          <w:szCs w:val="24"/>
        </w:rPr>
        <w:fldChar w:fldCharType="end"/>
      </w:r>
      <w:r w:rsidRPr="00537C3C">
        <w:rPr>
          <w:rFonts w:cs="Garamond"/>
          <w:szCs w:val="24"/>
        </w:rPr>
        <w:t xml:space="preserve">, compared with overall annual age-standardised incidence rates of between 7.4 and 9.1 per 100 000 among Australian women over the same period </w:t>
      </w:r>
      <w:r w:rsidRPr="00537C3C">
        <w:rPr>
          <w:rFonts w:cs="Garamond"/>
          <w:szCs w:val="24"/>
        </w:rPr>
        <w:fldChar w:fldCharType="begin"/>
      </w:r>
      <w:r w:rsidRPr="00537C3C">
        <w:rPr>
          <w:rFonts w:cs="Garamond"/>
          <w:szCs w:val="24"/>
        </w:rPr>
        <w:instrText xml:space="preserve"> ADDIN REFMGR.CITE &lt;Refman&gt;&lt;Cite&gt;&lt;Author&gt;AIHW&lt;/Author&gt;&lt;Year&gt;2008&lt;/Year&gt;&lt;RecNum&gt;4903&lt;/RecNum&gt;&lt;IDText&gt;Cervical screening in Australia 2005-2006&lt;/IDText&gt;&lt;MDL Ref_Type="Report"&gt;&lt;Ref_Type&gt;Report&lt;/Ref_Type&gt;&lt;Ref_ID&gt;4903&lt;/Ref_ID&gt;&lt;Title_Primary&gt;Cervical screening in Australia 2005-2006&lt;/Title_Primary&gt;&lt;Authors_Primary&gt;AIHW&lt;/Authors_Primary&gt;&lt;Date_Primary&gt;2008&lt;/Date_Primary&gt;&lt;Keywords&gt;Australia&lt;/Keywords&gt;&lt;Keywords&gt;Cancer&lt;/Keywords&gt;&lt;Keywords&gt;screening&lt;/Keywords&gt;&lt;Keywords&gt;cervical&lt;/Keywords&gt;&lt;Reprint&gt;Not in File&lt;/Reprint&gt;&lt;Volume&gt;AIHW cat. no. Can 36&lt;/Volume&gt;&lt;Pub_Place&gt;Canberra: AIHW&lt;/Pub_Place&gt;&lt;Publisher&gt;Australian Institute of Health and Welfare&lt;/Publisher&gt;&lt;Title_Series&gt;Cancer series no. 41&lt;/Title_Series&gt;&lt;ZZ_WorkformID&gt;24&lt;/ZZ_WorkformID&gt;&lt;/MDL&gt;&lt;/Cite&gt;&lt;/Refman&gt;</w:instrText>
      </w:r>
      <w:r w:rsidRPr="00537C3C">
        <w:rPr>
          <w:rFonts w:cs="Garamond"/>
          <w:szCs w:val="24"/>
        </w:rPr>
        <w:fldChar w:fldCharType="separate"/>
      </w:r>
      <w:r w:rsidRPr="00537C3C">
        <w:rPr>
          <w:rFonts w:cs="Garamond"/>
          <w:szCs w:val="24"/>
        </w:rPr>
        <w:t>(</w:t>
      </w:r>
      <w:r w:rsidRPr="00BB76D8">
        <w:rPr>
          <w:rFonts w:cs="Garamond"/>
          <w:szCs w:val="24"/>
        </w:rPr>
        <w:t>AIHW</w:t>
      </w:r>
      <w:r w:rsidRPr="00537C3C">
        <w:rPr>
          <w:rFonts w:cs="Garamond"/>
          <w:szCs w:val="24"/>
        </w:rPr>
        <w:t xml:space="preserve"> 2008)</w:t>
      </w:r>
      <w:r w:rsidRPr="00537C3C">
        <w:rPr>
          <w:rFonts w:cs="Garamond"/>
          <w:szCs w:val="24"/>
        </w:rPr>
        <w:fldChar w:fldCharType="end"/>
      </w:r>
      <w:r w:rsidRPr="00537C3C">
        <w:rPr>
          <w:rFonts w:cs="Garamond"/>
          <w:szCs w:val="24"/>
        </w:rPr>
        <w:t>. In the NT, one study identified 56 cases of cervical cancer in Indigenous women from 1991 to 2005, indicating 2.9</w:t>
      </w:r>
      <w:r w:rsidRPr="00537C3C">
        <w:rPr>
          <w:rFonts w:cs="Garamond"/>
          <w:szCs w:val="24"/>
        </w:rPr>
        <w:sym w:font="Symbol" w:char="F0B4"/>
      </w:r>
      <w:r w:rsidRPr="00537C3C">
        <w:rPr>
          <w:rFonts w:cs="Garamond"/>
          <w:szCs w:val="24"/>
        </w:rPr>
        <w:t xml:space="preserve"> the risk </w:t>
      </w:r>
      <w:r w:rsidRPr="00537C3C" w:rsidDel="0030078D">
        <w:rPr>
          <w:rFonts w:cs="Garamond"/>
          <w:szCs w:val="24"/>
        </w:rPr>
        <w:t>seen in</w:t>
      </w:r>
      <w:r w:rsidRPr="00537C3C">
        <w:rPr>
          <w:rFonts w:cs="Garamond"/>
          <w:szCs w:val="24"/>
        </w:rPr>
        <w:t xml:space="preserve"> non-Indigenous women </w:t>
      </w:r>
      <w:r w:rsidRPr="00537C3C">
        <w:rPr>
          <w:rFonts w:cs="Garamond"/>
          <w:szCs w:val="24"/>
        </w:rPr>
        <w:fldChar w:fldCharType="begin"/>
      </w:r>
      <w:r w:rsidRPr="00537C3C">
        <w:rPr>
          <w:rFonts w:cs="Garamond"/>
          <w:szCs w:val="24"/>
        </w:rPr>
        <w:instrText xml:space="preserve"> ADDIN REFMGR.CITE &lt;Refman&gt;&lt;Cite&gt;&lt;Author&gt;Cunningham&lt;/Author&gt;&lt;Year&gt;2008&lt;/Year&gt;&lt;RecNum&gt;1329&lt;/RecNum&gt;&lt;IDText&gt;Incidence, aetiology, and outcomes of cancer in Indigenous peoples in Australia&lt;/IDText&gt;&lt;MDL Ref_Type="Journal"&gt;&lt;Ref_Type&gt;Journal&lt;/Ref_Type&gt;&lt;Ref_ID&gt;1329&lt;/Ref_ID&gt;&lt;Title_Primary&gt;Incidence, aetiology, and outcomes of cancer in Indigenous peoples in Australia&lt;/Title_Primary&gt;&lt;Authors_Primary&gt;Cunningham,J.&lt;/Authors_Primary&gt;&lt;Authors_Primary&gt;Rumbold,A.R.&lt;/Authors_Primary&gt;&lt;Authors_Primary&gt;Zhang,X.&lt;/Authors_Primary&gt;&lt;Authors_Primary&gt;Condon,J.R.&lt;/Authors_Primary&gt;&lt;Date_Primary&gt;2008/6&lt;/Date_Primary&gt;&lt;Keywords&gt;article&lt;/Keywords&gt;&lt;Keywords&gt;Australia&lt;/Keywords&gt;&lt;Keywords&gt;cancer&lt;/Keywords&gt;&lt;Keywords&gt;cancer incidence&lt;/Keywords&gt;&lt;Keywords&gt;health&lt;/Keywords&gt;&lt;Keywords&gt;health service&lt;/Keywords&gt;&lt;Keywords&gt;incidence&lt;/Keywords&gt;&lt;Keywords&gt;Inform&lt;/Keywords&gt;&lt;Keywords&gt;liver cancer&lt;/Keywords&gt;&lt;Keywords&gt;mortality&lt;/Keywords&gt;&lt;Keywords&gt;performance&lt;/Keywords&gt;&lt;Keywords&gt;prognosis&lt;/Keywords&gt;&lt;Keywords&gt;register&lt;/Keywords&gt;&lt;Keywords&gt;research&lt;/Keywords&gt;&lt;Keywords&gt;school&lt;/Keywords&gt;&lt;Keywords&gt;smoking&lt;/Keywords&gt;&lt;Keywords&gt;tobacco&lt;/Keywords&gt;&lt;Keywords&gt;university&lt;/Keywords&gt;&lt;Reprint&gt;Not in File&lt;/Reprint&gt;&lt;Periodical&gt;Lancet Oncology.9(6):585-95,&lt;/Periodical&gt;&lt;ZZ_JournalFull&gt;&lt;f name="System"&gt;Lancet Oncology.9(6):585-95,&lt;/f&gt;&lt;/ZZ_JournalFull&gt;&lt;ZZ_WorkformID&gt;1&lt;/ZZ_WorkformID&gt;&lt;/MDL&gt;&lt;/Cite&gt;&lt;/Refman&gt;</w:instrText>
      </w:r>
      <w:r w:rsidRPr="00537C3C">
        <w:rPr>
          <w:rFonts w:cs="Garamond"/>
          <w:szCs w:val="24"/>
        </w:rPr>
        <w:fldChar w:fldCharType="separate"/>
      </w:r>
      <w:r w:rsidRPr="00537C3C">
        <w:rPr>
          <w:rFonts w:cs="Garamond"/>
          <w:szCs w:val="24"/>
        </w:rPr>
        <w:t>(Cunningham et al. 2008)</w:t>
      </w:r>
      <w:r w:rsidRPr="00537C3C">
        <w:rPr>
          <w:rFonts w:cs="Garamond"/>
          <w:szCs w:val="24"/>
        </w:rPr>
        <w:fldChar w:fldCharType="end"/>
      </w:r>
      <w:r w:rsidRPr="00537C3C">
        <w:rPr>
          <w:rFonts w:cs="Garamond"/>
          <w:szCs w:val="24"/>
        </w:rPr>
        <w:t>.</w:t>
      </w:r>
    </w:p>
    <w:p w:rsidR="00234376" w:rsidRPr="00537C3C" w:rsidRDefault="00234376" w:rsidP="008E03A7">
      <w:pPr>
        <w:autoSpaceDE w:val="0"/>
        <w:autoSpaceDN w:val="0"/>
        <w:adjustRightInd w:val="0"/>
        <w:rPr>
          <w:rFonts w:cs="Garamond"/>
          <w:szCs w:val="24"/>
        </w:rPr>
      </w:pPr>
      <w:r w:rsidRPr="00537C3C">
        <w:rPr>
          <w:rFonts w:cs="Garamond"/>
          <w:szCs w:val="24"/>
        </w:rPr>
        <w:t>Mortality data from Queensland, Western Australia, South Australia and the NT show that mortality rates from cervical cancer among Indigenous women aged 20–69 years in the period 2001–2004 were almost 5</w:t>
      </w:r>
      <w:r w:rsidRPr="00537C3C">
        <w:rPr>
          <w:rFonts w:cs="Garamond"/>
          <w:szCs w:val="24"/>
        </w:rPr>
        <w:sym w:font="Symbol" w:char="F0B4"/>
      </w:r>
      <w:r w:rsidRPr="00537C3C">
        <w:rPr>
          <w:rFonts w:cs="Garamond"/>
          <w:szCs w:val="24"/>
        </w:rPr>
        <w:t xml:space="preserve"> the rates among non-Indigenous women (Indigenous women 9.9 per 100 000, 95% </w:t>
      </w:r>
      <w:r w:rsidRPr="00BB76D8">
        <w:rPr>
          <w:rFonts w:cs="Garamond"/>
          <w:szCs w:val="24"/>
        </w:rPr>
        <w:t>CI</w:t>
      </w:r>
      <w:r w:rsidRPr="00537C3C">
        <w:rPr>
          <w:rFonts w:cs="Garamond"/>
          <w:szCs w:val="24"/>
        </w:rPr>
        <w:t xml:space="preserve"> 6.0%–15.3%; non-Indigenous women 2.1 per 100 000, 95% </w:t>
      </w:r>
      <w:r w:rsidRPr="00BB76D8">
        <w:rPr>
          <w:rFonts w:cs="Garamond"/>
          <w:szCs w:val="24"/>
        </w:rPr>
        <w:t>CI</w:t>
      </w:r>
      <w:r w:rsidRPr="00537C3C">
        <w:rPr>
          <w:rFonts w:cs="Garamond"/>
          <w:szCs w:val="24"/>
        </w:rPr>
        <w:t xml:space="preserve"> 1.9%–2.5% </w:t>
      </w:r>
      <w:r w:rsidRPr="00537C3C">
        <w:rPr>
          <w:rFonts w:cs="Garamond"/>
          <w:szCs w:val="24"/>
        </w:rPr>
        <w:fldChar w:fldCharType="begin"/>
      </w:r>
      <w:r w:rsidRPr="00537C3C">
        <w:rPr>
          <w:rFonts w:cs="Garamond"/>
          <w:szCs w:val="24"/>
        </w:rPr>
        <w:instrText xml:space="preserve"> ADDIN REFMGR.CITE &lt;Refman&gt;&lt;Cite&gt;&lt;Author&gt;AIHW&lt;/Author&gt;&lt;Year&gt;2007&lt;/Year&gt;&lt;RecNum&gt;4853&lt;/RecNum&gt;&lt;IDText&gt;Cervical screening in Australia 2004-2005&lt;/IDText&gt;&lt;MDL Ref_Type="Report"&gt;&lt;Ref_Type&gt;Report&lt;/Ref_Type&gt;&lt;Ref_ID&gt;4853&lt;/Ref_ID&gt;&lt;Title_Primary&gt;Cervical screening in Australia 2004-2005&lt;/Title_Primary&gt;&lt;Authors_Primary&gt;AIHW&lt;/Authors_Primary&gt;&lt;Date_Primary&gt;2007&lt;/Date_Primary&gt;&lt;Keywords&gt;Australia&lt;/Keywords&gt;&lt;Keywords&gt;Cancer&lt;/Keywords&gt;&lt;Keywords&gt;screening&lt;/Keywords&gt;&lt;Keywords&gt;cervical&lt;/Keywords&gt;&lt;Reprint&gt;Not in File&lt;/Reprint&gt;&lt;Volume&gt;AIHW cat. No. Can 33&lt;/Volume&gt;&lt;Pub_Place&gt;Canberra: AIHW&lt;/Pub_Place&gt;&lt;Publisher&gt;Australian Institute of Health and Welfare&lt;/Publisher&gt;&lt;Title_Series&gt;(Cancer Series number 38)&lt;/Title_Series&gt;&lt;ZZ_WorkformID&gt;24&lt;/ZZ_WorkformID&gt;&lt;/MDL&gt;&lt;/Cite&gt;&lt;/Refman&gt;</w:instrText>
      </w:r>
      <w:r w:rsidRPr="00537C3C">
        <w:rPr>
          <w:rFonts w:cs="Garamond"/>
          <w:szCs w:val="24"/>
        </w:rPr>
        <w:fldChar w:fldCharType="separate"/>
      </w:r>
      <w:r w:rsidRPr="00537C3C">
        <w:rPr>
          <w:rFonts w:cs="Garamond"/>
          <w:szCs w:val="24"/>
        </w:rPr>
        <w:t>(</w:t>
      </w:r>
      <w:r w:rsidRPr="00BB76D8">
        <w:rPr>
          <w:rFonts w:cs="Garamond"/>
          <w:szCs w:val="24"/>
        </w:rPr>
        <w:t>AIHW</w:t>
      </w:r>
      <w:r w:rsidRPr="00537C3C">
        <w:rPr>
          <w:rFonts w:cs="Garamond"/>
          <w:szCs w:val="24"/>
        </w:rPr>
        <w:t xml:space="preserve"> 2007b)</w:t>
      </w:r>
      <w:r w:rsidRPr="00537C3C">
        <w:rPr>
          <w:rFonts w:cs="Garamond"/>
          <w:szCs w:val="24"/>
        </w:rPr>
        <w:fldChar w:fldCharType="end"/>
      </w:r>
      <w:r w:rsidRPr="00537C3C">
        <w:rPr>
          <w:rFonts w:cs="Garamond"/>
          <w:szCs w:val="24"/>
        </w:rPr>
        <w:t xml:space="preserve">. Five-year survival rates among Indigenous women between 1991 and 2001 have been estimated at 37 per cent, compared with 79 per cent among all Australian women </w:t>
      </w:r>
      <w:r w:rsidRPr="00537C3C">
        <w:rPr>
          <w:rFonts w:cs="Garamond"/>
          <w:szCs w:val="24"/>
        </w:rPr>
        <w:fldChar w:fldCharType="begin"/>
      </w:r>
      <w:r w:rsidRPr="00537C3C">
        <w:rPr>
          <w:rFonts w:cs="Garamond"/>
          <w:szCs w:val="24"/>
        </w:rPr>
        <w:instrText xml:space="preserve"> ADDIN REFMGR.CITE &lt;Refman&gt;&lt;Cite&gt;&lt;Author&gt;Cunningham&lt;/Author&gt;&lt;Year&gt;2008&lt;/Year&gt;&lt;RecNum&gt;1329&lt;/RecNum&gt;&lt;IDText&gt;Incidence, aetiology, and outcomes of cancer in Indigenous peoples in Australia&lt;/IDText&gt;&lt;MDL Ref_Type="Journal"&gt;&lt;Ref_Type&gt;Journal&lt;/Ref_Type&gt;&lt;Ref_ID&gt;1329&lt;/Ref_ID&gt;&lt;Title_Primary&gt;Incidence, aetiology, and outcomes of cancer in Indigenous peoples in Australia&lt;/Title_Primary&gt;&lt;Authors_Primary&gt;Cunningham,J.&lt;/Authors_Primary&gt;&lt;Authors_Primary&gt;Rumbold,A.R.&lt;/Authors_Primary&gt;&lt;Authors_Primary&gt;Zhang,X.&lt;/Authors_Primary&gt;&lt;Authors_Primary&gt;Condon,J.R.&lt;/Authors_Primary&gt;&lt;Date_Primary&gt;2008/6&lt;/Date_Primary&gt;&lt;Keywords&gt;article&lt;/Keywords&gt;&lt;Keywords&gt;Australia&lt;/Keywords&gt;&lt;Keywords&gt;cancer&lt;/Keywords&gt;&lt;Keywords&gt;cancer incidence&lt;/Keywords&gt;&lt;Keywords&gt;health&lt;/Keywords&gt;&lt;Keywords&gt;health service&lt;/Keywords&gt;&lt;Keywords&gt;incidence&lt;/Keywords&gt;&lt;Keywords&gt;Inform&lt;/Keywords&gt;&lt;Keywords&gt;liver cancer&lt;/Keywords&gt;&lt;Keywords&gt;mortality&lt;/Keywords&gt;&lt;Keywords&gt;performance&lt;/Keywords&gt;&lt;Keywords&gt;prognosis&lt;/Keywords&gt;&lt;Keywords&gt;register&lt;/Keywords&gt;&lt;Keywords&gt;research&lt;/Keywords&gt;&lt;Keywords&gt;school&lt;/Keywords&gt;&lt;Keywords&gt;smoking&lt;/Keywords&gt;&lt;Keywords&gt;tobacco&lt;/Keywords&gt;&lt;Keywords&gt;university&lt;/Keywords&gt;&lt;Reprint&gt;Not in File&lt;/Reprint&gt;&lt;Periodical&gt;Lancet Oncology.9(6):585-95,&lt;/Periodical&gt;&lt;ZZ_JournalFull&gt;&lt;f name="System"&gt;Lancet Oncology.9(6):585-95,&lt;/f&gt;&lt;/ZZ_JournalFull&gt;&lt;ZZ_WorkformID&gt;1&lt;/ZZ_WorkformID&gt;&lt;/MDL&gt;&lt;/Cite&gt;&lt;/Refman&gt;</w:instrText>
      </w:r>
      <w:r w:rsidRPr="00537C3C">
        <w:rPr>
          <w:rFonts w:cs="Garamond"/>
          <w:szCs w:val="24"/>
        </w:rPr>
        <w:fldChar w:fldCharType="separate"/>
      </w:r>
      <w:r w:rsidRPr="00537C3C">
        <w:rPr>
          <w:rFonts w:cs="Garamond"/>
          <w:szCs w:val="24"/>
        </w:rPr>
        <w:t>(Cunningham et al. 2008)</w:t>
      </w:r>
      <w:r w:rsidRPr="00537C3C">
        <w:rPr>
          <w:rFonts w:cs="Garamond"/>
          <w:szCs w:val="24"/>
        </w:rPr>
        <w:fldChar w:fldCharType="end"/>
      </w:r>
      <w:r w:rsidRPr="00537C3C">
        <w:rPr>
          <w:rFonts w:cs="Garamond"/>
          <w:szCs w:val="24"/>
        </w:rPr>
        <w:t>.</w:t>
      </w:r>
    </w:p>
    <w:p w:rsidR="00234376" w:rsidRPr="00234376" w:rsidRDefault="00234376" w:rsidP="008E03A7">
      <w:pPr>
        <w:autoSpaceDE w:val="0"/>
        <w:autoSpaceDN w:val="0"/>
        <w:adjustRightInd w:val="0"/>
      </w:pPr>
      <w:r w:rsidRPr="00537C3C">
        <w:t xml:space="preserve">Differences in cervical cancer incidence between Indigenous and non-Indigenous women have been attributed to a lower participation rate in cervical screening programs among Indigenous women. Indigenous participation rates vary among regions; some regions report higher participation rates than the national average, but in general, Indigenous participation rates are lower than the national average </w:t>
      </w:r>
      <w:r w:rsidRPr="00537C3C">
        <w:fldChar w:fldCharType="begin"/>
      </w:r>
      <w:r w:rsidRPr="00537C3C">
        <w:instrText xml:space="preserve"> ADDIN REFMGR.CITE &lt;Refman&gt;&lt;Cite&gt;&lt;Author&gt;Cunningham&lt;/Author&gt;&lt;Year&gt;2008&lt;/Year&gt;&lt;RecNum&gt;1329&lt;/RecNum&gt;&lt;IDText&gt;Incidence, aetiology, and outcomes of cancer in Indigenous peoples in Australia&lt;/IDText&gt;&lt;MDL Ref_Type="Journal"&gt;&lt;Ref_Type&gt;Journal&lt;/Ref_Type&gt;&lt;Ref_ID&gt;1329&lt;/Ref_ID&gt;&lt;Title_Primary&gt;Incidence, aetiology, and outcomes of cancer in Indigenous peoples in Australia&lt;/Title_Primary&gt;&lt;Authors_Primary&gt;Cunningham,J.&lt;/Authors_Primary&gt;&lt;Authors_Primary&gt;Rumbold,A.R.&lt;/Authors_Primary&gt;&lt;Authors_Primary&gt;Zhang,X.&lt;/Authors_Primary&gt;&lt;Authors_Primary&gt;Condon,J.R.&lt;/Authors_Primary&gt;&lt;Date_Primary&gt;2008/6&lt;/Date_Primary&gt;&lt;Keywords&gt;article&lt;/Keywords&gt;&lt;Keywords&gt;Australia&lt;/Keywords&gt;&lt;Keywords&gt;cancer&lt;/Keywords&gt;&lt;Keywords&gt;cancer incidence&lt;/Keywords&gt;&lt;Keywords&gt;health&lt;/Keywords&gt;&lt;Keywords&gt;health service&lt;/Keywords&gt;&lt;Keywords&gt;incidence&lt;/Keywords&gt;&lt;Keywords&gt;Inform&lt;/Keywords&gt;&lt;Keywords&gt;liver cancer&lt;/Keywords&gt;&lt;Keywords&gt;mortality&lt;/Keywords&gt;&lt;Keywords&gt;performance&lt;/Keywords&gt;&lt;Keywords&gt;prognosis&lt;/Keywords&gt;&lt;Keywords&gt;register&lt;/Keywords&gt;&lt;Keywords&gt;research&lt;/Keywords&gt;&lt;Keywords&gt;school&lt;/Keywords&gt;&lt;Keywords&gt;smoking&lt;/Keywords&gt;&lt;Keywords&gt;tobacco&lt;/Keywords&gt;&lt;Keywords&gt;university&lt;/Keywords&gt;&lt;Reprint&gt;Not in File&lt;/Reprint&gt;&lt;Periodical&gt;Lancet Oncology.9(6):585-95,&lt;/Periodical&gt;&lt;ZZ_JournalFull&gt;&lt;f name="System"&gt;Lancet Oncology.9(6):585-95,&lt;/f&gt;&lt;/ZZ_JournalFull&gt;&lt;ZZ_WorkformID&gt;1&lt;/ZZ_WorkformID&gt;&lt;/MDL&gt;&lt;/Cite&gt;&lt;/Refman&gt;</w:instrText>
      </w:r>
      <w:r w:rsidRPr="00537C3C">
        <w:fldChar w:fldCharType="separate"/>
      </w:r>
      <w:r w:rsidRPr="00537C3C">
        <w:t>(Cunningham et al. 2008)</w:t>
      </w:r>
      <w:r w:rsidRPr="00537C3C">
        <w:fldChar w:fldCharType="end"/>
      </w:r>
      <w:r w:rsidRPr="00537C3C">
        <w:t xml:space="preserve">. For example, participation rates of 44 per cent have been reported in Indigenous women in the NT </w:t>
      </w:r>
      <w:r w:rsidRPr="00537C3C">
        <w:fldChar w:fldCharType="begin"/>
      </w:r>
      <w:r w:rsidRPr="00537C3C">
        <w:instrText xml:space="preserve"> ADDIN REFMGR.CITE &lt;Refman&gt;&lt;Cite&gt;&lt;Author&gt;Cunningham&lt;/Author&gt;&lt;Year&gt;2008&lt;/Year&gt;&lt;RecNum&gt;1329&lt;/RecNum&gt;&lt;IDText&gt;Incidence, aetiology, and outcomes of cancer in Indigenous peoples in Australia&lt;/IDText&gt;&lt;MDL Ref_Type="Journal"&gt;&lt;Ref_Type&gt;Journal&lt;/Ref_Type&gt;&lt;Ref_ID&gt;1329&lt;/Ref_ID&gt;&lt;Title_Primary&gt;Incidence, aetiology, and outcomes of cancer in Indigenous peoples in Australia&lt;/Title_Primary&gt;&lt;Authors_Primary&gt;Cunningham,J.&lt;/Authors_Primary&gt;&lt;Authors_Primary&gt;Rumbold,A.R.&lt;/Authors_Primary&gt;&lt;Authors_Primary&gt;Zhang,X.&lt;/Authors_Primary&gt;&lt;Authors_Primary&gt;Condon,J.R.&lt;/Authors_Primary&gt;&lt;Date_Primary&gt;2008/6&lt;/Date_Primary&gt;&lt;Keywords&gt;article&lt;/Keywords&gt;&lt;Keywords&gt;Australia&lt;/Keywords&gt;&lt;Keywords&gt;cancer&lt;/Keywords&gt;&lt;Keywords&gt;cancer incidence&lt;/Keywords&gt;&lt;Keywords&gt;health&lt;/Keywords&gt;&lt;Keywords&gt;health service&lt;/Keywords&gt;&lt;Keywords&gt;incidence&lt;/Keywords&gt;&lt;Keywords&gt;Inform&lt;/Keywords&gt;&lt;Keywords&gt;liver cancer&lt;/Keywords&gt;&lt;Keywords&gt;mortality&lt;/Keywords&gt;&lt;Keywords&gt;performance&lt;/Keywords&gt;&lt;Keywords&gt;prognosis&lt;/Keywords&gt;&lt;Keywords&gt;register&lt;/Keywords&gt;&lt;Keywords&gt;research&lt;/Keywords&gt;&lt;Keywords&gt;school&lt;/Keywords&gt;&lt;Keywords&gt;smoking&lt;/Keywords&gt;&lt;Keywords&gt;tobacco&lt;/Keywords&gt;&lt;Keywords&gt;university&lt;/Keywords&gt;&lt;Reprint&gt;Not in File&lt;/Reprint&gt;&lt;Periodical&gt;Lancet Oncology.9(6):585-95,&lt;/Periodical&gt;&lt;ZZ_JournalFull&gt;&lt;f name="System"&gt;Lancet Oncology.9(6):585-95,&lt;/f&gt;&lt;/ZZ_JournalFull&gt;&lt;ZZ_WorkformID&gt;1&lt;/ZZ_WorkformID&gt;&lt;/MDL&gt;&lt;/Cite&gt;&lt;/Refman&gt;</w:instrText>
      </w:r>
      <w:r w:rsidRPr="00537C3C">
        <w:fldChar w:fldCharType="separate"/>
      </w:r>
      <w:r w:rsidRPr="00537C3C">
        <w:t>(Cunningham et al. 2008)</w:t>
      </w:r>
      <w:r w:rsidRPr="00537C3C">
        <w:fldChar w:fldCharType="end"/>
      </w:r>
      <w:r w:rsidRPr="00537C3C">
        <w:t xml:space="preserve">, compared with a national average of 61 per cent </w:t>
      </w:r>
      <w:r w:rsidRPr="00537C3C">
        <w:fldChar w:fldCharType="begin"/>
      </w:r>
      <w:r w:rsidRPr="00537C3C">
        <w:instrText xml:space="preserve"> ADDIN REFMGR.CITE &lt;Refman&gt;&lt;Cite&gt;&lt;Author&gt;AIHW&lt;/Author&gt;&lt;Year&gt;2008&lt;/Year&gt;&lt;RecNum&gt;4988&lt;/RecNum&gt;&lt;IDText&gt;Cancer in Australia: an overview, 2008&lt;/IDText&gt;&lt;MDL Ref_Type="Report"&gt;&lt;Ref_Type&gt;Report&lt;/Ref_Type&gt;&lt;Ref_ID&gt;4988&lt;/Ref_ID&gt;&lt;Title_Primary&gt;Cancer in Australia: an overview, 2008&lt;/Title_Primary&gt;&lt;Authors_Primary&gt;AIHW&lt;/Authors_Primary&gt;&lt;Authors_Primary&gt;AACR&lt;/Authors_Primary&gt;&lt;Date_Primary&gt;2008&lt;/Date_Primary&gt;&lt;Keywords&gt;Australia&lt;/Keywords&gt;&lt;Keywords&gt;Cancer&lt;/Keywords&gt;&lt;Keywords&gt;screening&lt;/Keywords&gt;&lt;Reprint&gt;In File&lt;/Reprint&gt;&lt;Volume&gt;AIHW cat No CAN 42&lt;/Volume&gt;&lt;Pub_Place&gt;Canberra: AIHW&lt;/Pub_Place&gt;&lt;Publisher&gt;Australian Institute of Health and Welfare &amp;amp; Australasian Association of Cancer Registries&lt;/Publisher&gt;&lt;Title_Series&gt;Cancer Series number 46&lt;/Title_Series&gt;&lt;ZZ_WorkformID&gt;24&lt;/ZZ_WorkformID&gt;&lt;/MDL&gt;&lt;/Cite&gt;&lt;/Refman&gt;</w:instrText>
      </w:r>
      <w:r w:rsidRPr="00537C3C">
        <w:fldChar w:fldCharType="separate"/>
      </w:r>
      <w:r w:rsidRPr="00537C3C">
        <w:t>(</w:t>
      </w:r>
      <w:r w:rsidRPr="00BB76D8">
        <w:t>AIHW</w:t>
      </w:r>
      <w:r w:rsidRPr="00537C3C">
        <w:t xml:space="preserve"> &amp; </w:t>
      </w:r>
      <w:r w:rsidRPr="00BB76D8">
        <w:t>AACR</w:t>
      </w:r>
      <w:r w:rsidRPr="00537C3C">
        <w:t xml:space="preserve"> 2008)</w:t>
      </w:r>
      <w:r w:rsidRPr="00537C3C">
        <w:fldChar w:fldCharType="end"/>
      </w:r>
      <w:r w:rsidRPr="00537C3C">
        <w:t xml:space="preserve">. Follow-up rates among Indigenous women identified with abnormal screening tests are also lower; one study from the NT reported that 84 per cent of women with </w:t>
      </w:r>
      <w:r w:rsidRPr="00BB76D8">
        <w:t>HSIL</w:t>
      </w:r>
      <w:r w:rsidRPr="00537C3C">
        <w:t xml:space="preserve"> received appropriate investigation within 6 months </w:t>
      </w:r>
      <w:r w:rsidRPr="00537C3C">
        <w:fldChar w:fldCharType="begin"/>
      </w:r>
      <w:r w:rsidRPr="00537C3C">
        <w:instrText xml:space="preserve"> ADDIN REFMGR.CITE &lt;Refman&gt;&lt;Cite&gt;&lt;Author&gt;Cunningham&lt;/Author&gt;&lt;Year&gt;2008&lt;/Year&gt;&lt;RecNum&gt;1329&lt;/RecNum&gt;&lt;IDText&gt;Incidence, aetiology, and outcomes of cancer in Indigenous peoples in Australia&lt;/IDText&gt;&lt;MDL Ref_Type="Journal"&gt;&lt;Ref_Type&gt;Journal&lt;/Ref_Type&gt;&lt;Ref_ID&gt;1329&lt;/Ref_ID&gt;&lt;Title_Primary&gt;Incidence, aetiology, and outcomes of cancer in Indigenous peoples in Australia&lt;/Title_Primary&gt;&lt;Authors_Primary&gt;Cunningham,J.&lt;/Authors_Primary&gt;&lt;Authors_Primary&gt;Rumbold,A.R.&lt;/Authors_Primary&gt;&lt;Authors_Primary&gt;Zhang,X.&lt;/Authors_Primary&gt;&lt;Authors_Primary&gt;Condon,J.R.&lt;/Authors_Primary&gt;&lt;Date_Primary&gt;2008/6&lt;/Date_Primary&gt;&lt;Keywords&gt;article&lt;/Keywords&gt;&lt;Keywords&gt;Australia&lt;/Keywords&gt;&lt;Keywords&gt;cancer&lt;/Keywords&gt;&lt;Keywords&gt;cancer incidence&lt;/Keywords&gt;&lt;Keywords&gt;health&lt;/Keywords&gt;&lt;Keywords&gt;health service&lt;/Keywords&gt;&lt;Keywords&gt;incidence&lt;/Keywords&gt;&lt;Keywords&gt;Inform&lt;/Keywords&gt;&lt;Keywords&gt;liver cancer&lt;/Keywords&gt;&lt;Keywords&gt;mortality&lt;/Keywords&gt;&lt;Keywords&gt;performance&lt;/Keywords&gt;&lt;Keywords&gt;prognosis&lt;/Keywords&gt;&lt;Keywords&gt;register&lt;/Keywords&gt;&lt;Keywords&gt;research&lt;/Keywords&gt;&lt;Keywords&gt;school&lt;/Keywords&gt;&lt;Keywords&gt;smoking&lt;/Keywords&gt;&lt;Keywords&gt;tobacco&lt;/Keywords&gt;&lt;Keywords&gt;university&lt;/Keywords&gt;&lt;Reprint&gt;Not in File&lt;/Reprint&gt;&lt;Periodical&gt;Lancet Oncology.9(6):585-95,&lt;/Periodical&gt;&lt;ZZ_JournalFull&gt;&lt;f name="System"&gt;Lancet Oncology.9(6):585-95,&lt;/f&gt;&lt;/ZZ_JournalFull&gt;&lt;ZZ_WorkformID&gt;1&lt;/ZZ_WorkformID&gt;&lt;/MDL&gt;&lt;/Cite&gt;&lt;/Refman&gt;</w:instrText>
      </w:r>
      <w:r w:rsidRPr="00537C3C">
        <w:fldChar w:fldCharType="separate"/>
      </w:r>
      <w:r w:rsidRPr="00537C3C">
        <w:t>(Cunningham et al. 2008)</w:t>
      </w:r>
      <w:r w:rsidRPr="00537C3C">
        <w:fldChar w:fldCharType="end"/>
      </w:r>
      <w:r w:rsidRPr="00234376">
        <w:t>.</w:t>
      </w:r>
    </w:p>
    <w:p w:rsidR="00234376" w:rsidRDefault="00234376" w:rsidP="00234376">
      <w:pPr>
        <w:pStyle w:val="Heading3"/>
      </w:pPr>
      <w:bookmarkStart w:id="147" w:name="_Toc170913743"/>
      <w:bookmarkStart w:id="148" w:name="_Toc190763843"/>
      <w:bookmarkStart w:id="149" w:name="_Ref195115070"/>
      <w:bookmarkStart w:id="150" w:name="_Ref200440784"/>
      <w:bookmarkStart w:id="151" w:name="_Toc200863634"/>
      <w:bookmarkStart w:id="152" w:name="_Ref201052576"/>
      <w:bookmarkStart w:id="153" w:name="_Ref208303048"/>
      <w:bookmarkStart w:id="154" w:name="_Ref208897726"/>
      <w:r w:rsidRPr="00537C3C">
        <w:t>Impact of the National Cervical Screening Program</w:t>
      </w:r>
      <w:bookmarkEnd w:id="147"/>
      <w:bookmarkEnd w:id="148"/>
      <w:bookmarkEnd w:id="149"/>
      <w:bookmarkEnd w:id="150"/>
      <w:bookmarkEnd w:id="151"/>
      <w:bookmarkEnd w:id="152"/>
      <w:bookmarkEnd w:id="153"/>
      <w:bookmarkEnd w:id="154"/>
    </w:p>
    <w:p w:rsidR="00234376" w:rsidRPr="00537C3C" w:rsidRDefault="00234376" w:rsidP="008E03A7">
      <w:pPr>
        <w:autoSpaceDE w:val="0"/>
        <w:autoSpaceDN w:val="0"/>
        <w:adjustRightInd w:val="0"/>
        <w:ind w:left="709"/>
      </w:pPr>
      <w:r w:rsidRPr="00537C3C">
        <w:rPr>
          <w:snapToGrid w:val="0"/>
        </w:rPr>
        <w:t xml:space="preserve">In the 2-year period </w:t>
      </w:r>
      <w:r w:rsidR="001D3057">
        <w:rPr>
          <w:snapToGrid w:val="0"/>
        </w:rPr>
        <w:t>2005-2006</w:t>
      </w:r>
      <w:r w:rsidRPr="00537C3C">
        <w:rPr>
          <w:snapToGrid w:val="0"/>
        </w:rPr>
        <w:t>, 3</w:t>
      </w:r>
      <w:r w:rsidR="001D3057">
        <w:rPr>
          <w:snapToGrid w:val="0"/>
        </w:rPr>
        <w:t>305</w:t>
      </w:r>
      <w:r w:rsidR="00F41424">
        <w:rPr>
          <w:snapToGrid w:val="0"/>
        </w:rPr>
        <w:t xml:space="preserve"> </w:t>
      </w:r>
      <w:r w:rsidRPr="00537C3C">
        <w:rPr>
          <w:snapToGrid w:val="0"/>
        </w:rPr>
        <w:t>97</w:t>
      </w:r>
      <w:r w:rsidR="001D3057">
        <w:rPr>
          <w:snapToGrid w:val="0"/>
        </w:rPr>
        <w:t>8</w:t>
      </w:r>
      <w:r w:rsidRPr="00537C3C">
        <w:rPr>
          <w:snapToGrid w:val="0"/>
        </w:rPr>
        <w:t xml:space="preserve"> women participated in the </w:t>
      </w:r>
      <w:r w:rsidRPr="00537C3C">
        <w:rPr>
          <w:szCs w:val="24"/>
        </w:rPr>
        <w:t xml:space="preserve">National Cervical Screening </w:t>
      </w:r>
      <w:r w:rsidRPr="00537C3C">
        <w:rPr>
          <w:snapToGrid w:val="0"/>
        </w:rPr>
        <w:t xml:space="preserve">Program, of whom </w:t>
      </w:r>
      <w:r w:rsidRPr="00537C3C">
        <w:t>98</w:t>
      </w:r>
      <w:r w:rsidR="001D3057">
        <w:t>.5</w:t>
      </w:r>
      <w:r w:rsidRPr="00537C3C">
        <w:t xml:space="preserve"> per cent were aged between 20 and 69 years. These figures indicate a participation rate of 61 per cent for women in the target age range during this period </w:t>
      </w:r>
      <w:r w:rsidRPr="00537C3C">
        <w:fldChar w:fldCharType="begin"/>
      </w:r>
      <w:r w:rsidRPr="00537C3C">
        <w:instrText xml:space="preserve"> ADDIN REFMGR.CITE &lt;Refman&gt;&lt;Cite&gt;&lt;Author&gt;AIHW&lt;/Author&gt;&lt;Year&gt;2007&lt;/Year&gt;&lt;RecNum&gt;4853&lt;/RecNum&gt;&lt;IDText&gt;Cervical screening in Australia 2004-2005&lt;/IDText&gt;&lt;MDL Ref_Type="Report"&gt;&lt;Ref_Type&gt;Report&lt;/Ref_Type&gt;&lt;Ref_ID&gt;4853&lt;/Ref_ID&gt;&lt;Title_Primary&gt;Cervical screening in Australia 2004-2005&lt;/Title_Primary&gt;&lt;Authors_Primary&gt;AIHW&lt;/Authors_Primary&gt;&lt;Date_Primary&gt;2007&lt;/Date_Primary&gt;&lt;Keywords&gt;Australia&lt;/Keywords&gt;&lt;Keywords&gt;Cancer&lt;/Keywords&gt;&lt;Keywords&gt;screening&lt;/Keywords&gt;&lt;Keywords&gt;cervical&lt;/Keywords&gt;&lt;Reprint&gt;Not in File&lt;/Reprint&gt;&lt;Volume&gt;AIHW cat. No. Can 33&lt;/Volume&gt;&lt;Pub_Place&gt;Canberra: AIHW&lt;/Pub_Place&gt;&lt;Publisher&gt;Australian Institute of Health and Welfare&lt;/Publisher&gt;&lt;Title_Series&gt;(Cancer Series number 38)&lt;/Title_Series&gt;&lt;ZZ_WorkformID&gt;24&lt;/ZZ_WorkformID&gt;&lt;/MDL&gt;&lt;/Cite&gt;&lt;/Refman&gt;</w:instrText>
      </w:r>
      <w:r w:rsidRPr="00537C3C">
        <w:fldChar w:fldCharType="separate"/>
      </w:r>
      <w:r w:rsidRPr="00537C3C">
        <w:t>(</w:t>
      </w:r>
      <w:r w:rsidRPr="00BB76D8">
        <w:t>AIHW</w:t>
      </w:r>
      <w:r w:rsidRPr="00537C3C">
        <w:t xml:space="preserve"> 200</w:t>
      </w:r>
      <w:r w:rsidR="001D3057">
        <w:t>8</w:t>
      </w:r>
      <w:r w:rsidRPr="00537C3C">
        <w:t>)</w:t>
      </w:r>
      <w:r w:rsidRPr="00537C3C">
        <w:fldChar w:fldCharType="end"/>
      </w:r>
      <w:r w:rsidRPr="00537C3C">
        <w:rPr>
          <w:snapToGrid w:val="0"/>
        </w:rPr>
        <w:t xml:space="preserve">. </w:t>
      </w:r>
      <w:r w:rsidRPr="00537C3C">
        <w:t>In 200</w:t>
      </w:r>
      <w:r w:rsidR="001D3057">
        <w:t>6</w:t>
      </w:r>
      <w:r w:rsidRPr="00537C3C">
        <w:t>, th</w:t>
      </w:r>
      <w:r w:rsidR="00F41424">
        <w:t xml:space="preserve">e screening program detected </w:t>
      </w:r>
      <w:r w:rsidR="001D3057">
        <w:t>29</w:t>
      </w:r>
      <w:r w:rsidR="00F41424">
        <w:t xml:space="preserve"> </w:t>
      </w:r>
      <w:r w:rsidR="001D3057">
        <w:t>532</w:t>
      </w:r>
      <w:r w:rsidRPr="00537C3C">
        <w:t xml:space="preserve"> histologically verified cervical abnormalities, of which </w:t>
      </w:r>
      <w:r w:rsidR="001D3057">
        <w:t>15 118 were low-grade and 14</w:t>
      </w:r>
      <w:r w:rsidR="00F41424">
        <w:t xml:space="preserve"> </w:t>
      </w:r>
      <w:r w:rsidR="001D3057">
        <w:t>414</w:t>
      </w:r>
      <w:r w:rsidRPr="00537C3C">
        <w:t xml:space="preserve"> were high grade (</w:t>
      </w:r>
      <w:r w:rsidRPr="00BB76D8">
        <w:t>CIN</w:t>
      </w:r>
      <w:r w:rsidRPr="00537C3C">
        <w:t xml:space="preserve"> 2+), representing 0.8 per cent of the screened population </w:t>
      </w:r>
      <w:r w:rsidRPr="00537C3C">
        <w:fldChar w:fldCharType="begin"/>
      </w:r>
      <w:r w:rsidRPr="00537C3C">
        <w:instrText xml:space="preserve"> ADDIN REFMGR.CITE &lt;Refman&gt;&lt;Cite&gt;&lt;Author&gt;AIHW&lt;/Author&gt;&lt;Year&gt;2007&lt;/Year&gt;&lt;RecNum&gt;4853&lt;/RecNum&gt;&lt;IDText&gt;Cervical screening in Australia 2004-2005&lt;/IDText&gt;&lt;MDL Ref_Type="Report"&gt;&lt;Ref_Type&gt;Report&lt;/Ref_Type&gt;&lt;Ref_ID&gt;4853&lt;/Ref_ID&gt;&lt;Title_Primary&gt;Cervical screening in Australia 2004-2005&lt;/Title_Primary&gt;&lt;Authors_Primary&gt;AIHW&lt;/Authors_Primary&gt;&lt;Date_Primary&gt;2007&lt;/Date_Primary&gt;&lt;Keywords&gt;Australia&lt;/Keywords&gt;&lt;Keywords&gt;Cancer&lt;/Keywords&gt;&lt;Keywords&gt;screening&lt;/Keywords&gt;&lt;Keywords&gt;cervical&lt;/Keywords&gt;&lt;Reprint&gt;Not in File&lt;/Reprint&gt;&lt;Volume&gt;AIHW cat. No. Can 33&lt;/Volume&gt;&lt;Pub_Place&gt;Canberra: AIHW&lt;/Pub_Place&gt;&lt;Publisher&gt;Australian Institute of Health and Welfare&lt;/Publisher&gt;&lt;Title_Series&gt;(Cancer Series number 38)&lt;/Title_Series&gt;&lt;ZZ_WorkformID&gt;24&lt;/ZZ_WorkformID&gt;&lt;/MDL&gt;&lt;/Cite&gt;&lt;/Refman&gt;</w:instrText>
      </w:r>
      <w:r w:rsidRPr="00537C3C">
        <w:fldChar w:fldCharType="separate"/>
      </w:r>
      <w:r w:rsidRPr="00537C3C">
        <w:t>(</w:t>
      </w:r>
      <w:r w:rsidRPr="00BB76D8">
        <w:t>AIHW</w:t>
      </w:r>
      <w:r w:rsidRPr="00537C3C">
        <w:t xml:space="preserve"> 200</w:t>
      </w:r>
      <w:r w:rsidR="001D3057">
        <w:t>8</w:t>
      </w:r>
      <w:r w:rsidRPr="00537C3C">
        <w:t>)</w:t>
      </w:r>
      <w:r w:rsidRPr="00537C3C">
        <w:fldChar w:fldCharType="end"/>
      </w:r>
      <w:r w:rsidRPr="00537C3C">
        <w:t>.</w:t>
      </w:r>
    </w:p>
    <w:p w:rsidR="00234376" w:rsidRPr="00537C3C" w:rsidRDefault="00234376" w:rsidP="008E03A7">
      <w:pPr>
        <w:autoSpaceDE w:val="0"/>
        <w:autoSpaceDN w:val="0"/>
        <w:adjustRightInd w:val="0"/>
        <w:spacing w:after="0"/>
      </w:pPr>
      <w:r w:rsidRPr="00537C3C">
        <w:t>Since its introduction, new cases of cervical cancer among women of all ages almost halved from 13.2 new cancers per 100</w:t>
      </w:r>
      <w:r w:rsidR="00F41424">
        <w:t xml:space="preserve"> </w:t>
      </w:r>
      <w:r w:rsidRPr="00537C3C">
        <w:t>000 women in 1991 to 6.9 new cancers per 100</w:t>
      </w:r>
      <w:r w:rsidR="00F41424">
        <w:t xml:space="preserve"> </w:t>
      </w:r>
      <w:r w:rsidRPr="00537C3C">
        <w:t>000 women in 2005. Mortality also</w:t>
      </w:r>
      <w:r w:rsidR="00F41424">
        <w:t xml:space="preserve"> halved from 4.0 deaths per 100 </w:t>
      </w:r>
      <w:r w:rsidRPr="00537C3C">
        <w:t>000 women in 1991 to 1.9 deaths per 100</w:t>
      </w:r>
      <w:r w:rsidR="00F41424">
        <w:t xml:space="preserve"> </w:t>
      </w:r>
      <w:r w:rsidRPr="00537C3C">
        <w:t xml:space="preserve">000 women in 2006 </w:t>
      </w:r>
      <w:r w:rsidRPr="00537C3C">
        <w:fldChar w:fldCharType="begin"/>
      </w:r>
      <w:r w:rsidRPr="00537C3C">
        <w:instrText xml:space="preserve"> ADDIN REFMGR.CITE &lt;Refman&gt;&lt;Cite&gt;&lt;Author&gt;AIHW&lt;/Author&gt;&lt;Year&gt;2008&lt;/Year&gt;&lt;RecNum&gt;4988&lt;/RecNum&gt;&lt;IDText&gt;Cancer in Australia: an overview, 2008&lt;/IDText&gt;&lt;MDL Ref_Type="Report"&gt;&lt;Ref_Type&gt;Report&lt;/Ref_Type&gt;&lt;Ref_ID&gt;4988&lt;/Ref_ID&gt;&lt;Title_Primary&gt;Cancer in Australia: an overview, 2008&lt;/Title_Primary&gt;&lt;Authors_Primary&gt;AIHW&lt;/Authors_Primary&gt;&lt;Authors_Primary&gt;AACR&lt;/Authors_Primary&gt;&lt;Date_Primary&gt;2008&lt;/Date_Primary&gt;&lt;Keywords&gt;Australia&lt;/Keywords&gt;&lt;Keywords&gt;Cancer&lt;/Keywords&gt;&lt;Keywords&gt;screening&lt;/Keywords&gt;&lt;Reprint&gt;In File&lt;/Reprint&gt;&lt;Volume&gt;AIHW cat No CAN 42&lt;/Volume&gt;&lt;Pub_Place&gt;Canberra: AIHW&lt;/Pub_Place&gt;&lt;Publisher&gt;Australian Institute of Health and Welfare &amp;amp; Australasian Association of Cancer Registries&lt;/Publisher&gt;&lt;Title_Series&gt;Cancer Series number 46&lt;/Title_Series&gt;&lt;ZZ_WorkformID&gt;24&lt;/ZZ_WorkformID&gt;&lt;/MDL&gt;&lt;/Cite&gt;&lt;/Refman&gt;</w:instrText>
      </w:r>
      <w:r w:rsidRPr="00537C3C">
        <w:fldChar w:fldCharType="separate"/>
      </w:r>
      <w:r w:rsidRPr="00537C3C">
        <w:t>(</w:t>
      </w:r>
      <w:r w:rsidRPr="00BB76D8">
        <w:t>AIHW</w:t>
      </w:r>
      <w:r w:rsidRPr="00537C3C">
        <w:t xml:space="preserve"> &amp; </w:t>
      </w:r>
      <w:r w:rsidRPr="00BB76D8">
        <w:t>AACR</w:t>
      </w:r>
      <w:r w:rsidRPr="00537C3C">
        <w:t xml:space="preserve"> 2008)</w:t>
      </w:r>
      <w:r w:rsidRPr="00537C3C">
        <w:fldChar w:fldCharType="end"/>
      </w:r>
      <w:r w:rsidRPr="00537C3C">
        <w:t xml:space="preserve">. </w:t>
      </w:r>
      <w:r w:rsidRPr="00537C3C">
        <w:rPr>
          <w:rFonts w:cs="Garamond"/>
          <w:szCs w:val="24"/>
        </w:rPr>
        <w:t xml:space="preserve">These improvements can be attributed to the cervical screening program as well as improvements in therapy. </w:t>
      </w:r>
      <w:r w:rsidRPr="00537C3C">
        <w:t xml:space="preserve">Substantial benefits have also been reported among Indigenous women during this period, with a 68 per cent reduction in incidence from 1991 to 2005 and 92 per cent reduction in mortality from 1991 to </w:t>
      </w:r>
      <w:smartTag w:uri="urn:schemas-microsoft-com:office:smarttags" w:element="metricconverter">
        <w:smartTagPr>
          <w:attr w:name="ProductID" w:val="2003 in"/>
        </w:smartTagPr>
        <w:r w:rsidRPr="00537C3C">
          <w:t>2003 in</w:t>
        </w:r>
      </w:smartTag>
      <w:r w:rsidRPr="00537C3C">
        <w:t xml:space="preserve"> the NT </w:t>
      </w:r>
      <w:r w:rsidRPr="00537C3C">
        <w:fldChar w:fldCharType="begin"/>
      </w:r>
      <w:r w:rsidRPr="00537C3C">
        <w:instrText xml:space="preserve"> ADDIN REFMGR.CITE &lt;Refman&gt;&lt;Cite&gt;&lt;Author&gt;Cunningham&lt;/Author&gt;&lt;Year&gt;2008&lt;/Year&gt;&lt;RecNum&gt;1329&lt;/RecNum&gt;&lt;IDText&gt;Incidence, aetiology, and outcomes of cancer in Indigenous peoples in Australia&lt;/IDText&gt;&lt;MDL Ref_Type="Journal"&gt;&lt;Ref_Type&gt;Journal&lt;/Ref_Type&gt;&lt;Ref_ID&gt;1329&lt;/Ref_ID&gt;&lt;Title_Primary&gt;Incidence, aetiology, and outcomes of cancer in Indigenous peoples in Australia&lt;/Title_Primary&gt;&lt;Authors_Primary&gt;Cunningham,J.&lt;/Authors_Primary&gt;&lt;Authors_Primary&gt;Rumbold,A.R.&lt;/Authors_Primary&gt;&lt;Authors_Primary&gt;Zhang,X.&lt;/Authors_Primary&gt;&lt;Authors_Primary&gt;Condon,J.R.&lt;/Authors_Primary&gt;&lt;Date_Primary&gt;2008/6&lt;/Date_Primary&gt;&lt;Keywords&gt;article&lt;/Keywords&gt;&lt;Keywords&gt;Australia&lt;/Keywords&gt;&lt;Keywords&gt;cancer&lt;/Keywords&gt;&lt;Keywords&gt;cancer incidence&lt;/Keywords&gt;&lt;Keywords&gt;health&lt;/Keywords&gt;&lt;Keywords&gt;health service&lt;/Keywords&gt;&lt;Keywords&gt;incidence&lt;/Keywords&gt;&lt;Keywords&gt;Inform&lt;/Keywords&gt;&lt;Keywords&gt;liver cancer&lt;/Keywords&gt;&lt;Keywords&gt;mortality&lt;/Keywords&gt;&lt;Keywords&gt;performance&lt;/Keywords&gt;&lt;Keywords&gt;prognosis&lt;/Keywords&gt;&lt;Keywords&gt;register&lt;/Keywords&gt;&lt;Keywords&gt;research&lt;/Keywords&gt;&lt;Keywords&gt;school&lt;/Keywords&gt;&lt;Keywords&gt;smoking&lt;/Keywords&gt;&lt;Keywords&gt;tobacco&lt;/Keywords&gt;&lt;Keywords&gt;university&lt;/Keywords&gt;&lt;Reprint&gt;Not in File&lt;/Reprint&gt;&lt;Periodical&gt;Lancet Oncology.9(6):585-95,&lt;/Periodical&gt;&lt;ZZ_JournalFull&gt;&lt;f name="System"&gt;Lancet Oncology.9(6):585-95,&lt;/f&gt;&lt;/ZZ_JournalFull&gt;&lt;ZZ_WorkformID&gt;1&lt;/ZZ_WorkformID&gt;&lt;/MDL&gt;&lt;/Cite&gt;&lt;/Refman&gt;</w:instrText>
      </w:r>
      <w:r w:rsidRPr="00537C3C">
        <w:fldChar w:fldCharType="separate"/>
      </w:r>
      <w:r w:rsidRPr="00537C3C">
        <w:t>(Cunningham et al. 2008)</w:t>
      </w:r>
      <w:r w:rsidRPr="00537C3C">
        <w:fldChar w:fldCharType="end"/>
      </w:r>
      <w:r w:rsidRPr="00537C3C">
        <w:t>.</w:t>
      </w:r>
    </w:p>
    <w:p w:rsidR="00234376" w:rsidRPr="00537C3C" w:rsidRDefault="00234376" w:rsidP="008E03A7">
      <w:pPr>
        <w:pStyle w:val="Heading4"/>
        <w:spacing w:before="240" w:after="240"/>
        <w:ind w:left="0"/>
      </w:pPr>
      <w:r w:rsidRPr="00537C3C">
        <w:lastRenderedPageBreak/>
        <w:t>Psychological effects of abnormal cervical cytology findings</w:t>
      </w:r>
    </w:p>
    <w:p w:rsidR="00234376" w:rsidRPr="00537C3C" w:rsidRDefault="00234376" w:rsidP="008E03A7">
      <w:r w:rsidRPr="00537C3C">
        <w:t xml:space="preserve">Two systematic reviews of studies investigating the impact of abnormal cytology and colposcopy have documented the negative psychological effects of receiving an abnormal cytology test, including anxiety, fears of cancer, infertility, depression, difficulties with sexual relationships and self blame </w:t>
      </w:r>
      <w:r w:rsidRPr="00537C3C">
        <w:fldChar w:fldCharType="begin"/>
      </w:r>
      <w:r w:rsidRPr="00537C3C">
        <w:instrText xml:space="preserve"> ADDIN REFMGR.CITE &lt;Refman&gt;&lt;Cite&gt;&lt;Author&gt;Herzog&lt;/Author&gt;&lt;Year&gt;2007&lt;/Year&gt;&lt;RecNum&gt;1334&lt;/RecNum&gt;&lt;IDText&gt;The impact of cervical cancer on quality of life--the components and means for management&lt;/IDText&gt;&lt;MDL Ref_Type="Journal"&gt;&lt;Ref_Type&gt;Journal&lt;/Ref_Type&gt;&lt;Ref_ID&gt;1334&lt;/Ref_ID&gt;&lt;Title_Primary&gt;The impact of cervical cancer on quality of life--the components and means for management&lt;/Title_Primary&gt;&lt;Authors_Primary&gt;Herzog,T.J.&lt;/Authors_Primary&gt;&lt;Authors_Primary&gt;Wright,J.D.&lt;/Authors_Primary&gt;&lt;Date_Primary&gt;2007/12&lt;/Date_Primary&gt;&lt;Keywords&gt;anxiety&lt;/Keywords&gt;&lt;Keywords&gt;article&lt;/Keywords&gt;&lt;Keywords&gt;cancer&lt;/Keywords&gt;&lt;Keywords&gt;cancer patient&lt;/Keywords&gt;&lt;Keywords&gt;cancer screening&lt;/Keywords&gt;&lt;Keywords&gt;counseling&lt;/Keywords&gt;&lt;Keywords&gt;DNA&lt;/Keywords&gt;&lt;Keywords&gt;education&lt;/Keywords&gt;&lt;Keywords&gt;follow up&lt;/Keywords&gt;&lt;Keywords&gt;gynecology&lt;/Keywords&gt;&lt;Keywords&gt;human&lt;/Keywords&gt;&lt;Keywords&gt;human papillomavirus dna test&lt;/Keywords&gt;&lt;Keywords&gt;management&lt;/Keywords&gt;&lt;Keywords&gt;obstetrics&lt;/Keywords&gt;&lt;Keywords&gt;Pap Test&lt;/Keywords&gt;&lt;Keywords&gt;patient&lt;/Keywords&gt;&lt;Keywords&gt;quality of life&lt;/Keywords&gt;&lt;Keywords&gt;review&lt;/Keywords&gt;&lt;Keywords&gt;screening&lt;/Keywords&gt;&lt;Keywords&gt;self care&lt;/Keywords&gt;&lt;Keywords&gt;university&lt;/Keywords&gt;&lt;Keywords&gt;vaccination&lt;/Keywords&gt;&lt;Reprint&gt;Not in File&lt;/Reprint&gt;&lt;Periodical&gt;Gynecologic Oncology.107(3):572-7,&lt;/Periodical&gt;&lt;ZZ_JournalFull&gt;&lt;f name="System"&gt;Gynecologic Oncology.107(3):572-7,&lt;/f&gt;&lt;/ZZ_JournalFull&gt;&lt;ZZ_WorkformID&gt;1&lt;/ZZ_WorkformID&gt;&lt;/MDL&gt;&lt;/Cite&gt;&lt;Cite&gt;&lt;Author&gt;Rogstad&lt;/Author&gt;&lt;Year&gt;2002&lt;/Year&gt;&lt;RecNum&gt;1333&lt;/RecNum&gt;&lt;IDText&gt;The psychological impact of abnormal cytology and colposcopy. [Review] [34 refs]&lt;/IDText&gt;&lt;MDL Ref_Type="Journal"&gt;&lt;Ref_Type&gt;Journal&lt;/Ref_Type&gt;&lt;Ref_ID&gt;1333&lt;/Ref_ID&gt;&lt;Title_Primary&gt;The psychological impact of abnormal cytology and colposcopy. [Review] [34 refs]&lt;/Title_Primary&gt;&lt;Authors_Primary&gt;Rogstad,K.E.&lt;/Authors_Primary&gt;&lt;Date_Primary&gt;2002/4&lt;/Date_Primary&gt;&lt;Keywords&gt;article&lt;/Keywords&gt;&lt;Keywords&gt;colposcopy&lt;/Keywords&gt;&lt;Keywords&gt;cytology&lt;/Keywords&gt;&lt;Keywords&gt;hospital&lt;/Keywords&gt;&lt;Keywords&gt;review&lt;/Keywords&gt;&lt;Reprint&gt;Not in File&lt;/Reprint&gt;&lt;Periodical&gt;BJOG: An International Journal of Obstetrics &amp;amp; Gynaecology.109(4):364-8,&lt;/Periodical&gt;&lt;ZZ_JournalFull&gt;&lt;f name="System"&gt;BJOG: An International Journal of Obstetrics &amp;amp; Gynaecology.109(4):364-8,&lt;/f&gt;&lt;/ZZ_JournalFull&gt;&lt;ZZ_WorkformID&gt;1&lt;/ZZ_WorkformID&gt;&lt;/MDL&gt;&lt;/Cite&gt;&lt;/Refman&gt;</w:instrText>
      </w:r>
      <w:r w:rsidRPr="00537C3C">
        <w:fldChar w:fldCharType="separate"/>
      </w:r>
      <w:r w:rsidRPr="00537C3C">
        <w:t>(Herzog &amp; Wright 2007; Rogstad 2002)</w:t>
      </w:r>
      <w:r w:rsidRPr="00537C3C">
        <w:fldChar w:fldCharType="end"/>
      </w:r>
      <w:r w:rsidRPr="00537C3C">
        <w:t xml:space="preserve">. A recent study of 3731 women aged 20–59 years who participated in the Trial of Management of Borderline and Other Low-Grade Abnormal smears (TOMBOLA) observed that 23 per cent of women with low-grade cytological abnormalities scored at levels that indicated probable clinically significant anxiety on the </w:t>
      </w:r>
      <w:bookmarkStart w:id="155" w:name="OLE_LINK570"/>
      <w:bookmarkStart w:id="156" w:name="OLE_LINK571"/>
      <w:r w:rsidRPr="006C24DD">
        <w:t>Hospital Anxiety</w:t>
      </w:r>
      <w:bookmarkEnd w:id="155"/>
      <w:bookmarkEnd w:id="156"/>
      <w:r w:rsidRPr="006C24DD">
        <w:t xml:space="preserve"> and Depression Scale </w:t>
      </w:r>
      <w:r w:rsidRPr="00537C3C">
        <w:fldChar w:fldCharType="begin"/>
      </w:r>
      <w:r w:rsidRPr="00537C3C">
        <w:instrText xml:space="preserve"> ADDIN REFMGR.CITE &lt;Refman&gt;&lt;Cite&gt;&lt;Author&gt;Gray&lt;/Author&gt;&lt;Year&gt;2006&lt;/Year&gt;&lt;RecNum&gt;1309&lt;/RecNum&gt;&lt;IDText&gt;Psychological effects of a low-grade abnormal cervical smear test result: anxiety and associated factors&lt;/IDText&gt;&lt;MDL Ref_Type="Journal"&gt;&lt;Ref_Type&gt;Journal&lt;/Ref_Type&gt;&lt;Ref_ID&gt;1309&lt;/Ref_ID&gt;&lt;Title_Primary&gt;Psychological effects of a low-grade abnormal cervical smear test result: anxiety and associated factors&lt;/Title_Primary&gt;&lt;Authors_Primary&gt;Gray,N.M.&lt;/Authors_Primary&gt;&lt;Authors_Primary&gt;Sharp,L.&lt;/Authors_Primary&gt;&lt;Authors_Primary&gt;Cotton,S.C.&lt;/Authors_Primary&gt;&lt;Authors_Primary&gt;Masson,L.F.&lt;/Authors_Primary&gt;&lt;Authors_Primary&gt;Little,J.&lt;/Authors_Primary&gt;&lt;Authors_Primary&gt;Walker,L.G.&lt;/Authors_Primary&gt;&lt;Authors_Primary&gt;Avis,M.&lt;/Authors_Primary&gt;&lt;Authors_Primary&gt;Philips,Z.&lt;/Authors_Primary&gt;&lt;Authors_Primary&gt;Russell,I.&lt;/Authors_Primary&gt;&lt;Authors_Primary&gt;Whynes,D.&lt;/Authors_Primary&gt;&lt;Authors_Primary&gt;Cruickshank,M.&lt;/Authors_Primary&gt;&lt;Authors_Primary&gt;Woolley,C.M.&lt;/Authors_Primary&gt;&lt;Authors_Primary&gt;TOMBOLA Group&lt;/Authors_Primary&gt;&lt;Date_Primary&gt;2006&lt;/Date_Primary&gt;&lt;Keywords&gt;anxiety&lt;/Keywords&gt;&lt;Keywords&gt;article&lt;/Keywords&gt;&lt;Keywords&gt;cancer&lt;/Keywords&gt;&lt;Keywords&gt;confusion&lt;/Keywords&gt;&lt;Keywords&gt;depression&lt;/Keywords&gt;&lt;Keywords&gt;fertility&lt;/Keywords&gt;&lt;Keywords&gt;general practice&lt;/Keywords&gt;&lt;Keywords&gt;health&lt;/Keywords&gt;&lt;Keywords&gt;hospital&lt;/Keywords&gt;&lt;Keywords&gt;lifestyle&lt;/Keywords&gt;&lt;Keywords&gt;management&lt;/Keywords&gt;&lt;Keywords&gt;physical activity&lt;/Keywords&gt;&lt;Keywords&gt;precancer&lt;/Keywords&gt;&lt;Keywords&gt;research&lt;/Keywords&gt;&lt;Keywords&gt;risk&lt;/Keywords&gt;&lt;Keywords&gt;smear&lt;/Keywords&gt;&lt;Keywords&gt;university&lt;/Keywords&gt;&lt;Keywords&gt;university hospital&lt;/Keywords&gt;&lt;Keywords&gt;wellbeing&lt;/Keywords&gt;&lt;Reprint&gt;Not in File&lt;/Reprint&gt;&lt;Periodical&gt;British Journal of Cancer.94(9):1253-62,&lt;/Periodical&gt;&lt;ZZ_JournalFull&gt;&lt;f name="System"&gt;British Journal of Cancer.94(9):1253-62,&lt;/f&gt;&lt;/ZZ_JournalFull&gt;&lt;ZZ_WorkformID&gt;1&lt;/ZZ_WorkformID&gt;&lt;/MDL&gt;&lt;/Cite&gt;&lt;/Refman&gt;</w:instrText>
      </w:r>
      <w:r w:rsidRPr="00537C3C">
        <w:fldChar w:fldCharType="separate"/>
      </w:r>
      <w:r w:rsidRPr="00537C3C">
        <w:t>(Gray et al. 2006)</w:t>
      </w:r>
      <w:r w:rsidRPr="00537C3C">
        <w:fldChar w:fldCharType="end"/>
      </w:r>
      <w:r w:rsidRPr="00537C3C">
        <w:t>. The authors reported that these findings were similar to earlier findings among women with high-grade cytological abnormalities.</w:t>
      </w:r>
    </w:p>
    <w:p w:rsidR="00234376" w:rsidRDefault="00234376" w:rsidP="00304F70">
      <w:pPr>
        <w:pStyle w:val="Heading3"/>
        <w:ind w:left="0"/>
      </w:pPr>
      <w:bookmarkStart w:id="157" w:name="_Ref209605842"/>
      <w:r w:rsidRPr="00537C3C">
        <w:t>Potential utili</w:t>
      </w:r>
      <w:r w:rsidR="00F26D6F">
        <w:t>s</w:t>
      </w:r>
      <w:r w:rsidRPr="00537C3C">
        <w:t>ation</w:t>
      </w:r>
      <w:bookmarkEnd w:id="157"/>
    </w:p>
    <w:p w:rsidR="00234376" w:rsidRPr="00537C3C" w:rsidRDefault="00234376" w:rsidP="008E03A7">
      <w:pPr>
        <w:rPr>
          <w:snapToGrid w:val="0"/>
        </w:rPr>
      </w:pPr>
      <w:r w:rsidRPr="00537C3C">
        <w:rPr>
          <w:snapToGrid w:val="0"/>
        </w:rPr>
        <w:t>Utili</w:t>
      </w:r>
      <w:r w:rsidR="00F26D6F">
        <w:rPr>
          <w:snapToGrid w:val="0"/>
        </w:rPr>
        <w:t>s</w:t>
      </w:r>
      <w:r w:rsidRPr="00537C3C">
        <w:rPr>
          <w:snapToGrid w:val="0"/>
        </w:rPr>
        <w:t xml:space="preserve">ation of the cervical screening program was estimated at approximately 2.1 million smears in 2007, based on national laboratory data </w:t>
      </w:r>
      <w:r w:rsidRPr="00537C3C">
        <w:rPr>
          <w:snapToGrid w:val="0"/>
        </w:rPr>
        <w:fldChar w:fldCharType="begin"/>
      </w:r>
      <w:r w:rsidRPr="00537C3C">
        <w:rPr>
          <w:snapToGrid w:val="0"/>
        </w:rPr>
        <w:instrText xml:space="preserve"> ADDIN REFMGR.CITE &lt;Refman&gt;&lt;Cite&gt;&lt;Author&gt;Royal College of Pathologists Australasia Cytopathology Quality Assurance Programs&lt;/Author&gt;&lt;Year&gt;2008&lt;/Year&gt;&lt;RecNum&gt;4986&lt;/RecNum&gt;&lt;IDText&gt;Performance Standards for Australian Laboratories Reporting Cervical Cytology 2008&lt;/IDText&gt;&lt;MDL Ref_Type="Generic"&gt;&lt;Ref_Type&gt;Generic&lt;/Ref_Type&gt;&lt;Ref_ID&gt;4986&lt;/Ref_ID&gt;&lt;Title_Primary&gt;Performance Standards for Australian Laboratories Reporting Cervical Cytology 2008&lt;/Title_Primary&gt;&lt;Authors_Primary&gt;Royal College of Pathologists Australasia Cytopathology Quality Assurance Programs&lt;/Authors_Primary&gt;&lt;Date_Primary&gt;2008&lt;/Date_Primary&gt;&lt;Reprint&gt;Not in File&lt;/Reprint&gt;&lt;ZZ_WorkformID&gt;33&lt;/ZZ_WorkformID&gt;&lt;/MDL&gt;&lt;/Cite&gt;&lt;/Refman&gt;</w:instrText>
      </w:r>
      <w:r w:rsidRPr="00537C3C">
        <w:rPr>
          <w:snapToGrid w:val="0"/>
        </w:rPr>
        <w:fldChar w:fldCharType="separate"/>
      </w:r>
      <w:r w:rsidRPr="00537C3C">
        <w:rPr>
          <w:snapToGrid w:val="0"/>
        </w:rPr>
        <w:t>(Royal College of Pathologists Australasia Cytopathology Quality Assurance Programs 2008)</w:t>
      </w:r>
      <w:r w:rsidRPr="00537C3C">
        <w:rPr>
          <w:snapToGrid w:val="0"/>
        </w:rPr>
        <w:fldChar w:fldCharType="end"/>
      </w:r>
      <w:r w:rsidRPr="00537C3C">
        <w:rPr>
          <w:snapToGrid w:val="0"/>
        </w:rPr>
        <w:t xml:space="preserve">. This figure reflects a </w:t>
      </w:r>
      <w:r w:rsidRPr="00537C3C">
        <w:t xml:space="preserve">participation rate of 61 per cent of women in the target age range, based on consistent figures from 1999 to 2006 </w:t>
      </w:r>
      <w:r w:rsidRPr="00537C3C">
        <w:fldChar w:fldCharType="begin"/>
      </w:r>
      <w:r w:rsidRPr="00537C3C">
        <w:instrText xml:space="preserve"> ADDIN REFMGR.CITE &lt;Refman&gt;&lt;Cite&gt;&lt;Author&gt;AIHW&lt;/Author&gt;&lt;Year&gt;2008&lt;/Year&gt;&lt;RecNum&gt;4903&lt;/RecNum&gt;&lt;IDText&gt;Cervical screening in Australia 2005-2006&lt;/IDText&gt;&lt;MDL Ref_Type="Report"&gt;&lt;Ref_Type&gt;Report&lt;/Ref_Type&gt;&lt;Ref_ID&gt;4903&lt;/Ref_ID&gt;&lt;Title_Primary&gt;Cervical screening in Australia 2005-2006&lt;/Title_Primary&gt;&lt;Authors_Primary&gt;AIHW&lt;/Authors_Primary&gt;&lt;Date_Primary&gt;2008&lt;/Date_Primary&gt;&lt;Keywords&gt;Australia&lt;/Keywords&gt;&lt;Keywords&gt;Cancer&lt;/Keywords&gt;&lt;Keywords&gt;screening&lt;/Keywords&gt;&lt;Keywords&gt;cervical&lt;/Keywords&gt;&lt;Reprint&gt;Not in File&lt;/Reprint&gt;&lt;Volume&gt;AIHW cat. no. Can 36&lt;/Volume&gt;&lt;Pub_Place&gt;Canberra: AIHW&lt;/Pub_Place&gt;&lt;Publisher&gt;Australian Institute of Health and Welfare&lt;/Publisher&gt;&lt;Title_Series&gt;Cancer series no. 41&lt;/Title_Series&gt;&lt;ZZ_WorkformID&gt;24&lt;/ZZ_WorkformID&gt;&lt;/MDL&gt;&lt;/Cite&gt;&lt;/Refman&gt;</w:instrText>
      </w:r>
      <w:r w:rsidRPr="00537C3C">
        <w:fldChar w:fldCharType="separate"/>
      </w:r>
      <w:r w:rsidRPr="00537C3C">
        <w:t>(</w:t>
      </w:r>
      <w:r w:rsidRPr="00BB76D8">
        <w:t>AIHW</w:t>
      </w:r>
      <w:r w:rsidRPr="00537C3C">
        <w:t xml:space="preserve"> 2008)</w:t>
      </w:r>
      <w:r w:rsidRPr="00537C3C">
        <w:fldChar w:fldCharType="end"/>
      </w:r>
      <w:r w:rsidRPr="00537C3C">
        <w:t>, and therefore may increase if participation increases</w:t>
      </w:r>
      <w:r w:rsidRPr="00537C3C">
        <w:rPr>
          <w:snapToGrid w:val="0"/>
        </w:rPr>
        <w:t>.</w:t>
      </w:r>
    </w:p>
    <w:p w:rsidR="00234376" w:rsidRPr="00537C3C" w:rsidRDefault="00234376" w:rsidP="008E03A7">
      <w:r w:rsidRPr="00537C3C">
        <w:rPr>
          <w:snapToGrid w:val="0"/>
        </w:rPr>
        <w:t>Modelling predicts that under the 2005 National Health and Medical Research Council (</w:t>
      </w:r>
      <w:r w:rsidRPr="00BB76D8">
        <w:rPr>
          <w:snapToGrid w:val="0"/>
        </w:rPr>
        <w:t>NHMRC)</w:t>
      </w:r>
      <w:r w:rsidRPr="00537C3C">
        <w:rPr>
          <w:snapToGrid w:val="0"/>
        </w:rPr>
        <w:t xml:space="preserve"> guidelines, incorporating cytology and </w:t>
      </w:r>
      <w:r w:rsidRPr="00BB76D8">
        <w:rPr>
          <w:snapToGrid w:val="0"/>
        </w:rPr>
        <w:t>HPV</w:t>
      </w:r>
      <w:r w:rsidRPr="00537C3C">
        <w:rPr>
          <w:snapToGrid w:val="0"/>
        </w:rPr>
        <w:t xml:space="preserve"> </w:t>
      </w:r>
      <w:r w:rsidRPr="00BB76D8">
        <w:rPr>
          <w:snapToGrid w:val="0"/>
        </w:rPr>
        <w:t>DNA</w:t>
      </w:r>
      <w:r w:rsidRPr="00537C3C">
        <w:rPr>
          <w:snapToGrid w:val="0"/>
        </w:rPr>
        <w:t xml:space="preserve"> testing as a component of the test of cure process and cytological follow-up of low-grade abnormalities, the utilisation of </w:t>
      </w:r>
      <w:r w:rsidRPr="00BB76D8">
        <w:rPr>
          <w:snapToGrid w:val="0"/>
        </w:rPr>
        <w:t>LBC</w:t>
      </w:r>
      <w:r w:rsidRPr="00537C3C">
        <w:rPr>
          <w:snapToGrid w:val="0"/>
        </w:rPr>
        <w:t xml:space="preserve"> or automated </w:t>
      </w:r>
      <w:r w:rsidRPr="00BB76D8">
        <w:rPr>
          <w:snapToGrid w:val="0"/>
        </w:rPr>
        <w:t>LBC</w:t>
      </w:r>
      <w:r w:rsidRPr="00537C3C">
        <w:rPr>
          <w:snapToGrid w:val="0"/>
        </w:rPr>
        <w:t xml:space="preserve"> respectively would be approximately 1.9 million smears per annum (1 924 675 and 1 940 259, respectively). The number of cytology tests needed will also vary if there are further changes to the current Australian screening guidelines, or if participation patterns vary.</w:t>
      </w:r>
    </w:p>
    <w:p w:rsidR="00234376" w:rsidRPr="00537C3C" w:rsidRDefault="00234376" w:rsidP="008E03A7">
      <w:pPr>
        <w:pStyle w:val="Heading2"/>
        <w:ind w:left="0"/>
      </w:pPr>
      <w:bookmarkStart w:id="158" w:name="_Toc190763845"/>
      <w:bookmarkStart w:id="159" w:name="_Toc200863636"/>
      <w:bookmarkStart w:id="160" w:name="_Toc95971060"/>
      <w:bookmarkStart w:id="161" w:name="_Toc241658159"/>
      <w:r w:rsidRPr="00537C3C">
        <w:t xml:space="preserve">Current treatment of cervical cancer and </w:t>
      </w:r>
      <w:r w:rsidRPr="00BB76D8">
        <w:t>CIN</w:t>
      </w:r>
      <w:bookmarkEnd w:id="158"/>
      <w:bookmarkEnd w:id="159"/>
      <w:bookmarkEnd w:id="160"/>
      <w:bookmarkEnd w:id="161"/>
    </w:p>
    <w:p w:rsidR="00234376" w:rsidRPr="00537C3C" w:rsidRDefault="00234376" w:rsidP="008E03A7">
      <w:r w:rsidRPr="00537C3C">
        <w:t xml:space="preserve">Treatment of invasive cancer is determined by the stage of disease: Stage IA disease is treated by cone biopsy or simple hysterectomy, and Stage IB by radical hysterectomy and pelvic lymphadenectomy </w:t>
      </w:r>
      <w:r w:rsidRPr="00537C3C">
        <w:fldChar w:fldCharType="begin"/>
      </w:r>
      <w:r w:rsidRPr="00537C3C">
        <w:instrText xml:space="preserve"> ADDIN REFMGR.CITE &lt;Refman&gt;&lt;Cite&gt;&lt;Author&gt;AIHW&lt;/Author&gt;&lt;Year&gt;2007&lt;/Year&gt;&lt;RecNum&gt;4853&lt;/RecNum&gt;&lt;IDText&gt;Cervical screening in Australia 2004-2005&lt;/IDText&gt;&lt;MDL Ref_Type="Report"&gt;&lt;Ref_Type&gt;Report&lt;/Ref_Type&gt;&lt;Ref_ID&gt;4853&lt;/Ref_ID&gt;&lt;Title_Primary&gt;Cervical screening in Australia 2004-2005&lt;/Title_Primary&gt;&lt;Authors_Primary&gt;AIHW&lt;/Authors_Primary&gt;&lt;Date_Primary&gt;2007&lt;/Date_Primary&gt;&lt;Keywords&gt;Australia&lt;/Keywords&gt;&lt;Keywords&gt;Cancer&lt;/Keywords&gt;&lt;Keywords&gt;screening&lt;/Keywords&gt;&lt;Keywords&gt;cervical&lt;/Keywords&gt;&lt;Reprint&gt;Not in File&lt;/Reprint&gt;&lt;Volume&gt;AIHW cat. No. Can 33&lt;/Volume&gt;&lt;Pub_Place&gt;Canberra: AIHW&lt;/Pub_Place&gt;&lt;Publisher&gt;Australian Institute of Health and Welfare&lt;/Publisher&gt;&lt;Title_Series&gt;(Cancer Series number 38)&lt;/Title_Series&gt;&lt;ZZ_WorkformID&gt;24&lt;/ZZ_WorkformID&gt;&lt;/MDL&gt;&lt;/Cite&gt;&lt;/Refman&gt;</w:instrText>
      </w:r>
      <w:r w:rsidRPr="00537C3C">
        <w:fldChar w:fldCharType="separate"/>
      </w:r>
      <w:r w:rsidRPr="00537C3C">
        <w:t>(</w:t>
      </w:r>
      <w:r w:rsidRPr="00BB76D8">
        <w:t>AIHW</w:t>
      </w:r>
      <w:r w:rsidRPr="00537C3C">
        <w:t xml:space="preserve"> 2007b)</w:t>
      </w:r>
      <w:r w:rsidRPr="00537C3C">
        <w:fldChar w:fldCharType="end"/>
      </w:r>
      <w:r w:rsidRPr="00537C3C">
        <w:t xml:space="preserve">. More advanced disease (Stage </w:t>
      </w:r>
      <w:r w:rsidRPr="00BB76D8">
        <w:t>II</w:t>
      </w:r>
      <w:r w:rsidRPr="00537C3C">
        <w:t xml:space="preserve"> and higher) is treated by chemo-radiation. </w:t>
      </w:r>
      <w:r w:rsidRPr="00537C3C">
        <w:rPr>
          <w:rFonts w:cs="Garamond"/>
          <w:color w:val="000000"/>
        </w:rPr>
        <w:t xml:space="preserve">Prognosis is less favourable for more advanced disease (see </w:t>
      </w:r>
      <w:r>
        <w:fldChar w:fldCharType="begin"/>
      </w:r>
      <w:r>
        <w:instrText xml:space="preserve"> REF _Ref219867316 \h  \* MERGEFORMAT </w:instrText>
      </w:r>
      <w:r>
        <w:fldChar w:fldCharType="separate"/>
      </w:r>
      <w:r w:rsidR="007D3DFF" w:rsidRPr="00537C3C">
        <w:t xml:space="preserve">Table </w:t>
      </w:r>
      <w:r w:rsidR="007D3DFF">
        <w:rPr>
          <w:noProof/>
        </w:rPr>
        <w:t>3</w:t>
      </w:r>
      <w:r>
        <w:fldChar w:fldCharType="end"/>
      </w:r>
      <w:r w:rsidRPr="00537C3C">
        <w:rPr>
          <w:rFonts w:cs="Garamond"/>
          <w:color w:val="000000"/>
        </w:rPr>
        <w:t>), and persistent disease will ultimately result in death.</w:t>
      </w:r>
    </w:p>
    <w:p w:rsidR="00234376" w:rsidRPr="00537C3C" w:rsidRDefault="00234376" w:rsidP="008E03A7">
      <w:pPr>
        <w:rPr>
          <w:szCs w:val="24"/>
        </w:rPr>
      </w:pPr>
      <w:r w:rsidRPr="00537C3C">
        <w:t>Treatment for precancerous changes (</w:t>
      </w:r>
      <w:r w:rsidRPr="00BB76D8">
        <w:t>CIN</w:t>
      </w:r>
      <w:r w:rsidRPr="00537C3C">
        <w:t xml:space="preserve"> 2–3) involves local excision or ablation of the lesions with laser vaporisation, loop excision, cryosurgery, </w:t>
      </w:r>
      <w:bookmarkStart w:id="162" w:name="OLE_LINK120"/>
      <w:bookmarkStart w:id="163" w:name="OLE_LINK121"/>
      <w:r w:rsidRPr="00537C3C">
        <w:t xml:space="preserve">electrodiathermy </w:t>
      </w:r>
      <w:bookmarkEnd w:id="162"/>
      <w:bookmarkEnd w:id="163"/>
      <w:r w:rsidRPr="00537C3C">
        <w:t xml:space="preserve">or cone biopsy </w:t>
      </w:r>
      <w:r w:rsidRPr="00537C3C">
        <w:fldChar w:fldCharType="begin"/>
      </w:r>
      <w:r w:rsidRPr="00537C3C">
        <w:instrText xml:space="preserve"> ADDIN REFMGR.CITE &lt;Refman&gt;&lt;Cite&gt;&lt;Author&gt;NHMRC&lt;/Author&gt;&lt;Year&gt;2005&lt;/Year&gt;&lt;RecNum&gt;321&lt;/RecNum&gt;&lt;IDText&gt;Screening to prevent cervical cancer: Guidelines for the management of asymptomatic women with screen detected abnormalities&lt;/IDText&gt;&lt;MDL Ref_Type="Report"&gt;&lt;Ref_Type&gt;Report&lt;/Ref_Type&gt;&lt;Ref_ID&gt;321&lt;/Ref_ID&gt;&lt;Title_Primary&gt;Screening to prevent cervical cancer: Guidelines for the management of asymptomatic women with screen detected abnormalities&lt;/Title_Primary&gt;&lt;Authors_Primary&gt;NHMRC&lt;/Authors_Primary&gt;&lt;Date_Primary&gt;2005&lt;/Date_Primary&gt;&lt;Reprint&gt;In File&lt;/Reprint&gt;&lt;Pub_Place&gt;Canberra, ACT&lt;/Pub_Place&gt;&lt;Publisher&gt;National Health and Medical Research Council, Commonwealth of Australia&lt;/Publisher&gt;&lt;Web_URL&gt;&lt;u&gt;www.nhmrc.gov.au/publications&lt;/u&gt;&lt;/Web_URL&gt;&lt;ZZ_WorkformID&gt;24&lt;/ZZ_WorkformID&gt;&lt;/MDL&gt;&lt;/Cite&gt;&lt;/Refman&gt;</w:instrText>
      </w:r>
      <w:r w:rsidRPr="00537C3C">
        <w:fldChar w:fldCharType="separate"/>
      </w:r>
      <w:r w:rsidRPr="00537C3C">
        <w:t>(</w:t>
      </w:r>
      <w:r w:rsidRPr="00BB76D8">
        <w:t>NHMRC</w:t>
      </w:r>
      <w:r w:rsidRPr="00537C3C">
        <w:t xml:space="preserve"> 2005)</w:t>
      </w:r>
      <w:r w:rsidRPr="00537C3C">
        <w:fldChar w:fldCharType="end"/>
      </w:r>
      <w:r w:rsidRPr="00537C3C">
        <w:t>. These procedures (with the exception of CO</w:t>
      </w:r>
      <w:r w:rsidRPr="00234376">
        <w:rPr>
          <w:vertAlign w:val="subscript"/>
        </w:rPr>
        <w:t>2</w:t>
      </w:r>
      <w:r w:rsidRPr="00537C3C">
        <w:t xml:space="preserve"> laser ablation) have been associated with an increased risk of future </w:t>
      </w:r>
      <w:bookmarkStart w:id="164" w:name="OLE_LINK122"/>
      <w:bookmarkStart w:id="165" w:name="OLE_LINK123"/>
      <w:r w:rsidRPr="00537C3C">
        <w:t xml:space="preserve">preterm </w:t>
      </w:r>
      <w:bookmarkEnd w:id="164"/>
      <w:bookmarkEnd w:id="165"/>
      <w:r w:rsidRPr="00537C3C">
        <w:t xml:space="preserve">delivery and low-birth-weight infants and therefore should be recommended with appropriate caution </w:t>
      </w:r>
      <w:r w:rsidRPr="00537C3C">
        <w:fldChar w:fldCharType="begin"/>
      </w:r>
      <w:r w:rsidRPr="00537C3C">
        <w:instrText xml:space="preserve"> ADDIN REFMGR.CITE &lt;Refman&gt;&lt;Cite&gt;&lt;Author&gt;Kyrgiou&lt;/Author&gt;&lt;Year&gt;2006&lt;/Year&gt;&lt;RecNum&gt;1335&lt;/RecNum&gt;&lt;IDText&gt;Obstetric outcomes after conservative treatment for intraepithelial or early invasive cervical lesions: systematic review and meta-analysis. [Review] [55 refs]&lt;/IDText&gt;&lt;MDL Ref_Type="Journal"&gt;&lt;Ref_Type&gt;Journal&lt;/Ref_Type&gt;&lt;Ref_ID&gt;1335&lt;/Ref_ID&gt;&lt;Title_Primary&gt;Obstetric outcomes after conservative treatment for intraepithelial or early invasive cervical lesions: systematic review and meta-analysis. [Review] [55 refs]&lt;/Title_Primary&gt;&lt;Authors_Primary&gt;Kyrgiou,M.&lt;/Authors_Primary&gt;&lt;Authors_Primary&gt;Koliopoulos,G.&lt;/Authors_Primary&gt;&lt;Authors_Primary&gt;Martin-Hirsch,P.&lt;/Authors_Primary&gt;&lt;Authors_Primary&gt;Arbyn,M.&lt;/Authors_Primary&gt;&lt;Authors_Primary&gt;Prendiville,W.&lt;/Authors_Primary&gt;&lt;Authors_Primary&gt;Paraskevaidis,E.&lt;/Authors_Primary&gt;&lt;Date_Primary&gt;2006&lt;/Date_Primary&gt;&lt;Keywords&gt;article&lt;/Keywords&gt;&lt;Keywords&gt;cancer&lt;/Keywords&gt;&lt;Keywords&gt;conservative treatment&lt;/Keywords&gt;&lt;Keywords&gt;EMBASE&lt;/Keywords&gt;&lt;Keywords&gt;excision&lt;/Keywords&gt;&lt;Keywords&gt;fertility&lt;/Keywords&gt;&lt;Keywords&gt;hospital&lt;/Keywords&gt;&lt;Keywords&gt;laser&lt;/Keywords&gt;&lt;Keywords&gt;MEDLINE&lt;/Keywords&gt;&lt;Keywords&gt;meta analysis&lt;/Keywords&gt;&lt;Keywords&gt;model&lt;/Keywords&gt;&lt;Keywords&gt;morbidity&lt;/Keywords&gt;&lt;Keywords&gt;mortality&lt;/Keywords&gt;&lt;Keywords&gt;obstetrics&lt;/Keywords&gt;&lt;Keywords&gt;pregnancy&lt;/Keywords&gt;&lt;Keywords&gt;review&lt;/Keywords&gt;&lt;Keywords&gt;risk&lt;/Keywords&gt;&lt;Keywords&gt;screening&lt;/Keywords&gt;&lt;Keywords&gt;systematic review&lt;/Keywords&gt;&lt;Reprint&gt;Not in File&lt;/Reprint&gt;&lt;Periodical&gt;Lancet.367(9509):489-98,&lt;/Periodical&gt;&lt;ZZ_JournalFull&gt;&lt;f name="System"&gt;Lancet.367(9509):489-98,&lt;/f&gt;&lt;/ZZ_JournalFull&gt;&lt;ZZ_WorkformID&gt;1&lt;/ZZ_WorkformID&gt;&lt;/MDL&gt;&lt;/Cite&gt;&lt;/Refman&gt;</w:instrText>
      </w:r>
      <w:r w:rsidRPr="00537C3C">
        <w:fldChar w:fldCharType="separate"/>
      </w:r>
      <w:r w:rsidRPr="00537C3C">
        <w:t>(Kyrgiou et al. 2006)</w:t>
      </w:r>
      <w:r w:rsidRPr="00537C3C">
        <w:fldChar w:fldCharType="end"/>
      </w:r>
      <w:r w:rsidRPr="00537C3C">
        <w:t xml:space="preserve">. Hysterectomy for treatment of </w:t>
      </w:r>
      <w:r w:rsidRPr="00BB76D8">
        <w:t>CIN</w:t>
      </w:r>
      <w:r w:rsidRPr="00537C3C">
        <w:t xml:space="preserve"> may be indicated in rare cases.</w:t>
      </w:r>
    </w:p>
    <w:p w:rsidR="00234376" w:rsidRPr="00537C3C" w:rsidRDefault="00234376" w:rsidP="008E03A7">
      <w:pPr>
        <w:pStyle w:val="Heading2"/>
        <w:ind w:left="0"/>
        <w:rPr>
          <w:bCs/>
        </w:rPr>
      </w:pPr>
      <w:bookmarkStart w:id="166" w:name="_Toc170913745"/>
      <w:bookmarkStart w:id="167" w:name="_Toc190763846"/>
      <w:bookmarkStart w:id="168" w:name="_Toc200863637"/>
      <w:bookmarkStart w:id="169" w:name="_Toc95971061"/>
      <w:bookmarkStart w:id="170" w:name="_Toc241658160"/>
      <w:r w:rsidRPr="00537C3C">
        <w:rPr>
          <w:bCs/>
        </w:rPr>
        <w:t>Existing procedures</w:t>
      </w:r>
      <w:bookmarkEnd w:id="166"/>
      <w:bookmarkEnd w:id="167"/>
      <w:bookmarkEnd w:id="168"/>
      <w:bookmarkEnd w:id="169"/>
      <w:bookmarkEnd w:id="170"/>
    </w:p>
    <w:p w:rsidR="00234376" w:rsidRDefault="00234376" w:rsidP="00234376">
      <w:pPr>
        <w:pStyle w:val="Heading3"/>
      </w:pPr>
      <w:bookmarkStart w:id="171" w:name="_Toc170913746"/>
      <w:bookmarkStart w:id="172" w:name="_Toc190763847"/>
      <w:bookmarkStart w:id="173" w:name="_Toc200863638"/>
      <w:r w:rsidRPr="00537C3C">
        <w:t>Cervical cytology</w:t>
      </w:r>
      <w:bookmarkEnd w:id="171"/>
      <w:bookmarkEnd w:id="172"/>
      <w:bookmarkEnd w:id="173"/>
    </w:p>
    <w:p w:rsidR="00234376" w:rsidRPr="00537C3C" w:rsidRDefault="00234376" w:rsidP="008E03A7">
      <w:pPr>
        <w:pStyle w:val="Heading4"/>
      </w:pPr>
      <w:bookmarkStart w:id="174" w:name="_Toc170913747"/>
      <w:r w:rsidRPr="00537C3C">
        <w:t>The Papanicolaou test</w:t>
      </w:r>
      <w:bookmarkEnd w:id="174"/>
    </w:p>
    <w:p w:rsidR="00234376" w:rsidRPr="00537C3C" w:rsidRDefault="00234376" w:rsidP="008E03A7">
      <w:pPr>
        <w:rPr>
          <w:snapToGrid w:val="0"/>
        </w:rPr>
      </w:pPr>
      <w:r w:rsidRPr="00537C3C">
        <w:rPr>
          <w:snapToGrid w:val="0"/>
        </w:rPr>
        <w:t xml:space="preserve">In </w:t>
      </w:r>
      <w:smartTag w:uri="urn:schemas-microsoft-com:office:smarttags" w:element="place">
        <w:smartTag w:uri="urn:schemas-microsoft-com:office:smarttags" w:element="country-region">
          <w:r w:rsidRPr="00537C3C">
            <w:rPr>
              <w:snapToGrid w:val="0"/>
            </w:rPr>
            <w:t>Australia</w:t>
          </w:r>
        </w:smartTag>
      </w:smartTag>
      <w:r w:rsidRPr="00537C3C">
        <w:rPr>
          <w:snapToGrid w:val="0"/>
        </w:rPr>
        <w:t xml:space="preserve">, cervical cytology is conventionally undertaken using the Pap test. This involves the collection of cells from the uterine cervix by a medical practitioner using a </w:t>
      </w:r>
      <w:r w:rsidRPr="00537C3C">
        <w:rPr>
          <w:snapToGrid w:val="0"/>
        </w:rPr>
        <w:lastRenderedPageBreak/>
        <w:t>vaginal speculum to visualise the cervix. Cells are collected from the cervix using a small brush or spatula. Cells are smeared onto a glass slide, fixed with a fixative solution, then transported to the laboratory for examination under the microscope by a cytologist.</w:t>
      </w:r>
    </w:p>
    <w:p w:rsidR="00234376" w:rsidRPr="00537C3C" w:rsidRDefault="00234376" w:rsidP="008E03A7">
      <w:r w:rsidRPr="00537C3C">
        <w:t>Pap tests are a safe and relatively cheap method for detecting pre-cancerous changes of the cervix and their use in the National Cervical Cancer Screening Program has been associated with a reduction in cervical cancer incidence and mortality</w:t>
      </w:r>
      <w:r w:rsidR="00F41424">
        <w:t xml:space="preserve"> (</w:t>
      </w:r>
      <w:r w:rsidR="00F41424" w:rsidRPr="00537C3C">
        <w:t>Australian Government Department of Health and Ageing 2007</w:t>
      </w:r>
      <w:r w:rsidRPr="00537C3C">
        <w:t>. The main disadvantage of the Pap test is that it is not a highly accurate test. Pre-cancerous and cancerous changes may be missed due to sampling or laboratory error. However, due to the slow progression of disease, the consequences of these errors can be minimised if detected at repeat testing under the current guidelines for routine screening tests and follow-up of unsatisfactory smears and low-grade abnormalities. This strategy relies on patient adherence for follow-up testing and is therefore is likely to be less effective for women with low adherence.</w:t>
      </w:r>
    </w:p>
    <w:p w:rsidR="00234376" w:rsidRPr="00537C3C" w:rsidRDefault="00234376" w:rsidP="008E03A7">
      <w:pPr>
        <w:pStyle w:val="Heading4"/>
      </w:pPr>
      <w:bookmarkStart w:id="175" w:name="_Toc170913748"/>
      <w:bookmarkStart w:id="176" w:name="_Toc190763848"/>
      <w:bookmarkStart w:id="177" w:name="_Toc200863639"/>
      <w:r w:rsidRPr="00537C3C">
        <w:t>Colposcopy</w:t>
      </w:r>
      <w:bookmarkEnd w:id="175"/>
      <w:bookmarkEnd w:id="176"/>
      <w:bookmarkEnd w:id="177"/>
    </w:p>
    <w:p w:rsidR="00234376" w:rsidRPr="00537C3C" w:rsidRDefault="00234376" w:rsidP="008E03A7">
      <w:r w:rsidRPr="00537C3C">
        <w:t>Colposcopic examination is performed after the insertion of a vaginal speculum. It allows a magnified inspection of the cervix and vagina to guide biopsy of the most abnormal areas for histological diagnosis. The procedure is usually performed by a gynaecologist. The procedure can be undertaken in about 10 minutes.</w:t>
      </w:r>
    </w:p>
    <w:p w:rsidR="00234376" w:rsidRPr="00537C3C" w:rsidRDefault="00234376" w:rsidP="008E03A7">
      <w:pPr>
        <w:rPr>
          <w:snapToGrid w:val="0"/>
        </w:rPr>
      </w:pPr>
      <w:r w:rsidRPr="00537C3C">
        <w:t xml:space="preserve">Colposcopic examination is more accurate than cervical cytology although false negatives may still occur due to failure to visualise abnormal lesions </w:t>
      </w:r>
      <w:r w:rsidRPr="00537C3C">
        <w:fldChar w:fldCharType="begin"/>
      </w:r>
      <w:r w:rsidRPr="00537C3C">
        <w:instrText xml:space="preserve"> ADDIN REFMGR.CITE &lt;Refman&gt;&lt;Cite&gt;&lt;Author&gt;Schiffman&lt;/Author&gt;&lt;Year&gt;2003&lt;/Year&gt;&lt;RecNum&gt;2138&lt;/RecNum&gt;&lt;IDText&gt;Findings to date from the ASCUS-LSIL Triage Study (ALTS)&lt;/IDText&gt;&lt;MDL Ref_Type="Journal"&gt;&lt;Ref_Type&gt;Journal&lt;/Ref_Type&gt;&lt;Ref_ID&gt;2138&lt;/Ref_ID&gt;&lt;Title_Primary&gt;Findings to date from the ASCUS-LSIL Triage Study (ALTS)&lt;/Title_Primary&gt;&lt;Authors_Primary&gt;Schiffman,M.&lt;/Authors_Primary&gt;&lt;Authors_Primary&gt;Solomon,D.&lt;/Authors_Primary&gt;&lt;Date_Primary&gt;2003/8&lt;/Date_Primary&gt;&lt;Keywords&gt;abnormalities&lt;/Keywords&gt;&lt;Keywords&gt;ALTS&lt;/Keywords&gt;&lt;Keywords&gt;Arm&lt;/Keywords&gt;&lt;Keywords&gt;Cancer&lt;/Keywords&gt;&lt;Keywords&gt;Carcinoma,Squamous Cell&lt;/Keywords&gt;&lt;Keywords&gt;Cells&lt;/Keywords&gt;&lt;Keywords&gt;Cervical Intraepithelial&lt;/Keywords&gt;&lt;Keywords&gt;Cervical Intraepithelial Neoplasia&lt;/Keywords&gt;&lt;Keywords&gt;Cervix Neoplasms&lt;/Keywords&gt;&lt;Keywords&gt;Clinical&lt;/Keywords&gt;&lt;Keywords&gt;Colposcopy&lt;/Keywords&gt;&lt;Keywords&gt;Comparative Study&lt;/Keywords&gt;&lt;Keywords&gt;cytology&lt;/Keywords&gt;&lt;Keywords&gt;Disease&lt;/Keywords&gt;&lt;Keywords&gt;Dna&lt;/Keywords&gt;&lt;Keywords&gt;Endometrial Stromal Tumors&lt;/Keywords&gt;&lt;Keywords&gt;Epidemiology&lt;/Keywords&gt;&lt;Keywords&gt;Female&lt;/Keywords&gt;&lt;Keywords&gt;Genetic&lt;/Keywords&gt;&lt;Keywords&gt;genetics&lt;/Keywords&gt;&lt;Keywords&gt;HPV&lt;/Keywords&gt;&lt;Keywords&gt;HPV testing&lt;/Keywords&gt;&lt;Keywords&gt;Human&lt;/Keywords&gt;&lt;Keywords&gt;methods&lt;/Keywords&gt;&lt;Keywords&gt;Neoplasia&lt;/Keywords&gt;&lt;Keywords&gt;Papillomavirus&lt;/Keywords&gt;&lt;Keywords&gt;pathology&lt;/Keywords&gt;&lt;Keywords&gt;Patients&lt;/Keywords&gt;&lt;Keywords&gt;prevalence&lt;/Keywords&gt;&lt;Keywords&gt;Randomized Controlled Trials&lt;/Keywords&gt;&lt;Keywords&gt;Research&lt;/Keywords&gt;&lt;Keywords&gt;Squamous Cell&lt;/Keywords&gt;&lt;Keywords&gt;Support,U.S.Gov&amp;apos;t,P.H.S.&lt;/Keywords&gt;&lt;Keywords&gt;Triage&lt;/Keywords&gt;&lt;Keywords&gt;United States&lt;/Keywords&gt;&lt;Keywords&gt;virology&lt;/Keywords&gt;&lt;Keywords&gt;Women&lt;/Keywords&gt;&lt;Reprint&gt;Not in File&lt;/Reprint&gt;&lt;Start_Page&gt;946&lt;/Start_Page&gt;&lt;End_Page&gt;949&lt;/End_Page&gt;&lt;Periodical&gt;Arch Pathol Lab Med JID - 7607091&lt;/Periodical&gt;&lt;Volume&gt;127&lt;/Volume&gt;&lt;Issue&gt;8&lt;/Issue&gt;&lt;Address&gt;Division of Cancer Epidemiology and Genetics, National Cancer Institute, National Institutes of Health, Department of Health and Human Services, Rockville, Md 20852, USA schiffmm@mailnihgovFAU - Schiffman, Mark&lt;/Address&gt;&lt;ZZ_JournalStdAbbrev&gt;&lt;f name="System"&gt;Arch Pathol Lab Med JID - 7607091&lt;/f&gt;&lt;/ZZ_JournalStdAbbrev&gt;&lt;ZZ_WorkformID&gt;1&lt;/ZZ_WorkformID&gt;&lt;/MDL&gt;&lt;/Cite&gt;&lt;/Refman&gt;</w:instrText>
      </w:r>
      <w:r w:rsidRPr="00537C3C">
        <w:fldChar w:fldCharType="separate"/>
      </w:r>
      <w:r w:rsidRPr="00537C3C">
        <w:t>(Schiffman &amp; Solomon 2003)</w:t>
      </w:r>
      <w:r w:rsidRPr="00537C3C">
        <w:fldChar w:fldCharType="end"/>
      </w:r>
      <w:r w:rsidRPr="00537C3C">
        <w:t>. The main disadvantage of colposcopy is that it is an expensive test and thus not suitable for population screening. It also causes minimal to moderate discomfort.</w:t>
      </w:r>
    </w:p>
    <w:p w:rsidR="00234376" w:rsidRPr="00537C3C" w:rsidRDefault="00234376" w:rsidP="008E03A7">
      <w:pPr>
        <w:pStyle w:val="Heading2"/>
        <w:ind w:left="0"/>
        <w:rPr>
          <w:bCs/>
        </w:rPr>
      </w:pPr>
      <w:bookmarkStart w:id="178" w:name="_Toc95971062"/>
      <w:bookmarkStart w:id="179" w:name="_Toc241658161"/>
      <w:r w:rsidRPr="00537C3C">
        <w:rPr>
          <w:bCs/>
        </w:rPr>
        <w:t>New and emerging cervical cancer technologies</w:t>
      </w:r>
      <w:bookmarkEnd w:id="178"/>
      <w:bookmarkEnd w:id="179"/>
    </w:p>
    <w:p w:rsidR="00234376" w:rsidRDefault="00234376" w:rsidP="00234376">
      <w:pPr>
        <w:pStyle w:val="Heading3"/>
      </w:pPr>
      <w:r w:rsidRPr="00BB76D8">
        <w:t>HPV</w:t>
      </w:r>
      <w:r w:rsidRPr="00537C3C">
        <w:t xml:space="preserve"> vaccination</w:t>
      </w:r>
    </w:p>
    <w:p w:rsidR="00234376" w:rsidRPr="00537C3C" w:rsidRDefault="00234376" w:rsidP="008E03A7">
      <w:r w:rsidRPr="00537C3C">
        <w:t xml:space="preserve">In May 2007, the Australian Government introduced the National </w:t>
      </w:r>
      <w:r w:rsidRPr="00BB76D8">
        <w:t>HPV</w:t>
      </w:r>
      <w:r w:rsidRPr="00537C3C">
        <w:t xml:space="preserve"> Vaccination Program to vaccinate school girls aged 12 to 13 years against </w:t>
      </w:r>
      <w:r w:rsidRPr="00BB76D8">
        <w:t>HPV</w:t>
      </w:r>
      <w:r w:rsidRPr="00537C3C">
        <w:t>. In the first 2</w:t>
      </w:r>
      <w:r w:rsidRPr="00B94BF8">
        <w:t xml:space="preserve">½ </w:t>
      </w:r>
      <w:r w:rsidRPr="00537C3C">
        <w:t xml:space="preserve">years of the program, all school girls aged 12 to 18 years will be offered the vaccine, and women aged under 27 years will also be able to receive the vaccine free of charge from their GP or community immunisation clinic for 2½ from July 2007 to June 2009 </w:t>
      </w:r>
      <w:r w:rsidRPr="00537C3C">
        <w:fldChar w:fldCharType="begin"/>
      </w:r>
      <w:r w:rsidRPr="00537C3C">
        <w:instrText xml:space="preserve"> ADDIN REFMGR.CITE &lt;Refman&gt;&lt;Cite&gt;&lt;Author&gt;Australian Government Department of Health and Ageing&lt;/Author&gt;&lt;Year&gt;2007&lt;/Year&gt;&lt;RecNum&gt;1302&lt;/RecNum&gt;&lt;IDText&gt;The National HPV Vaccination Program&lt;/IDText&gt;&lt;MDL Ref_Type="Electronic Citation"&gt;&lt;Ref_Type&gt;Electronic Citation&lt;/Ref_Type&gt;&lt;Ref_ID&gt;1302&lt;/Ref_ID&gt;&lt;Title_Primary&gt;The National HPV Vaccination Program&lt;/Title_Primary&gt;&lt;Authors_Primary&gt;Australian Government Department of Health and Ageing&lt;/Authors_Primary&gt;&lt;Date_Primary&gt;2007&lt;/Date_Primary&gt;&lt;Keywords&gt;vaccination&lt;/Keywords&gt;&lt;Reprint&gt;In File&lt;/Reprint&gt;&lt;Periodical&gt;http://www.health.gov.au/cervicalcancer&lt;/Periodical&gt;&lt;Date_Secondary&gt;2007/7/11&lt;/Date_Secondary&gt;&lt;Web_URL&gt;&lt;u&gt;http://www.health.gov.au/cervicalcancer&lt;/u&gt;&lt;/Web_URL&gt;&lt;ZZ_JournalStdAbbrev&gt;&lt;f name="System"&gt;http://www.health.gov.au/cervicalcancer&lt;/f&gt;&lt;/ZZ_JournalStdAbbrev&gt;&lt;ZZ_WorkformID&gt;34&lt;/ZZ_WorkformID&gt;&lt;/MDL&gt;&lt;/Cite&gt;&lt;/Refman&gt;</w:instrText>
      </w:r>
      <w:r w:rsidRPr="00537C3C">
        <w:fldChar w:fldCharType="separate"/>
      </w:r>
      <w:r w:rsidRPr="00537C3C">
        <w:t>(Australian Government Department of Health and Ageing 2007)</w:t>
      </w:r>
      <w:r w:rsidRPr="00537C3C">
        <w:fldChar w:fldCharType="end"/>
      </w:r>
      <w:r w:rsidRPr="00537C3C">
        <w:t>.</w:t>
      </w:r>
    </w:p>
    <w:p w:rsidR="00234376" w:rsidRPr="00537C3C" w:rsidRDefault="00234376" w:rsidP="008E03A7">
      <w:r w:rsidRPr="00537C3C">
        <w:t xml:space="preserve">There are 2 </w:t>
      </w:r>
      <w:r w:rsidRPr="00BB76D8">
        <w:t>HPV</w:t>
      </w:r>
      <w:r w:rsidRPr="00537C3C">
        <w:t xml:space="preserve"> vaccines registered for use in </w:t>
      </w:r>
      <w:smartTag w:uri="urn:schemas-microsoft-com:office:smarttags" w:element="place">
        <w:smartTag w:uri="urn:schemas-microsoft-com:office:smarttags" w:element="country-region">
          <w:r w:rsidRPr="00537C3C">
            <w:t>Australia</w:t>
          </w:r>
        </w:smartTag>
      </w:smartTag>
      <w:r w:rsidRPr="00537C3C">
        <w:t xml:space="preserve">: </w:t>
      </w:r>
      <w:bookmarkStart w:id="180" w:name="OLE_LINK124"/>
      <w:bookmarkStart w:id="181" w:name="OLE_LINK125"/>
      <w:r w:rsidRPr="00234376">
        <w:rPr>
          <w:i/>
          <w:iCs/>
        </w:rPr>
        <w:t>Gardasil</w:t>
      </w:r>
      <w:r w:rsidRPr="00B94BF8">
        <w:rPr>
          <w:iCs/>
        </w:rPr>
        <w:t>,</w:t>
      </w:r>
      <w:r w:rsidRPr="00537C3C">
        <w:rPr>
          <w:rFonts w:ascii="Times New Roman" w:hAnsi="Times New Roman"/>
          <w:i/>
          <w:iCs/>
        </w:rPr>
        <w:t xml:space="preserve"> </w:t>
      </w:r>
      <w:bookmarkEnd w:id="180"/>
      <w:bookmarkEnd w:id="181"/>
      <w:r w:rsidRPr="00537C3C">
        <w:t xml:space="preserve">which protects against </w:t>
      </w:r>
      <w:r w:rsidRPr="00BB76D8">
        <w:t>HPV</w:t>
      </w:r>
      <w:r w:rsidRPr="00537C3C">
        <w:t xml:space="preserve"> types 6, 11, 16 and 18 and is currently used in the National Vaccine Program; and </w:t>
      </w:r>
      <w:bookmarkStart w:id="182" w:name="OLE_LINK126"/>
      <w:bookmarkStart w:id="183" w:name="OLE_LINK127"/>
      <w:r w:rsidRPr="00537C3C">
        <w:rPr>
          <w:i/>
        </w:rPr>
        <w:t>Cervarix</w:t>
      </w:r>
      <w:r w:rsidRPr="00537C3C">
        <w:t xml:space="preserve">, </w:t>
      </w:r>
      <w:bookmarkEnd w:id="182"/>
      <w:bookmarkEnd w:id="183"/>
      <w:r w:rsidRPr="00537C3C">
        <w:t xml:space="preserve">which protects against </w:t>
      </w:r>
      <w:r w:rsidRPr="00BB76D8">
        <w:t>HPV</w:t>
      </w:r>
      <w:r w:rsidRPr="00537C3C">
        <w:t xml:space="preserve"> types 16 and 18. Persistent infection with </w:t>
      </w:r>
      <w:r w:rsidRPr="00BB76D8">
        <w:t>HPV</w:t>
      </w:r>
      <w:r w:rsidRPr="00537C3C">
        <w:t xml:space="preserve"> types 16 and 18 is a prerequisite for development of 7 of 10 cervical cancers, and infection with types 6 and 11 causes around 90 per cent of genital warts. The </w:t>
      </w:r>
      <w:r w:rsidRPr="00234376">
        <w:rPr>
          <w:i/>
          <w:iCs/>
        </w:rPr>
        <w:t>Gardasil</w:t>
      </w:r>
      <w:r w:rsidRPr="00537C3C">
        <w:rPr>
          <w:rFonts w:ascii="Times New Roman" w:hAnsi="Times New Roman"/>
          <w:i/>
          <w:iCs/>
        </w:rPr>
        <w:t xml:space="preserve"> </w:t>
      </w:r>
      <w:r w:rsidRPr="00537C3C">
        <w:t xml:space="preserve">vaccine is given as three doses at 0, 2 and 4–6 months. Seroconversion occurs in 99.5 per cent of women who receive the complete course. </w:t>
      </w:r>
      <w:r w:rsidRPr="006C24DD">
        <w:t>Randomised controlled trials (RCTs)</w:t>
      </w:r>
      <w:r w:rsidRPr="00537C3C">
        <w:t xml:space="preserve"> have demonstrated that vaccination of </w:t>
      </w:r>
      <w:r w:rsidRPr="00BB76D8">
        <w:t>HPV</w:t>
      </w:r>
      <w:r w:rsidRPr="00537C3C">
        <w:t>-naïve women prevents approximately 90</w:t>
      </w:r>
      <w:r w:rsidRPr="00537C3C" w:rsidDel="0030078D">
        <w:t xml:space="preserve"> to </w:t>
      </w:r>
      <w:r w:rsidRPr="00537C3C">
        <w:t xml:space="preserve">100 per cent of persistent infection with these virus types and of precancerous cervical lesions </w:t>
      </w:r>
      <w:r w:rsidRPr="00537C3C">
        <w:fldChar w:fldCharType="begin"/>
      </w:r>
      <w:r w:rsidRPr="00537C3C">
        <w:instrText xml:space="preserve"> ADDIN REFMGR.CITE &lt;Refman&gt;&lt;Cite&gt;&lt;Author&gt;Australian Government Department of Health and Ageing&lt;/Author&gt;&lt;Year&gt;2008&lt;/Year&gt;&lt;RecNum&gt;1321&lt;/RecNum&gt;&lt;IDText&gt;The Australian Immunisation Handbook&lt;/IDText&gt;&lt;MDL Ref_Type="Report"&gt;&lt;Ref_Type&gt;Report&lt;/Ref_Type&gt;&lt;Ref_ID&gt;1321&lt;/Ref_ID&gt;&lt;Title_Primary&gt;The Australian Immunisation Handbook&lt;/Title_Primary&gt;&lt;Authors_Primary&gt;Australian Government Department of Health and Ageing&lt;/Authors_Primary&gt;&lt;Authors_Primary&gt;National Health and Medical Research Council&lt;/Authors_Primary&gt;&lt;Date_Primary&gt;2008&lt;/Date_Primary&gt;&lt;Reprint&gt;In File&lt;/Reprint&gt;&lt;Pub_Place&gt;Canberra&lt;/Pub_Place&gt;&lt;Publisher&gt;Australian Government&lt;/Publisher&gt;&lt;Web_URL&gt;&lt;u&gt;www.immunise.health.gov.au&lt;/u&gt;&lt;/Web_URL&gt;&lt;ZZ_WorkformID&gt;24&lt;/ZZ_WorkformID&gt;&lt;/MDL&gt;&lt;/Cite&gt;&lt;/Refman&gt;</w:instrText>
      </w:r>
      <w:r w:rsidRPr="00537C3C">
        <w:fldChar w:fldCharType="separate"/>
      </w:r>
      <w:r w:rsidRPr="00537C3C">
        <w:t>(Australian Government Department of Health and Ageing &amp; National Health and Medical Research Council 2008)</w:t>
      </w:r>
      <w:r w:rsidRPr="00537C3C">
        <w:fldChar w:fldCharType="end"/>
      </w:r>
      <w:r w:rsidRPr="00537C3C">
        <w:t>.</w:t>
      </w:r>
    </w:p>
    <w:p w:rsidR="00234376" w:rsidRPr="00537C3C" w:rsidRDefault="00234376" w:rsidP="008E03A7">
      <w:r w:rsidRPr="00537C3C">
        <w:t xml:space="preserve">The vaccine is expected to have a rapid and substantial impact on </w:t>
      </w:r>
      <w:r w:rsidRPr="00BB76D8">
        <w:t>HPV</w:t>
      </w:r>
      <w:r w:rsidRPr="00537C3C">
        <w:t xml:space="preserve"> and genital wart incidence and prevalence in young women </w:t>
      </w:r>
      <w:r w:rsidRPr="00537C3C">
        <w:fldChar w:fldCharType="begin"/>
      </w:r>
      <w:r w:rsidRPr="00537C3C">
        <w:instrText xml:space="preserve"> ADDIN REFMGR.CITE &lt;Refman&gt;&lt;Cite&gt;&lt;Author&gt;Regan&lt;/Author&gt;&lt;Year&gt;2007&lt;/Year&gt;&lt;RecNum&gt;1337&lt;/RecNum&gt;&lt;IDText&gt;Modelling the population-level impact of vaccination on the transmission of human papillomavirus type 16 in Australia&lt;/IDText&gt;&lt;MDL Ref_Type="Journal"&gt;&lt;Ref_Type&gt;Journal&lt;/Ref_Type&gt;&lt;Ref_ID&gt;1337&lt;/Ref_ID&gt;&lt;Title_Primary&gt;Modelling the population-level impact of vaccination on the transmission of human papillomavirus type 16 in Australia&lt;/Title_Primary&gt;&lt;Authors_Primary&gt;Regan,D.G.&lt;/Authors_Primary&gt;&lt;Authors_Primary&gt;Philp,D.J.&lt;/Authors_Primary&gt;&lt;Authors_Primary&gt;Hocking,J.S.&lt;/Authors_Primary&gt;&lt;Authors_Primary&gt;Law,M.G.&lt;/Authors_Primary&gt;&lt;Date_Primary&gt;2007/9&lt;/Date_Primary&gt;&lt;Keywords&gt;age&lt;/Keywords&gt;&lt;Keywords&gt;article&lt;/Keywords&gt;&lt;Keywords&gt;Australia&lt;/Keywords&gt;&lt;Keywords&gt;cancer&lt;/Keywords&gt;&lt;Keywords&gt;clinical research&lt;/Keywords&gt;&lt;Keywords&gt;clinical trial&lt;/Keywords&gt;&lt;Keywords&gt;community&lt;/Keywords&gt;&lt;Keywords&gt;epidemiology&lt;/Keywords&gt;&lt;Keywords&gt;female&lt;/Keywords&gt;&lt;Keywords&gt;gender&lt;/Keywords&gt;&lt;Keywords&gt;herd immunity&lt;/Keywords&gt;&lt;Keywords&gt;human&lt;/Keywords&gt;&lt;Keywords&gt;Human papillomavirus type 16&lt;/Keywords&gt;&lt;Keywords&gt;immunity&lt;/Keywords&gt;&lt;Keywords&gt;incidence&lt;/Keywords&gt;&lt;Keywords&gt;infection&lt;/Keywords&gt;&lt;Keywords&gt;mathematical model&lt;/Keywords&gt;&lt;Keywords&gt;model&lt;/Keywords&gt;&lt;Keywords&gt;persistent infection&lt;/Keywords&gt;&lt;Keywords&gt;population&lt;/Keywords&gt;&lt;Keywords&gt;prevalence&lt;/Keywords&gt;&lt;Keywords&gt;research&lt;/Keywords&gt;&lt;Keywords&gt;sex&lt;/Keywords&gt;&lt;Keywords&gt;time&lt;/Keywords&gt;&lt;Keywords&gt;university&lt;/Keywords&gt;&lt;Keywords&gt;vaccination&lt;/Keywords&gt;&lt;Keywords&gt;vaccine&lt;/Keywords&gt;&lt;Reprint&gt;Not in File&lt;/Reprint&gt;&lt;Periodical&gt;Sexual Health.4(3):147-63,&lt;/Periodical&gt;&lt;ZZ_JournalFull&gt;&lt;f name="System"&gt;Sexual Health.4(3):147-63,&lt;/f&gt;&lt;/ZZ_JournalFull&gt;&lt;ZZ_WorkformID&gt;1&lt;/ZZ_WorkformID&gt;&lt;/MDL&gt;&lt;/Cite&gt;&lt;Cite&gt;&lt;Author&gt;Smith&lt;/Author&gt;&lt;Year&gt;2008&lt;/Year&gt;&lt;RecNum&gt;1&lt;/RecNum&gt;&lt;IDText&gt;The predicted impact of vaccination on human papillomavirus infections in Australia&lt;/IDText&gt;&lt;MDL Ref_Type="Journal"&gt;&lt;Ref_Type&gt;Journal&lt;/Ref_Type&gt;&lt;Ref_ID&gt;1&lt;/Ref_ID&gt;&lt;Title_Primary&gt;The predicted impact of vaccination on human papillomavirus infections in Australia&lt;/Title_Primary&gt;&lt;Authors_Primary&gt;Smith,M.A.&lt;/Authors_Primary&gt;&lt;Authors_Primary&gt;Canfell,K.&lt;/Authors_Primary&gt;&lt;Authors_Primary&gt;Brotherton,J.M.&lt;/Authors_Primary&gt;&lt;Authors_Primary&gt;Lew,J.B.&lt;/Authors_Primary&gt;&lt;Authors_Primary&gt;Barnabas,R.V.&lt;/Authors_Primary&gt;&lt;Date_Primary&gt;2008&lt;/Date_Primary&gt;&lt;Keywords&gt;Active&lt;/Keywords&gt;&lt;Keywords&gt;administration &amp;amp; dosage&lt;/Keywords&gt;&lt;Keywords&gt;Adolescent&lt;/Keywords&gt;&lt;Keywords&gt;Adult&lt;/Keywords&gt;&lt;Keywords&gt;Aged&lt;/Keywords&gt;&lt;Keywords&gt;analysis&lt;/Keywords&gt;&lt;Keywords&gt;Australia&lt;/Keywords&gt;&lt;Keywords&gt;Cancer&lt;/Keywords&gt;&lt;Keywords&gt;Child&lt;/Keywords&gt;&lt;Keywords&gt;Epidemiology&lt;/Keywords&gt;&lt;Keywords&gt;Female&lt;/Keywords&gt;&lt;Keywords&gt;HPV&lt;/Keywords&gt;&lt;Keywords&gt;Human&lt;/Keywords&gt;&lt;Keywords&gt;Humans&lt;/Keywords&gt;&lt;Keywords&gt;Incidence&lt;/Keywords&gt;&lt;Keywords&gt;Infection&lt;/Keywords&gt;&lt;Keywords&gt;Male&lt;/Keywords&gt;&lt;Keywords&gt;Middle Aged&lt;/Keywords&gt;&lt;Keywords&gt;Models,Statistical&lt;/Keywords&gt;&lt;Keywords&gt;Papillomavirus&lt;/Keywords&gt;&lt;Keywords&gt;Papillomavirus Infections&lt;/Keywords&gt;&lt;Keywords&gt;Papillomavirus Vaccines&lt;/Keywords&gt;&lt;Keywords&gt;prevention &amp;amp; control&lt;/Keywords&gt;&lt;Keywords&gt;Research&lt;/Keywords&gt;&lt;Keywords&gt;Sexual Behavior&lt;/Keywords&gt;&lt;Keywords&gt;Support&lt;/Keywords&gt;&lt;Keywords&gt;transmission&lt;/Keywords&gt;&lt;Keywords&gt;Vaccination&lt;/Keywords&gt;&lt;Keywords&gt;Vaccines&lt;/Keywords&gt;&lt;Keywords&gt;Wales&lt;/Keywords&gt;&lt;Keywords&gt;Women&lt;/Keywords&gt;&lt;Reprint&gt;Not in File&lt;/Reprint&gt;&lt;Start_Page&gt;1854&lt;/Start_Page&gt;&lt;End_Page&gt;1863&lt;/End_Page&gt;&lt;Periodical&gt;Int J Cancer&lt;/Periodical&gt;&lt;Volume&gt;123&lt;/Volume&gt;&lt;Issue&gt;8&lt;/Issue&gt;&lt;Address&gt;Cancer Epidemiology Research Unit, The Cancer Council New South Wales, Woolloomooloo, New South Wales, Australia&lt;/Address&gt;&lt;Web_URL&gt;PM:18636563&lt;/Web_URL&gt;&lt;ZZ_JournalStdAbbrev&gt;&lt;f name="System"&gt;Int J Cancer&lt;/f&gt;&lt;/ZZ_JournalStdAbbrev&gt;&lt;ZZ_WorkformID&gt;1&lt;/ZZ_WorkformID&gt;&lt;/MDL&gt;&lt;/Cite&gt;&lt;/Refman&gt;</w:instrText>
      </w:r>
      <w:r w:rsidRPr="00537C3C">
        <w:fldChar w:fldCharType="separate"/>
      </w:r>
      <w:r w:rsidRPr="00537C3C">
        <w:t>(Regan et al. 2007; Smith et al. 2008)</w:t>
      </w:r>
      <w:r w:rsidRPr="00537C3C">
        <w:fldChar w:fldCharType="end"/>
      </w:r>
      <w:r w:rsidRPr="00537C3C">
        <w:t xml:space="preserve">. However, long-term trial results are awaited to provide evidence about duration of </w:t>
      </w:r>
      <w:r w:rsidRPr="00537C3C">
        <w:lastRenderedPageBreak/>
        <w:t>protection, the implications of infection, the potential for cross-protection from non-vaccine subtypes, and the magnitude of reduction in cervical cancer incidence. The vaccine impact will also depend on the percentage uptake among young women.</w:t>
      </w:r>
    </w:p>
    <w:p w:rsidR="00234376" w:rsidRPr="00537C3C" w:rsidRDefault="00234376" w:rsidP="008E03A7">
      <w:r w:rsidRPr="00537C3C">
        <w:t>Vaccination will not replace the need for routine cervical screening; however, the current screening protocol may be modified to take into account changes in population risk as a result of the vaccination program.</w:t>
      </w:r>
    </w:p>
    <w:p w:rsidR="00234376" w:rsidRDefault="00234376" w:rsidP="00DF1AB9">
      <w:pPr>
        <w:pStyle w:val="Heading3"/>
      </w:pPr>
      <w:bookmarkStart w:id="184" w:name="_Toc170913736"/>
      <w:bookmarkStart w:id="185" w:name="_Toc170913822"/>
      <w:r w:rsidRPr="00537C3C">
        <w:t xml:space="preserve">Hybrid Capture </w:t>
      </w:r>
      <w:r w:rsidRPr="00BB76D8">
        <w:t>II</w:t>
      </w:r>
      <w:r w:rsidRPr="00537C3C">
        <w:t xml:space="preserve"> (H</w:t>
      </w:r>
      <w:r w:rsidRPr="00BB76D8">
        <w:t>CI</w:t>
      </w:r>
      <w:r w:rsidRPr="00537C3C">
        <w:t>I) human papilloma virus (</w:t>
      </w:r>
      <w:r w:rsidRPr="00BB76D8">
        <w:t>HPV</w:t>
      </w:r>
      <w:r w:rsidRPr="00537C3C">
        <w:t>) test</w:t>
      </w:r>
      <w:bookmarkEnd w:id="184"/>
      <w:bookmarkEnd w:id="185"/>
    </w:p>
    <w:p w:rsidR="00234376" w:rsidRPr="00537C3C" w:rsidRDefault="00234376" w:rsidP="00DF1AB9">
      <w:pPr>
        <w:keepNext/>
        <w:keepLines/>
      </w:pPr>
      <w:r w:rsidRPr="00537C3C">
        <w:t xml:space="preserve">The HCII </w:t>
      </w:r>
      <w:r w:rsidRPr="00BB76D8">
        <w:t>HPV</w:t>
      </w:r>
      <w:r w:rsidRPr="00537C3C">
        <w:t xml:space="preserve"> </w:t>
      </w:r>
      <w:r w:rsidRPr="00BB76D8">
        <w:t>DNA</w:t>
      </w:r>
      <w:r w:rsidRPr="00537C3C">
        <w:t xml:space="preserve"> test is a nucleic acid hybridisation assay that detects </w:t>
      </w:r>
      <w:r w:rsidRPr="00BB76D8">
        <w:t>HPV</w:t>
      </w:r>
      <w:r w:rsidRPr="00537C3C">
        <w:t xml:space="preserve"> subtypes known to be associated with cervical cancer. It involves the collection of cells from the uterine cervix during a vaginal speculum examination by a medical practitioner, in the same way a conventional Pap cytology test is performed. The cell sample is then transported to a pathology laboratory for testing.</w:t>
      </w:r>
    </w:p>
    <w:p w:rsidR="00234376" w:rsidRPr="00537C3C" w:rsidRDefault="00234376" w:rsidP="008E03A7">
      <w:r w:rsidRPr="00537C3C">
        <w:t xml:space="preserve">The test is available as a standardised test kit which includes a cervical brush, a vial with a specimen transport medium and the solution hybridization assay. It uses a combination of ribonucleic acid (RNA) probes to identify </w:t>
      </w:r>
      <w:r w:rsidRPr="00BB76D8">
        <w:t>DNA</w:t>
      </w:r>
      <w:r w:rsidRPr="00537C3C">
        <w:t xml:space="preserve"> from 13 high-risk </w:t>
      </w:r>
      <w:r w:rsidRPr="00BB76D8">
        <w:t>HPV</w:t>
      </w:r>
      <w:r w:rsidRPr="00537C3C">
        <w:t xml:space="preserve"> subtypes. </w:t>
      </w:r>
      <w:r w:rsidRPr="00BB76D8">
        <w:t>HPV</w:t>
      </w:r>
      <w:r w:rsidRPr="00537C3C">
        <w:t xml:space="preserve"> </w:t>
      </w:r>
      <w:r w:rsidRPr="00BB76D8">
        <w:t>DNA</w:t>
      </w:r>
      <w:r w:rsidRPr="00537C3C">
        <w:t xml:space="preserve"> levels of 1pg/mL are classified as positive for </w:t>
      </w:r>
      <w:r w:rsidRPr="00BB76D8">
        <w:t>HPV</w:t>
      </w:r>
      <w:r w:rsidRPr="00537C3C">
        <w:t>. A positive result indicates infection with one (or more) of high-risk subtypes but cannot be used to identify which subtype is involved.</w:t>
      </w:r>
    </w:p>
    <w:p w:rsidR="00234376" w:rsidRPr="00537C3C" w:rsidRDefault="00234376">
      <w:pPr>
        <w:pStyle w:val="Heading2"/>
        <w:ind w:left="0"/>
      </w:pPr>
      <w:bookmarkStart w:id="186" w:name="_Toc95971063"/>
      <w:bookmarkStart w:id="187" w:name="_Toc241658162"/>
      <w:r w:rsidRPr="00537C3C">
        <w:t>Potential impact of LBC</w:t>
      </w:r>
      <w:bookmarkEnd w:id="186"/>
      <w:bookmarkEnd w:id="187"/>
    </w:p>
    <w:p w:rsidR="00234376" w:rsidRDefault="00234376" w:rsidP="00234376">
      <w:pPr>
        <w:pStyle w:val="Heading3"/>
      </w:pPr>
      <w:r w:rsidRPr="00537C3C">
        <w:t>Potential benefits</w:t>
      </w:r>
    </w:p>
    <w:p w:rsidR="00234376" w:rsidRPr="00537C3C" w:rsidRDefault="00234376" w:rsidP="008E03A7">
      <w:pPr>
        <w:spacing w:after="120"/>
        <w:ind w:left="709"/>
        <w:rPr>
          <w:szCs w:val="24"/>
        </w:rPr>
      </w:pPr>
      <w:r w:rsidRPr="00537C3C">
        <w:rPr>
          <w:szCs w:val="24"/>
        </w:rPr>
        <w:t xml:space="preserve">Replacement of conventional Pap cytology tests with </w:t>
      </w:r>
      <w:r w:rsidRPr="00BB76D8">
        <w:rPr>
          <w:szCs w:val="24"/>
        </w:rPr>
        <w:t>LBC</w:t>
      </w:r>
      <w:r w:rsidRPr="00537C3C">
        <w:rPr>
          <w:szCs w:val="24"/>
        </w:rPr>
        <w:t xml:space="preserve">/ automated reading of </w:t>
      </w:r>
      <w:r w:rsidRPr="00BB76D8">
        <w:rPr>
          <w:szCs w:val="24"/>
        </w:rPr>
        <w:t>LBC</w:t>
      </w:r>
      <w:r w:rsidRPr="00537C3C">
        <w:rPr>
          <w:szCs w:val="24"/>
        </w:rPr>
        <w:t xml:space="preserve"> cytology slides may improve the effectiveness and cost-effectiveness of cervical cancer screening through:</w:t>
      </w:r>
    </w:p>
    <w:p w:rsidR="00234376" w:rsidRPr="00537C3C" w:rsidRDefault="00234376" w:rsidP="008E03A7">
      <w:pPr>
        <w:pStyle w:val="Bullet"/>
        <w:numPr>
          <w:ilvl w:val="0"/>
          <w:numId w:val="15"/>
        </w:numPr>
      </w:pPr>
      <w:r w:rsidRPr="00537C3C">
        <w:t>earlier detection and management of women with true precancerous cervical lesions, thereby reducing cervical cancer incidence and mortality, if the test is found to be more sensitive than conventional Pap cytology</w:t>
      </w:r>
    </w:p>
    <w:p w:rsidR="00234376" w:rsidRPr="00537C3C" w:rsidRDefault="00234376" w:rsidP="008E03A7">
      <w:pPr>
        <w:pStyle w:val="Bullet"/>
        <w:numPr>
          <w:ilvl w:val="0"/>
          <w:numId w:val="15"/>
        </w:numPr>
      </w:pPr>
      <w:r w:rsidRPr="00537C3C">
        <w:t>avoidance of unnecessary follow-up cervical cytology tests and colposcopy in women without true precancerous cervical lesions, if the test is found to be more specific than conventional Pap cytology</w:t>
      </w:r>
    </w:p>
    <w:p w:rsidR="00234376" w:rsidRPr="00537C3C" w:rsidRDefault="00234376" w:rsidP="008E03A7">
      <w:pPr>
        <w:pStyle w:val="Bullet"/>
        <w:numPr>
          <w:ilvl w:val="0"/>
          <w:numId w:val="15"/>
        </w:numPr>
      </w:pPr>
      <w:r w:rsidRPr="00537C3C">
        <w:t>avoidance of unnecessary recall for additional cervical cytology tests in women, if the test is found to result in a lower rate of unsatisfactory findings</w:t>
      </w:r>
    </w:p>
    <w:p w:rsidR="00234376" w:rsidRPr="00537C3C" w:rsidRDefault="00234376" w:rsidP="008E03A7">
      <w:pPr>
        <w:pStyle w:val="Bullet"/>
        <w:numPr>
          <w:ilvl w:val="0"/>
          <w:numId w:val="15"/>
        </w:numPr>
      </w:pPr>
      <w:r w:rsidRPr="00537C3C">
        <w:t>increased efficiency of cervical cancer screening programs through increased throughput of cytology laboratories, if the test is found to reduce slide reading times. This increased efficiency would not, however, improve cost-effectiveness unless it is reflected in the reimbursement level of the test.</w:t>
      </w:r>
    </w:p>
    <w:p w:rsidR="00234376" w:rsidRPr="00537C3C" w:rsidRDefault="00234376" w:rsidP="008E03A7">
      <w:pPr>
        <w:pStyle w:val="Bullet"/>
        <w:numPr>
          <w:ilvl w:val="0"/>
          <w:numId w:val="0"/>
        </w:numPr>
        <w:ind w:left="720"/>
      </w:pPr>
      <w:r w:rsidRPr="00537C3C">
        <w:t xml:space="preserve">In addition, the use of </w:t>
      </w:r>
      <w:r w:rsidRPr="00BB76D8">
        <w:t>LBC</w:t>
      </w:r>
      <w:r w:rsidRPr="00537C3C">
        <w:t xml:space="preserve"> can allow the cervical cell sample to be used for adjunctive testing for a range of infectious diseases, including </w:t>
      </w:r>
      <w:r w:rsidRPr="00BB76D8">
        <w:t>HPV</w:t>
      </w:r>
      <w:r w:rsidRPr="00537C3C">
        <w:t>.</w:t>
      </w:r>
    </w:p>
    <w:p w:rsidR="00234376" w:rsidRDefault="00234376" w:rsidP="00DF1AB9">
      <w:pPr>
        <w:pStyle w:val="Heading3"/>
      </w:pPr>
      <w:r w:rsidRPr="00537C3C">
        <w:lastRenderedPageBreak/>
        <w:t>Potential disadvantages</w:t>
      </w:r>
    </w:p>
    <w:p w:rsidR="00234376" w:rsidRPr="00537C3C" w:rsidRDefault="00234376" w:rsidP="00DF1AB9">
      <w:pPr>
        <w:keepNext/>
        <w:keepLines/>
        <w:rPr>
          <w:szCs w:val="24"/>
        </w:rPr>
      </w:pPr>
      <w:r w:rsidRPr="00537C3C">
        <w:rPr>
          <w:szCs w:val="24"/>
        </w:rPr>
        <w:t xml:space="preserve">Replacement of conventional Pap cytology tests with </w:t>
      </w:r>
      <w:r w:rsidRPr="00BB76D8">
        <w:rPr>
          <w:szCs w:val="24"/>
        </w:rPr>
        <w:t>LBC</w:t>
      </w:r>
      <w:r w:rsidRPr="00537C3C">
        <w:rPr>
          <w:szCs w:val="24"/>
        </w:rPr>
        <w:t xml:space="preserve">/ automated reading of </w:t>
      </w:r>
      <w:r w:rsidRPr="00BB76D8">
        <w:rPr>
          <w:szCs w:val="24"/>
        </w:rPr>
        <w:t>LBC</w:t>
      </w:r>
      <w:r w:rsidRPr="00537C3C">
        <w:rPr>
          <w:szCs w:val="24"/>
        </w:rPr>
        <w:t xml:space="preserve"> cytology slides may provide disadvantages to cervical cancer screening through:</w:t>
      </w:r>
    </w:p>
    <w:p w:rsidR="00234376" w:rsidRPr="00537C3C" w:rsidRDefault="00234376" w:rsidP="00DF1AB9">
      <w:pPr>
        <w:keepNext/>
        <w:keepLines/>
        <w:numPr>
          <w:ilvl w:val="0"/>
          <w:numId w:val="15"/>
        </w:numPr>
        <w:ind w:firstLine="0"/>
        <w:rPr>
          <w:szCs w:val="24"/>
        </w:rPr>
      </w:pPr>
      <w:r w:rsidRPr="00537C3C">
        <w:t xml:space="preserve">increased number of unnecessary biopsies and follow-up smears, and associated </w:t>
      </w:r>
      <w:r w:rsidRPr="00537C3C">
        <w:rPr>
          <w:szCs w:val="24"/>
        </w:rPr>
        <w:t xml:space="preserve">negative psychological consequences </w:t>
      </w:r>
      <w:r w:rsidRPr="00537C3C">
        <w:t>for women without</w:t>
      </w:r>
      <w:r w:rsidRPr="00537C3C">
        <w:rPr>
          <w:szCs w:val="24"/>
        </w:rPr>
        <w:t xml:space="preserve"> true pre-cancerous cervical lesions, if the test is found to be less specific than conventional Pap cytology.</w:t>
      </w:r>
    </w:p>
    <w:p w:rsidR="00234376" w:rsidRPr="00537C3C" w:rsidRDefault="00234376">
      <w:pPr>
        <w:pStyle w:val="Heading2"/>
        <w:ind w:left="0"/>
      </w:pPr>
      <w:bookmarkStart w:id="188" w:name="_Toc95971064"/>
      <w:bookmarkStart w:id="189" w:name="_Toc241658163"/>
      <w:r w:rsidRPr="00537C3C">
        <w:t>Reference standard</w:t>
      </w:r>
      <w:bookmarkEnd w:id="188"/>
      <w:bookmarkEnd w:id="189"/>
    </w:p>
    <w:p w:rsidR="00234376" w:rsidRPr="00537C3C" w:rsidRDefault="00234376" w:rsidP="008E03A7">
      <w:r w:rsidRPr="00537C3C">
        <w:t xml:space="preserve">For studies to provide adequate information about test accuracy, a reference standard should be applied as a minimum to positive or discordant tests. Colposcopy with biopsy (threshold for positive histology </w:t>
      </w:r>
      <w:r w:rsidRPr="00BB76D8">
        <w:t>CIN</w:t>
      </w:r>
      <w:r w:rsidRPr="00537C3C">
        <w:t xml:space="preserve"> 2+/</w:t>
      </w:r>
      <w:r w:rsidRPr="00BB76D8">
        <w:t>CIN</w:t>
      </w:r>
      <w:r w:rsidRPr="00537C3C">
        <w:t xml:space="preserve"> 3+) was considered the most valid reference standard to determine the true disease status of patients with a positive test (</w:t>
      </w:r>
      <w:r w:rsidRPr="00BB76D8">
        <w:t>pLSIL</w:t>
      </w:r>
      <w:r w:rsidRPr="00537C3C">
        <w:t xml:space="preserve">, </w:t>
      </w:r>
      <w:bookmarkStart w:id="190" w:name="OLE_LINK128"/>
      <w:bookmarkStart w:id="191" w:name="OLE_LINK129"/>
      <w:r w:rsidRPr="006C24DD">
        <w:t>dLSIL</w:t>
      </w:r>
      <w:bookmarkEnd w:id="190"/>
      <w:bookmarkEnd w:id="191"/>
      <w:r w:rsidRPr="00537C3C">
        <w:t xml:space="preserve">, </w:t>
      </w:r>
      <w:r w:rsidRPr="00BB76D8">
        <w:t>pHSIL</w:t>
      </w:r>
      <w:r w:rsidRPr="00537C3C">
        <w:t xml:space="preserve">, </w:t>
      </w:r>
      <w:r w:rsidRPr="00BB76D8">
        <w:t>HSIL</w:t>
      </w:r>
      <w:r w:rsidRPr="00537C3C">
        <w:t xml:space="preserve"> or </w:t>
      </w:r>
      <w:r w:rsidRPr="00BB76D8">
        <w:t>SCC</w:t>
      </w:r>
      <w:r w:rsidRPr="00537C3C">
        <w:t>). Clinical follow-up with repeat cytology at 1 year was considered the most valid reference standard for normal test results. Adjudicated cytology was considered a suboptimal reference standard for patients with either test result.</w:t>
      </w:r>
    </w:p>
    <w:p w:rsidR="00234376" w:rsidRPr="00537C3C" w:rsidRDefault="00234376">
      <w:pPr>
        <w:pStyle w:val="Heading2"/>
        <w:ind w:left="0"/>
      </w:pPr>
      <w:bookmarkStart w:id="192" w:name="_Toc95971065"/>
      <w:bookmarkStart w:id="193" w:name="_Toc241658164"/>
      <w:r w:rsidRPr="00537C3C">
        <w:t>Comparator</w:t>
      </w:r>
      <w:bookmarkEnd w:id="192"/>
      <w:bookmarkEnd w:id="193"/>
    </w:p>
    <w:p w:rsidR="00234376" w:rsidRPr="00537C3C" w:rsidRDefault="00234376" w:rsidP="008E03A7">
      <w:r w:rsidRPr="00537C3C">
        <w:t xml:space="preserve">The comparator for </w:t>
      </w:r>
      <w:r w:rsidRPr="00BB76D8">
        <w:t>LBC</w:t>
      </w:r>
      <w:r w:rsidRPr="00537C3C">
        <w:t xml:space="preserve"> or automation-assisted screening of cervical cytology slides is manual screening of conventional Pap smear cytology.</w:t>
      </w:r>
    </w:p>
    <w:p w:rsidR="00234376" w:rsidRPr="00537C3C" w:rsidRDefault="00234376">
      <w:pPr>
        <w:pStyle w:val="Heading2"/>
        <w:ind w:left="0"/>
      </w:pPr>
      <w:bookmarkStart w:id="194" w:name="_Toc95971066"/>
      <w:bookmarkStart w:id="195" w:name="_Toc241658165"/>
      <w:r w:rsidRPr="00537C3C">
        <w:t>Methodological issues</w:t>
      </w:r>
      <w:bookmarkEnd w:id="194"/>
      <w:bookmarkEnd w:id="195"/>
    </w:p>
    <w:p w:rsidR="00234376" w:rsidRPr="00537C3C" w:rsidRDefault="00234376" w:rsidP="008E03A7">
      <w:r w:rsidRPr="00537C3C">
        <w:t xml:space="preserve">Where comparative accuracy of two alternative replacement test strategies is required, studies can either be performed with both tests conducted in all patients, or by randomising patients to either test </w:t>
      </w:r>
      <w:r w:rsidRPr="00537C3C">
        <w:fldChar w:fldCharType="begin"/>
      </w:r>
      <w:r w:rsidRPr="00537C3C">
        <w:instrText xml:space="preserve"> ADDIN REFMGR.CITE &lt;Refman&gt;&lt;Cite&gt;&lt;Author&gt;Bossuyt&lt;/Author&gt;&lt;Year&gt;2006&lt;/Year&gt;&lt;RecNum&gt;310&lt;/RecNum&gt;&lt;IDText&gt;Comparative accuracy: assessing new tests against existing diagnostic pathways&lt;/IDText&gt;&lt;MDL Ref_Type="Journal"&gt;&lt;Ref_Type&gt;Journal&lt;/Ref_Type&gt;&lt;Ref_ID&gt;310&lt;/Ref_ID&gt;&lt;Title_Primary&gt;Comparative accuracy: assessing new tests against existing diagnostic pathways&lt;/Title_Primary&gt;&lt;Authors_Primary&gt;Bossuyt,Patrick M.&lt;/Authors_Primary&gt;&lt;Authors_Primary&gt;Irwig,Les&lt;/Authors_Primary&gt;&lt;Authors_Primary&gt;Craig,Jonathan&lt;/Authors_Primary&gt;&lt;Authors_Primary&gt;Glasziou,Paul&lt;/Authors_Primary&gt;&lt;Date_Primary&gt;2006&lt;/Date_Primary&gt;&lt;Reprint&gt;In File&lt;/Reprint&gt;&lt;Start_Page&gt;1089&lt;/Start_Page&gt;&lt;End_Page&gt;1092&lt;/End_Page&gt;&lt;Periodical&gt;BMJ&lt;/Periodical&gt;&lt;Volume&gt;332&lt;/Volume&gt;&lt;Issue&gt;7549&lt;/Issue&gt;&lt;Web_URL&gt;http://bmj.bmjjournals.com&lt;/Web_URL&gt;&lt;ZZ_JournalFull&gt;&lt;f name="System"&gt;BMJ&lt;/f&gt;&lt;/ZZ_JournalFull&gt;&lt;ZZ_WorkformID&gt;1&lt;/ZZ_WorkformID&gt;&lt;/MDL&gt;&lt;/Cite&gt;&lt;/Refman&gt;</w:instrText>
      </w:r>
      <w:r w:rsidRPr="00537C3C">
        <w:fldChar w:fldCharType="separate"/>
      </w:r>
      <w:r w:rsidRPr="00537C3C">
        <w:t>(Bossuyt et al. 2006)</w:t>
      </w:r>
      <w:r w:rsidRPr="00537C3C">
        <w:fldChar w:fldCharType="end"/>
      </w:r>
      <w:r w:rsidRPr="00537C3C">
        <w:t xml:space="preserve">. Conducting both tests in all patients (a paired design) has advantages as the patient population undergoing each test is identical. In comparing the accuracy of conventional Pap smears and </w:t>
      </w:r>
      <w:r w:rsidRPr="00BB76D8">
        <w:t>LBC</w:t>
      </w:r>
      <w:r w:rsidRPr="00537C3C">
        <w:t xml:space="preserve">, the ‘split-sample’ technique is frequently used to perform both tests in the same patients. This approach is believed to disadvantage the technical performance of </w:t>
      </w:r>
      <w:r w:rsidRPr="00BB76D8">
        <w:t>LBC</w:t>
      </w:r>
      <w:r w:rsidRPr="00537C3C">
        <w:t xml:space="preserve"> as more cells are applied to the smear sample than rinsed into the </w:t>
      </w:r>
      <w:r w:rsidRPr="00BB76D8">
        <w:t>LBC</w:t>
      </w:r>
      <w:r w:rsidRPr="00537C3C">
        <w:t xml:space="preserve"> transport medium vial. Therefore, for the current review, randomised studies are believed to provide a more valid estimate of comparative accuracy than paired studies.</w:t>
      </w:r>
    </w:p>
    <w:p w:rsidR="00234376" w:rsidRPr="00537C3C" w:rsidRDefault="00234376">
      <w:pPr>
        <w:pStyle w:val="Heading2"/>
        <w:ind w:left="0"/>
      </w:pPr>
      <w:bookmarkStart w:id="196" w:name="_Toc95971067"/>
      <w:bookmarkStart w:id="197" w:name="_Toc241658166"/>
      <w:r w:rsidRPr="00537C3C">
        <w:t>Marketing status of the technology</w:t>
      </w:r>
      <w:bookmarkEnd w:id="196"/>
      <w:bookmarkEnd w:id="197"/>
    </w:p>
    <w:p w:rsidR="00234376" w:rsidRPr="00537C3C" w:rsidRDefault="00234376" w:rsidP="008E03A7">
      <w:r w:rsidRPr="00BB76D8">
        <w:t>LBC</w:t>
      </w:r>
      <w:r w:rsidRPr="00537C3C">
        <w:t xml:space="preserve"> tests with manual or automated slide reading are </w:t>
      </w:r>
      <w:r w:rsidRPr="00537C3C">
        <w:rPr>
          <w:i/>
        </w:rPr>
        <w:t>in vitro</w:t>
      </w:r>
      <w:r w:rsidRPr="00537C3C">
        <w:t xml:space="preserve"> diagnostic tests that are not of human origin and are therefore exempt from the regulatory requirements of the </w:t>
      </w:r>
      <w:r w:rsidRPr="001E08C1">
        <w:t>Therapeutic Goods Act 1989</w:t>
      </w:r>
      <w:r w:rsidRPr="00537C3C">
        <w:t xml:space="preserve">. These tests comply with </w:t>
      </w:r>
      <w:bookmarkStart w:id="198" w:name="OLE_LINK130"/>
      <w:bookmarkStart w:id="199" w:name="OLE_LINK131"/>
      <w:r w:rsidR="00304F70">
        <w:t xml:space="preserve">US </w:t>
      </w:r>
      <w:r w:rsidRPr="00537C3C">
        <w:t xml:space="preserve">FDA </w:t>
      </w:r>
      <w:bookmarkEnd w:id="198"/>
      <w:bookmarkEnd w:id="199"/>
      <w:r w:rsidRPr="00537C3C">
        <w:t xml:space="preserve">requirements in the </w:t>
      </w:r>
      <w:smartTag w:uri="urn:schemas-microsoft-com:office:smarttags" w:element="country-region">
        <w:r w:rsidRPr="00537C3C">
          <w:t>United States</w:t>
        </w:r>
      </w:smartTag>
      <w:r w:rsidRPr="00537C3C">
        <w:t xml:space="preserve"> and have received CE marking in </w:t>
      </w:r>
      <w:smartTag w:uri="urn:schemas-microsoft-com:office:smarttags" w:element="place">
        <w:r w:rsidRPr="00537C3C">
          <w:t>Europe</w:t>
        </w:r>
      </w:smartTag>
      <w:r w:rsidRPr="00537C3C">
        <w:t>.</w:t>
      </w:r>
    </w:p>
    <w:p w:rsidR="00234376" w:rsidRPr="00537C3C" w:rsidRDefault="00234376" w:rsidP="008E03A7">
      <w:r w:rsidRPr="00537C3C">
        <w:t xml:space="preserve">There are </w:t>
      </w:r>
      <w:r w:rsidR="00304F70">
        <w:t>m</w:t>
      </w:r>
      <w:r w:rsidRPr="00537C3C">
        <w:t xml:space="preserve">any currently marketed </w:t>
      </w:r>
      <w:r w:rsidRPr="00BB76D8">
        <w:t>LBC</w:t>
      </w:r>
      <w:r w:rsidRPr="00537C3C">
        <w:t xml:space="preserve"> preparation systems available. These systems use a variety of technical methods for storing and preparing the cervical cytology sample, some of which are patented. The ThinPrep Pap system (Cytyc Pty Ptd) includes a filtration method with membrane transfer to the slide. The SurePath and </w:t>
      </w:r>
      <w:bookmarkStart w:id="200" w:name="OLE_LINK132"/>
      <w:bookmarkStart w:id="201" w:name="OLE_LINK133"/>
      <w:r w:rsidRPr="00537C3C">
        <w:t xml:space="preserve">PrepStain </w:t>
      </w:r>
      <w:bookmarkEnd w:id="200"/>
      <w:bookmarkEnd w:id="201"/>
      <w:r w:rsidRPr="00537C3C">
        <w:t xml:space="preserve">system (Becton Dickinson Pty Ltd) uses a centrifugation system. The manufacturers </w:t>
      </w:r>
      <w:r w:rsidRPr="00537C3C">
        <w:lastRenderedPageBreak/>
        <w:t xml:space="preserve">assert that these technical differences translate into different performance characteristics for different </w:t>
      </w:r>
      <w:r w:rsidRPr="00BB76D8">
        <w:t>LBC</w:t>
      </w:r>
      <w:r w:rsidRPr="00537C3C">
        <w:t xml:space="preserve"> preparation systems.</w:t>
      </w:r>
    </w:p>
    <w:p w:rsidR="00234376" w:rsidRPr="00537C3C" w:rsidRDefault="00234376" w:rsidP="008E03A7">
      <w:r w:rsidRPr="00537C3C">
        <w:t xml:space="preserve">The only currently marketed fully integrated systems of </w:t>
      </w:r>
      <w:r w:rsidRPr="00BB76D8">
        <w:t>LBC</w:t>
      </w:r>
      <w:r w:rsidRPr="00537C3C">
        <w:t xml:space="preserve"> and automation-assisted screening are the Thin Prep® Pap Test and Imaging System (Cytyc Pty Ltd), and FocalPoint® automated screening of SurePath cytology (Becton Dickinson Pty Ltd, formerly TriPath Imaging Inc). The FocalPoint system can be used for automated screening of conventional or </w:t>
      </w:r>
      <w:r w:rsidRPr="00BB76D8">
        <w:t>LBC</w:t>
      </w:r>
      <w:r w:rsidRPr="00537C3C">
        <w:t xml:space="preserve"> slides. FocalPoint was previously marketed as AutoPap, an automated screening system for conventional Pap smears. Previously marketed systems used for automated screening for quality control include AutoCyte Screen and </w:t>
      </w:r>
      <w:bookmarkStart w:id="202" w:name="OLE_LINK134"/>
      <w:bookmarkStart w:id="203" w:name="OLE_LINK135"/>
      <w:r w:rsidRPr="00537C3C">
        <w:t>PapNet</w:t>
      </w:r>
      <w:bookmarkEnd w:id="202"/>
      <w:bookmarkEnd w:id="203"/>
      <w:r w:rsidRPr="00537C3C">
        <w:t>. These systems are no longer commercially available.</w:t>
      </w:r>
    </w:p>
    <w:p w:rsidR="00234376" w:rsidRPr="00537C3C" w:rsidRDefault="00234376">
      <w:pPr>
        <w:pStyle w:val="Heading2"/>
        <w:ind w:left="0"/>
      </w:pPr>
      <w:bookmarkStart w:id="204" w:name="_Toc95971068"/>
      <w:bookmarkStart w:id="205" w:name="_Toc241658167"/>
      <w:r w:rsidRPr="00537C3C">
        <w:t>Current reimbursement arrangement</w:t>
      </w:r>
      <w:bookmarkEnd w:id="204"/>
      <w:bookmarkEnd w:id="205"/>
    </w:p>
    <w:p w:rsidR="00234376" w:rsidRPr="00537C3C" w:rsidRDefault="00234376" w:rsidP="008E03A7">
      <w:pPr>
        <w:rPr>
          <w:rFonts w:cs="Arial"/>
          <w:szCs w:val="24"/>
        </w:rPr>
      </w:pPr>
      <w:r w:rsidRPr="00BB76D8">
        <w:t>LBC</w:t>
      </w:r>
      <w:r w:rsidRPr="00537C3C">
        <w:t xml:space="preserve"> and automated screening of cervical cytology are not listed on the </w:t>
      </w:r>
      <w:r w:rsidRPr="00537C3C">
        <w:rPr>
          <w:rFonts w:cs="Arial"/>
          <w:szCs w:val="24"/>
        </w:rPr>
        <w:t>Medicare Benefits Schedule (</w:t>
      </w:r>
      <w:r w:rsidRPr="00BB76D8">
        <w:rPr>
          <w:rFonts w:cs="Arial"/>
          <w:szCs w:val="24"/>
        </w:rPr>
        <w:t>MBS</w:t>
      </w:r>
      <w:r w:rsidRPr="00537C3C">
        <w:rPr>
          <w:rFonts w:cs="Arial"/>
          <w:szCs w:val="24"/>
        </w:rPr>
        <w:t>).</w:t>
      </w:r>
    </w:p>
    <w:p w:rsidR="00234376" w:rsidRPr="00537C3C" w:rsidRDefault="00234376" w:rsidP="008E03A7">
      <w:r w:rsidRPr="00BB76D8">
        <w:t>LBC</w:t>
      </w:r>
      <w:r w:rsidRPr="00537C3C">
        <w:t xml:space="preserve"> is currently provided by a number of pathology laboratories for a fee additional to the Medicare rebate, and is collected by the split-sample technique in conjunction with conventional Pap smears.</w:t>
      </w:r>
    </w:p>
    <w:p w:rsidR="00234376" w:rsidRPr="00537C3C" w:rsidRDefault="00234376" w:rsidP="008E03A7">
      <w:r w:rsidRPr="00537C3C">
        <w:t xml:space="preserve">Two current </w:t>
      </w:r>
      <w:r w:rsidRPr="00BB76D8">
        <w:t>MBS</w:t>
      </w:r>
      <w:r w:rsidRPr="00537C3C">
        <w:t xml:space="preserve"> items relate to cervical cancer screening:</w:t>
      </w:r>
    </w:p>
    <w:p w:rsidR="00234376" w:rsidRPr="00537C3C" w:rsidRDefault="00234376" w:rsidP="008E03A7">
      <w:r w:rsidRPr="00BB76D8">
        <w:rPr>
          <w:b/>
        </w:rPr>
        <w:t>MBS</w:t>
      </w:r>
      <w:r w:rsidRPr="00537C3C">
        <w:rPr>
          <w:b/>
        </w:rPr>
        <w:t xml:space="preserve"> 73053 (</w:t>
      </w:r>
      <w:r w:rsidRPr="00537C3C">
        <w:t>Fee = $19.60) Cytology of a smear from cervix where the smear is prepared by direct application of the specimen to a slide, excluding the use of liquid-based slide preparation techniques, and the stained smear is microscopically examined by or on behalf of a pathologist - each examination</w:t>
      </w:r>
    </w:p>
    <w:p w:rsidR="00234376" w:rsidRPr="00537C3C" w:rsidRDefault="00234376" w:rsidP="008E03A7">
      <w:pPr>
        <w:ind w:left="1701"/>
      </w:pPr>
      <w:r w:rsidRPr="00537C3C">
        <w:t>(a) for the detection of precancerous or cancerous changes in women with no symptoms, signs or recent history suggestive of cervical neoplasia, or</w:t>
      </w:r>
    </w:p>
    <w:p w:rsidR="00234376" w:rsidRPr="00537C3C" w:rsidRDefault="00234376" w:rsidP="008E03A7">
      <w:pPr>
        <w:ind w:left="1701"/>
      </w:pPr>
      <w:r w:rsidRPr="00537C3C">
        <w:t>(b) if a further specimen is taken due to an unsatisfactory smear taken for the purposes of paragraph (a); or</w:t>
      </w:r>
    </w:p>
    <w:p w:rsidR="00234376" w:rsidRPr="00537C3C" w:rsidRDefault="00234376" w:rsidP="008E03A7">
      <w:pPr>
        <w:ind w:left="1701"/>
      </w:pPr>
      <w:r w:rsidRPr="00537C3C">
        <w:t>(c) if there is inadequate information provided to use item 73055;</w:t>
      </w:r>
    </w:p>
    <w:p w:rsidR="00234376" w:rsidRPr="00537C3C" w:rsidRDefault="00234376" w:rsidP="008E03A7">
      <w:pPr>
        <w:pStyle w:val="NormalWeb"/>
        <w:keepNext/>
        <w:keepLines/>
        <w:spacing w:before="0" w:beforeAutospacing="0" w:after="0" w:afterAutospacing="0"/>
        <w:ind w:left="720"/>
        <w:rPr>
          <w:rFonts w:ascii="Garamond" w:hAnsi="Garamond"/>
          <w:color w:val="auto"/>
          <w:szCs w:val="20"/>
          <w:lang w:val="en-AU"/>
        </w:rPr>
      </w:pPr>
      <w:r w:rsidRPr="00BB76D8">
        <w:rPr>
          <w:rFonts w:ascii="Garamond" w:hAnsi="Garamond"/>
          <w:b/>
          <w:color w:val="auto"/>
          <w:szCs w:val="20"/>
          <w:lang w:val="en-AU"/>
        </w:rPr>
        <w:t>MBS</w:t>
      </w:r>
      <w:r w:rsidRPr="00537C3C">
        <w:rPr>
          <w:rFonts w:ascii="Garamond" w:hAnsi="Garamond"/>
          <w:b/>
          <w:color w:val="auto"/>
          <w:szCs w:val="20"/>
          <w:lang w:val="en-AU"/>
        </w:rPr>
        <w:t xml:space="preserve"> 73055</w:t>
      </w:r>
      <w:r w:rsidRPr="00537C3C">
        <w:rPr>
          <w:rFonts w:ascii="Garamond" w:hAnsi="Garamond"/>
          <w:color w:val="auto"/>
          <w:szCs w:val="20"/>
          <w:lang w:val="en-AU"/>
        </w:rPr>
        <w:t xml:space="preserve"> (Fee $19.60) Cytology of a smear from cervix, not associated with item 73053, where the smear is prepared by direct application of the specimen to a slide, excluding the use of liquid-based slide preparation techniques, and the stained smear is microscopically examined by or on behalf of a pathologist - each test</w:t>
      </w:r>
    </w:p>
    <w:p w:rsidR="00234376" w:rsidRPr="00537C3C" w:rsidRDefault="00234376" w:rsidP="008E03A7">
      <w:pPr>
        <w:pStyle w:val="NormalWeb"/>
        <w:keepNext/>
        <w:keepLines/>
        <w:spacing w:before="0" w:beforeAutospacing="0" w:after="0" w:afterAutospacing="0"/>
        <w:ind w:left="720"/>
        <w:rPr>
          <w:rFonts w:ascii="Garamond" w:hAnsi="Garamond"/>
          <w:color w:val="auto"/>
          <w:szCs w:val="20"/>
          <w:lang w:val="en-AU"/>
        </w:rPr>
      </w:pPr>
    </w:p>
    <w:p w:rsidR="00234376" w:rsidRPr="00537C3C" w:rsidRDefault="00234376" w:rsidP="008E03A7">
      <w:pPr>
        <w:ind w:left="1701"/>
      </w:pPr>
      <w:r w:rsidRPr="00537C3C">
        <w:t>(a) for the management of previously detected abnormalities including precancerous or cancerous conditions; or</w:t>
      </w:r>
    </w:p>
    <w:p w:rsidR="00234376" w:rsidRPr="00537C3C" w:rsidRDefault="00234376" w:rsidP="008E03A7">
      <w:pPr>
        <w:ind w:left="1701"/>
      </w:pPr>
      <w:r w:rsidRPr="00537C3C">
        <w:t>(b) for the investigation of women with symptoms, signs or recent history suggestive of cervical neoplasia;</w:t>
      </w:r>
    </w:p>
    <w:p w:rsidR="00234376" w:rsidRPr="00537C3C" w:rsidRDefault="00234376" w:rsidP="008E03A7">
      <w:pPr>
        <w:pStyle w:val="Heading2"/>
        <w:ind w:left="0"/>
      </w:pPr>
      <w:bookmarkStart w:id="206" w:name="_Toc95971069"/>
      <w:bookmarkStart w:id="207" w:name="_Toc241658168"/>
      <w:r w:rsidRPr="00BB76D8">
        <w:t>MSAC</w:t>
      </w:r>
      <w:r w:rsidRPr="00537C3C">
        <w:t xml:space="preserve"> 2002 and 2003 reviews</w:t>
      </w:r>
      <w:bookmarkEnd w:id="206"/>
      <w:bookmarkEnd w:id="207"/>
    </w:p>
    <w:p w:rsidR="00234376" w:rsidRPr="00537C3C" w:rsidRDefault="00234376" w:rsidP="008E03A7">
      <w:r w:rsidRPr="00537C3C">
        <w:t xml:space="preserve">A summary of the previous reviews is presented in Appendix D. </w:t>
      </w:r>
      <w:r w:rsidRPr="00BB76D8">
        <w:t>MSAC</w:t>
      </w:r>
      <w:r w:rsidRPr="00537C3C">
        <w:t xml:space="preserve"> assessed </w:t>
      </w:r>
      <w:r w:rsidRPr="00BB76D8">
        <w:t>LBC</w:t>
      </w:r>
      <w:r w:rsidRPr="00537C3C">
        <w:t xml:space="preserve"> as a replacement for Pap tests in 2002 and found insufficient evidence to conclude that it </w:t>
      </w:r>
      <w:r w:rsidRPr="00537C3C">
        <w:lastRenderedPageBreak/>
        <w:t xml:space="preserve">was more effective than Pap tests </w:t>
      </w:r>
      <w:r w:rsidRPr="00537C3C">
        <w:fldChar w:fldCharType="begin"/>
      </w:r>
      <w:r w:rsidRPr="00537C3C">
        <w:instrText xml:space="preserve"> ADDIN REFMGR.CITE &lt;Refman&gt;&lt;Cite&gt;&lt;Author&gt;Medical Services Advisory Committee&lt;/Author&gt;&lt;Year&gt;2002&lt;/Year&gt;&lt;RecNum&gt;2850&lt;/RecNum&gt;&lt;IDText&gt;Liquid based cytology for cervical screening&lt;/IDText&gt;&lt;Suffix&gt;; reference 12a&lt;/Suffix&gt;&lt;MDL Ref_Type="Report"&gt;&lt;Ref_Type&gt;Report&lt;/Ref_Type&gt;&lt;Ref_ID&gt;2850&lt;/Ref_ID&gt;&lt;Title_Primary&gt;Liquid based cytology for cervical screening&lt;/Title_Primary&gt;&lt;Authors_Primary&gt;Medical Services Advisory Committee&lt;/Authors_Primary&gt;&lt;Date_Primary&gt;2002&lt;/Date_Primary&gt;&lt;Reprint&gt;In File&lt;/Reprint&gt;&lt;Volume&gt;Reference 12a&lt;/Volume&gt;&lt;Pub_Place&gt;Canberra&lt;/Pub_Place&gt;&lt;Publisher&gt;Commonwealth of Australia&lt;/Publisher&gt;&lt;Web_URL&gt;&lt;u&gt;www.msac.gov.au&lt;/u&gt;&lt;/Web_URL&gt;&lt;ZZ_WorkformID&gt;24&lt;/ZZ_WorkformID&gt;&lt;/MDL&gt;&lt;/Cite&gt;&lt;/Refman&gt;</w:instrText>
      </w:r>
      <w:r w:rsidRPr="00537C3C">
        <w:fldChar w:fldCharType="separate"/>
      </w:r>
      <w:r w:rsidRPr="00537C3C">
        <w:t>(Medical Services Advisory Committee 2002b; reference 12a)</w:t>
      </w:r>
      <w:r w:rsidRPr="00537C3C">
        <w:fldChar w:fldCharType="end"/>
      </w:r>
      <w:r w:rsidRPr="00537C3C">
        <w:t>.</w:t>
      </w:r>
    </w:p>
    <w:p w:rsidR="00234376" w:rsidRPr="00537C3C" w:rsidRDefault="00234376" w:rsidP="008E03A7">
      <w:r w:rsidRPr="00537C3C">
        <w:t xml:space="preserve">In 2003, </w:t>
      </w:r>
      <w:r w:rsidRPr="00BB76D8">
        <w:t>MSAC</w:t>
      </w:r>
      <w:r w:rsidRPr="00537C3C">
        <w:t xml:space="preserve"> reviewed the evidence for computer-assisted image analysis for cervical screening cytology in the context of primary screening, rescreening and triage (reference 12c). The review found that there was a lack of evidence that computer-assisted image analysis was as effective as conventional manual screening. </w:t>
      </w:r>
      <w:r w:rsidRPr="00BB76D8">
        <w:t>MSAC</w:t>
      </w:r>
      <w:r w:rsidRPr="00537C3C">
        <w:t xml:space="preserve"> concluded that there was insufficient evidence to draw conclusions on the appropriate use of computer-assisted image analysis, and there was no change to funding arrangements.</w:t>
      </w:r>
    </w:p>
    <w:p w:rsidR="00234376" w:rsidRPr="00537C3C" w:rsidRDefault="00234376">
      <w:pPr>
        <w:pStyle w:val="Heading1"/>
        <w:ind w:left="0"/>
      </w:pPr>
      <w:bookmarkStart w:id="208" w:name="_Toc95971070"/>
      <w:bookmarkStart w:id="209" w:name="_Toc241658169"/>
      <w:r w:rsidRPr="00537C3C">
        <w:lastRenderedPageBreak/>
        <w:t>Approach to assessment</w:t>
      </w:r>
      <w:bookmarkEnd w:id="208"/>
      <w:bookmarkEnd w:id="209"/>
    </w:p>
    <w:p w:rsidR="00234376" w:rsidRPr="00537C3C" w:rsidRDefault="00234376">
      <w:pPr>
        <w:pStyle w:val="Heading2"/>
        <w:ind w:left="0"/>
      </w:pPr>
      <w:bookmarkStart w:id="210" w:name="_Toc95971071"/>
      <w:bookmarkStart w:id="211" w:name="_Toc241658170"/>
      <w:r w:rsidRPr="00537C3C">
        <w:t>Research question</w:t>
      </w:r>
      <w:bookmarkEnd w:id="210"/>
      <w:bookmarkEnd w:id="211"/>
    </w:p>
    <w:p w:rsidR="00234376" w:rsidRPr="00D532BF" w:rsidRDefault="00234376" w:rsidP="008E03A7">
      <w:r w:rsidRPr="00537C3C">
        <w:t xml:space="preserve">Evaluators from the </w:t>
      </w:r>
      <w:r w:rsidRPr="006C24DD">
        <w:t>NHMRC</w:t>
      </w:r>
      <w:r w:rsidRPr="00537C3C">
        <w:t xml:space="preserve"> Clinical Trials Centre, in collaboration with researchers from Cancer Council </w:t>
      </w:r>
      <w:r w:rsidRPr="00BB76D8">
        <w:t>NSW</w:t>
      </w:r>
      <w:r w:rsidRPr="00537C3C">
        <w:t xml:space="preserve"> and the Screening and Test Evaluation Program at the </w:t>
      </w:r>
      <w:smartTag w:uri="urn:schemas-microsoft-com:office:smarttags" w:element="place">
        <w:smartTag w:uri="urn:schemas-microsoft-com:office:smarttags" w:element="PlaceType">
          <w:r w:rsidRPr="00D532BF">
            <w:t>University</w:t>
          </w:r>
        </w:smartTag>
        <w:r w:rsidRPr="00D532BF">
          <w:t xml:space="preserve"> of </w:t>
        </w:r>
        <w:smartTag w:uri="urn:schemas-microsoft-com:office:smarttags" w:element="PlaceName">
          <w:r w:rsidRPr="00D532BF">
            <w:t>Sydney</w:t>
          </w:r>
        </w:smartTag>
      </w:smartTag>
      <w:r w:rsidRPr="00D532BF">
        <w:t xml:space="preserve">, worked with members of the Advisory Panel to develop research questions to assess the value of LBC and automated systems for slide reading in cervical cancer screening. These questions were formulated </w:t>
      </w:r>
      <w:r w:rsidRPr="00D532BF">
        <w:rPr>
          <w:i/>
        </w:rPr>
        <w:t>a priori</w:t>
      </w:r>
      <w:r w:rsidRPr="00D532BF">
        <w:t xml:space="preserve"> from information provided in the applications and by the Advisory Panel using flow charts to depict current guidelines for management of screen-detected cervical cancer abnormalities (</w:t>
      </w:r>
      <w:r w:rsidRPr="00D532BF">
        <w:fldChar w:fldCharType="begin"/>
      </w:r>
      <w:r w:rsidRPr="00D532BF">
        <w:instrText xml:space="preserve"> REF _Ref199566181 \h  \* MERGEFORMAT </w:instrText>
      </w:r>
      <w:r w:rsidR="007D3DFF">
        <w:fldChar w:fldCharType="separate"/>
      </w:r>
      <w:r w:rsidR="007D3DFF">
        <w:rPr>
          <w:b/>
          <w:bCs/>
          <w:lang w:val="en-US"/>
        </w:rPr>
        <w:t>Error! Reference source not found.</w:t>
      </w:r>
      <w:r w:rsidRPr="00D532BF">
        <w:fldChar w:fldCharType="end"/>
      </w:r>
      <w:r w:rsidRPr="00D532BF">
        <w:t xml:space="preserve">, page </w:t>
      </w:r>
      <w:r w:rsidRPr="00D532BF">
        <w:fldChar w:fldCharType="begin"/>
      </w:r>
      <w:r w:rsidRPr="00D532BF">
        <w:instrText xml:space="preserve"> PAGEREF _Ref190504445 \h </w:instrText>
      </w:r>
      <w:r w:rsidRPr="00D532BF">
        <w:fldChar w:fldCharType="separate"/>
      </w:r>
      <w:r w:rsidR="007D3DFF">
        <w:rPr>
          <w:b/>
          <w:bCs/>
          <w:noProof/>
          <w:lang w:val="en-US"/>
        </w:rPr>
        <w:t>Error! Bookmark not defined.</w:t>
      </w:r>
      <w:r w:rsidRPr="00D532BF">
        <w:fldChar w:fldCharType="end"/>
      </w:r>
      <w:r w:rsidRPr="00D532BF">
        <w:t>).</w:t>
      </w:r>
    </w:p>
    <w:p w:rsidR="00234376" w:rsidRPr="00D532BF" w:rsidRDefault="00234376" w:rsidP="00B94BF8">
      <w:pPr>
        <w:pStyle w:val="Heading3a"/>
      </w:pPr>
      <w:r w:rsidRPr="00D532BF">
        <w:t>Primary research question</w:t>
      </w:r>
    </w:p>
    <w:p w:rsidR="00234376" w:rsidRPr="00D532BF" w:rsidRDefault="00234376" w:rsidP="008E03A7">
      <w:r w:rsidRPr="00D532BF">
        <w:t>What is the safety, effectiveness and cost-effectiveness of liquid-based cytology using automated image analysis systems in comparison to manual reading of conventionally prepared Pap smear cytology samples for the screening and diagnosis of cervical cancer?</w:t>
      </w:r>
    </w:p>
    <w:p w:rsidR="00234376" w:rsidRPr="00D532BF" w:rsidRDefault="00234376" w:rsidP="00B94BF8">
      <w:pPr>
        <w:pStyle w:val="Heading3a"/>
      </w:pPr>
      <w:r w:rsidRPr="00D532BF">
        <w:t>Secondary research questions</w:t>
      </w:r>
    </w:p>
    <w:p w:rsidR="00234376" w:rsidRPr="00D532BF" w:rsidRDefault="00234376" w:rsidP="008E03A7">
      <w:r w:rsidRPr="00D532BF">
        <w:t>What is the safety, effectiveness and cost-effectiveness of liquid-based cytology compared to conventionally prepared Pap smear cytology samples when manual reading of slides is used?</w:t>
      </w:r>
    </w:p>
    <w:p w:rsidR="00234376" w:rsidRPr="00D532BF" w:rsidRDefault="00234376" w:rsidP="008E03A7">
      <w:r w:rsidRPr="00D532BF">
        <w:t>What is the safety, effectiveness and cost-effectiveness of automated image analysis systems in comparison to manual reading of conventionally prepared Pap smear cytology samples?</w:t>
      </w:r>
    </w:p>
    <w:p w:rsidR="00234376" w:rsidRPr="00D532BF" w:rsidRDefault="00234376" w:rsidP="00B94BF8">
      <w:pPr>
        <w:pStyle w:val="Heading3a"/>
      </w:pPr>
      <w:r w:rsidRPr="00D532BF">
        <w:t>Additional research question</w:t>
      </w:r>
    </w:p>
    <w:p w:rsidR="00234376" w:rsidRPr="00D532BF" w:rsidRDefault="00234376" w:rsidP="008E03A7">
      <w:r w:rsidRPr="00D532BF">
        <w:t>The following question was added to the assessment following the review of the results from the initial primary and secondary research questions.</w:t>
      </w:r>
    </w:p>
    <w:p w:rsidR="00234376" w:rsidRPr="00537C3C" w:rsidRDefault="00234376" w:rsidP="008E03A7">
      <w:r w:rsidRPr="00D532BF">
        <w:t>What is the safety, effectiveness and cost-effectiveness of LBC using automated image analysis systems compared to manual reading of LBC?</w:t>
      </w:r>
    </w:p>
    <w:p w:rsidR="00234376" w:rsidRPr="00537C3C" w:rsidRDefault="00234376" w:rsidP="008E03A7">
      <w:pPr>
        <w:pStyle w:val="Heading2"/>
        <w:ind w:left="0"/>
      </w:pPr>
      <w:bookmarkStart w:id="212" w:name="_Toc125363264"/>
      <w:bookmarkStart w:id="213" w:name="_Toc142967828"/>
      <w:bookmarkStart w:id="214" w:name="_Toc144284153"/>
      <w:bookmarkStart w:id="215" w:name="_Toc150137614"/>
      <w:bookmarkStart w:id="216" w:name="_Toc170913848"/>
      <w:bookmarkStart w:id="217" w:name="_Toc95971072"/>
      <w:bookmarkStart w:id="218" w:name="_Toc241658171"/>
      <w:r w:rsidRPr="00537C3C">
        <w:t>Assessment strategy</w:t>
      </w:r>
      <w:bookmarkEnd w:id="212"/>
      <w:bookmarkEnd w:id="213"/>
      <w:bookmarkEnd w:id="214"/>
      <w:bookmarkEnd w:id="215"/>
      <w:bookmarkEnd w:id="216"/>
      <w:bookmarkEnd w:id="217"/>
      <w:bookmarkEnd w:id="218"/>
    </w:p>
    <w:p w:rsidR="00234376" w:rsidRPr="00537C3C" w:rsidRDefault="00234376" w:rsidP="008E03A7">
      <w:r w:rsidRPr="00537C3C">
        <w:t xml:space="preserve">The evaluation team conducted systematic reviews of the medical literature to address these review questions. In the absence of RCTs to directly assess the impact of these technologies on patient outcomes, this review included studies that compared </w:t>
      </w:r>
      <w:r w:rsidRPr="00BB76D8">
        <w:t>LBC</w:t>
      </w:r>
      <w:r w:rsidRPr="00537C3C">
        <w:t xml:space="preserve"> or automation-assisted reading of slides to conventional Pap smear cytology with manual reading and reported on one or more of the following outcomes:</w:t>
      </w:r>
    </w:p>
    <w:p w:rsidR="00234376" w:rsidRPr="00537C3C" w:rsidRDefault="00234376" w:rsidP="008E03A7">
      <w:pPr>
        <w:pStyle w:val="TableText"/>
        <w:numPr>
          <w:ilvl w:val="0"/>
          <w:numId w:val="7"/>
        </w:numPr>
        <w:spacing w:before="0" w:after="0"/>
        <w:rPr>
          <w:rFonts w:ascii="Garamond" w:hAnsi="Garamond"/>
          <w:snapToGrid w:val="0"/>
          <w:sz w:val="24"/>
          <w:szCs w:val="24"/>
        </w:rPr>
      </w:pPr>
      <w:r w:rsidRPr="00537C3C">
        <w:rPr>
          <w:rFonts w:ascii="Garamond" w:hAnsi="Garamond"/>
          <w:snapToGrid w:val="0"/>
          <w:sz w:val="24"/>
          <w:szCs w:val="24"/>
        </w:rPr>
        <w:lastRenderedPageBreak/>
        <w:t>Diagnostic sensitivity and specificity, or the ratio of true positive (TP) to false positive (FP) findings, or the incremental rate of TPs, for detection of precancerous high-grade cervical lesions (</w:t>
      </w:r>
      <w:r w:rsidRPr="00BB76D8">
        <w:rPr>
          <w:rFonts w:ascii="Garamond" w:hAnsi="Garamond"/>
          <w:snapToGrid w:val="0"/>
          <w:sz w:val="24"/>
          <w:szCs w:val="24"/>
        </w:rPr>
        <w:t>CIN</w:t>
      </w:r>
      <w:r w:rsidRPr="00537C3C">
        <w:rPr>
          <w:rFonts w:ascii="Garamond" w:hAnsi="Garamond"/>
          <w:snapToGrid w:val="0"/>
          <w:sz w:val="24"/>
          <w:szCs w:val="24"/>
        </w:rPr>
        <w:t xml:space="preserve"> 2+, </w:t>
      </w:r>
      <w:r w:rsidRPr="00BB76D8">
        <w:rPr>
          <w:rFonts w:ascii="Garamond" w:hAnsi="Garamond"/>
          <w:snapToGrid w:val="0"/>
          <w:sz w:val="24"/>
          <w:szCs w:val="24"/>
        </w:rPr>
        <w:t>CIN</w:t>
      </w:r>
      <w:r w:rsidRPr="00537C3C">
        <w:rPr>
          <w:rFonts w:ascii="Garamond" w:hAnsi="Garamond"/>
          <w:snapToGrid w:val="0"/>
          <w:sz w:val="24"/>
          <w:szCs w:val="24"/>
        </w:rPr>
        <w:t xml:space="preserve"> 3+, </w:t>
      </w:r>
      <w:r w:rsidRPr="006C24DD">
        <w:rPr>
          <w:rFonts w:ascii="Garamond" w:hAnsi="Garamond"/>
          <w:snapToGrid w:val="0"/>
          <w:sz w:val="24"/>
          <w:szCs w:val="24"/>
        </w:rPr>
        <w:t xml:space="preserve">AIS [adenocarcinoma </w:t>
      </w:r>
      <w:r w:rsidRPr="00234376">
        <w:rPr>
          <w:rFonts w:ascii="Garamond" w:hAnsi="Garamond"/>
          <w:i/>
          <w:snapToGrid w:val="0"/>
          <w:sz w:val="24"/>
          <w:szCs w:val="24"/>
        </w:rPr>
        <w:t>in situ</w:t>
      </w:r>
      <w:r w:rsidRPr="006C24DD">
        <w:rPr>
          <w:rFonts w:ascii="Garamond" w:hAnsi="Garamond"/>
          <w:snapToGrid w:val="0"/>
          <w:sz w:val="24"/>
          <w:szCs w:val="24"/>
        </w:rPr>
        <w:t>]</w:t>
      </w:r>
      <w:r w:rsidRPr="00537C3C">
        <w:rPr>
          <w:rFonts w:ascii="Garamond" w:hAnsi="Garamond"/>
          <w:snapToGrid w:val="0"/>
          <w:sz w:val="24"/>
          <w:szCs w:val="24"/>
        </w:rPr>
        <w:t xml:space="preserve">) in women with a possible or definite </w:t>
      </w:r>
      <w:r w:rsidRPr="00BB76D8">
        <w:rPr>
          <w:rFonts w:ascii="Garamond" w:hAnsi="Garamond"/>
          <w:snapToGrid w:val="0"/>
          <w:sz w:val="24"/>
          <w:szCs w:val="24"/>
        </w:rPr>
        <w:t>HSIL</w:t>
      </w:r>
      <w:r w:rsidRPr="00537C3C">
        <w:rPr>
          <w:rFonts w:ascii="Garamond" w:hAnsi="Garamond"/>
          <w:snapToGrid w:val="0"/>
          <w:sz w:val="24"/>
          <w:szCs w:val="24"/>
        </w:rPr>
        <w:t xml:space="preserve"> cytology result</w:t>
      </w:r>
    </w:p>
    <w:p w:rsidR="00234376" w:rsidRPr="00537C3C" w:rsidRDefault="00234376" w:rsidP="008E03A7">
      <w:pPr>
        <w:pStyle w:val="TableText"/>
        <w:spacing w:before="0" w:after="0"/>
        <w:rPr>
          <w:rFonts w:ascii="Garamond" w:hAnsi="Garamond"/>
          <w:snapToGrid w:val="0"/>
          <w:sz w:val="24"/>
          <w:szCs w:val="24"/>
        </w:rPr>
      </w:pPr>
    </w:p>
    <w:p w:rsidR="00234376" w:rsidRPr="00537C3C" w:rsidRDefault="00234376" w:rsidP="008E03A7">
      <w:pPr>
        <w:pStyle w:val="TableText"/>
        <w:numPr>
          <w:ilvl w:val="0"/>
          <w:numId w:val="7"/>
        </w:numPr>
        <w:spacing w:before="0" w:after="0"/>
        <w:rPr>
          <w:rFonts w:ascii="Garamond" w:hAnsi="Garamond"/>
          <w:snapToGrid w:val="0"/>
          <w:sz w:val="24"/>
          <w:szCs w:val="24"/>
        </w:rPr>
      </w:pPr>
      <w:r w:rsidRPr="00537C3C">
        <w:rPr>
          <w:rFonts w:ascii="Garamond" w:hAnsi="Garamond"/>
          <w:snapToGrid w:val="0"/>
          <w:sz w:val="24"/>
          <w:szCs w:val="24"/>
        </w:rPr>
        <w:t>Changes in management</w:t>
      </w:r>
    </w:p>
    <w:p w:rsidR="00234376" w:rsidRPr="00537C3C" w:rsidRDefault="00234376" w:rsidP="008E03A7">
      <w:pPr>
        <w:pStyle w:val="TableText"/>
        <w:ind w:left="1492"/>
        <w:rPr>
          <w:rFonts w:ascii="Garamond" w:hAnsi="Garamond"/>
          <w:snapToGrid w:val="0"/>
          <w:sz w:val="24"/>
          <w:szCs w:val="24"/>
        </w:rPr>
      </w:pPr>
    </w:p>
    <w:p w:rsidR="00234376" w:rsidRPr="00537C3C" w:rsidRDefault="00234376" w:rsidP="008E03A7">
      <w:pPr>
        <w:pStyle w:val="TableText"/>
        <w:numPr>
          <w:ilvl w:val="0"/>
          <w:numId w:val="7"/>
        </w:numPr>
        <w:spacing w:before="0" w:after="0"/>
        <w:rPr>
          <w:rFonts w:ascii="Garamond" w:hAnsi="Garamond"/>
          <w:snapToGrid w:val="0"/>
          <w:sz w:val="24"/>
          <w:szCs w:val="24"/>
        </w:rPr>
      </w:pPr>
      <w:r w:rsidRPr="00537C3C">
        <w:rPr>
          <w:rFonts w:ascii="Garamond" w:hAnsi="Garamond"/>
          <w:snapToGrid w:val="0"/>
          <w:sz w:val="24"/>
          <w:szCs w:val="24"/>
        </w:rPr>
        <w:t>Patient outcomes:</w:t>
      </w:r>
    </w:p>
    <w:p w:rsidR="00234376" w:rsidRPr="00537C3C" w:rsidRDefault="00234376" w:rsidP="008E03A7">
      <w:pPr>
        <w:pStyle w:val="TableText"/>
        <w:numPr>
          <w:ilvl w:val="3"/>
          <w:numId w:val="7"/>
        </w:numPr>
        <w:spacing w:before="0" w:after="0"/>
        <w:rPr>
          <w:rFonts w:ascii="Garamond" w:hAnsi="Garamond"/>
          <w:snapToGrid w:val="0"/>
          <w:sz w:val="24"/>
          <w:szCs w:val="24"/>
        </w:rPr>
      </w:pPr>
      <w:r w:rsidRPr="00537C3C">
        <w:rPr>
          <w:rFonts w:ascii="Garamond" w:hAnsi="Garamond"/>
          <w:snapToGrid w:val="0"/>
          <w:sz w:val="24"/>
          <w:szCs w:val="24"/>
        </w:rPr>
        <w:t>quality of life</w:t>
      </w:r>
      <w:r w:rsidRPr="00537C3C" w:rsidDel="00B94BF8">
        <w:rPr>
          <w:rFonts w:ascii="Garamond" w:hAnsi="Garamond"/>
          <w:snapToGrid w:val="0"/>
          <w:sz w:val="24"/>
          <w:szCs w:val="24"/>
        </w:rPr>
        <w:t>—</w:t>
      </w:r>
      <w:r w:rsidRPr="00537C3C">
        <w:rPr>
          <w:rFonts w:ascii="Garamond" w:hAnsi="Garamond"/>
          <w:snapToGrid w:val="0"/>
          <w:sz w:val="24"/>
          <w:szCs w:val="24"/>
        </w:rPr>
        <w:t>patient preference, satisfaction, psychological distress or anxiety</w:t>
      </w:r>
    </w:p>
    <w:p w:rsidR="00234376" w:rsidRPr="00537C3C" w:rsidRDefault="00234376" w:rsidP="008E03A7">
      <w:pPr>
        <w:pStyle w:val="TableText"/>
        <w:numPr>
          <w:ilvl w:val="3"/>
          <w:numId w:val="7"/>
        </w:numPr>
        <w:spacing w:before="0" w:after="0"/>
        <w:rPr>
          <w:rFonts w:ascii="Garamond" w:hAnsi="Garamond"/>
          <w:snapToGrid w:val="0"/>
          <w:sz w:val="24"/>
          <w:szCs w:val="24"/>
        </w:rPr>
      </w:pPr>
      <w:r w:rsidRPr="00537C3C">
        <w:rPr>
          <w:rFonts w:ascii="Garamond" w:hAnsi="Garamond"/>
          <w:snapToGrid w:val="0"/>
          <w:sz w:val="24"/>
          <w:szCs w:val="24"/>
        </w:rPr>
        <w:t>patient compliance</w:t>
      </w:r>
    </w:p>
    <w:p w:rsidR="00234376" w:rsidRPr="00537C3C" w:rsidRDefault="00234376" w:rsidP="008E03A7">
      <w:pPr>
        <w:pStyle w:val="TableText"/>
        <w:numPr>
          <w:ilvl w:val="3"/>
          <w:numId w:val="7"/>
        </w:numPr>
        <w:spacing w:before="0" w:after="0"/>
        <w:rPr>
          <w:rFonts w:ascii="Garamond" w:hAnsi="Garamond"/>
          <w:snapToGrid w:val="0"/>
          <w:sz w:val="24"/>
          <w:szCs w:val="24"/>
        </w:rPr>
      </w:pPr>
      <w:r w:rsidRPr="00537C3C">
        <w:rPr>
          <w:rFonts w:ascii="Garamond" w:hAnsi="Garamond"/>
          <w:snapToGrid w:val="0"/>
          <w:sz w:val="24"/>
          <w:szCs w:val="24"/>
        </w:rPr>
        <w:t>safety—adverse events, avoidance of unnecessary treatments</w:t>
      </w:r>
    </w:p>
    <w:p w:rsidR="00234376" w:rsidRPr="00537C3C" w:rsidRDefault="00234376" w:rsidP="008E03A7">
      <w:pPr>
        <w:pStyle w:val="TableText"/>
        <w:numPr>
          <w:ilvl w:val="3"/>
          <w:numId w:val="7"/>
        </w:numPr>
        <w:spacing w:before="0" w:after="0"/>
        <w:rPr>
          <w:rFonts w:ascii="Garamond" w:hAnsi="Garamond"/>
          <w:snapToGrid w:val="0"/>
          <w:sz w:val="24"/>
          <w:szCs w:val="24"/>
        </w:rPr>
      </w:pPr>
      <w:r w:rsidRPr="00537C3C">
        <w:rPr>
          <w:rFonts w:ascii="Garamond" w:hAnsi="Garamond"/>
          <w:snapToGrid w:val="0"/>
          <w:sz w:val="24"/>
          <w:szCs w:val="24"/>
        </w:rPr>
        <w:t>incidence of cervical cancer</w:t>
      </w:r>
    </w:p>
    <w:p w:rsidR="00234376" w:rsidRPr="00537C3C" w:rsidRDefault="00234376" w:rsidP="008E03A7">
      <w:pPr>
        <w:pStyle w:val="TableText"/>
        <w:numPr>
          <w:ilvl w:val="3"/>
          <w:numId w:val="7"/>
        </w:numPr>
        <w:spacing w:before="0" w:after="0"/>
        <w:rPr>
          <w:rFonts w:ascii="Garamond" w:hAnsi="Garamond"/>
          <w:snapToGrid w:val="0"/>
          <w:sz w:val="24"/>
          <w:szCs w:val="24"/>
        </w:rPr>
      </w:pPr>
      <w:r w:rsidRPr="00537C3C">
        <w:rPr>
          <w:rFonts w:ascii="Garamond" w:hAnsi="Garamond"/>
          <w:snapToGrid w:val="0"/>
          <w:sz w:val="24"/>
          <w:szCs w:val="24"/>
        </w:rPr>
        <w:t>overall survival</w:t>
      </w:r>
    </w:p>
    <w:p w:rsidR="00234376" w:rsidRPr="00537C3C" w:rsidRDefault="00234376" w:rsidP="008E03A7">
      <w:pPr>
        <w:pStyle w:val="TableText"/>
        <w:numPr>
          <w:ilvl w:val="3"/>
          <w:numId w:val="7"/>
        </w:numPr>
        <w:spacing w:before="0" w:after="0"/>
        <w:rPr>
          <w:rFonts w:ascii="Garamond" w:hAnsi="Garamond"/>
          <w:snapToGrid w:val="0"/>
          <w:sz w:val="24"/>
          <w:szCs w:val="24"/>
        </w:rPr>
      </w:pPr>
      <w:r w:rsidRPr="00537C3C">
        <w:rPr>
          <w:rFonts w:ascii="Garamond" w:hAnsi="Garamond"/>
          <w:snapToGrid w:val="0"/>
          <w:sz w:val="24"/>
          <w:szCs w:val="24"/>
        </w:rPr>
        <w:t>cervical cancer–specific mortality.</w:t>
      </w:r>
    </w:p>
    <w:p w:rsidR="00234376" w:rsidRPr="00537C3C" w:rsidRDefault="00234376" w:rsidP="008E03A7">
      <w:pPr>
        <w:rPr>
          <w:snapToGrid w:val="0"/>
        </w:rPr>
      </w:pPr>
    </w:p>
    <w:p w:rsidR="00234376" w:rsidRPr="00537C3C" w:rsidRDefault="00234376" w:rsidP="008E03A7">
      <w:pPr>
        <w:rPr>
          <w:snapToGrid w:val="0"/>
        </w:rPr>
      </w:pPr>
      <w:r w:rsidRPr="00537C3C">
        <w:rPr>
          <w:snapToGrid w:val="0"/>
        </w:rPr>
        <w:t xml:space="preserve">Additional outcomes extracted from studies that reported one or more of the above outcomes included unsatisfactory rates, process outcomes such as analysis time, and accuracy at a test threshold of possible or definitive </w:t>
      </w:r>
      <w:r w:rsidRPr="00BB76D8">
        <w:rPr>
          <w:snapToGrid w:val="0"/>
        </w:rPr>
        <w:t>LSIL or HSIL</w:t>
      </w:r>
      <w:r w:rsidRPr="00537C3C">
        <w:rPr>
          <w:snapToGrid w:val="0"/>
        </w:rPr>
        <w:t>.</w:t>
      </w:r>
    </w:p>
    <w:p w:rsidR="00234376" w:rsidRPr="00537C3C" w:rsidRDefault="00234376" w:rsidP="008E03A7">
      <w:r w:rsidRPr="00537C3C">
        <w:t xml:space="preserve">A comprehensive model of screening, diagnosis and treatment of cervical cancer was also developed to estimate the relative effectiveness and cost-effectiveness of incorporating these technologies into the screening program, based on the test characteristics determined by the results of this literature review (page </w:t>
      </w:r>
      <w:r w:rsidRPr="00537C3C">
        <w:fldChar w:fldCharType="begin"/>
      </w:r>
      <w:r w:rsidRPr="00537C3C">
        <w:instrText xml:space="preserve"> PAGEREF _Ref208306526 \h </w:instrText>
      </w:r>
      <w:r w:rsidRPr="00537C3C">
        <w:fldChar w:fldCharType="separate"/>
      </w:r>
      <w:r w:rsidR="007D3DFF">
        <w:rPr>
          <w:noProof/>
        </w:rPr>
        <w:t>62</w:t>
      </w:r>
      <w:r w:rsidRPr="00537C3C">
        <w:fldChar w:fldCharType="end"/>
      </w:r>
      <w:r w:rsidRPr="00537C3C">
        <w:t>).</w:t>
      </w:r>
    </w:p>
    <w:p w:rsidR="00234376" w:rsidRPr="00537C3C" w:rsidRDefault="00234376">
      <w:pPr>
        <w:pStyle w:val="Heading2"/>
        <w:ind w:left="0"/>
      </w:pPr>
      <w:bookmarkStart w:id="219" w:name="_Toc95971073"/>
      <w:bookmarkStart w:id="220" w:name="_Toc241658172"/>
      <w:r w:rsidRPr="00537C3C">
        <w:t>Review of the literature</w:t>
      </w:r>
      <w:bookmarkEnd w:id="219"/>
      <w:bookmarkEnd w:id="220"/>
    </w:p>
    <w:p w:rsidR="00234376" w:rsidRPr="00537C3C" w:rsidRDefault="00234376" w:rsidP="008E03A7">
      <w:r w:rsidRPr="00537C3C">
        <w:t xml:space="preserve">A review of existing systematic reviews and </w:t>
      </w:r>
      <w:r w:rsidRPr="006C24DD">
        <w:t>HTA</w:t>
      </w:r>
      <w:r w:rsidRPr="00537C3C">
        <w:t xml:space="preserve"> reports from 2002 to August 2008 was conducted to identify the most recent and comprehensive systematic reviews published since:</w:t>
      </w:r>
    </w:p>
    <w:p w:rsidR="00234376" w:rsidRPr="00537C3C" w:rsidRDefault="00234376" w:rsidP="008E03A7">
      <w:pPr>
        <w:numPr>
          <w:ilvl w:val="0"/>
          <w:numId w:val="13"/>
        </w:numPr>
      </w:pPr>
      <w:r w:rsidRPr="00537C3C">
        <w:t xml:space="preserve">the August 2002 </w:t>
      </w:r>
      <w:r w:rsidRPr="00BB76D8">
        <w:t>MSAC</w:t>
      </w:r>
      <w:r w:rsidRPr="00537C3C">
        <w:t xml:space="preserve"> review (Reference 12a), ‘Liquid-based cytology for cervical screening’, which included a systematic review of evidence to March–April 2002</w:t>
      </w:r>
    </w:p>
    <w:p w:rsidR="00234376" w:rsidRPr="00537C3C" w:rsidRDefault="00234376" w:rsidP="008E03A7">
      <w:pPr>
        <w:numPr>
          <w:ilvl w:val="0"/>
          <w:numId w:val="13"/>
        </w:numPr>
      </w:pPr>
      <w:r w:rsidRPr="00537C3C">
        <w:t xml:space="preserve">the May 2003 </w:t>
      </w:r>
      <w:r w:rsidRPr="00BB76D8">
        <w:t>MSAC</w:t>
      </w:r>
      <w:r w:rsidRPr="00537C3C">
        <w:t xml:space="preserve"> review (Reference 12c), ‘Computer-assisted image analysis for cervical screening’, which considered all automated image analysis systems available at the time in a systematic review to September 2002.</w:t>
      </w:r>
    </w:p>
    <w:p w:rsidR="00234376" w:rsidRPr="00537C3C" w:rsidRDefault="00234376" w:rsidP="008E03A7">
      <w:pPr>
        <w:ind w:left="360"/>
      </w:pPr>
      <w:r w:rsidRPr="00537C3C">
        <w:t xml:space="preserve">In addition, </w:t>
      </w:r>
      <w:r w:rsidRPr="00BB76D8">
        <w:t>HTA</w:t>
      </w:r>
      <w:r w:rsidRPr="00537C3C">
        <w:t xml:space="preserve"> agency websites and trials registries were searched to November 2007. The databases and websites searched are listed in </w:t>
      </w:r>
      <w:r w:rsidRPr="00537C3C">
        <w:fldChar w:fldCharType="begin"/>
      </w:r>
      <w:r w:rsidRPr="00537C3C">
        <w:instrText xml:space="preserve"> REF _Ref219868490 \h </w:instrText>
      </w:r>
      <w:r w:rsidRPr="00537C3C">
        <w:fldChar w:fldCharType="separate"/>
      </w:r>
      <w:r w:rsidR="007D3DFF" w:rsidRPr="00537C3C">
        <w:rPr>
          <w:bCs/>
        </w:rPr>
        <w:t xml:space="preserve">Appendix </w:t>
      </w:r>
      <w:r w:rsidR="007D3DFF">
        <w:rPr>
          <w:bCs/>
          <w:noProof/>
        </w:rPr>
        <w:t>E</w:t>
      </w:r>
      <w:r w:rsidRPr="00537C3C">
        <w:fldChar w:fldCharType="end"/>
      </w:r>
      <w:r w:rsidRPr="00537C3C">
        <w:t>.</w:t>
      </w:r>
    </w:p>
    <w:p w:rsidR="00234376" w:rsidRDefault="00234376" w:rsidP="00DF1AB9">
      <w:pPr>
        <w:pStyle w:val="Heading3"/>
      </w:pPr>
      <w:r w:rsidRPr="00537C3C">
        <w:lastRenderedPageBreak/>
        <w:t>Search strategy</w:t>
      </w:r>
    </w:p>
    <w:p w:rsidR="00234376" w:rsidRPr="00537C3C" w:rsidRDefault="00234376" w:rsidP="00DF1AB9">
      <w:pPr>
        <w:pStyle w:val="Heading4"/>
        <w:keepLines/>
        <w:spacing w:after="240"/>
      </w:pPr>
      <w:r w:rsidRPr="00537C3C">
        <w:t>Automated slide reading</w:t>
      </w:r>
    </w:p>
    <w:p w:rsidR="00234376" w:rsidRPr="00537C3C" w:rsidRDefault="00234376" w:rsidP="00DF1AB9">
      <w:pPr>
        <w:keepNext/>
        <w:keepLines/>
      </w:pPr>
      <w:r w:rsidRPr="00537C3C">
        <w:t>A systematic review of primary studies from January 2002 to 6 February 2008</w:t>
      </w:r>
      <w:r w:rsidRPr="00B94BF8">
        <w:t xml:space="preserve"> </w:t>
      </w:r>
      <w:r w:rsidRPr="00537C3C">
        <w:t xml:space="preserve">was conducted, as no recent and comprehensive English-language systematic reviews of automated slide reading systems were identified. The databases listed in </w:t>
      </w:r>
      <w:r>
        <w:fldChar w:fldCharType="begin"/>
      </w:r>
      <w:r>
        <w:instrText xml:space="preserve"> REF _Ref190581427 \h  \* MERGEFORMAT </w:instrText>
      </w:r>
      <w:r>
        <w:fldChar w:fldCharType="separate"/>
      </w:r>
      <w:r w:rsidR="007D3DFF" w:rsidRPr="007D3DFF">
        <w:t>T</w:t>
      </w:r>
      <w:r w:rsidR="007D3DFF" w:rsidRPr="00537C3C">
        <w:t xml:space="preserve">able </w:t>
      </w:r>
      <w:r w:rsidR="007D3DFF">
        <w:t>4</w:t>
      </w:r>
      <w:r>
        <w:fldChar w:fldCharType="end"/>
      </w:r>
      <w:r w:rsidRPr="00537C3C">
        <w:t xml:space="preserve"> were searched with the indexing and text terms listed in </w:t>
      </w:r>
      <w:r>
        <w:fldChar w:fldCharType="begin"/>
      </w:r>
      <w:r>
        <w:instrText xml:space="preserve"> REF _Ref190581470 \h  \* MERGEFORMAT </w:instrText>
      </w:r>
      <w:r>
        <w:fldChar w:fldCharType="separate"/>
      </w:r>
      <w:r w:rsidR="007D3DFF" w:rsidRPr="00537C3C">
        <w:t xml:space="preserve">Table </w:t>
      </w:r>
      <w:r w:rsidR="007D3DFF">
        <w:rPr>
          <w:noProof/>
        </w:rPr>
        <w:t>5</w:t>
      </w:r>
      <w:r>
        <w:fldChar w:fldCharType="end"/>
      </w:r>
      <w:r w:rsidRPr="00537C3C">
        <w:t>.</w:t>
      </w:r>
    </w:p>
    <w:p w:rsidR="00234376" w:rsidRPr="00537C3C" w:rsidRDefault="00234376" w:rsidP="001E08C1">
      <w:pPr>
        <w:pStyle w:val="TableNamea"/>
        <w:ind w:left="1644" w:hanging="935"/>
      </w:pPr>
      <w:bookmarkStart w:id="221" w:name="_Ref190581427"/>
      <w:bookmarkStart w:id="222" w:name="_Toc190744098"/>
      <w:bookmarkStart w:id="223" w:name="_Toc190744364"/>
      <w:bookmarkStart w:id="224" w:name="_Toc95971240"/>
      <w:r w:rsidRPr="00537C3C">
        <w:rPr>
          <w:rFonts w:ascii="Arial Narrow" w:hAnsi="Arial Narrow"/>
        </w:rPr>
        <w:t>T</w:t>
      </w:r>
      <w:r w:rsidRPr="00537C3C">
        <w:t xml:space="preserve">able </w:t>
      </w:r>
      <w:fldSimple w:instr=" SEQ Table \* ARABIC ">
        <w:r w:rsidR="007D3DFF">
          <w:rPr>
            <w:noProof/>
          </w:rPr>
          <w:t>4</w:t>
        </w:r>
      </w:fldSimple>
      <w:bookmarkEnd w:id="221"/>
      <w:r w:rsidRPr="00537C3C">
        <w:tab/>
        <w:t>Electronic databases searched to identify primary studies of automated slide reading</w:t>
      </w:r>
      <w:bookmarkEnd w:id="222"/>
      <w:bookmarkEnd w:id="223"/>
      <w:r w:rsidRPr="00537C3C">
        <w:t>.</w:t>
      </w:r>
      <w:bookmarkEnd w:id="224"/>
    </w:p>
    <w:tbl>
      <w:tblPr>
        <w:tblW w:w="0" w:type="auto"/>
        <w:tblInd w:w="817" w:type="dxa"/>
        <w:tblBorders>
          <w:top w:val="single" w:sz="4" w:space="0" w:color="auto"/>
          <w:bottom w:val="single" w:sz="4" w:space="0" w:color="auto"/>
          <w:insideH w:val="single" w:sz="4" w:space="0" w:color="auto"/>
        </w:tblBorders>
        <w:tblLook w:val="01E0" w:firstRow="1" w:lastRow="1" w:firstColumn="1" w:lastColumn="1" w:noHBand="0" w:noVBand="0"/>
      </w:tblPr>
      <w:tblGrid>
        <w:gridCol w:w="3686"/>
        <w:gridCol w:w="2772"/>
      </w:tblGrid>
      <w:tr w:rsidR="00234376" w:rsidRPr="00537C3C">
        <w:tc>
          <w:tcPr>
            <w:tcW w:w="3686" w:type="dxa"/>
          </w:tcPr>
          <w:p w:rsidR="00234376" w:rsidRPr="00537C3C" w:rsidRDefault="00234376" w:rsidP="008E03A7">
            <w:pPr>
              <w:pStyle w:val="TableHeading10pt"/>
            </w:pPr>
            <w:r w:rsidRPr="00537C3C">
              <w:t>Database</w:t>
            </w:r>
          </w:p>
        </w:tc>
        <w:tc>
          <w:tcPr>
            <w:tcW w:w="2772" w:type="dxa"/>
          </w:tcPr>
          <w:p w:rsidR="00234376" w:rsidRPr="00537C3C" w:rsidRDefault="00234376" w:rsidP="008E03A7">
            <w:pPr>
              <w:pStyle w:val="TableHeading10pt"/>
            </w:pPr>
            <w:r w:rsidRPr="00537C3C">
              <w:t>Period covered</w:t>
            </w:r>
          </w:p>
        </w:tc>
      </w:tr>
      <w:tr w:rsidR="00234376" w:rsidRPr="00537C3C">
        <w:tc>
          <w:tcPr>
            <w:tcW w:w="3686" w:type="dxa"/>
          </w:tcPr>
          <w:p w:rsidR="00234376" w:rsidRPr="00537C3C" w:rsidRDefault="00234376" w:rsidP="008E03A7">
            <w:pPr>
              <w:pStyle w:val="TableTextCharChar"/>
              <w:rPr>
                <w:sz w:val="20"/>
              </w:rPr>
            </w:pPr>
            <w:r w:rsidRPr="00537C3C">
              <w:rPr>
                <w:sz w:val="20"/>
              </w:rPr>
              <w:t>EMBASE.com (includes EMBASE &amp; Medline)</w:t>
            </w:r>
          </w:p>
          <w:p w:rsidR="00234376" w:rsidRPr="00537C3C" w:rsidRDefault="00234376" w:rsidP="008E03A7">
            <w:pPr>
              <w:pStyle w:val="TableTextCharChar"/>
              <w:rPr>
                <w:sz w:val="20"/>
              </w:rPr>
            </w:pPr>
            <w:r w:rsidRPr="00537C3C">
              <w:rPr>
                <w:sz w:val="20"/>
              </w:rPr>
              <w:t>PreMEDLINE</w:t>
            </w:r>
          </w:p>
        </w:tc>
        <w:tc>
          <w:tcPr>
            <w:tcW w:w="2772" w:type="dxa"/>
          </w:tcPr>
          <w:p w:rsidR="00234376" w:rsidRPr="00537C3C" w:rsidRDefault="00234376" w:rsidP="008E03A7">
            <w:pPr>
              <w:pStyle w:val="TableTextCharChar"/>
              <w:rPr>
                <w:sz w:val="20"/>
              </w:rPr>
            </w:pPr>
            <w:r w:rsidRPr="00537C3C">
              <w:rPr>
                <w:sz w:val="20"/>
              </w:rPr>
              <w:t>2002 to 6 February 2008</w:t>
            </w:r>
          </w:p>
          <w:p w:rsidR="00234376" w:rsidRPr="00537C3C" w:rsidRDefault="00234376" w:rsidP="008E03A7">
            <w:pPr>
              <w:pStyle w:val="TableTextCharChar"/>
              <w:rPr>
                <w:sz w:val="20"/>
              </w:rPr>
            </w:pPr>
            <w:r w:rsidRPr="00537C3C">
              <w:rPr>
                <w:sz w:val="20"/>
              </w:rPr>
              <w:t>As at 6 February 2008</w:t>
            </w:r>
          </w:p>
        </w:tc>
      </w:tr>
    </w:tbl>
    <w:p w:rsidR="00234376" w:rsidRPr="00537C3C" w:rsidRDefault="00234376" w:rsidP="008E03A7"/>
    <w:p w:rsidR="00234376" w:rsidRPr="00537C3C" w:rsidRDefault="00234376" w:rsidP="008E03A7">
      <w:pPr>
        <w:pStyle w:val="Caption"/>
      </w:pPr>
      <w:bookmarkStart w:id="225" w:name="_Ref190581470"/>
      <w:bookmarkStart w:id="226" w:name="_Toc190744365"/>
      <w:bookmarkStart w:id="227" w:name="_Toc95971241"/>
      <w:r w:rsidRPr="00537C3C">
        <w:t xml:space="preserve">Table </w:t>
      </w:r>
      <w:fldSimple w:instr=" SEQ Table \* ARABIC ">
        <w:r w:rsidR="007D3DFF">
          <w:rPr>
            <w:noProof/>
          </w:rPr>
          <w:t>5</w:t>
        </w:r>
      </w:fldSimple>
      <w:bookmarkEnd w:id="225"/>
      <w:r w:rsidRPr="00537C3C">
        <w:tab/>
        <w:t>Search terms for automated slide reading (EMBASE.com)</w:t>
      </w:r>
      <w:bookmarkEnd w:id="226"/>
      <w:r w:rsidRPr="00537C3C">
        <w:t>.</w:t>
      </w:r>
      <w:bookmarkEnd w:id="227"/>
    </w:p>
    <w:tbl>
      <w:tblPr>
        <w:tblW w:w="8896" w:type="dxa"/>
        <w:tblInd w:w="817" w:type="dxa"/>
        <w:tblBorders>
          <w:top w:val="single" w:sz="4" w:space="0" w:color="auto"/>
          <w:bottom w:val="single" w:sz="4" w:space="0" w:color="auto"/>
          <w:insideH w:val="single" w:sz="4" w:space="0" w:color="auto"/>
        </w:tblBorders>
        <w:tblLook w:val="0000" w:firstRow="0" w:lastRow="0" w:firstColumn="0" w:lastColumn="0" w:noHBand="0" w:noVBand="0"/>
      </w:tblPr>
      <w:tblGrid>
        <w:gridCol w:w="2273"/>
        <w:gridCol w:w="6623"/>
      </w:tblGrid>
      <w:tr w:rsidR="00234376" w:rsidRPr="00537C3C">
        <w:tc>
          <w:tcPr>
            <w:tcW w:w="2273" w:type="dxa"/>
          </w:tcPr>
          <w:p w:rsidR="00234376" w:rsidRPr="00537C3C" w:rsidRDefault="00234376" w:rsidP="008E03A7">
            <w:pPr>
              <w:pStyle w:val="TableText"/>
              <w:spacing w:before="100" w:beforeAutospacing="1" w:after="100" w:afterAutospacing="1"/>
              <w:rPr>
                <w:b/>
                <w:bCs/>
                <w:sz w:val="20"/>
              </w:rPr>
            </w:pPr>
            <w:r w:rsidRPr="00537C3C">
              <w:rPr>
                <w:b/>
                <w:bCs/>
                <w:sz w:val="20"/>
              </w:rPr>
              <w:t>Element of clinical question</w:t>
            </w:r>
          </w:p>
        </w:tc>
        <w:tc>
          <w:tcPr>
            <w:tcW w:w="6623" w:type="dxa"/>
          </w:tcPr>
          <w:p w:rsidR="00234376" w:rsidRPr="00537C3C" w:rsidRDefault="00234376" w:rsidP="008E03A7">
            <w:pPr>
              <w:pStyle w:val="TableText"/>
              <w:spacing w:before="100" w:beforeAutospacing="1" w:after="100" w:afterAutospacing="1"/>
              <w:rPr>
                <w:b/>
                <w:bCs/>
                <w:sz w:val="20"/>
              </w:rPr>
            </w:pPr>
            <w:r w:rsidRPr="00537C3C">
              <w:rPr>
                <w:b/>
                <w:bCs/>
                <w:sz w:val="20"/>
              </w:rPr>
              <w:t>Suggested search terms</w:t>
            </w:r>
          </w:p>
        </w:tc>
      </w:tr>
      <w:tr w:rsidR="00234376" w:rsidRPr="00537C3C">
        <w:tc>
          <w:tcPr>
            <w:tcW w:w="2273" w:type="dxa"/>
          </w:tcPr>
          <w:p w:rsidR="00234376" w:rsidRPr="00537C3C" w:rsidRDefault="00234376" w:rsidP="008E03A7">
            <w:pPr>
              <w:pStyle w:val="TableText"/>
              <w:spacing w:before="100" w:beforeAutospacing="1" w:after="100" w:afterAutospacing="1"/>
              <w:rPr>
                <w:sz w:val="20"/>
              </w:rPr>
            </w:pPr>
            <w:r w:rsidRPr="00537C3C">
              <w:rPr>
                <w:sz w:val="20"/>
              </w:rPr>
              <w:t>Patient (screening)</w:t>
            </w:r>
          </w:p>
        </w:tc>
        <w:tc>
          <w:tcPr>
            <w:tcW w:w="6623" w:type="dxa"/>
          </w:tcPr>
          <w:p w:rsidR="00234376" w:rsidRPr="00537C3C" w:rsidRDefault="00234376" w:rsidP="008E03A7">
            <w:pPr>
              <w:pStyle w:val="TableText"/>
              <w:rPr>
                <w:b/>
                <w:noProof/>
                <w:sz w:val="20"/>
              </w:rPr>
            </w:pPr>
            <w:r w:rsidRPr="00537C3C">
              <w:rPr>
                <w:b/>
                <w:noProof/>
                <w:sz w:val="20"/>
              </w:rPr>
              <w:t>Cervical cancer screening</w:t>
            </w:r>
          </w:p>
          <w:p w:rsidR="00F41424" w:rsidRDefault="00234376" w:rsidP="00F41424">
            <w:pPr>
              <w:pStyle w:val="TableText"/>
              <w:spacing w:before="100" w:beforeAutospacing="1" w:after="0"/>
              <w:rPr>
                <w:noProof/>
                <w:sz w:val="20"/>
              </w:rPr>
            </w:pPr>
            <w:r w:rsidRPr="00537C3C">
              <w:rPr>
                <w:noProof/>
                <w:sz w:val="20"/>
              </w:rPr>
              <w:t>'papanicolaou test'/syn</w:t>
            </w:r>
          </w:p>
          <w:p w:rsidR="00234376" w:rsidRPr="00537C3C" w:rsidRDefault="00234376" w:rsidP="00F41424">
            <w:pPr>
              <w:pStyle w:val="TableText"/>
              <w:spacing w:before="100" w:beforeAutospacing="1" w:after="0"/>
              <w:rPr>
                <w:noProof/>
                <w:sz w:val="20"/>
              </w:rPr>
            </w:pPr>
            <w:r w:rsidRPr="00537C3C">
              <w:rPr>
                <w:noProof/>
                <w:sz w:val="20"/>
              </w:rPr>
              <w:t>OR</w:t>
            </w:r>
          </w:p>
          <w:p w:rsidR="00234376" w:rsidRPr="00537C3C" w:rsidRDefault="00234376" w:rsidP="00F41424">
            <w:pPr>
              <w:pStyle w:val="TableText"/>
              <w:spacing w:before="100" w:beforeAutospacing="1" w:after="0"/>
              <w:rPr>
                <w:noProof/>
                <w:sz w:val="20"/>
              </w:rPr>
            </w:pPr>
            <w:r w:rsidRPr="00537C3C">
              <w:rPr>
                <w:noProof/>
                <w:sz w:val="20"/>
              </w:rPr>
              <w:t>('cancer screening'/syn OR screening: ab,ti) AND ('uterine cervix cancer'/syn OR 'uterine cervix tumor'/syn)</w:t>
            </w:r>
          </w:p>
          <w:p w:rsidR="00234376" w:rsidRPr="00537C3C" w:rsidRDefault="00234376" w:rsidP="00F41424">
            <w:pPr>
              <w:pStyle w:val="TableText"/>
              <w:spacing w:before="100" w:beforeAutospacing="1" w:after="0"/>
              <w:rPr>
                <w:noProof/>
                <w:sz w:val="20"/>
              </w:rPr>
            </w:pPr>
            <w:r w:rsidRPr="00537C3C">
              <w:rPr>
                <w:noProof/>
                <w:sz w:val="20"/>
              </w:rPr>
              <w:t>OR</w:t>
            </w:r>
          </w:p>
          <w:p w:rsidR="00234376" w:rsidRPr="00537C3C" w:rsidRDefault="00234376" w:rsidP="00F41424">
            <w:pPr>
              <w:pStyle w:val="TableText"/>
              <w:spacing w:before="100" w:beforeAutospacing="1" w:after="0"/>
              <w:rPr>
                <w:noProof/>
                <w:sz w:val="20"/>
              </w:rPr>
            </w:pPr>
            <w:r w:rsidRPr="00537C3C">
              <w:rPr>
                <w:noProof/>
                <w:sz w:val="20"/>
              </w:rPr>
              <w:t>'uterine cervix cytology'/syn</w:t>
            </w:r>
          </w:p>
        </w:tc>
      </w:tr>
      <w:tr w:rsidR="00234376" w:rsidRPr="00537C3C">
        <w:tc>
          <w:tcPr>
            <w:tcW w:w="2273" w:type="dxa"/>
          </w:tcPr>
          <w:p w:rsidR="00234376" w:rsidRPr="00537C3C" w:rsidRDefault="00234376" w:rsidP="008E03A7">
            <w:pPr>
              <w:pStyle w:val="TableText"/>
              <w:spacing w:before="100" w:beforeAutospacing="1" w:after="100" w:afterAutospacing="1"/>
              <w:rPr>
                <w:sz w:val="20"/>
              </w:rPr>
            </w:pPr>
            <w:r w:rsidRPr="00537C3C">
              <w:rPr>
                <w:sz w:val="20"/>
              </w:rPr>
              <w:t>Interventio</w:t>
            </w:r>
            <w:r w:rsidRPr="00A316F5">
              <w:rPr>
                <w:sz w:val="20"/>
              </w:rPr>
              <w:t>n/</w:t>
            </w:r>
            <w:r w:rsidRPr="00537C3C">
              <w:rPr>
                <w:sz w:val="20"/>
              </w:rPr>
              <w:t>test</w:t>
            </w:r>
          </w:p>
        </w:tc>
        <w:tc>
          <w:tcPr>
            <w:tcW w:w="6623" w:type="dxa"/>
          </w:tcPr>
          <w:p w:rsidR="00234376" w:rsidRPr="00537C3C" w:rsidRDefault="00234376" w:rsidP="00F41424">
            <w:pPr>
              <w:pStyle w:val="TableText"/>
              <w:spacing w:before="100" w:beforeAutospacing="1" w:after="0"/>
              <w:rPr>
                <w:b/>
                <w:noProof/>
                <w:sz w:val="20"/>
              </w:rPr>
            </w:pPr>
            <w:r w:rsidRPr="00537C3C">
              <w:rPr>
                <w:b/>
                <w:noProof/>
                <w:sz w:val="20"/>
              </w:rPr>
              <w:t>Automated image analysis systems</w:t>
            </w:r>
          </w:p>
          <w:p w:rsidR="00234376" w:rsidRPr="00537C3C" w:rsidRDefault="00234376" w:rsidP="00F41424">
            <w:pPr>
              <w:pStyle w:val="TableText"/>
              <w:spacing w:before="100" w:beforeAutospacing="1" w:after="0"/>
              <w:rPr>
                <w:noProof/>
                <w:sz w:val="20"/>
              </w:rPr>
            </w:pPr>
            <w:r w:rsidRPr="00537C3C">
              <w:rPr>
                <w:noProof/>
                <w:sz w:val="20"/>
              </w:rPr>
              <w:t>('automation'/syn OR comput* [extensive search] OR automat* [extensive search] OR ‘image processing’/syn OR ‘image cytometry’/syn) AND (Screening search string)</w:t>
            </w:r>
          </w:p>
          <w:p w:rsidR="00234376" w:rsidRPr="00537C3C" w:rsidRDefault="00234376" w:rsidP="00F41424">
            <w:pPr>
              <w:pStyle w:val="TableText"/>
              <w:spacing w:before="100" w:beforeAutospacing="1" w:after="0"/>
              <w:rPr>
                <w:noProof/>
                <w:sz w:val="20"/>
              </w:rPr>
            </w:pPr>
            <w:r w:rsidRPr="00537C3C">
              <w:rPr>
                <w:noProof/>
                <w:sz w:val="20"/>
              </w:rPr>
              <w:t>OR</w:t>
            </w:r>
          </w:p>
          <w:p w:rsidR="00234376" w:rsidRPr="00537C3C" w:rsidRDefault="00234376" w:rsidP="00F41424">
            <w:pPr>
              <w:pStyle w:val="TableText"/>
              <w:spacing w:before="100" w:beforeAutospacing="1" w:after="0"/>
              <w:rPr>
                <w:noProof/>
                <w:sz w:val="20"/>
              </w:rPr>
            </w:pPr>
            <w:r w:rsidRPr="00537C3C">
              <w:rPr>
                <w:noProof/>
                <w:sz w:val="20"/>
              </w:rPr>
              <w:t>‘thin prep’ OR thin*prep : ab,ti,dn</w:t>
            </w:r>
          </w:p>
          <w:p w:rsidR="00234376" w:rsidRPr="00537C3C" w:rsidRDefault="00234376" w:rsidP="00F41424">
            <w:pPr>
              <w:pStyle w:val="TableText"/>
              <w:spacing w:before="100" w:beforeAutospacing="1" w:after="0"/>
              <w:rPr>
                <w:noProof/>
                <w:sz w:val="20"/>
              </w:rPr>
            </w:pPr>
            <w:r w:rsidRPr="00537C3C">
              <w:rPr>
                <w:noProof/>
                <w:sz w:val="20"/>
              </w:rPr>
              <w:t>OR</w:t>
            </w:r>
          </w:p>
          <w:p w:rsidR="00234376" w:rsidRPr="00537C3C" w:rsidRDefault="00234376" w:rsidP="00F41424">
            <w:pPr>
              <w:pStyle w:val="TableText"/>
              <w:spacing w:before="100" w:beforeAutospacing="1" w:after="0"/>
              <w:rPr>
                <w:noProof/>
                <w:sz w:val="20"/>
              </w:rPr>
            </w:pPr>
            <w:r w:rsidRPr="00537C3C">
              <w:rPr>
                <w:noProof/>
                <w:sz w:val="20"/>
              </w:rPr>
              <w:t>Focal*point: ab,ti,dn OR (‘focal point’ AND (Screening search string)) OR ‘autopap’: ab,ti,dn</w:t>
            </w:r>
          </w:p>
        </w:tc>
      </w:tr>
    </w:tbl>
    <w:p w:rsidR="00234376" w:rsidRPr="00537C3C" w:rsidRDefault="00234376" w:rsidP="008E03A7">
      <w:pPr>
        <w:rPr>
          <w:rStyle w:val="TableTextCharCharCharChar"/>
          <w:sz w:val="16"/>
        </w:rPr>
      </w:pPr>
      <w:r w:rsidRPr="00537C3C">
        <w:rPr>
          <w:rStyle w:val="TableTextCharCharCharChar"/>
          <w:sz w:val="16"/>
        </w:rPr>
        <w:t xml:space="preserve">Field search terms: ab = abstract, ti = title, </w:t>
      </w:r>
      <w:bookmarkStart w:id="228" w:name="OLE_LINK423"/>
      <w:bookmarkStart w:id="229" w:name="OLE_LINK424"/>
      <w:r w:rsidRPr="00537C3C">
        <w:rPr>
          <w:rStyle w:val="TableTextCharCharCharChar"/>
          <w:sz w:val="16"/>
        </w:rPr>
        <w:t>dn</w:t>
      </w:r>
      <w:bookmarkEnd w:id="228"/>
      <w:bookmarkEnd w:id="229"/>
      <w:r w:rsidRPr="00537C3C">
        <w:rPr>
          <w:rStyle w:val="TableTextCharCharCharChar"/>
          <w:sz w:val="16"/>
        </w:rPr>
        <w:t xml:space="preserve"> = device trade name.</w:t>
      </w:r>
    </w:p>
    <w:p w:rsidR="00234376" w:rsidRPr="00537C3C" w:rsidRDefault="00234376" w:rsidP="008E03A7">
      <w:pPr>
        <w:pStyle w:val="Heading4"/>
      </w:pPr>
      <w:r w:rsidRPr="00BB76D8">
        <w:t>LBC</w:t>
      </w:r>
    </w:p>
    <w:p w:rsidR="00234376" w:rsidRPr="00537C3C" w:rsidRDefault="00234376" w:rsidP="008E03A7">
      <w:r w:rsidRPr="00537C3C">
        <w:t>A systematic review of primary studies from Jan 2004 to 6 February 2008</w:t>
      </w:r>
      <w:r w:rsidRPr="00B94BF8">
        <w:t xml:space="preserve"> </w:t>
      </w:r>
      <w:r w:rsidRPr="00537C3C">
        <w:t xml:space="preserve">was conducted to identify the most recent systematic reviews. The databases listed in </w:t>
      </w:r>
      <w:r>
        <w:fldChar w:fldCharType="begin"/>
      </w:r>
      <w:r>
        <w:instrText xml:space="preserve"> REF _Ref136766562 \h  \* MERGEFORMAT </w:instrText>
      </w:r>
      <w:r>
        <w:fldChar w:fldCharType="separate"/>
      </w:r>
      <w:r w:rsidR="007D3DFF" w:rsidRPr="007D3DFF">
        <w:t>T</w:t>
      </w:r>
      <w:r w:rsidR="007D3DFF" w:rsidRPr="00537C3C">
        <w:t xml:space="preserve">able </w:t>
      </w:r>
      <w:r w:rsidR="007D3DFF">
        <w:t>6</w:t>
      </w:r>
      <w:r>
        <w:fldChar w:fldCharType="end"/>
      </w:r>
      <w:r w:rsidRPr="00537C3C">
        <w:t xml:space="preserve"> were searched with the indexing and text terms listed in </w:t>
      </w:r>
      <w:r w:rsidRPr="00537C3C">
        <w:fldChar w:fldCharType="begin"/>
      </w:r>
      <w:r w:rsidRPr="00537C3C">
        <w:instrText xml:space="preserve"> REF _Ref183490611 \h </w:instrText>
      </w:r>
      <w:r w:rsidRPr="00537C3C">
        <w:fldChar w:fldCharType="separate"/>
      </w:r>
      <w:r w:rsidR="007D3DFF" w:rsidRPr="00537C3C">
        <w:t xml:space="preserve">Table </w:t>
      </w:r>
      <w:r w:rsidR="007D3DFF">
        <w:rPr>
          <w:noProof/>
        </w:rPr>
        <w:t>7</w:t>
      </w:r>
      <w:r w:rsidRPr="00537C3C">
        <w:fldChar w:fldCharType="end"/>
      </w:r>
      <w:r w:rsidRPr="00537C3C">
        <w:t>.</w:t>
      </w:r>
    </w:p>
    <w:p w:rsidR="00234376" w:rsidRPr="00537C3C" w:rsidRDefault="00234376" w:rsidP="001E08C1">
      <w:pPr>
        <w:pStyle w:val="Caption"/>
        <w:ind w:left="567" w:firstLine="142"/>
      </w:pPr>
      <w:bookmarkStart w:id="230" w:name="_Ref136766562"/>
      <w:bookmarkStart w:id="231" w:name="_Toc124154931"/>
      <w:bookmarkStart w:id="232" w:name="_Toc171420834"/>
      <w:bookmarkStart w:id="233" w:name="_Toc190744366"/>
      <w:bookmarkStart w:id="234" w:name="_Toc95971242"/>
      <w:r w:rsidRPr="00537C3C">
        <w:rPr>
          <w:rFonts w:ascii="Arial Narrow" w:hAnsi="Arial Narrow"/>
        </w:rPr>
        <w:lastRenderedPageBreak/>
        <w:t>T</w:t>
      </w:r>
      <w:r w:rsidRPr="00537C3C">
        <w:t xml:space="preserve">able </w:t>
      </w:r>
      <w:fldSimple w:instr=" SEQ Table \* ARABIC ">
        <w:r w:rsidR="007D3DFF">
          <w:rPr>
            <w:noProof/>
          </w:rPr>
          <w:t>6</w:t>
        </w:r>
      </w:fldSimple>
      <w:bookmarkEnd w:id="230"/>
      <w:r w:rsidRPr="00537C3C">
        <w:tab/>
        <w:t>Electronic databases searched</w:t>
      </w:r>
      <w:bookmarkEnd w:id="231"/>
      <w:bookmarkEnd w:id="232"/>
      <w:r w:rsidRPr="00537C3C">
        <w:t xml:space="preserve"> to identify primary studies of </w:t>
      </w:r>
      <w:r w:rsidRPr="00BB76D8">
        <w:t>LBC</w:t>
      </w:r>
      <w:bookmarkEnd w:id="233"/>
      <w:r w:rsidRPr="00537C3C">
        <w:t>.</w:t>
      </w:r>
      <w:bookmarkEnd w:id="234"/>
    </w:p>
    <w:tbl>
      <w:tblPr>
        <w:tblW w:w="0" w:type="auto"/>
        <w:tblInd w:w="817" w:type="dxa"/>
        <w:tblBorders>
          <w:top w:val="single" w:sz="4" w:space="0" w:color="auto"/>
          <w:bottom w:val="single" w:sz="4" w:space="0" w:color="auto"/>
          <w:insideH w:val="single" w:sz="4" w:space="0" w:color="auto"/>
        </w:tblBorders>
        <w:tblLook w:val="01E0" w:firstRow="1" w:lastRow="1" w:firstColumn="1" w:lastColumn="1" w:noHBand="0" w:noVBand="0"/>
      </w:tblPr>
      <w:tblGrid>
        <w:gridCol w:w="3686"/>
        <w:gridCol w:w="2776"/>
      </w:tblGrid>
      <w:tr w:rsidR="00234376" w:rsidRPr="00537C3C">
        <w:tc>
          <w:tcPr>
            <w:tcW w:w="3686" w:type="dxa"/>
          </w:tcPr>
          <w:p w:rsidR="00234376" w:rsidRPr="00537C3C" w:rsidRDefault="00234376" w:rsidP="008E03A7">
            <w:pPr>
              <w:pStyle w:val="TableHeading10pt"/>
            </w:pPr>
            <w:r w:rsidRPr="00537C3C">
              <w:t>Database</w:t>
            </w:r>
          </w:p>
        </w:tc>
        <w:tc>
          <w:tcPr>
            <w:tcW w:w="2776" w:type="dxa"/>
          </w:tcPr>
          <w:p w:rsidR="00234376" w:rsidRPr="00537C3C" w:rsidRDefault="00234376" w:rsidP="008E03A7">
            <w:pPr>
              <w:pStyle w:val="TableHeading10pt"/>
            </w:pPr>
            <w:r w:rsidRPr="00537C3C">
              <w:t>Period covered</w:t>
            </w:r>
          </w:p>
        </w:tc>
      </w:tr>
      <w:tr w:rsidR="00234376" w:rsidRPr="00537C3C">
        <w:tc>
          <w:tcPr>
            <w:tcW w:w="3686" w:type="dxa"/>
          </w:tcPr>
          <w:p w:rsidR="00234376" w:rsidRPr="00537C3C" w:rsidRDefault="00234376" w:rsidP="008E03A7">
            <w:pPr>
              <w:pStyle w:val="TableTextCharChar"/>
              <w:rPr>
                <w:sz w:val="20"/>
              </w:rPr>
            </w:pPr>
            <w:r w:rsidRPr="00537C3C">
              <w:rPr>
                <w:sz w:val="20"/>
              </w:rPr>
              <w:t>EMBASE.com (includes EMBASE &amp; Medline)</w:t>
            </w:r>
          </w:p>
          <w:p w:rsidR="00234376" w:rsidRPr="00537C3C" w:rsidRDefault="00234376" w:rsidP="008E03A7">
            <w:pPr>
              <w:pStyle w:val="TableTextCharChar"/>
              <w:rPr>
                <w:sz w:val="20"/>
              </w:rPr>
            </w:pPr>
            <w:r w:rsidRPr="00537C3C">
              <w:rPr>
                <w:sz w:val="20"/>
              </w:rPr>
              <w:t>PreMEDLINE</w:t>
            </w:r>
          </w:p>
        </w:tc>
        <w:tc>
          <w:tcPr>
            <w:tcW w:w="2776" w:type="dxa"/>
          </w:tcPr>
          <w:p w:rsidR="00234376" w:rsidRPr="00537C3C" w:rsidRDefault="00234376" w:rsidP="008E03A7">
            <w:pPr>
              <w:pStyle w:val="TableTextCharChar"/>
              <w:rPr>
                <w:sz w:val="20"/>
              </w:rPr>
            </w:pPr>
            <w:r w:rsidRPr="00537C3C">
              <w:rPr>
                <w:sz w:val="20"/>
              </w:rPr>
              <w:t>2004 to 6 February 2008</w:t>
            </w:r>
          </w:p>
          <w:p w:rsidR="00234376" w:rsidRPr="00537C3C" w:rsidRDefault="00234376" w:rsidP="008E03A7">
            <w:pPr>
              <w:pStyle w:val="TableTextCharChar"/>
              <w:rPr>
                <w:sz w:val="20"/>
              </w:rPr>
            </w:pPr>
            <w:r w:rsidRPr="00537C3C">
              <w:rPr>
                <w:sz w:val="20"/>
              </w:rPr>
              <w:t>As at 6 February 2008</w:t>
            </w:r>
          </w:p>
        </w:tc>
      </w:tr>
    </w:tbl>
    <w:p w:rsidR="00234376" w:rsidRPr="00537C3C" w:rsidRDefault="00234376" w:rsidP="008E03A7"/>
    <w:p w:rsidR="00234376" w:rsidRPr="00537C3C" w:rsidRDefault="00234376" w:rsidP="001E08C1">
      <w:pPr>
        <w:pStyle w:val="TableNamea"/>
        <w:ind w:left="1644" w:hanging="935"/>
      </w:pPr>
      <w:bookmarkStart w:id="235" w:name="_Ref183490611"/>
      <w:bookmarkStart w:id="236" w:name="_Toc190744099"/>
      <w:bookmarkStart w:id="237" w:name="_Toc190744367"/>
      <w:bookmarkStart w:id="238" w:name="_Toc95971243"/>
      <w:r w:rsidRPr="00537C3C">
        <w:t xml:space="preserve">Table </w:t>
      </w:r>
      <w:fldSimple w:instr=" SEQ Table \* ARABIC ">
        <w:r w:rsidR="007D3DFF">
          <w:rPr>
            <w:noProof/>
          </w:rPr>
          <w:t>7</w:t>
        </w:r>
      </w:fldSimple>
      <w:bookmarkEnd w:id="235"/>
      <w:r w:rsidRPr="00537C3C">
        <w:tab/>
        <w:t xml:space="preserve">Search terms for </w:t>
      </w:r>
      <w:r w:rsidRPr="00BB76D8">
        <w:t>LBC</w:t>
      </w:r>
      <w:r w:rsidRPr="00537C3C">
        <w:t xml:space="preserve"> (EMBASE.com)</w:t>
      </w:r>
      <w:bookmarkEnd w:id="236"/>
      <w:bookmarkEnd w:id="237"/>
      <w:r w:rsidRPr="00537C3C">
        <w:t>.</w:t>
      </w:r>
      <w:bookmarkEnd w:id="238"/>
    </w:p>
    <w:tbl>
      <w:tblPr>
        <w:tblW w:w="8873" w:type="dxa"/>
        <w:tblInd w:w="840" w:type="dxa"/>
        <w:tblBorders>
          <w:top w:val="single" w:sz="4" w:space="0" w:color="auto"/>
          <w:bottom w:val="single" w:sz="4" w:space="0" w:color="auto"/>
          <w:insideH w:val="single" w:sz="4" w:space="0" w:color="auto"/>
        </w:tblBorders>
        <w:tblLook w:val="0000" w:firstRow="0" w:lastRow="0" w:firstColumn="0" w:lastColumn="0" w:noHBand="0" w:noVBand="0"/>
      </w:tblPr>
      <w:tblGrid>
        <w:gridCol w:w="2670"/>
        <w:gridCol w:w="6203"/>
      </w:tblGrid>
      <w:tr w:rsidR="00234376" w:rsidRPr="00537C3C">
        <w:tc>
          <w:tcPr>
            <w:tcW w:w="2670" w:type="dxa"/>
          </w:tcPr>
          <w:p w:rsidR="00234376" w:rsidRPr="00537C3C" w:rsidRDefault="00234376" w:rsidP="008E03A7">
            <w:pPr>
              <w:pStyle w:val="TableText"/>
              <w:spacing w:before="100" w:beforeAutospacing="1" w:after="100" w:afterAutospacing="1"/>
              <w:rPr>
                <w:b/>
                <w:bCs/>
                <w:sz w:val="20"/>
              </w:rPr>
            </w:pPr>
            <w:r w:rsidRPr="00537C3C">
              <w:rPr>
                <w:b/>
                <w:bCs/>
                <w:sz w:val="20"/>
              </w:rPr>
              <w:t>Element of clinical question</w:t>
            </w:r>
          </w:p>
        </w:tc>
        <w:tc>
          <w:tcPr>
            <w:tcW w:w="6203" w:type="dxa"/>
          </w:tcPr>
          <w:p w:rsidR="00234376" w:rsidRPr="00537C3C" w:rsidRDefault="00234376" w:rsidP="008E03A7">
            <w:pPr>
              <w:pStyle w:val="TableText"/>
              <w:spacing w:before="100" w:beforeAutospacing="1" w:after="100" w:afterAutospacing="1"/>
              <w:rPr>
                <w:b/>
                <w:bCs/>
                <w:sz w:val="20"/>
              </w:rPr>
            </w:pPr>
            <w:r w:rsidRPr="00537C3C">
              <w:rPr>
                <w:b/>
                <w:bCs/>
                <w:sz w:val="20"/>
              </w:rPr>
              <w:t>Suggested search terms</w:t>
            </w:r>
          </w:p>
        </w:tc>
      </w:tr>
      <w:tr w:rsidR="00234376" w:rsidRPr="00537C3C">
        <w:tc>
          <w:tcPr>
            <w:tcW w:w="2670" w:type="dxa"/>
          </w:tcPr>
          <w:p w:rsidR="00234376" w:rsidRPr="00537C3C" w:rsidRDefault="00234376" w:rsidP="008E03A7">
            <w:pPr>
              <w:pStyle w:val="TableText"/>
              <w:rPr>
                <w:sz w:val="20"/>
              </w:rPr>
            </w:pPr>
            <w:r w:rsidRPr="00537C3C">
              <w:rPr>
                <w:sz w:val="20"/>
              </w:rPr>
              <w:t>Population</w:t>
            </w:r>
          </w:p>
          <w:p w:rsidR="00234376" w:rsidRPr="00537C3C" w:rsidRDefault="00234376" w:rsidP="008E03A7">
            <w:pPr>
              <w:pStyle w:val="TableText"/>
              <w:rPr>
                <w:sz w:val="20"/>
              </w:rPr>
            </w:pPr>
            <w:r w:rsidRPr="00537C3C">
              <w:rPr>
                <w:sz w:val="20"/>
              </w:rPr>
              <w:t>AND</w:t>
            </w:r>
          </w:p>
        </w:tc>
        <w:tc>
          <w:tcPr>
            <w:tcW w:w="6203" w:type="dxa"/>
          </w:tcPr>
          <w:p w:rsidR="00234376" w:rsidRPr="00537C3C" w:rsidRDefault="00234376" w:rsidP="008E03A7">
            <w:pPr>
              <w:pStyle w:val="TableText"/>
              <w:rPr>
                <w:b/>
                <w:noProof/>
                <w:sz w:val="20"/>
              </w:rPr>
            </w:pPr>
            <w:r w:rsidRPr="00537C3C">
              <w:rPr>
                <w:b/>
                <w:noProof/>
                <w:sz w:val="20"/>
              </w:rPr>
              <w:t>Cervical cancer screening</w:t>
            </w:r>
          </w:p>
          <w:p w:rsidR="00234376" w:rsidRPr="00537C3C" w:rsidRDefault="00234376" w:rsidP="008E03A7">
            <w:pPr>
              <w:pStyle w:val="TableText"/>
              <w:rPr>
                <w:noProof/>
                <w:sz w:val="20"/>
              </w:rPr>
            </w:pPr>
            <w:r w:rsidRPr="00537C3C">
              <w:rPr>
                <w:noProof/>
                <w:sz w:val="20"/>
              </w:rPr>
              <w:t>('uterine cervix tumor'/syn OR ‘uterine cervix cancer’/syn) AND ('cancer screening'/syn OR screening: ab,ti)</w:t>
            </w:r>
          </w:p>
        </w:tc>
      </w:tr>
      <w:tr w:rsidR="00234376" w:rsidRPr="00537C3C">
        <w:tc>
          <w:tcPr>
            <w:tcW w:w="2670" w:type="dxa"/>
          </w:tcPr>
          <w:p w:rsidR="00234376" w:rsidRPr="00537C3C" w:rsidRDefault="00234376" w:rsidP="008E03A7">
            <w:pPr>
              <w:pStyle w:val="TableText"/>
              <w:rPr>
                <w:sz w:val="20"/>
              </w:rPr>
            </w:pPr>
            <w:r w:rsidRPr="00537C3C">
              <w:rPr>
                <w:sz w:val="20"/>
              </w:rPr>
              <w:t>Interventio</w:t>
            </w:r>
            <w:r w:rsidRPr="00A316F5">
              <w:rPr>
                <w:sz w:val="20"/>
              </w:rPr>
              <w:t>n/</w:t>
            </w:r>
            <w:r w:rsidRPr="00537C3C">
              <w:rPr>
                <w:sz w:val="20"/>
              </w:rPr>
              <w:t>test</w:t>
            </w:r>
          </w:p>
        </w:tc>
        <w:tc>
          <w:tcPr>
            <w:tcW w:w="6203" w:type="dxa"/>
          </w:tcPr>
          <w:p w:rsidR="00234376" w:rsidRPr="00537C3C" w:rsidRDefault="00234376" w:rsidP="008E03A7">
            <w:pPr>
              <w:pStyle w:val="TableText"/>
              <w:rPr>
                <w:b/>
                <w:noProof/>
                <w:sz w:val="20"/>
              </w:rPr>
            </w:pPr>
            <w:r w:rsidRPr="00537C3C">
              <w:rPr>
                <w:b/>
                <w:noProof/>
                <w:sz w:val="20"/>
              </w:rPr>
              <w:t xml:space="preserve"> Liquid-based cytology</w:t>
            </w:r>
          </w:p>
          <w:p w:rsidR="00234376" w:rsidRPr="00537C3C" w:rsidRDefault="00234376" w:rsidP="008E03A7">
            <w:pPr>
              <w:pStyle w:val="TableText"/>
              <w:rPr>
                <w:noProof/>
                <w:sz w:val="20"/>
              </w:rPr>
            </w:pPr>
            <w:r w:rsidRPr="00537C3C">
              <w:rPr>
                <w:noProof/>
                <w:sz w:val="20"/>
              </w:rPr>
              <w:t>‘thin prep’ OR thin*prep : ab,ti,dn</w:t>
            </w:r>
          </w:p>
          <w:p w:rsidR="00234376" w:rsidRPr="00537C3C" w:rsidRDefault="00234376" w:rsidP="008E03A7">
            <w:pPr>
              <w:pStyle w:val="TableText"/>
              <w:rPr>
                <w:noProof/>
                <w:sz w:val="20"/>
              </w:rPr>
            </w:pPr>
            <w:r w:rsidRPr="00537C3C">
              <w:rPr>
                <w:noProof/>
                <w:sz w:val="20"/>
              </w:rPr>
              <w:t>OR</w:t>
            </w:r>
          </w:p>
          <w:p w:rsidR="00234376" w:rsidRPr="00537C3C" w:rsidRDefault="00234376" w:rsidP="008E03A7">
            <w:pPr>
              <w:pStyle w:val="TableText"/>
              <w:rPr>
                <w:noProof/>
                <w:sz w:val="20"/>
              </w:rPr>
            </w:pPr>
            <w:r w:rsidRPr="00537C3C">
              <w:rPr>
                <w:noProof/>
                <w:sz w:val="20"/>
              </w:rPr>
              <w:t>liquid: ab.ti OR fluid: ab.ti</w:t>
            </w:r>
          </w:p>
          <w:p w:rsidR="00234376" w:rsidRPr="00537C3C" w:rsidRDefault="00234376" w:rsidP="008E03A7">
            <w:pPr>
              <w:pStyle w:val="TableText"/>
              <w:rPr>
                <w:noProof/>
                <w:sz w:val="20"/>
              </w:rPr>
            </w:pPr>
            <w:r w:rsidRPr="00537C3C">
              <w:rPr>
                <w:noProof/>
                <w:sz w:val="20"/>
              </w:rPr>
              <w:t>OR</w:t>
            </w:r>
          </w:p>
          <w:p w:rsidR="00234376" w:rsidRPr="00537C3C" w:rsidRDefault="00234376" w:rsidP="008E03A7">
            <w:pPr>
              <w:pStyle w:val="TableText"/>
              <w:rPr>
                <w:noProof/>
                <w:sz w:val="20"/>
              </w:rPr>
            </w:pPr>
            <w:r w:rsidRPr="00537C3C">
              <w:rPr>
                <w:noProof/>
                <w:sz w:val="20"/>
              </w:rPr>
              <w:t>cytorich:ab,ti,dn OR autocyte:ab,ti,dn OR (‘sure path’ OR sure*path : ab,ti,dn)</w:t>
            </w:r>
          </w:p>
        </w:tc>
      </w:tr>
    </w:tbl>
    <w:p w:rsidR="00234376" w:rsidRPr="00537C3C" w:rsidRDefault="00234376" w:rsidP="008E03A7">
      <w:pPr>
        <w:rPr>
          <w:rStyle w:val="TableTextCharCharCharChar"/>
          <w:sz w:val="16"/>
        </w:rPr>
      </w:pPr>
      <w:r w:rsidRPr="00537C3C">
        <w:rPr>
          <w:rStyle w:val="TableTextCharCharCharChar"/>
          <w:sz w:val="16"/>
        </w:rPr>
        <w:t>Field search terms: ab = abstract, ti = title, dn = device trade name.</w:t>
      </w:r>
    </w:p>
    <w:p w:rsidR="00234376" w:rsidRPr="00537C3C" w:rsidRDefault="00234376" w:rsidP="00B94BF8">
      <w:pPr>
        <w:pStyle w:val="Heading3"/>
      </w:pPr>
      <w:r w:rsidRPr="00537C3C">
        <w:t>Selection criteria</w:t>
      </w:r>
    </w:p>
    <w:p w:rsidR="00234376" w:rsidRPr="00537C3C" w:rsidRDefault="00234376" w:rsidP="008E03A7">
      <w:r w:rsidRPr="00537C3C">
        <w:t xml:space="preserve">After duplicate publications were excluded, citations were appraised by two independent reviewers to determine eligibility using the criteria listed in </w:t>
      </w:r>
      <w:r w:rsidRPr="00537C3C">
        <w:fldChar w:fldCharType="begin"/>
      </w:r>
      <w:r w:rsidRPr="00537C3C">
        <w:instrText xml:space="preserve"> REF _Ref181177519 \h </w:instrText>
      </w:r>
      <w:r w:rsidRPr="00537C3C">
        <w:fldChar w:fldCharType="separate"/>
      </w:r>
      <w:r w:rsidR="007D3DFF" w:rsidRPr="00537C3C">
        <w:t xml:space="preserve">Table </w:t>
      </w:r>
      <w:r w:rsidR="007D3DFF">
        <w:rPr>
          <w:noProof/>
        </w:rPr>
        <w:t>8</w:t>
      </w:r>
      <w:r w:rsidRPr="00537C3C">
        <w:fldChar w:fldCharType="end"/>
      </w:r>
      <w:r w:rsidRPr="00537C3C">
        <w:t>. Discrepancies between reviewers about study eligibility were resolved by discussion.</w:t>
      </w:r>
    </w:p>
    <w:p w:rsidR="00234376" w:rsidRPr="00537C3C" w:rsidRDefault="00234376" w:rsidP="008E03A7">
      <w:pPr>
        <w:pStyle w:val="Caption"/>
      </w:pPr>
      <w:bookmarkStart w:id="239" w:name="_Ref181177519"/>
      <w:bookmarkStart w:id="240" w:name="_Toc190744368"/>
      <w:bookmarkStart w:id="241" w:name="_Toc95971244"/>
      <w:r w:rsidRPr="00537C3C">
        <w:t xml:space="preserve">Table </w:t>
      </w:r>
      <w:fldSimple w:instr=" SEQ Table \* ARABIC ">
        <w:r w:rsidR="007D3DFF">
          <w:rPr>
            <w:noProof/>
          </w:rPr>
          <w:t>8</w:t>
        </w:r>
      </w:fldSimple>
      <w:bookmarkEnd w:id="239"/>
      <w:r w:rsidRPr="00537C3C">
        <w:tab/>
        <w:t>Inclusio</w:t>
      </w:r>
      <w:r w:rsidRPr="00A316F5">
        <w:t xml:space="preserve">n/exclusion </w:t>
      </w:r>
      <w:r w:rsidRPr="00537C3C">
        <w:t>criteria for identification of relevant studies</w:t>
      </w:r>
      <w:bookmarkEnd w:id="240"/>
      <w:r w:rsidRPr="00537C3C">
        <w:t>.</w:t>
      </w:r>
      <w:bookmarkEnd w:id="241"/>
    </w:p>
    <w:tbl>
      <w:tblPr>
        <w:tblW w:w="8530" w:type="dxa"/>
        <w:tblInd w:w="792"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67"/>
        <w:gridCol w:w="7263"/>
      </w:tblGrid>
      <w:tr w:rsidR="00234376" w:rsidRPr="00537C3C">
        <w:tc>
          <w:tcPr>
            <w:tcW w:w="1267" w:type="dxa"/>
          </w:tcPr>
          <w:p w:rsidR="00234376" w:rsidRPr="00537C3C" w:rsidRDefault="00234376" w:rsidP="008E03A7">
            <w:pPr>
              <w:pStyle w:val="TableText"/>
              <w:keepNext w:val="0"/>
              <w:spacing w:before="100" w:beforeAutospacing="1" w:after="100" w:afterAutospacing="1"/>
              <w:rPr>
                <w:b/>
                <w:bCs/>
              </w:rPr>
            </w:pPr>
            <w:r w:rsidRPr="00537C3C">
              <w:rPr>
                <w:b/>
                <w:bCs/>
              </w:rPr>
              <w:t>Characteristic</w:t>
            </w:r>
          </w:p>
        </w:tc>
        <w:tc>
          <w:tcPr>
            <w:tcW w:w="7263" w:type="dxa"/>
          </w:tcPr>
          <w:p w:rsidR="00234376" w:rsidRPr="00537C3C" w:rsidRDefault="00234376" w:rsidP="008E03A7">
            <w:pPr>
              <w:pStyle w:val="TableText"/>
              <w:keepNext w:val="0"/>
              <w:spacing w:before="100" w:beforeAutospacing="1" w:after="100" w:afterAutospacing="1"/>
              <w:rPr>
                <w:b/>
                <w:bCs/>
                <w:highlight w:val="yellow"/>
              </w:rPr>
            </w:pPr>
            <w:r w:rsidRPr="00537C3C">
              <w:rPr>
                <w:b/>
                <w:bCs/>
              </w:rPr>
              <w:t>Criteria</w:t>
            </w:r>
          </w:p>
        </w:tc>
      </w:tr>
      <w:tr w:rsidR="00234376" w:rsidRPr="00537C3C">
        <w:tc>
          <w:tcPr>
            <w:tcW w:w="1267" w:type="dxa"/>
          </w:tcPr>
          <w:p w:rsidR="00234376" w:rsidRPr="00537C3C" w:rsidRDefault="00234376" w:rsidP="008E03A7">
            <w:pPr>
              <w:pStyle w:val="TableText"/>
              <w:keepNext w:val="0"/>
              <w:spacing w:before="100" w:beforeAutospacing="1" w:after="100" w:afterAutospacing="1"/>
            </w:pPr>
            <w:r w:rsidRPr="00537C3C">
              <w:t>Publication type</w:t>
            </w:r>
          </w:p>
        </w:tc>
        <w:tc>
          <w:tcPr>
            <w:tcW w:w="7263" w:type="dxa"/>
          </w:tcPr>
          <w:p w:rsidR="00234376" w:rsidRPr="00304F70" w:rsidRDefault="00234376" w:rsidP="001E08C1">
            <w:pPr>
              <w:spacing w:before="40" w:after="0"/>
              <w:ind w:left="0"/>
              <w:rPr>
                <w:rFonts w:ascii="Arial Narrow" w:hAnsi="Arial Narrow" w:cs="Arial"/>
                <w:sz w:val="18"/>
                <w:lang w:eastAsia="en-AU"/>
              </w:rPr>
            </w:pPr>
            <w:r w:rsidRPr="00304F70">
              <w:rPr>
                <w:rFonts w:ascii="Arial Narrow" w:hAnsi="Arial Narrow" w:cs="Arial"/>
                <w:sz w:val="18"/>
                <w:lang w:eastAsia="en-AU"/>
              </w:rPr>
              <w:t>Clinical studies included. Non-systematic reviews, letters, editorials, animal, in-vitro, laboratory studies, conference abstracts and technical reports excluded.</w:t>
            </w:r>
          </w:p>
          <w:p w:rsidR="00234376" w:rsidRPr="001E08C1" w:rsidRDefault="00234376" w:rsidP="001E08C1">
            <w:pPr>
              <w:spacing w:before="40" w:after="0"/>
              <w:ind w:left="0"/>
              <w:rPr>
                <w:rFonts w:ascii="Arial Narrow" w:hAnsi="Arial Narrow" w:cs="Arial"/>
                <w:b/>
                <w:sz w:val="18"/>
                <w:lang w:eastAsia="en-AU"/>
              </w:rPr>
            </w:pPr>
            <w:r w:rsidRPr="001E08C1">
              <w:rPr>
                <w:rFonts w:ascii="Arial Narrow" w:hAnsi="Arial Narrow" w:cs="Arial"/>
                <w:b/>
                <w:sz w:val="18"/>
                <w:lang w:eastAsia="en-AU"/>
              </w:rPr>
              <w:t>Systematic reviews</w:t>
            </w:r>
          </w:p>
          <w:p w:rsidR="00234376" w:rsidRPr="00304F70" w:rsidRDefault="00234376" w:rsidP="00304F70">
            <w:pPr>
              <w:numPr>
                <w:ilvl w:val="0"/>
                <w:numId w:val="8"/>
              </w:numPr>
              <w:spacing w:before="40" w:after="0"/>
              <w:rPr>
                <w:rFonts w:ascii="Arial Narrow" w:hAnsi="Arial Narrow" w:cs="Arial"/>
                <w:sz w:val="18"/>
                <w:lang w:eastAsia="en-AU"/>
              </w:rPr>
            </w:pPr>
            <w:r w:rsidRPr="00304F70">
              <w:rPr>
                <w:rFonts w:ascii="Arial Narrow" w:hAnsi="Arial Narrow" w:cs="Arial"/>
                <w:sz w:val="18"/>
                <w:lang w:eastAsia="en-AU"/>
              </w:rPr>
              <w:t>Excluded: systematic reviews that have been superseded</w:t>
            </w:r>
          </w:p>
          <w:p w:rsidR="00234376" w:rsidRPr="001E08C1" w:rsidRDefault="00234376" w:rsidP="001E08C1">
            <w:pPr>
              <w:spacing w:before="40" w:after="0"/>
              <w:ind w:left="0"/>
              <w:rPr>
                <w:rFonts w:ascii="Arial Narrow" w:hAnsi="Arial Narrow" w:cs="Arial"/>
                <w:b/>
                <w:sz w:val="18"/>
                <w:lang w:eastAsia="en-AU"/>
              </w:rPr>
            </w:pPr>
            <w:r w:rsidRPr="001E08C1">
              <w:rPr>
                <w:rFonts w:ascii="Arial Narrow" w:hAnsi="Arial Narrow" w:cs="Arial"/>
                <w:b/>
                <w:sz w:val="18"/>
                <w:lang w:eastAsia="en-AU"/>
              </w:rPr>
              <w:t>Primary studies</w:t>
            </w:r>
          </w:p>
          <w:p w:rsidR="00234376" w:rsidRPr="00304F70" w:rsidRDefault="00234376" w:rsidP="001E08C1">
            <w:pPr>
              <w:spacing w:before="40" w:after="0"/>
              <w:ind w:left="0"/>
              <w:rPr>
                <w:rFonts w:ascii="Arial Narrow" w:hAnsi="Arial Narrow" w:cs="Arial"/>
                <w:sz w:val="18"/>
                <w:lang w:eastAsia="en-AU"/>
              </w:rPr>
            </w:pPr>
            <w:r w:rsidRPr="00304F70">
              <w:rPr>
                <w:rFonts w:ascii="Arial Narrow" w:hAnsi="Arial Narrow" w:cs="Arial"/>
                <w:sz w:val="18"/>
                <w:lang w:eastAsia="en-AU"/>
              </w:rPr>
              <w:t>Included: primary studies published after the search period of included systematic reviews</w:t>
            </w:r>
          </w:p>
          <w:p w:rsidR="00234376" w:rsidRPr="00304F70" w:rsidRDefault="00234376" w:rsidP="001E08C1">
            <w:pPr>
              <w:spacing w:before="40" w:after="0"/>
              <w:ind w:left="0"/>
              <w:rPr>
                <w:rFonts w:ascii="Arial Narrow" w:hAnsi="Arial Narrow" w:cs="Arial"/>
                <w:sz w:val="18"/>
                <w:lang w:eastAsia="en-AU"/>
              </w:rPr>
            </w:pPr>
            <w:r w:rsidRPr="00304F70">
              <w:rPr>
                <w:rFonts w:ascii="Arial Narrow" w:hAnsi="Arial Narrow" w:cs="Arial"/>
                <w:sz w:val="18"/>
                <w:lang w:eastAsia="en-AU"/>
              </w:rPr>
              <w:t>Accuracy studies excluded if:</w:t>
            </w:r>
          </w:p>
          <w:p w:rsidR="00234376" w:rsidRPr="00304F70" w:rsidRDefault="00234376" w:rsidP="00304F70">
            <w:pPr>
              <w:numPr>
                <w:ilvl w:val="0"/>
                <w:numId w:val="8"/>
              </w:numPr>
              <w:spacing w:before="40" w:after="0"/>
              <w:rPr>
                <w:rFonts w:ascii="Arial Narrow" w:hAnsi="Arial Narrow" w:cs="Arial"/>
                <w:sz w:val="18"/>
                <w:lang w:eastAsia="en-AU"/>
              </w:rPr>
            </w:pPr>
            <w:r w:rsidRPr="00304F70">
              <w:rPr>
                <w:rFonts w:ascii="Arial Narrow" w:hAnsi="Arial Narrow" w:cs="Arial"/>
                <w:sz w:val="18"/>
                <w:lang w:eastAsia="en-AU"/>
              </w:rPr>
              <w:t>patients were selected for inclusion in the study based on their known disease (case-referent, case-control studies)</w:t>
            </w:r>
          </w:p>
          <w:p w:rsidR="00234376" w:rsidRPr="00304F70" w:rsidRDefault="00234376" w:rsidP="00304F70">
            <w:pPr>
              <w:numPr>
                <w:ilvl w:val="0"/>
                <w:numId w:val="8"/>
              </w:numPr>
              <w:spacing w:before="40" w:after="0"/>
              <w:rPr>
                <w:rFonts w:ascii="Arial Narrow" w:hAnsi="Arial Narrow" w:cs="Arial"/>
                <w:sz w:val="18"/>
                <w:lang w:eastAsia="en-AU"/>
              </w:rPr>
            </w:pPr>
            <w:r w:rsidRPr="00304F70">
              <w:rPr>
                <w:rFonts w:ascii="Arial Narrow" w:hAnsi="Arial Narrow" w:cs="Arial"/>
                <w:sz w:val="18"/>
                <w:lang w:eastAsia="en-AU"/>
              </w:rPr>
              <w:t>no direct comparison of automated image analysis of liquid-based cytology vs manual reading of conventional cytology is reported</w:t>
            </w:r>
          </w:p>
          <w:p w:rsidR="00234376" w:rsidRPr="00304F70" w:rsidRDefault="00234376" w:rsidP="00304F70">
            <w:pPr>
              <w:numPr>
                <w:ilvl w:val="0"/>
                <w:numId w:val="8"/>
              </w:numPr>
              <w:spacing w:before="40" w:after="0"/>
              <w:rPr>
                <w:rFonts w:ascii="Arial Narrow" w:hAnsi="Arial Narrow" w:cs="Arial"/>
                <w:sz w:val="18"/>
                <w:lang w:eastAsia="en-AU"/>
              </w:rPr>
            </w:pPr>
            <w:r w:rsidRPr="00304F70">
              <w:rPr>
                <w:rFonts w:ascii="Arial Narrow" w:hAnsi="Arial Narrow" w:cs="Arial"/>
                <w:sz w:val="18"/>
                <w:lang w:eastAsia="en-AU"/>
              </w:rPr>
              <w:t xml:space="preserve">comparison of independent cohorts of women are compared </w:t>
            </w:r>
            <w:r w:rsidR="00304F70" w:rsidRPr="00304F70">
              <w:rPr>
                <w:rFonts w:ascii="Arial Narrow" w:hAnsi="Arial Narrow" w:cs="Arial"/>
                <w:sz w:val="18"/>
                <w:lang w:eastAsia="en-AU"/>
              </w:rPr>
              <w:t>to</w:t>
            </w:r>
            <w:r w:rsidRPr="00304F70">
              <w:rPr>
                <w:rFonts w:ascii="Arial Narrow" w:hAnsi="Arial Narrow" w:cs="Arial"/>
                <w:sz w:val="18"/>
                <w:lang w:eastAsia="en-AU"/>
              </w:rPr>
              <w:t xml:space="preserve"> no verification of negative test results </w:t>
            </w:r>
            <w:r w:rsidRPr="00A40693">
              <w:rPr>
                <w:rFonts w:ascii="Arial Narrow" w:hAnsi="Arial Narrow" w:cs="Arial"/>
                <w:sz w:val="18"/>
                <w:vertAlign w:val="superscript"/>
                <w:lang w:eastAsia="en-AU"/>
              </w:rPr>
              <w:t>b</w:t>
            </w:r>
          </w:p>
          <w:p w:rsidR="00234376" w:rsidRPr="00304F70" w:rsidRDefault="00234376" w:rsidP="001E08C1">
            <w:pPr>
              <w:spacing w:before="40" w:after="0"/>
              <w:ind w:left="0"/>
              <w:rPr>
                <w:rFonts w:ascii="Arial Narrow" w:hAnsi="Arial Narrow" w:cs="Arial"/>
                <w:sz w:val="18"/>
                <w:lang w:eastAsia="en-AU"/>
              </w:rPr>
            </w:pPr>
            <w:r w:rsidRPr="00304F70">
              <w:rPr>
                <w:rFonts w:ascii="Arial Narrow" w:hAnsi="Arial Narrow" w:cs="Arial"/>
                <w:sz w:val="18"/>
                <w:lang w:eastAsia="en-AU"/>
              </w:rPr>
              <w:t>Studies providing the highest level of evidence available included. Studies of lower level design excluded.</w:t>
            </w:r>
          </w:p>
        </w:tc>
      </w:tr>
      <w:tr w:rsidR="00234376" w:rsidRPr="00537C3C">
        <w:tc>
          <w:tcPr>
            <w:tcW w:w="1267" w:type="dxa"/>
          </w:tcPr>
          <w:p w:rsidR="00234376" w:rsidRPr="00537C3C" w:rsidRDefault="00234376" w:rsidP="008E03A7">
            <w:pPr>
              <w:pStyle w:val="TableText"/>
              <w:keepNext w:val="0"/>
              <w:spacing w:before="100" w:beforeAutospacing="1" w:after="100" w:afterAutospacing="1"/>
            </w:pPr>
            <w:r w:rsidRPr="00537C3C">
              <w:t>Population</w:t>
            </w:r>
          </w:p>
        </w:tc>
        <w:tc>
          <w:tcPr>
            <w:tcW w:w="7263" w:type="dxa"/>
          </w:tcPr>
          <w:p w:rsidR="00234376" w:rsidRPr="00304F70" w:rsidRDefault="00234376" w:rsidP="001E08C1">
            <w:pPr>
              <w:spacing w:before="40" w:after="0"/>
              <w:ind w:left="0"/>
              <w:rPr>
                <w:rFonts w:ascii="Arial Narrow" w:hAnsi="Arial Narrow" w:cs="Arial"/>
                <w:sz w:val="18"/>
                <w:lang w:eastAsia="en-AU"/>
              </w:rPr>
            </w:pPr>
            <w:r w:rsidRPr="00304F70">
              <w:rPr>
                <w:rFonts w:ascii="Arial Narrow" w:hAnsi="Arial Narrow" w:cs="Arial"/>
                <w:sz w:val="18"/>
                <w:lang w:eastAsia="en-AU"/>
              </w:rPr>
              <w:t>Women undergoing cervical cytology for the detection of cervical cancer or precancerous lesions.</w:t>
            </w:r>
          </w:p>
        </w:tc>
      </w:tr>
      <w:tr w:rsidR="00234376" w:rsidRPr="00537C3C">
        <w:tc>
          <w:tcPr>
            <w:tcW w:w="1267" w:type="dxa"/>
          </w:tcPr>
          <w:p w:rsidR="00234376" w:rsidRPr="00537C3C" w:rsidRDefault="00234376" w:rsidP="008E03A7">
            <w:pPr>
              <w:pStyle w:val="TableText"/>
              <w:keepNext w:val="0"/>
              <w:spacing w:before="100" w:beforeAutospacing="1" w:after="100" w:afterAutospacing="1"/>
            </w:pPr>
            <w:r w:rsidRPr="00537C3C">
              <w:t>Interventio</w:t>
            </w:r>
            <w:r w:rsidRPr="00A316F5">
              <w:t>n/</w:t>
            </w:r>
            <w:r w:rsidRPr="00537C3C">
              <w:t>test</w:t>
            </w:r>
          </w:p>
        </w:tc>
        <w:tc>
          <w:tcPr>
            <w:tcW w:w="7263" w:type="dxa"/>
          </w:tcPr>
          <w:p w:rsidR="00234376" w:rsidRPr="00304F70" w:rsidRDefault="00234376" w:rsidP="001E08C1">
            <w:pPr>
              <w:spacing w:before="40" w:after="0"/>
              <w:ind w:left="0"/>
              <w:rPr>
                <w:rFonts w:ascii="Arial Narrow" w:hAnsi="Arial Narrow" w:cs="Arial"/>
                <w:sz w:val="18"/>
                <w:lang w:eastAsia="en-AU"/>
              </w:rPr>
            </w:pPr>
            <w:r w:rsidRPr="00304F70">
              <w:rPr>
                <w:rFonts w:ascii="Arial Narrow" w:hAnsi="Arial Narrow" w:cs="Arial"/>
                <w:sz w:val="18"/>
                <w:lang w:eastAsia="en-AU"/>
              </w:rPr>
              <w:t>Automated cervical cytology image analysis for primary screening using LBC</w:t>
            </w:r>
          </w:p>
          <w:p w:rsidR="00234376" w:rsidRPr="00304F70" w:rsidRDefault="00234376" w:rsidP="00304F70">
            <w:pPr>
              <w:numPr>
                <w:ilvl w:val="0"/>
                <w:numId w:val="8"/>
              </w:numPr>
              <w:spacing w:before="40" w:after="0"/>
              <w:rPr>
                <w:rFonts w:ascii="Arial Narrow" w:hAnsi="Arial Narrow" w:cs="Arial"/>
                <w:sz w:val="18"/>
                <w:lang w:eastAsia="en-AU"/>
              </w:rPr>
            </w:pPr>
            <w:r w:rsidRPr="00304F70">
              <w:rPr>
                <w:rFonts w:ascii="Arial Narrow" w:hAnsi="Arial Narrow" w:cs="Arial"/>
                <w:sz w:val="18"/>
                <w:lang w:eastAsia="en-AU"/>
              </w:rPr>
              <w:t xml:space="preserve">Excluded: systems used for rescreening or QC; systems not commercially available or not marketed in </w:t>
            </w:r>
            <w:smartTag w:uri="urn:schemas-microsoft-com:office:smarttags" w:element="place">
              <w:smartTag w:uri="urn:schemas-microsoft-com:office:smarttags" w:element="country-region">
                <w:r w:rsidRPr="00304F70">
                  <w:rPr>
                    <w:rFonts w:ascii="Arial Narrow" w:hAnsi="Arial Narrow" w:cs="Arial"/>
                    <w:sz w:val="18"/>
                    <w:lang w:eastAsia="en-AU"/>
                  </w:rPr>
                  <w:t>Australia</w:t>
                </w:r>
              </w:smartTag>
            </w:smartTag>
          </w:p>
          <w:p w:rsidR="00234376" w:rsidRPr="00304F70" w:rsidRDefault="00234376" w:rsidP="001E08C1">
            <w:pPr>
              <w:spacing w:before="40" w:after="0"/>
              <w:ind w:left="0"/>
              <w:rPr>
                <w:rFonts w:ascii="Arial Narrow" w:hAnsi="Arial Narrow" w:cs="Arial"/>
                <w:sz w:val="18"/>
                <w:lang w:eastAsia="en-AU"/>
              </w:rPr>
            </w:pPr>
            <w:r w:rsidRPr="00304F70">
              <w:rPr>
                <w:rFonts w:ascii="Arial Narrow" w:hAnsi="Arial Narrow" w:cs="Arial"/>
                <w:sz w:val="18"/>
                <w:lang w:eastAsia="en-AU"/>
              </w:rPr>
              <w:t>Manual screening of LBC</w:t>
            </w:r>
          </w:p>
          <w:p w:rsidR="00234376" w:rsidRPr="00304F70" w:rsidRDefault="00234376" w:rsidP="001E08C1">
            <w:pPr>
              <w:spacing w:before="40" w:after="0"/>
              <w:ind w:left="0"/>
              <w:rPr>
                <w:rFonts w:ascii="Arial Narrow" w:hAnsi="Arial Narrow" w:cs="Arial"/>
                <w:sz w:val="18"/>
                <w:lang w:eastAsia="en-AU"/>
              </w:rPr>
            </w:pPr>
            <w:r w:rsidRPr="00304F70">
              <w:rPr>
                <w:rFonts w:ascii="Arial Narrow" w:hAnsi="Arial Narrow" w:cs="Arial"/>
                <w:sz w:val="18"/>
                <w:lang w:eastAsia="en-AU"/>
              </w:rPr>
              <w:t xml:space="preserve">Automated image analysis for primary screening of conventional Pap smear cytology </w:t>
            </w:r>
          </w:p>
        </w:tc>
      </w:tr>
      <w:tr w:rsidR="00234376" w:rsidRPr="00537C3C">
        <w:tc>
          <w:tcPr>
            <w:tcW w:w="1267" w:type="dxa"/>
          </w:tcPr>
          <w:p w:rsidR="00234376" w:rsidRPr="00537C3C" w:rsidRDefault="00234376" w:rsidP="008E03A7">
            <w:pPr>
              <w:pStyle w:val="TableText"/>
              <w:keepNext w:val="0"/>
              <w:spacing w:before="100" w:beforeAutospacing="1" w:after="100" w:afterAutospacing="1"/>
            </w:pPr>
            <w:r w:rsidRPr="00537C3C">
              <w:t xml:space="preserve">Comparator </w:t>
            </w:r>
          </w:p>
        </w:tc>
        <w:tc>
          <w:tcPr>
            <w:tcW w:w="7263" w:type="dxa"/>
          </w:tcPr>
          <w:p w:rsidR="00234376" w:rsidRPr="00304F70" w:rsidRDefault="00234376" w:rsidP="001E08C1">
            <w:pPr>
              <w:spacing w:before="40" w:after="0"/>
              <w:ind w:left="0"/>
              <w:rPr>
                <w:rFonts w:ascii="Arial Narrow" w:hAnsi="Arial Narrow" w:cs="Arial"/>
                <w:sz w:val="18"/>
                <w:lang w:eastAsia="en-AU"/>
              </w:rPr>
            </w:pPr>
            <w:r w:rsidRPr="00304F70">
              <w:rPr>
                <w:rFonts w:ascii="Arial Narrow" w:hAnsi="Arial Narrow" w:cs="Arial"/>
                <w:sz w:val="18"/>
                <w:lang w:eastAsia="en-AU"/>
              </w:rPr>
              <w:t>Manual screening of conventional Pap smear cytology</w:t>
            </w:r>
          </w:p>
          <w:p w:rsidR="00234376" w:rsidRPr="00304F70" w:rsidRDefault="00234376" w:rsidP="001E08C1">
            <w:pPr>
              <w:spacing w:before="40" w:after="0"/>
              <w:ind w:left="0"/>
              <w:rPr>
                <w:rFonts w:ascii="Arial Narrow" w:hAnsi="Arial Narrow" w:cs="Arial"/>
                <w:sz w:val="18"/>
                <w:lang w:eastAsia="en-AU"/>
              </w:rPr>
            </w:pPr>
            <w:r w:rsidRPr="00304F70">
              <w:rPr>
                <w:rFonts w:ascii="Arial Narrow" w:hAnsi="Arial Narrow" w:cs="Arial"/>
                <w:sz w:val="18"/>
                <w:lang w:eastAsia="en-AU"/>
              </w:rPr>
              <w:t>Manual screening of LBC a</w:t>
            </w:r>
          </w:p>
        </w:tc>
      </w:tr>
      <w:tr w:rsidR="00234376" w:rsidRPr="00537C3C">
        <w:tc>
          <w:tcPr>
            <w:tcW w:w="1267" w:type="dxa"/>
          </w:tcPr>
          <w:p w:rsidR="00234376" w:rsidRPr="00537C3C" w:rsidRDefault="00234376" w:rsidP="008E03A7">
            <w:pPr>
              <w:pStyle w:val="TableText"/>
              <w:keepNext w:val="0"/>
              <w:spacing w:before="100" w:beforeAutospacing="1" w:after="100" w:afterAutospacing="1"/>
            </w:pPr>
            <w:r w:rsidRPr="00537C3C">
              <w:t>Outcome</w:t>
            </w:r>
          </w:p>
        </w:tc>
        <w:tc>
          <w:tcPr>
            <w:tcW w:w="7263" w:type="dxa"/>
          </w:tcPr>
          <w:p w:rsidR="00234376" w:rsidRPr="00537C3C" w:rsidRDefault="00234376" w:rsidP="008E03A7">
            <w:pPr>
              <w:spacing w:before="40" w:after="0"/>
              <w:ind w:left="0"/>
              <w:rPr>
                <w:rFonts w:ascii="Arial Narrow" w:hAnsi="Arial Narrow" w:cs="Arial"/>
                <w:sz w:val="18"/>
                <w:lang w:eastAsia="en-AU"/>
              </w:rPr>
            </w:pPr>
            <w:r w:rsidRPr="00537C3C">
              <w:rPr>
                <w:rFonts w:ascii="Arial Narrow" w:hAnsi="Arial Narrow" w:cs="Arial"/>
                <w:sz w:val="18"/>
                <w:lang w:eastAsia="en-AU"/>
              </w:rPr>
              <w:t>Studies must report on at least one of the following outcomes:</w:t>
            </w:r>
          </w:p>
          <w:p w:rsidR="00234376" w:rsidRPr="00537C3C" w:rsidRDefault="00234376" w:rsidP="008E03A7">
            <w:pPr>
              <w:numPr>
                <w:ilvl w:val="0"/>
                <w:numId w:val="8"/>
              </w:numPr>
              <w:spacing w:before="40" w:after="0"/>
              <w:rPr>
                <w:rFonts w:ascii="Arial Narrow" w:hAnsi="Arial Narrow" w:cs="Arial"/>
                <w:sz w:val="18"/>
                <w:lang w:eastAsia="en-AU"/>
              </w:rPr>
            </w:pPr>
            <w:r w:rsidRPr="00537C3C">
              <w:rPr>
                <w:rFonts w:ascii="Arial Narrow" w:hAnsi="Arial Narrow" w:cs="Arial"/>
                <w:sz w:val="18"/>
                <w:lang w:eastAsia="en-AU"/>
              </w:rPr>
              <w:t xml:space="preserve">Diagnostic accuracy for </w:t>
            </w:r>
            <w:r w:rsidRPr="00BB76D8">
              <w:rPr>
                <w:rFonts w:ascii="Arial Narrow" w:hAnsi="Arial Narrow" w:cs="Arial"/>
                <w:sz w:val="18"/>
                <w:lang w:eastAsia="en-AU"/>
              </w:rPr>
              <w:t>CIN</w:t>
            </w:r>
            <w:r w:rsidRPr="00537C3C">
              <w:rPr>
                <w:rFonts w:ascii="Arial Narrow" w:hAnsi="Arial Narrow" w:cs="Arial"/>
                <w:sz w:val="18"/>
                <w:lang w:eastAsia="en-AU"/>
              </w:rPr>
              <w:t xml:space="preserve"> 2+ / </w:t>
            </w:r>
            <w:r w:rsidRPr="00BB76D8">
              <w:rPr>
                <w:rFonts w:ascii="Arial Narrow" w:hAnsi="Arial Narrow" w:cs="Arial"/>
                <w:sz w:val="18"/>
                <w:lang w:eastAsia="en-AU"/>
              </w:rPr>
              <w:t>CIN</w:t>
            </w:r>
            <w:r w:rsidRPr="00537C3C">
              <w:rPr>
                <w:rFonts w:ascii="Arial Narrow" w:hAnsi="Arial Narrow" w:cs="Arial"/>
                <w:sz w:val="18"/>
                <w:lang w:eastAsia="en-AU"/>
              </w:rPr>
              <w:t xml:space="preserve"> 3+ / </w:t>
            </w:r>
            <w:r w:rsidRPr="00BB76D8">
              <w:rPr>
                <w:rFonts w:ascii="Arial Narrow" w:hAnsi="Arial Narrow" w:cs="Arial"/>
                <w:sz w:val="18"/>
                <w:lang w:eastAsia="en-AU"/>
              </w:rPr>
              <w:t>AIS</w:t>
            </w:r>
            <w:r w:rsidRPr="00537C3C">
              <w:rPr>
                <w:rFonts w:ascii="Arial Narrow" w:hAnsi="Arial Narrow" w:cs="Arial"/>
                <w:sz w:val="18"/>
                <w:lang w:eastAsia="en-AU"/>
              </w:rPr>
              <w:t xml:space="preserve"> of automated cytology screening vs manual cytology screening: sensitivity and specificity (and/or sufficient data for reconstruction of 2 </w:t>
            </w:r>
            <w:r w:rsidRPr="00537C3C">
              <w:rPr>
                <w:rFonts w:ascii="Arial Narrow" w:hAnsi="Arial Narrow" w:cs="Arial"/>
                <w:sz w:val="18"/>
                <w:szCs w:val="18"/>
                <w:lang w:eastAsia="en-AU"/>
              </w:rPr>
              <w:sym w:font="Symbol" w:char="F0B4"/>
            </w:r>
            <w:r w:rsidRPr="00537C3C">
              <w:rPr>
                <w:rFonts w:ascii="Arial Narrow" w:hAnsi="Arial Narrow" w:cs="Arial"/>
                <w:sz w:val="18"/>
                <w:lang w:eastAsia="en-AU"/>
              </w:rPr>
              <w:t xml:space="preserve"> 2 table); or relative TP and FP rate rates or ratio; or incremental TP rate; using appropriate reference standard</w:t>
            </w:r>
          </w:p>
          <w:p w:rsidR="00234376" w:rsidRPr="00537C3C" w:rsidRDefault="00234376" w:rsidP="008E03A7">
            <w:pPr>
              <w:numPr>
                <w:ilvl w:val="0"/>
                <w:numId w:val="8"/>
              </w:numPr>
              <w:spacing w:before="40" w:after="0"/>
              <w:rPr>
                <w:rFonts w:ascii="Arial Narrow" w:hAnsi="Arial Narrow" w:cs="Arial"/>
                <w:sz w:val="18"/>
                <w:lang w:eastAsia="en-AU"/>
              </w:rPr>
            </w:pPr>
            <w:r w:rsidRPr="00537C3C">
              <w:rPr>
                <w:rFonts w:ascii="Arial Narrow" w:hAnsi="Arial Narrow" w:cs="Arial"/>
                <w:sz w:val="18"/>
                <w:lang w:eastAsia="en-AU"/>
              </w:rPr>
              <w:t>Impact of screening results on clinical management (further investigations/treatment avoided, earlier investigatio</w:t>
            </w:r>
            <w:r w:rsidRPr="00A316F5">
              <w:rPr>
                <w:rFonts w:ascii="Arial Narrow" w:hAnsi="Arial Narrow" w:cs="Arial"/>
                <w:sz w:val="18"/>
                <w:lang w:eastAsia="en-AU"/>
              </w:rPr>
              <w:t>n/</w:t>
            </w:r>
            <w:r w:rsidRPr="00537C3C">
              <w:rPr>
                <w:rFonts w:ascii="Arial Narrow" w:hAnsi="Arial Narrow" w:cs="Arial"/>
                <w:sz w:val="18"/>
                <w:lang w:eastAsia="en-AU"/>
              </w:rPr>
              <w:t>treatment initiated)</w:t>
            </w:r>
          </w:p>
          <w:p w:rsidR="00234376" w:rsidRPr="00537C3C" w:rsidRDefault="00234376" w:rsidP="008E03A7">
            <w:pPr>
              <w:numPr>
                <w:ilvl w:val="0"/>
                <w:numId w:val="8"/>
              </w:numPr>
              <w:spacing w:before="40" w:after="0"/>
              <w:rPr>
                <w:rFonts w:ascii="Arial Narrow" w:hAnsi="Arial Narrow" w:cs="Arial"/>
                <w:sz w:val="18"/>
                <w:lang w:eastAsia="en-AU"/>
              </w:rPr>
            </w:pPr>
            <w:r w:rsidRPr="00537C3C">
              <w:rPr>
                <w:rFonts w:ascii="Arial Narrow" w:hAnsi="Arial Narrow" w:cs="Arial"/>
                <w:sz w:val="18"/>
                <w:lang w:eastAsia="en-AU"/>
              </w:rPr>
              <w:lastRenderedPageBreak/>
              <w:t>Patient quality of life (eg, patient acceptability, satisfaction, psychological distress)</w:t>
            </w:r>
          </w:p>
          <w:p w:rsidR="00234376" w:rsidRPr="00537C3C" w:rsidRDefault="00234376" w:rsidP="008E03A7">
            <w:pPr>
              <w:numPr>
                <w:ilvl w:val="0"/>
                <w:numId w:val="8"/>
              </w:numPr>
              <w:spacing w:before="40" w:after="0"/>
              <w:rPr>
                <w:rFonts w:ascii="Arial Narrow" w:hAnsi="Arial Narrow" w:cs="Arial"/>
                <w:sz w:val="18"/>
                <w:lang w:eastAsia="en-AU"/>
              </w:rPr>
            </w:pPr>
            <w:r w:rsidRPr="00537C3C">
              <w:rPr>
                <w:rFonts w:ascii="Arial Narrow" w:hAnsi="Arial Narrow" w:cs="Arial"/>
                <w:sz w:val="18"/>
                <w:lang w:eastAsia="en-AU"/>
              </w:rPr>
              <w:t>Patient compliance</w:t>
            </w:r>
          </w:p>
          <w:p w:rsidR="00234376" w:rsidRPr="00537C3C" w:rsidRDefault="00234376" w:rsidP="008E03A7">
            <w:pPr>
              <w:numPr>
                <w:ilvl w:val="0"/>
                <w:numId w:val="8"/>
              </w:numPr>
              <w:spacing w:before="40" w:after="0"/>
              <w:rPr>
                <w:rFonts w:ascii="Arial Narrow" w:hAnsi="Arial Narrow" w:cs="Arial"/>
                <w:sz w:val="18"/>
                <w:lang w:eastAsia="en-AU"/>
              </w:rPr>
            </w:pPr>
            <w:r w:rsidRPr="00537C3C">
              <w:rPr>
                <w:rFonts w:ascii="Arial Narrow" w:hAnsi="Arial Narrow" w:cs="Arial"/>
                <w:sz w:val="18"/>
                <w:lang w:eastAsia="en-AU"/>
              </w:rPr>
              <w:t>Incidence of cervical cancer</w:t>
            </w:r>
          </w:p>
          <w:p w:rsidR="00234376" w:rsidRPr="00537C3C" w:rsidRDefault="00234376" w:rsidP="008E03A7">
            <w:pPr>
              <w:numPr>
                <w:ilvl w:val="0"/>
                <w:numId w:val="8"/>
              </w:numPr>
              <w:spacing w:before="40" w:after="0"/>
              <w:rPr>
                <w:rFonts w:ascii="Arial Narrow" w:hAnsi="Arial Narrow" w:cs="Arial"/>
                <w:sz w:val="18"/>
                <w:lang w:eastAsia="en-AU"/>
              </w:rPr>
            </w:pPr>
            <w:r w:rsidRPr="00537C3C">
              <w:rPr>
                <w:rFonts w:ascii="Arial Narrow" w:hAnsi="Arial Narrow" w:cs="Arial"/>
                <w:sz w:val="18"/>
                <w:lang w:eastAsia="en-AU"/>
              </w:rPr>
              <w:t>Overall survival, cervical cancer–specific survival</w:t>
            </w:r>
          </w:p>
          <w:p w:rsidR="00234376" w:rsidRPr="00537C3C" w:rsidRDefault="00234376" w:rsidP="008E03A7">
            <w:pPr>
              <w:numPr>
                <w:ilvl w:val="0"/>
                <w:numId w:val="8"/>
              </w:numPr>
              <w:spacing w:before="40" w:after="0"/>
              <w:rPr>
                <w:rFonts w:ascii="Arial Narrow" w:hAnsi="Arial Narrow" w:cs="Arial"/>
                <w:sz w:val="18"/>
                <w:lang w:eastAsia="en-AU"/>
              </w:rPr>
            </w:pPr>
            <w:r w:rsidRPr="00537C3C">
              <w:rPr>
                <w:rFonts w:ascii="Arial Narrow" w:hAnsi="Arial Narrow" w:cs="Arial"/>
                <w:sz w:val="18"/>
                <w:lang w:eastAsia="en-AU"/>
              </w:rPr>
              <w:t>Analysis time</w:t>
            </w:r>
          </w:p>
          <w:p w:rsidR="00234376" w:rsidRPr="00537C3C" w:rsidRDefault="00234376" w:rsidP="008E03A7">
            <w:pPr>
              <w:numPr>
                <w:ilvl w:val="0"/>
                <w:numId w:val="8"/>
              </w:numPr>
              <w:spacing w:before="40" w:after="0"/>
              <w:rPr>
                <w:rFonts w:ascii="Arial Narrow" w:hAnsi="Arial Narrow" w:cs="Arial"/>
                <w:sz w:val="18"/>
                <w:lang w:eastAsia="en-AU"/>
              </w:rPr>
            </w:pPr>
            <w:r w:rsidRPr="00537C3C">
              <w:rPr>
                <w:rFonts w:ascii="Arial Narrow" w:hAnsi="Arial Narrow" w:cs="Arial"/>
                <w:sz w:val="18"/>
                <w:lang w:eastAsia="en-AU"/>
              </w:rPr>
              <w:t>Costs</w:t>
            </w:r>
          </w:p>
        </w:tc>
      </w:tr>
      <w:tr w:rsidR="00234376" w:rsidRPr="00537C3C">
        <w:tc>
          <w:tcPr>
            <w:tcW w:w="1267" w:type="dxa"/>
          </w:tcPr>
          <w:p w:rsidR="00234376" w:rsidRPr="00537C3C" w:rsidRDefault="00234376" w:rsidP="008E03A7">
            <w:pPr>
              <w:pStyle w:val="TableText"/>
              <w:keepNext w:val="0"/>
              <w:spacing w:before="100" w:beforeAutospacing="1" w:after="100" w:afterAutospacing="1"/>
            </w:pPr>
            <w:r w:rsidRPr="00537C3C">
              <w:lastRenderedPageBreak/>
              <w:t>Language</w:t>
            </w:r>
          </w:p>
        </w:tc>
        <w:tc>
          <w:tcPr>
            <w:tcW w:w="7263" w:type="dxa"/>
          </w:tcPr>
          <w:p w:rsidR="00234376" w:rsidRPr="00537C3C" w:rsidRDefault="00234376" w:rsidP="008E03A7">
            <w:pPr>
              <w:spacing w:before="40" w:after="0"/>
              <w:ind w:left="0"/>
              <w:rPr>
                <w:rFonts w:ascii="Arial Narrow" w:hAnsi="Arial Narrow" w:cs="Arial"/>
                <w:sz w:val="18"/>
                <w:lang w:eastAsia="en-AU"/>
              </w:rPr>
            </w:pPr>
            <w:r w:rsidRPr="00537C3C">
              <w:rPr>
                <w:rFonts w:ascii="Arial Narrow" w:hAnsi="Arial Narrow" w:cs="Arial"/>
                <w:sz w:val="18"/>
                <w:lang w:eastAsia="en-AU"/>
              </w:rPr>
              <w:t>Non-English-language articles excluded.</w:t>
            </w:r>
          </w:p>
        </w:tc>
      </w:tr>
    </w:tbl>
    <w:p w:rsidR="00234376" w:rsidRPr="00537C3C" w:rsidRDefault="00234376" w:rsidP="008E03A7">
      <w:pPr>
        <w:pStyle w:val="TableNotes"/>
        <w:spacing w:after="0"/>
        <w:ind w:left="709" w:firstLine="11"/>
      </w:pPr>
      <w:r w:rsidRPr="00537C3C">
        <w:rPr>
          <w:vertAlign w:val="superscript"/>
        </w:rPr>
        <w:t xml:space="preserve">a </w:t>
      </w:r>
      <w:r w:rsidRPr="00537C3C">
        <w:t xml:space="preserve">As a comparator for automated cervical cytology image analysis for primary screening using </w:t>
      </w:r>
      <w:r w:rsidRPr="00BB76D8">
        <w:t>LBC</w:t>
      </w:r>
      <w:r w:rsidRPr="00537C3C">
        <w:t>.</w:t>
      </w:r>
      <w:r w:rsidRPr="00537C3C">
        <w:rPr>
          <w:rFonts w:cs="Arial"/>
          <w:vertAlign w:val="superscript"/>
        </w:rPr>
        <w:br/>
        <w:t>b</w:t>
      </w:r>
      <w:r w:rsidRPr="00537C3C">
        <w:rPr>
          <w:rFonts w:cs="Arial"/>
        </w:rPr>
        <w:t xml:space="preserve"> Requirement for high-quality study as per </w:t>
      </w:r>
      <w:bookmarkStart w:id="242" w:name="OLE_LINK464"/>
      <w:bookmarkStart w:id="243" w:name="OLE_LINK465"/>
      <w:r w:rsidRPr="00537C3C">
        <w:rPr>
          <w:rFonts w:cs="Arial"/>
        </w:rPr>
        <w:t>Davey et al. (2006</w:t>
      </w:r>
      <w:bookmarkEnd w:id="242"/>
      <w:bookmarkEnd w:id="243"/>
      <w:r w:rsidRPr="00537C3C">
        <w:rPr>
          <w:rFonts w:cs="Arial"/>
        </w:rPr>
        <w:t>); see appendix</w:t>
      </w:r>
      <w:r w:rsidR="008B0564">
        <w:rPr>
          <w:rFonts w:cs="Arial"/>
        </w:rPr>
        <w:t xml:space="preserve"> I</w:t>
      </w:r>
      <w:r w:rsidRPr="00537C3C">
        <w:rPr>
          <w:rFonts w:cs="Arial"/>
        </w:rPr>
        <w:t>.</w:t>
      </w:r>
    </w:p>
    <w:p w:rsidR="00234376" w:rsidRDefault="00234376" w:rsidP="00234376">
      <w:pPr>
        <w:pStyle w:val="Heading3"/>
      </w:pPr>
      <w:r w:rsidRPr="00537C3C">
        <w:t>Search results</w:t>
      </w:r>
    </w:p>
    <w:p w:rsidR="00234376" w:rsidRPr="00537C3C" w:rsidRDefault="00234376" w:rsidP="008E03A7">
      <w:pPr>
        <w:pStyle w:val="Heading4"/>
      </w:pPr>
      <w:r w:rsidRPr="00537C3C">
        <w:t xml:space="preserve">Existing </w:t>
      </w:r>
      <w:r w:rsidRPr="00BB76D8">
        <w:t>HTA</w:t>
      </w:r>
      <w:r w:rsidRPr="00537C3C">
        <w:t xml:space="preserve"> reports and systematic reviews</w:t>
      </w:r>
    </w:p>
    <w:p w:rsidR="00234376" w:rsidRPr="00537C3C" w:rsidRDefault="00234376" w:rsidP="008E03A7">
      <w:r w:rsidRPr="00537C3C">
        <w:t xml:space="preserve">Nine relevant </w:t>
      </w:r>
      <w:r w:rsidRPr="00BB76D8">
        <w:t>HTA</w:t>
      </w:r>
      <w:r w:rsidRPr="00537C3C">
        <w:t>s or systematic reviews published between 2002 and August 2008 were identified (</w:t>
      </w:r>
      <w:r w:rsidRPr="00537C3C">
        <w:fldChar w:fldCharType="begin"/>
      </w:r>
      <w:r w:rsidRPr="00537C3C">
        <w:instrText xml:space="preserve"> REF _Ref199566181 \h </w:instrText>
      </w:r>
      <w:r w:rsidR="007D3DFF">
        <w:fldChar w:fldCharType="separate"/>
      </w:r>
      <w:r w:rsidR="007D3DFF">
        <w:rPr>
          <w:b/>
          <w:bCs/>
          <w:lang w:val="en-US"/>
        </w:rPr>
        <w:t>Error! Reference source not found.</w:t>
      </w:r>
      <w:r w:rsidRPr="00537C3C">
        <w:fldChar w:fldCharType="end"/>
      </w:r>
      <w:r w:rsidRPr="00537C3C">
        <w:t xml:space="preserve">). No English-language </w:t>
      </w:r>
      <w:r w:rsidRPr="00BB76D8">
        <w:t>HTA</w:t>
      </w:r>
      <w:r w:rsidRPr="00537C3C">
        <w:t xml:space="preserve">s or systematic reviews of automated cytology slide reading systems more recent than the 2003 </w:t>
      </w:r>
      <w:r w:rsidRPr="00BB76D8">
        <w:t>MSAC</w:t>
      </w:r>
      <w:r w:rsidRPr="00537C3C">
        <w:t xml:space="preserve"> review (to September 2002) were identified.</w:t>
      </w:r>
    </w:p>
    <w:p w:rsidR="00234376" w:rsidRPr="00537C3C" w:rsidRDefault="00234376" w:rsidP="008E03A7">
      <w:r w:rsidRPr="00537C3C">
        <w:t xml:space="preserve">The most recent systematic review of the comparative accuracy of </w:t>
      </w:r>
      <w:r w:rsidRPr="00BB76D8">
        <w:t>LBC</w:t>
      </w:r>
      <w:r w:rsidRPr="00537C3C">
        <w:t xml:space="preserve"> and conventional cytology identified was Arbyn et al. </w:t>
      </w:r>
      <w:r w:rsidRPr="00537C3C">
        <w:fldChar w:fldCharType="begin"/>
      </w:r>
      <w:r w:rsidRPr="00537C3C">
        <w:instrText xml:space="preserve"> ADDIN REFMGR.CITE &lt;Refman&gt;&lt;Cite ExcludeAuth="1"&gt;&lt;Author&gt;Arbyn&lt;/Author&gt;&lt;Year&gt;2008&lt;/Year&gt;&lt;RecNum&gt;5&lt;/RecNum&gt;&lt;IDText&gt;Liquid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537C3C">
        <w:fldChar w:fldCharType="separate"/>
      </w:r>
      <w:r w:rsidRPr="00537C3C">
        <w:t>(2008)</w:t>
      </w:r>
      <w:r w:rsidRPr="00537C3C">
        <w:fldChar w:fldCharType="end"/>
      </w:r>
      <w:r w:rsidRPr="00537C3C">
        <w:t xml:space="preserve">. This high-quality review considered evidence to May 2007. The most recent </w:t>
      </w:r>
      <w:r w:rsidRPr="00BB76D8">
        <w:t>HTA</w:t>
      </w:r>
      <w:r w:rsidRPr="00537C3C">
        <w:t xml:space="preserve"> report considering comparative unsatisfactory rates for </w:t>
      </w:r>
      <w:r w:rsidRPr="00BB76D8">
        <w:t>LBC</w:t>
      </w:r>
      <w:r w:rsidRPr="00537C3C">
        <w:t xml:space="preserve"> and conventional cytology was that by the </w:t>
      </w:r>
      <w:bookmarkStart w:id="244" w:name="OLE_LINK574"/>
      <w:bookmarkStart w:id="245" w:name="OLE_LINK575"/>
      <w:r w:rsidRPr="006C24DD">
        <w:t>Canadian Agency</w:t>
      </w:r>
      <w:bookmarkEnd w:id="244"/>
      <w:bookmarkEnd w:id="245"/>
      <w:r w:rsidRPr="006C24DD">
        <w:t xml:space="preserve"> for Drugs and Technologies in Health</w:t>
      </w:r>
      <w:r w:rsidRPr="00537C3C">
        <w:t xml:space="preserve">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analysis&lt;/IDText&gt;&lt;Prefix&gt;CADTH; &lt;/Prefix&gt;&lt;MDL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w:t>
      </w:r>
      <w:bookmarkStart w:id="246" w:name="OLE_LINK136"/>
      <w:bookmarkStart w:id="247" w:name="OLE_LINK137"/>
      <w:r w:rsidRPr="00BB76D8">
        <w:t>CADTH</w:t>
      </w:r>
      <w:bookmarkEnd w:id="246"/>
      <w:bookmarkEnd w:id="247"/>
      <w:r w:rsidRPr="00537C3C">
        <w:t>; Krahn et al. 2008)</w:t>
      </w:r>
      <w:r w:rsidRPr="00537C3C">
        <w:fldChar w:fldCharType="end"/>
      </w:r>
      <w:r w:rsidRPr="00537C3C">
        <w:t>. This report was based on evidence from a systematic literature search to June 2006.</w:t>
      </w:r>
    </w:p>
    <w:p w:rsidR="00234376" w:rsidRPr="00537C3C" w:rsidRDefault="00234376" w:rsidP="008E03A7">
      <w:pPr>
        <w:pStyle w:val="Heading4"/>
      </w:pPr>
      <w:r w:rsidRPr="00537C3C">
        <w:t>Quorum flow chart</w:t>
      </w:r>
    </w:p>
    <w:p w:rsidR="00234376" w:rsidRPr="00537C3C" w:rsidRDefault="00234376" w:rsidP="008E03A7">
      <w:r w:rsidRPr="00537C3C">
        <w:t xml:space="preserve">A total of 1147 non-duplicate citations from the searches for primary studies were screened for inclusion in the </w:t>
      </w:r>
      <w:r w:rsidRPr="00BB76D8">
        <w:t>LBC</w:t>
      </w:r>
      <w:r w:rsidRPr="00537C3C">
        <w:t xml:space="preserve"> or automated screening reviews.</w:t>
      </w:r>
    </w:p>
    <w:p w:rsidR="00234376" w:rsidRPr="00537C3C" w:rsidRDefault="00234376" w:rsidP="008E03A7">
      <w:r w:rsidRPr="00537C3C">
        <w:t xml:space="preserve">In addition to the recent </w:t>
      </w:r>
      <w:r w:rsidRPr="00BB76D8">
        <w:t>HTA</w:t>
      </w:r>
      <w:r w:rsidRPr="00537C3C">
        <w:t xml:space="preserve"> report from </w:t>
      </w:r>
      <w:r w:rsidRPr="00BB76D8">
        <w:t>CADTH</w:t>
      </w:r>
      <w:r w:rsidRPr="00537C3C">
        <w:t xml:space="preserve">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 xml:space="preserve">, 11 included studies were identified in the search for primary studies. The process used to identify these studies is described in </w:t>
      </w:r>
      <w:r>
        <w:fldChar w:fldCharType="begin"/>
      </w:r>
      <w:r>
        <w:instrText xml:space="preserve"> REF _Ref207095567 \h  \* MERGEFORMAT </w:instrText>
      </w:r>
      <w:r>
        <w:fldChar w:fldCharType="separate"/>
      </w:r>
      <w:r w:rsidR="007D3DFF" w:rsidRPr="00537C3C">
        <w:t xml:space="preserve">Figure </w:t>
      </w:r>
      <w:r w:rsidR="007D3DFF">
        <w:rPr>
          <w:noProof/>
        </w:rPr>
        <w:t>2</w:t>
      </w:r>
      <w:r>
        <w:fldChar w:fldCharType="end"/>
      </w:r>
      <w:r w:rsidRPr="00537C3C">
        <w:t>.</w:t>
      </w:r>
    </w:p>
    <w:p w:rsidR="00234376" w:rsidRPr="00537C3C" w:rsidRDefault="00234376" w:rsidP="008E03A7">
      <w:pPr>
        <w:pStyle w:val="Caption"/>
        <w:pageBreakBefore/>
      </w:pPr>
      <w:bookmarkStart w:id="248" w:name="_Ref207095567"/>
      <w:bookmarkStart w:id="249" w:name="_Toc86678670"/>
      <w:bookmarkStart w:id="250" w:name="_Toc190700723"/>
      <w:bookmarkStart w:id="251" w:name="_Toc231895843"/>
      <w:bookmarkStart w:id="252" w:name="_Toc222823899"/>
      <w:r w:rsidRPr="00537C3C">
        <w:lastRenderedPageBreak/>
        <w:t xml:space="preserve">Figure </w:t>
      </w:r>
      <w:fldSimple w:instr=" SEQ Figure \* ARABIC ">
        <w:r w:rsidR="007D3DFF">
          <w:rPr>
            <w:noProof/>
          </w:rPr>
          <w:t>2</w:t>
        </w:r>
      </w:fldSimple>
      <w:bookmarkEnd w:id="248"/>
      <w:r w:rsidRPr="00537C3C">
        <w:tab/>
        <w:t>Summary of the process used to identify and select studies for the review</w:t>
      </w:r>
      <w:bookmarkEnd w:id="249"/>
      <w:bookmarkEnd w:id="250"/>
      <w:r w:rsidRPr="00537C3C">
        <w:t>.</w:t>
      </w:r>
      <w:bookmarkEnd w:id="251"/>
      <w:bookmarkEnd w:id="252"/>
    </w:p>
    <w:p w:rsidR="00234376" w:rsidRPr="00537C3C" w:rsidRDefault="00BB366E">
      <w:pPr>
        <w:ind w:left="0"/>
        <w:rPr>
          <w:rFonts w:ascii="Arial" w:hAnsi="Arial" w:cs="Arial"/>
          <w:sz w:val="20"/>
        </w:rPr>
      </w:pPr>
      <w:r>
        <w:rPr>
          <w:rFonts w:ascii="Arial" w:hAnsi="Arial" w:cs="Arial"/>
          <w:noProof/>
          <w:sz w:val="20"/>
          <w:lang w:eastAsia="en-AU"/>
        </w:rPr>
        <w:drawing>
          <wp:inline distT="0" distB="0" distL="0" distR="0" wp14:anchorId="0A16D232" wp14:editId="288A90B2">
            <wp:extent cx="5543550" cy="6134100"/>
            <wp:effectExtent l="0" t="0" r="0" b="0"/>
            <wp:docPr id="143" name="Picture 143" title="Summary of the process used to identify and select studies for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1.tif"/>
                    <pic:cNvPicPr/>
                  </pic:nvPicPr>
                  <pic:blipFill>
                    <a:blip r:embed="rId21">
                      <a:extLst>
                        <a:ext uri="{28A0092B-C50C-407E-A947-70E740481C1C}">
                          <a14:useLocalDpi xmlns:a14="http://schemas.microsoft.com/office/drawing/2010/main" val="0"/>
                        </a:ext>
                      </a:extLst>
                    </a:blip>
                    <a:stretch>
                      <a:fillRect/>
                    </a:stretch>
                  </pic:blipFill>
                  <pic:spPr>
                    <a:xfrm>
                      <a:off x="0" y="0"/>
                      <a:ext cx="5543550" cy="6134100"/>
                    </a:xfrm>
                    <a:prstGeom prst="rect">
                      <a:avLst/>
                    </a:prstGeom>
                  </pic:spPr>
                </pic:pic>
              </a:graphicData>
            </a:graphic>
          </wp:inline>
        </w:drawing>
      </w:r>
    </w:p>
    <w:p w:rsidR="00234376" w:rsidRPr="00537C3C" w:rsidRDefault="00234376" w:rsidP="008E03A7">
      <w:pPr>
        <w:pStyle w:val="TableNotes"/>
        <w:spacing w:after="0"/>
        <w:rPr>
          <w:rFonts w:cs="Arial"/>
          <w:sz w:val="20"/>
        </w:rPr>
      </w:pPr>
      <w:r w:rsidRPr="00537C3C">
        <w:rPr>
          <w:rFonts w:cs="Arial"/>
          <w:sz w:val="20"/>
        </w:rPr>
        <w:t>* One study also provides evidence for automated vs conventional.</w:t>
      </w:r>
    </w:p>
    <w:p w:rsidR="00234376" w:rsidRPr="00537C3C" w:rsidRDefault="00234376" w:rsidP="008E03A7">
      <w:pPr>
        <w:rPr>
          <w:rFonts w:ascii="Arial Narrow" w:hAnsi="Arial Narrow" w:cs="Arial"/>
          <w:sz w:val="20"/>
        </w:rPr>
      </w:pPr>
      <w:r w:rsidRPr="00537C3C">
        <w:rPr>
          <w:rFonts w:ascii="Arial Narrow" w:hAnsi="Arial Narrow" w:cs="Arial"/>
          <w:sz w:val="20"/>
        </w:rPr>
        <w:t xml:space="preserve">Adapted from Moher et al. </w:t>
      </w:r>
      <w:r w:rsidRPr="00537C3C">
        <w:rPr>
          <w:rFonts w:ascii="Arial Narrow" w:hAnsi="Arial Narrow" w:cs="Arial"/>
          <w:sz w:val="20"/>
        </w:rPr>
        <w:fldChar w:fldCharType="begin"/>
      </w:r>
      <w:r w:rsidRPr="00537C3C">
        <w:rPr>
          <w:rFonts w:ascii="Arial Narrow" w:hAnsi="Arial Narrow" w:cs="Arial"/>
          <w:sz w:val="20"/>
        </w:rPr>
        <w:instrText xml:space="preserve"> ADDIN REFMGR.CITE &lt;Refman&gt;&lt;Cite ExcludeAuth="1"&gt;&lt;Author&gt;Moher&lt;/Author&gt;&lt;Year&gt;1999&lt;/Year&gt;&lt;RecNum&gt;18&lt;/RecNum&gt;&lt;IDText&gt;Improving the quality of reports of meta-analyses of randomised controlled trials: the QUOROM statement. Quality of Reporting of Meta-analyses&lt;/IDText&gt;&lt;MDL Ref_Type="Journal"&gt;&lt;Ref_Type&gt;Journal&lt;/Ref_Type&gt;&lt;Ref_ID&gt;18&lt;/Ref_ID&gt;&lt;Title_Primary&gt;Improving the quality of reports of meta-analyses of randomised controlled trials: the QUOROM statement. Quality of Reporting of Meta-analyses&lt;/Title_Primary&gt;&lt;Authors_Primary&gt;Moher,D.&lt;/Authors_Primary&gt;&lt;Authors_Primary&gt;Cook,D.J.&lt;/Authors_Primary&gt;&lt;Authors_Primary&gt;Eastwood,S.&lt;/Authors_Primary&gt;&lt;Authors_Primary&gt;Olkin,I.&lt;/Authors_Primary&gt;&lt;Authors_Primary&gt;Rennie,D.&lt;/Authors_Primary&gt;&lt;Authors_Primary&gt;Stroup,D.F.&lt;/Authors_Primary&gt;&lt;Date_Primary&gt;1999/11/27&lt;/Date_Primary&gt;&lt;Keywords&gt;*Meta-Analysis&lt;/Keywords&gt;&lt;Keywords&gt;Authorship&lt;/Keywords&gt;&lt;Keywords&gt;England&lt;/Keywords&gt;&lt;Keywords&gt;Guidelines&lt;/Keywords&gt;&lt;Keywords&gt;Humans&lt;/Keywords&gt;&lt;Keywords&gt;methods&lt;/Keywords&gt;&lt;Keywords&gt;Randomized Controlled Trials&lt;/Keywords&gt;&lt;Keywords&gt;Research&lt;/Keywords&gt;&lt;Keywords&gt;Research Support,Non-U.S.Gov&amp;apos;t&lt;/Keywords&gt;&lt;Keywords&gt;Review&lt;/Keywords&gt;&lt;Keywords&gt;Software Design&lt;/Keywords&gt;&lt;Keywords&gt;standards&lt;/Keywords&gt;&lt;Reprint&gt;In File&lt;/Reprint&gt;&lt;Start_Page&gt;1896&lt;/Start_Page&gt;&lt;End_Page&gt;1900&lt;/End_Page&gt;&lt;Periodical&gt;Lancet&lt;/Periodical&gt;&lt;Volume&gt;354&lt;/Volume&gt;&lt;Issue&gt;9193&lt;/Issue&gt;&lt;ISSN_ISBN&gt;0140-6736&lt;/ISSN_ISBN&gt;&lt;ZZ_JournalFull&gt;&lt;f name="System"&gt;Lancet&lt;/f&gt;&lt;/ZZ_JournalFull&gt;&lt;ZZ_WorkformID&gt;1&lt;/ZZ_WorkformID&gt;&lt;/MDL&gt;&lt;/Cite&gt;&lt;/Refman&gt;</w:instrText>
      </w:r>
      <w:r w:rsidRPr="00537C3C">
        <w:rPr>
          <w:rFonts w:ascii="Arial Narrow" w:hAnsi="Arial Narrow" w:cs="Arial"/>
          <w:sz w:val="20"/>
        </w:rPr>
        <w:fldChar w:fldCharType="separate"/>
      </w:r>
      <w:r w:rsidRPr="00537C3C">
        <w:rPr>
          <w:rFonts w:ascii="Arial Narrow" w:hAnsi="Arial Narrow" w:cs="Arial"/>
          <w:sz w:val="20"/>
        </w:rPr>
        <w:t>(1999)</w:t>
      </w:r>
      <w:r w:rsidRPr="00537C3C">
        <w:rPr>
          <w:rFonts w:ascii="Arial Narrow" w:hAnsi="Arial Narrow" w:cs="Arial"/>
          <w:sz w:val="20"/>
        </w:rPr>
        <w:fldChar w:fldCharType="end"/>
      </w:r>
      <w:r w:rsidRPr="00537C3C">
        <w:rPr>
          <w:rFonts w:ascii="Arial Narrow" w:hAnsi="Arial Narrow" w:cs="Arial"/>
          <w:sz w:val="20"/>
        </w:rPr>
        <w:t>.</w:t>
      </w:r>
    </w:p>
    <w:p w:rsidR="00234376" w:rsidRPr="00537C3C" w:rsidRDefault="00234376">
      <w:pPr>
        <w:pStyle w:val="Heading2"/>
        <w:ind w:left="0"/>
      </w:pPr>
      <w:bookmarkStart w:id="253" w:name="_Toc95971074"/>
      <w:bookmarkStart w:id="254" w:name="_Toc241658173"/>
      <w:r w:rsidRPr="00537C3C">
        <w:t>Appraisal of the evidence</w:t>
      </w:r>
      <w:bookmarkEnd w:id="253"/>
      <w:bookmarkEnd w:id="254"/>
    </w:p>
    <w:p w:rsidR="00234376" w:rsidRPr="00537C3C" w:rsidRDefault="00234376" w:rsidP="008E03A7">
      <w:r w:rsidRPr="00537C3C">
        <w:t xml:space="preserve">The strength and relevance of evidence and the size of the clinical effect in individual studies were appraised, followed by the overall body of evidence for conclusions about the safety, effectiveness and cost-effectiveness of the manual and automated </w:t>
      </w:r>
      <w:r w:rsidRPr="00BB76D8">
        <w:t>LBC</w:t>
      </w:r>
      <w:r w:rsidRPr="00537C3C">
        <w:t xml:space="preserve"> tests.</w:t>
      </w:r>
    </w:p>
    <w:p w:rsidR="00234376" w:rsidRDefault="00234376" w:rsidP="00234376">
      <w:pPr>
        <w:pStyle w:val="Heading3"/>
      </w:pPr>
      <w:bookmarkStart w:id="255" w:name="_Toc86028811"/>
      <w:r w:rsidRPr="00537C3C">
        <w:t>Appraisal of the quality and applicability</w:t>
      </w:r>
      <w:bookmarkEnd w:id="255"/>
      <w:r w:rsidRPr="00537C3C">
        <w:t xml:space="preserve"> of individual studies</w:t>
      </w:r>
    </w:p>
    <w:p w:rsidR="00234376" w:rsidRPr="00537C3C" w:rsidRDefault="00234376">
      <w:pPr>
        <w:ind w:left="711"/>
      </w:pPr>
      <w:r w:rsidRPr="00537C3C">
        <w:t>The quality and applicability of the included studies was assessed according to specified criteria according to the study design.</w:t>
      </w:r>
    </w:p>
    <w:p w:rsidR="00234376" w:rsidRPr="00537C3C" w:rsidRDefault="00234376" w:rsidP="008E03A7">
      <w:r w:rsidRPr="00537C3C">
        <w:lastRenderedPageBreak/>
        <w:t xml:space="preserve">The quality of studies of diagnostic test accuracy was assessed using a checklist of 12 items adapted from the </w:t>
      </w:r>
      <w:r w:rsidRPr="006C24DD">
        <w:t>QUADAS</w:t>
      </w:r>
      <w:r w:rsidRPr="00537C3C">
        <w:t xml:space="preserve"> (</w:t>
      </w:r>
      <w:r w:rsidRPr="006C24DD">
        <w:t>Quality Assessment of Diagnostic Accuracy Studies</w:t>
      </w:r>
      <w:r w:rsidRPr="00537C3C">
        <w:t xml:space="preserve">) tool developed by Whiting et al. </w:t>
      </w:r>
      <w:r w:rsidRPr="00537C3C">
        <w:fldChar w:fldCharType="begin"/>
      </w:r>
      <w:r w:rsidRPr="00537C3C">
        <w:instrText xml:space="preserve"> ADDIN REFMGR.CITE &lt;Refman&gt;&lt;Cite ExcludeAuth="1"&gt;&lt;Author&gt;Whiting&lt;/Author&gt;&lt;Year&gt;2003&lt;/Year&gt;&lt;RecNum&gt;242&lt;/RecNum&gt;&lt;IDText&gt;The development of QUADAS: a tool for the quality assessment of studies of diagnostic accuracy included in systematic reviews&lt;/IDText&gt;&lt;MDL Ref_Type="Journal"&gt;&lt;Ref_Type&gt;Journal&lt;/Ref_Type&gt;&lt;Ref_ID&gt;242&lt;/Ref_ID&gt;&lt;Title_Primary&gt;The development of QUADAS: a tool for the quality assessment of studies of diagnostic accuracy included in systematic reviews&lt;/Title_Primary&gt;&lt;Authors_Primary&gt;Whiting,Penny&lt;/Authors_Primary&gt;&lt;Authors_Primary&gt;Rutjes,Anne&lt;/Authors_Primary&gt;&lt;Authors_Primary&gt;Reitsma,Johannes&lt;/Authors_Primary&gt;&lt;Authors_Primary&gt;Bossuyt,Patrick&lt;/Authors_Primary&gt;&lt;Authors_Primary&gt;Kleijnen,Jos&lt;/Authors_Primary&gt;&lt;Date_Primary&gt;2003&lt;/Date_Primary&gt;&lt;Keywords&gt;Guidelines&lt;/Keywords&gt;&lt;Keywords&gt;incorporation bias&lt;/Keywords&gt;&lt;Keywords&gt;Research&lt;/Keywords&gt;&lt;Reprint&gt;In File&lt;/Reprint&gt;&lt;Start_Page&gt;25&lt;/Start_Page&gt;&lt;Periodical&gt;BMC Medical Research Methodology&lt;/Periodical&gt;&lt;Volume&gt;3&lt;/Volume&gt;&lt;Issue&gt;1&lt;/Issue&gt;&lt;ISSN_ISBN&gt;1471-2288&lt;/ISSN_ISBN&gt;&lt;Web_URL&gt;http://www.biomedcentral.com/1471-2288/3/25&lt;/Web_URL&gt;&lt;ZZ_JournalStdAbbrev&gt;&lt;f name="System"&gt;BMC Medical Research Methodology&lt;/f&gt;&lt;/ZZ_JournalStdAbbrev&gt;&lt;ZZ_WorkformID&gt;1&lt;/ZZ_WorkformID&gt;&lt;/MDL&gt;&lt;/Cite&gt;&lt;/Refman&gt;</w:instrText>
      </w:r>
      <w:r w:rsidRPr="00537C3C">
        <w:fldChar w:fldCharType="separate"/>
      </w:r>
      <w:r w:rsidRPr="00537C3C">
        <w:t>(2003)</w:t>
      </w:r>
      <w:r w:rsidRPr="00537C3C">
        <w:fldChar w:fldCharType="end"/>
      </w:r>
      <w:r w:rsidRPr="00537C3C">
        <w:t xml:space="preserve"> (</w:t>
      </w:r>
      <w:r>
        <w:fldChar w:fldCharType="begin"/>
      </w:r>
      <w:r>
        <w:instrText xml:space="preserve"> REF _Ref161566552 \h  \* MERGEFORMAT </w:instrText>
      </w:r>
      <w:r>
        <w:fldChar w:fldCharType="separate"/>
      </w:r>
      <w:r w:rsidR="007D3DFF" w:rsidRPr="00537C3C">
        <w:t xml:space="preserve">Table </w:t>
      </w:r>
      <w:r w:rsidR="007D3DFF">
        <w:rPr>
          <w:noProof/>
        </w:rPr>
        <w:t>9</w:t>
      </w:r>
      <w:r>
        <w:fldChar w:fldCharType="end"/>
      </w:r>
      <w:r w:rsidRPr="00537C3C">
        <w:t xml:space="preserve">). This tool was developed by experts in the field following a systematic review of the evidence relating to sources of bias and variation relevant to studies of diagnostic test accuracy. Studies were required to meet all 12 criteria to be assessed as high quality (see details in footnote to </w:t>
      </w:r>
      <w:r>
        <w:fldChar w:fldCharType="begin"/>
      </w:r>
      <w:r>
        <w:instrText xml:space="preserve"> REF _Ref161566552 \h  \* MERGEFORMAT </w:instrText>
      </w:r>
      <w:r>
        <w:fldChar w:fldCharType="separate"/>
      </w:r>
      <w:r w:rsidR="007D3DFF" w:rsidRPr="00537C3C">
        <w:t xml:space="preserve">Table </w:t>
      </w:r>
      <w:r w:rsidR="007D3DFF">
        <w:rPr>
          <w:noProof/>
        </w:rPr>
        <w:t>9</w:t>
      </w:r>
      <w:r>
        <w:fldChar w:fldCharType="end"/>
      </w:r>
      <w:r w:rsidRPr="00537C3C">
        <w:t xml:space="preserve">), including a valid reference standard for at least all discordant positive slides </w:t>
      </w:r>
      <w:r w:rsidRPr="00537C3C">
        <w:fldChar w:fldCharType="begin"/>
      </w:r>
      <w:r w:rsidRPr="00537C3C">
        <w:instrText xml:space="preserve"> ADDIN REFMGR.CITE &lt;Refman&gt;&lt;Cite&gt;&lt;Author&gt;Davey&lt;/Author&gt;&lt;Year&gt;2006&lt;/Year&gt;&lt;RecNum&gt;268&lt;/RecNum&gt;&lt;IDText&gt;Effect of study design and quality on unsatisfactory rates, cytology classifications, and accuracy in liquid-based versus conventional cervical cytology: A systematic review&lt;/IDText&gt;&lt;MDL Ref_Type="Journal"&gt;&lt;Ref_Type&gt;Journal&lt;/Ref_Type&gt;&lt;Ref_ID&gt;268&lt;/Ref_ID&gt;&lt;Title_Primary&gt;Effect of study design and quality on unsatisfactory rates, cytology classifications, and accuracy in liquid-based versus conventional cervical cytology: A systematic review&lt;/Title_Primary&gt;&lt;Authors_Primary&gt;Davey,E.&lt;/Authors_Primary&gt;&lt;Authors_Primary&gt;Barratt,A.&lt;/Authors_Primary&gt;&lt;Authors_Primary&gt;Irwig,L.&lt;/Authors_Primary&gt;&lt;Authors_Primary&gt;Chan,S.F.&lt;/Authors_Primary&gt;&lt;Authors_Primary&gt;Macaskill,P.&lt;/Authors_Primary&gt;&lt;Authors_Primary&gt;Mannes,P.&lt;/Authors_Primary&gt;&lt;Authors_Primary&gt;Saville,A.M.&lt;/Authors_Primary&gt;&lt;Date_Primary&gt;2006&lt;/Date_Primary&gt;&lt;Keywords&gt;cancer screening&lt;/Keywords&gt;&lt;Keywords&gt;comparative study&lt;/Keywords&gt;&lt;Keywords&gt;cytodiagnosis&lt;/Keywords&gt;&lt;Keywords&gt;cytology&lt;/Keywords&gt;&lt;Keywords&gt;cytopathology&lt;/Keywords&gt;&lt;Keywords&gt;diagnostic accuracy&lt;/Keywords&gt;&lt;Keywords&gt;human&lt;/Keywords&gt;&lt;Keywords&gt;liquid based cytology&lt;/Keywords&gt;&lt;Keywords&gt;methodology&lt;/Keywords&gt;&lt;Keywords&gt;Papanicolaou test&lt;/Keywords&gt;&lt;Keywords&gt;priority journal&lt;/Keywords&gt;&lt;Keywords&gt;review&lt;/Keywords&gt;&lt;Keywords&gt;sensitivity and specificity&lt;/Keywords&gt;&lt;Keywords&gt;squamous epithelium&lt;/Keywords&gt;&lt;Keywords&gt;systematic review&lt;/Keywords&gt;&lt;Keywords&gt;uterine cervix cytology&lt;/Keywords&gt;&lt;Reprint&gt;Not in File&lt;/Reprint&gt;&lt;Start_Page&gt;122&lt;/Start_Page&gt;&lt;End_Page&gt;132&lt;/End_Page&gt;&lt;Periodical&gt;Lancet&lt;/Periodical&gt;&lt;Volume&gt;367&lt;/Volume&gt;&lt;Issue&gt;9505&lt;/Issue&gt;&lt;ISSN_ISBN&gt;0140-6736&lt;/ISSN_ISBN&gt;&lt;Address&gt;Davey, E., Screening and Test Evaluation Program, School of Public Health, University of Sydney, NSW 2006, Australia&lt;/Address&gt;&lt;ZZ_JournalFull&gt;&lt;f name="System"&gt;Lancet&lt;/f&gt;&lt;/ZZ_JournalFull&gt;&lt;ZZ_WorkformID&gt;1&lt;/ZZ_WorkformID&gt;&lt;/MDL&gt;&lt;/Cite&gt;&lt;/Refman&gt;</w:instrText>
      </w:r>
      <w:r w:rsidRPr="00537C3C">
        <w:fldChar w:fldCharType="separate"/>
      </w:r>
      <w:r w:rsidRPr="00537C3C">
        <w:t>(Davey et al. 2006)</w:t>
      </w:r>
      <w:r w:rsidRPr="00537C3C">
        <w:fldChar w:fldCharType="end"/>
      </w:r>
      <w:r w:rsidRPr="00537C3C">
        <w:t xml:space="preserve">. High-quality studies were required to use histology as a reference standard for comparisons of different slide preparation techniques. Adjudicated cytology reading was considered a valid reference standard for paired studies of alternate slide reading methods </w:t>
      </w:r>
      <w:r w:rsidRPr="00537C3C">
        <w:fldChar w:fldCharType="begin"/>
      </w:r>
      <w:r w:rsidRPr="00537C3C">
        <w:instrText xml:space="preserve"> ADDIN REFMGR.CITE &lt;Refman&gt;&lt;Cite&gt;&lt;Author&gt;Irwig&lt;/Author&gt;&lt;Year&gt;2004&lt;/Year&gt;&lt;RecNum&gt;319&lt;/RecNum&gt;&lt;IDText&gt;A randomized crossover trial of PAPNET for primary cervical screening&lt;/IDText&gt;&lt;MDL Ref_Type="Journal"&gt;&lt;Ref_Type&gt;Journal&lt;/Ref_Type&gt;&lt;Ref_ID&gt;319&lt;/Ref_ID&gt;&lt;Title_Primary&gt;A randomized crossover trial of PAPNET for primary cervical screening&lt;/Title_Primary&gt;&lt;Authors_Primary&gt;Irwig,L.&lt;/Authors_Primary&gt;&lt;Authors_Primary&gt;Macaskill,P.&lt;/Authors_Primary&gt;&lt;Authors_Primary&gt;Farnsworth,A.&lt;/Authors_Primary&gt;&lt;Authors_Primary&gt;Wright,R.G.&lt;/Authors_Primary&gt;&lt;Authors_Primary&gt;McCool,J.&lt;/Authors_Primary&gt;&lt;Authors_Primary&gt;Barratt,A.&lt;/Authors_Primary&gt;&lt;Authors_Primary&gt;Simpson,J.M.&lt;/Authors_Primary&gt;&lt;Date_Primary&gt;2004/1&lt;/Date_Primary&gt;&lt;Keywords&gt;Adolescent&lt;/Keywords&gt;&lt;Keywords&gt;Adult&lt;/Keywords&gt;&lt;Keywords&gt;Cross-Over Studies&lt;/Keywords&gt;&lt;Keywords&gt;Female&lt;/Keywords&gt;&lt;Keywords&gt;Humans&lt;/Keywords&gt;&lt;Keywords&gt;Image Processing,Computer-Assisted&lt;/Keywords&gt;&lt;Keywords&gt;methods&lt;/Keywords&gt;&lt;Keywords&gt;Middle Aged&lt;/Keywords&gt;&lt;Keywords&gt;Predictive Value of Tests&lt;/Keywords&gt;&lt;Keywords&gt;prevention &amp;amp; control&lt;/Keywords&gt;&lt;Keywords&gt;Reference Standards&lt;/Keywords&gt;&lt;Keywords&gt;Sample Size&lt;/Keywords&gt;&lt;Keywords&gt;Sensitivity and Specificity&lt;/Keywords&gt;&lt;Keywords&gt;Uterine Cervical Neoplasms&lt;/Keywords&gt;&lt;Keywords&gt;Vaginal Smears&lt;/Keywords&gt;&lt;Reprint&gt;Not in File&lt;/Reprint&gt;&lt;Start_Page&gt;75&lt;/Start_Page&gt;&lt;End_Page&gt;81&lt;/End_Page&gt;&lt;Periodical&gt;J Clin Epidemiol.&lt;/Periodical&gt;&lt;Volume&gt;57&lt;/Volume&gt;&lt;Issue&gt;1&lt;/Issue&gt;&lt;ZZ_JournalStdAbbrev&gt;&lt;f name="System"&gt;J Clin Epidemiol.&lt;/f&gt;&lt;/ZZ_JournalStdAbbrev&gt;&lt;ZZ_WorkformID&gt;1&lt;/ZZ_WorkformID&gt;&lt;/MDL&gt;&lt;/Cite&gt;&lt;/Refman&gt;</w:instrText>
      </w:r>
      <w:r w:rsidRPr="00537C3C">
        <w:fldChar w:fldCharType="separate"/>
      </w:r>
      <w:r w:rsidRPr="00537C3C">
        <w:t>(Irwig et al. 2004)</w:t>
      </w:r>
      <w:r w:rsidRPr="00537C3C">
        <w:fldChar w:fldCharType="end"/>
      </w:r>
      <w:r w:rsidRPr="00537C3C">
        <w:t>.</w:t>
      </w:r>
    </w:p>
    <w:p w:rsidR="00234376" w:rsidRPr="00537C3C" w:rsidRDefault="00234376" w:rsidP="008E03A7">
      <w:pPr>
        <w:pStyle w:val="TableName"/>
      </w:pPr>
      <w:bookmarkStart w:id="256" w:name="_Ref161566552"/>
      <w:bookmarkStart w:id="257" w:name="_Toc161636580"/>
      <w:bookmarkStart w:id="258" w:name="_Toc185918603"/>
      <w:bookmarkStart w:id="259" w:name="_Toc95971245"/>
      <w:r w:rsidRPr="00537C3C">
        <w:t xml:space="preserve">Table </w:t>
      </w:r>
      <w:fldSimple w:instr=" SEQ Table \* ARABIC ">
        <w:r w:rsidR="007D3DFF">
          <w:rPr>
            <w:noProof/>
          </w:rPr>
          <w:t>9</w:t>
        </w:r>
      </w:fldSimple>
      <w:bookmarkEnd w:id="256"/>
      <w:r w:rsidRPr="00537C3C">
        <w:tab/>
        <w:t xml:space="preserve">Criteria used to assess the quality of diagnostic accuracy studies—the QUADAS tool (adapted from </w:t>
      </w:r>
      <w:bookmarkStart w:id="260" w:name="OLE_LINK466"/>
      <w:bookmarkStart w:id="261" w:name="OLE_LINK467"/>
      <w:r w:rsidRPr="00537C3C">
        <w:t>Whiting et al. 2003</w:t>
      </w:r>
      <w:bookmarkEnd w:id="260"/>
      <w:bookmarkEnd w:id="261"/>
      <w:r w:rsidRPr="00537C3C">
        <w:t>)</w:t>
      </w:r>
      <w:bookmarkEnd w:id="257"/>
      <w:bookmarkEnd w:id="258"/>
      <w:r w:rsidRPr="00537C3C">
        <w:t>.</w:t>
      </w:r>
      <w:bookmarkEnd w:id="259"/>
    </w:p>
    <w:tbl>
      <w:tblPr>
        <w:tblW w:w="0" w:type="auto"/>
        <w:tblInd w:w="817" w:type="dxa"/>
        <w:tblLayout w:type="fixed"/>
        <w:tblLook w:val="01E0" w:firstRow="1" w:lastRow="1" w:firstColumn="1" w:lastColumn="1" w:noHBand="0" w:noVBand="0"/>
      </w:tblPr>
      <w:tblGrid>
        <w:gridCol w:w="991"/>
        <w:gridCol w:w="6947"/>
      </w:tblGrid>
      <w:tr w:rsidR="00234376" w:rsidRPr="00537C3C">
        <w:tc>
          <w:tcPr>
            <w:tcW w:w="991" w:type="dxa"/>
            <w:tcBorders>
              <w:top w:val="single" w:sz="4" w:space="0" w:color="auto"/>
              <w:bottom w:val="single" w:sz="4" w:space="0" w:color="auto"/>
            </w:tcBorders>
          </w:tcPr>
          <w:p w:rsidR="00234376" w:rsidRPr="00537C3C" w:rsidRDefault="00234376" w:rsidP="008E03A7">
            <w:pPr>
              <w:pStyle w:val="TableHeading0"/>
              <w:jc w:val="center"/>
            </w:pPr>
            <w:r w:rsidRPr="00537C3C">
              <w:t>Item</w:t>
            </w:r>
          </w:p>
        </w:tc>
        <w:tc>
          <w:tcPr>
            <w:tcW w:w="6947" w:type="dxa"/>
            <w:tcBorders>
              <w:top w:val="single" w:sz="4" w:space="0" w:color="auto"/>
              <w:bottom w:val="single" w:sz="4" w:space="0" w:color="auto"/>
            </w:tcBorders>
          </w:tcPr>
          <w:p w:rsidR="00234376" w:rsidRPr="00537C3C" w:rsidRDefault="00234376" w:rsidP="008E03A7">
            <w:pPr>
              <w:pStyle w:val="TableHeading0"/>
            </w:pPr>
          </w:p>
        </w:tc>
      </w:tr>
      <w:tr w:rsidR="00234376" w:rsidRPr="00537C3C">
        <w:tc>
          <w:tcPr>
            <w:tcW w:w="991" w:type="dxa"/>
            <w:tcBorders>
              <w:top w:val="single" w:sz="4" w:space="0" w:color="auto"/>
            </w:tcBorders>
          </w:tcPr>
          <w:p w:rsidR="00234376" w:rsidRPr="00537C3C" w:rsidRDefault="00234376" w:rsidP="008E03A7">
            <w:pPr>
              <w:pStyle w:val="TableText"/>
              <w:jc w:val="center"/>
            </w:pPr>
            <w:r w:rsidRPr="00537C3C">
              <w:t>1</w:t>
            </w:r>
          </w:p>
        </w:tc>
        <w:tc>
          <w:tcPr>
            <w:tcW w:w="6947" w:type="dxa"/>
            <w:tcBorders>
              <w:top w:val="single" w:sz="4" w:space="0" w:color="auto"/>
            </w:tcBorders>
          </w:tcPr>
          <w:p w:rsidR="00234376" w:rsidRPr="00537C3C" w:rsidRDefault="00234376" w:rsidP="008E03A7">
            <w:pPr>
              <w:pStyle w:val="TableText"/>
            </w:pPr>
            <w:r w:rsidRPr="00537C3C">
              <w:t xml:space="preserve">Were patients prospectively recruited? </w:t>
            </w:r>
          </w:p>
        </w:tc>
      </w:tr>
      <w:tr w:rsidR="00234376" w:rsidRPr="00537C3C">
        <w:tc>
          <w:tcPr>
            <w:tcW w:w="991" w:type="dxa"/>
          </w:tcPr>
          <w:p w:rsidR="00234376" w:rsidRPr="00537C3C" w:rsidRDefault="00234376" w:rsidP="008E03A7">
            <w:pPr>
              <w:pStyle w:val="TableText"/>
              <w:jc w:val="center"/>
            </w:pPr>
            <w:r w:rsidRPr="00537C3C">
              <w:t>2</w:t>
            </w:r>
          </w:p>
        </w:tc>
        <w:tc>
          <w:tcPr>
            <w:tcW w:w="6947" w:type="dxa"/>
          </w:tcPr>
          <w:p w:rsidR="00234376" w:rsidRPr="00537C3C" w:rsidRDefault="00234376" w:rsidP="008E03A7">
            <w:pPr>
              <w:pStyle w:val="TableText"/>
            </w:pPr>
            <w:r w:rsidRPr="00537C3C">
              <w:t xml:space="preserve">Were patients consecutively recruited? </w:t>
            </w:r>
          </w:p>
        </w:tc>
      </w:tr>
      <w:tr w:rsidR="00234376" w:rsidRPr="00537C3C">
        <w:tc>
          <w:tcPr>
            <w:tcW w:w="991" w:type="dxa"/>
          </w:tcPr>
          <w:p w:rsidR="00234376" w:rsidRPr="00537C3C" w:rsidRDefault="00234376" w:rsidP="008E03A7">
            <w:pPr>
              <w:pStyle w:val="TableText"/>
              <w:jc w:val="center"/>
            </w:pPr>
            <w:r w:rsidRPr="00537C3C">
              <w:t>3</w:t>
            </w:r>
          </w:p>
        </w:tc>
        <w:tc>
          <w:tcPr>
            <w:tcW w:w="6947" w:type="dxa"/>
          </w:tcPr>
          <w:p w:rsidR="00234376" w:rsidRPr="00537C3C" w:rsidRDefault="00234376" w:rsidP="008E03A7">
            <w:pPr>
              <w:pStyle w:val="TableText"/>
            </w:pPr>
            <w:r w:rsidRPr="00537C3C">
              <w:t>Were selection criteria explicitly described?</w:t>
            </w:r>
          </w:p>
        </w:tc>
      </w:tr>
      <w:tr w:rsidR="00234376" w:rsidRPr="00537C3C">
        <w:tc>
          <w:tcPr>
            <w:tcW w:w="991" w:type="dxa"/>
          </w:tcPr>
          <w:p w:rsidR="00234376" w:rsidRPr="00537C3C" w:rsidRDefault="00234376" w:rsidP="008E03A7">
            <w:pPr>
              <w:pStyle w:val="TableText"/>
              <w:jc w:val="center"/>
            </w:pPr>
            <w:r w:rsidRPr="00537C3C">
              <w:t>4</w:t>
            </w:r>
          </w:p>
        </w:tc>
        <w:tc>
          <w:tcPr>
            <w:tcW w:w="6947" w:type="dxa"/>
          </w:tcPr>
          <w:p w:rsidR="00234376" w:rsidRPr="00537C3C" w:rsidRDefault="00234376" w:rsidP="008E03A7">
            <w:pPr>
              <w:pStyle w:val="TableText"/>
            </w:pPr>
            <w:r w:rsidRPr="00537C3C">
              <w:t>Is the reference standard likely to correctly classify the target condition?</w:t>
            </w:r>
          </w:p>
          <w:p w:rsidR="00234376" w:rsidRPr="00537C3C" w:rsidRDefault="00234376" w:rsidP="008E03A7">
            <w:pPr>
              <w:pStyle w:val="TableText"/>
            </w:pPr>
            <w:r w:rsidRPr="00537C3C">
              <w:t>Optimal (histology) / valid (consensus cytology) / invalid</w:t>
            </w:r>
          </w:p>
        </w:tc>
      </w:tr>
      <w:tr w:rsidR="00234376" w:rsidRPr="00537C3C">
        <w:tc>
          <w:tcPr>
            <w:tcW w:w="991" w:type="dxa"/>
          </w:tcPr>
          <w:p w:rsidR="00234376" w:rsidRPr="00537C3C" w:rsidRDefault="00234376" w:rsidP="008E03A7">
            <w:pPr>
              <w:pStyle w:val="TableText"/>
              <w:jc w:val="center"/>
            </w:pPr>
            <w:r w:rsidRPr="00537C3C">
              <w:t>5</w:t>
            </w:r>
          </w:p>
        </w:tc>
        <w:tc>
          <w:tcPr>
            <w:tcW w:w="6947" w:type="dxa"/>
          </w:tcPr>
          <w:p w:rsidR="00234376" w:rsidRPr="00537C3C" w:rsidRDefault="00234376" w:rsidP="008E03A7">
            <w:pPr>
              <w:pStyle w:val="TableText"/>
            </w:pPr>
            <w:r w:rsidRPr="00537C3C">
              <w:t>Did all patients receive verification using a reference standard?</w:t>
            </w:r>
          </w:p>
          <w:p w:rsidR="00234376" w:rsidRPr="00537C3C" w:rsidRDefault="00234376" w:rsidP="008E03A7">
            <w:pPr>
              <w:pStyle w:val="TableText"/>
            </w:pPr>
            <w:r w:rsidRPr="00537C3C">
              <w:t>All / positive / discordant participants</w:t>
            </w:r>
          </w:p>
        </w:tc>
      </w:tr>
      <w:tr w:rsidR="00234376" w:rsidRPr="00537C3C">
        <w:tc>
          <w:tcPr>
            <w:tcW w:w="991" w:type="dxa"/>
          </w:tcPr>
          <w:p w:rsidR="00234376" w:rsidRPr="00537C3C" w:rsidRDefault="00234376" w:rsidP="008E03A7">
            <w:pPr>
              <w:pStyle w:val="TableText"/>
              <w:jc w:val="center"/>
            </w:pPr>
            <w:r w:rsidRPr="00537C3C">
              <w:t>6</w:t>
            </w:r>
          </w:p>
        </w:tc>
        <w:tc>
          <w:tcPr>
            <w:tcW w:w="6947" w:type="dxa"/>
          </w:tcPr>
          <w:p w:rsidR="00234376" w:rsidRPr="00537C3C" w:rsidRDefault="00234376" w:rsidP="008E03A7">
            <w:pPr>
              <w:pStyle w:val="TableText"/>
            </w:pPr>
            <w:r w:rsidRPr="00537C3C">
              <w:t>Is the time period between reference standard, comparator and index test short enough to be reasonably sure that the target condition did not change between the tests?</w:t>
            </w:r>
          </w:p>
        </w:tc>
      </w:tr>
      <w:tr w:rsidR="00234376" w:rsidRPr="00537C3C">
        <w:tc>
          <w:tcPr>
            <w:tcW w:w="991" w:type="dxa"/>
          </w:tcPr>
          <w:p w:rsidR="00234376" w:rsidRPr="00537C3C" w:rsidRDefault="00234376" w:rsidP="008E03A7">
            <w:pPr>
              <w:pStyle w:val="TableText"/>
              <w:jc w:val="center"/>
            </w:pPr>
            <w:r w:rsidRPr="00537C3C">
              <w:t>7</w:t>
            </w:r>
          </w:p>
        </w:tc>
        <w:tc>
          <w:tcPr>
            <w:tcW w:w="6947" w:type="dxa"/>
          </w:tcPr>
          <w:p w:rsidR="00234376" w:rsidRPr="00537C3C" w:rsidRDefault="00234376" w:rsidP="008E03A7">
            <w:pPr>
              <w:pStyle w:val="TableText"/>
            </w:pPr>
            <w:r w:rsidRPr="00537C3C">
              <w:t>Was the test threshold specified?</w:t>
            </w:r>
          </w:p>
        </w:tc>
      </w:tr>
      <w:tr w:rsidR="00234376" w:rsidRPr="00537C3C">
        <w:tc>
          <w:tcPr>
            <w:tcW w:w="991" w:type="dxa"/>
          </w:tcPr>
          <w:p w:rsidR="00234376" w:rsidRPr="00537C3C" w:rsidRDefault="00234376" w:rsidP="008E03A7">
            <w:pPr>
              <w:pStyle w:val="TableText"/>
              <w:jc w:val="center"/>
            </w:pPr>
            <w:r w:rsidRPr="00537C3C">
              <w:t>8</w:t>
            </w:r>
          </w:p>
        </w:tc>
        <w:tc>
          <w:tcPr>
            <w:tcW w:w="6947" w:type="dxa"/>
          </w:tcPr>
          <w:p w:rsidR="00234376" w:rsidRPr="00537C3C" w:rsidRDefault="00234376" w:rsidP="008E03A7">
            <w:pPr>
              <w:pStyle w:val="TableText"/>
            </w:pPr>
            <w:r w:rsidRPr="00537C3C">
              <w:t>Were test/comparator results interpreted blind to reference standard?</w:t>
            </w:r>
          </w:p>
        </w:tc>
      </w:tr>
      <w:tr w:rsidR="00234376" w:rsidRPr="00537C3C">
        <w:tc>
          <w:tcPr>
            <w:tcW w:w="991" w:type="dxa"/>
          </w:tcPr>
          <w:p w:rsidR="00234376" w:rsidRPr="00537C3C" w:rsidRDefault="00234376" w:rsidP="008E03A7">
            <w:pPr>
              <w:pStyle w:val="TableText"/>
              <w:jc w:val="center"/>
            </w:pPr>
            <w:r w:rsidRPr="00537C3C">
              <w:t>9</w:t>
            </w:r>
          </w:p>
        </w:tc>
        <w:tc>
          <w:tcPr>
            <w:tcW w:w="6947" w:type="dxa"/>
          </w:tcPr>
          <w:p w:rsidR="00234376" w:rsidRPr="00537C3C" w:rsidRDefault="00234376" w:rsidP="008E03A7">
            <w:pPr>
              <w:pStyle w:val="TableText"/>
            </w:pPr>
            <w:r w:rsidRPr="00537C3C">
              <w:t>Were reference standard results interpreted blind to test/comparator results?</w:t>
            </w:r>
          </w:p>
        </w:tc>
      </w:tr>
      <w:tr w:rsidR="00234376" w:rsidRPr="00537C3C">
        <w:tc>
          <w:tcPr>
            <w:tcW w:w="991" w:type="dxa"/>
          </w:tcPr>
          <w:p w:rsidR="00234376" w:rsidRPr="00537C3C" w:rsidRDefault="00234376" w:rsidP="008E03A7">
            <w:pPr>
              <w:pStyle w:val="TableText"/>
              <w:jc w:val="center"/>
            </w:pPr>
            <w:r w:rsidRPr="00537C3C">
              <w:t>10</w:t>
            </w:r>
          </w:p>
        </w:tc>
        <w:tc>
          <w:tcPr>
            <w:tcW w:w="6947" w:type="dxa"/>
          </w:tcPr>
          <w:p w:rsidR="00234376" w:rsidRPr="00537C3C" w:rsidRDefault="00234376" w:rsidP="008E03A7">
            <w:pPr>
              <w:pStyle w:val="TableText"/>
            </w:pPr>
            <w:r w:rsidRPr="00537C3C">
              <w:t>Were uninterpretable/intermediate test results reported?</w:t>
            </w:r>
          </w:p>
        </w:tc>
      </w:tr>
      <w:tr w:rsidR="00234376" w:rsidRPr="00537C3C">
        <w:tc>
          <w:tcPr>
            <w:tcW w:w="991" w:type="dxa"/>
          </w:tcPr>
          <w:p w:rsidR="00234376" w:rsidRPr="00537C3C" w:rsidRDefault="00234376" w:rsidP="008E03A7">
            <w:pPr>
              <w:pStyle w:val="TableText"/>
              <w:jc w:val="center"/>
            </w:pPr>
            <w:r w:rsidRPr="00537C3C">
              <w:t>11</w:t>
            </w:r>
          </w:p>
        </w:tc>
        <w:tc>
          <w:tcPr>
            <w:tcW w:w="6947" w:type="dxa"/>
          </w:tcPr>
          <w:p w:rsidR="00234376" w:rsidRPr="00537C3C" w:rsidRDefault="00234376" w:rsidP="008E03A7">
            <w:pPr>
              <w:pStyle w:val="TableText"/>
            </w:pPr>
            <w:r w:rsidRPr="00537C3C">
              <w:t>Were withdrawals from the study explained?</w:t>
            </w:r>
          </w:p>
        </w:tc>
      </w:tr>
      <w:tr w:rsidR="00234376" w:rsidRPr="00537C3C">
        <w:tc>
          <w:tcPr>
            <w:tcW w:w="991" w:type="dxa"/>
            <w:tcBorders>
              <w:bottom w:val="single" w:sz="4" w:space="0" w:color="auto"/>
            </w:tcBorders>
          </w:tcPr>
          <w:p w:rsidR="00234376" w:rsidRPr="00537C3C" w:rsidRDefault="00234376" w:rsidP="008E03A7">
            <w:pPr>
              <w:pStyle w:val="TableText"/>
              <w:jc w:val="center"/>
            </w:pPr>
            <w:r w:rsidRPr="00537C3C">
              <w:t>12</w:t>
            </w:r>
          </w:p>
        </w:tc>
        <w:tc>
          <w:tcPr>
            <w:tcW w:w="6947" w:type="dxa"/>
            <w:tcBorders>
              <w:bottom w:val="single" w:sz="4" w:space="0" w:color="auto"/>
            </w:tcBorders>
          </w:tcPr>
          <w:p w:rsidR="00234376" w:rsidRPr="00537C3C" w:rsidRDefault="00234376" w:rsidP="008E03A7">
            <w:pPr>
              <w:pStyle w:val="TableText"/>
            </w:pPr>
            <w:r w:rsidRPr="00537C3C">
              <w:t>Was sufficient data for determination of relative true and false positive rates reported?</w:t>
            </w:r>
          </w:p>
        </w:tc>
      </w:tr>
    </w:tbl>
    <w:p w:rsidR="00234376" w:rsidRPr="00537C3C" w:rsidRDefault="00234376" w:rsidP="008E03A7">
      <w:pPr>
        <w:pStyle w:val="TableNotesChar"/>
        <w:spacing w:after="0"/>
      </w:pPr>
      <w:r w:rsidRPr="00537C3C">
        <w:t>High quality: Yes to 1, 3, 4, 5, 6, 10, 11; other items required to be either Yes or Unclear.</w:t>
      </w:r>
    </w:p>
    <w:p w:rsidR="00234376" w:rsidRPr="00537C3C" w:rsidRDefault="00234376" w:rsidP="008E03A7">
      <w:pPr>
        <w:pStyle w:val="TableNotesChar"/>
        <w:spacing w:after="0"/>
      </w:pPr>
      <w:r w:rsidRPr="00537C3C">
        <w:t xml:space="preserve">Low quality: No/unclear for 4 or 5; ≤ 4 yes or </w:t>
      </w:r>
      <w:r w:rsidRPr="00A316F5">
        <w:t>N/</w:t>
      </w:r>
      <w:r w:rsidRPr="00537C3C">
        <w:t>A ratings.</w:t>
      </w:r>
    </w:p>
    <w:p w:rsidR="00234376" w:rsidRPr="00537C3C" w:rsidRDefault="00234376" w:rsidP="008E03A7">
      <w:pPr>
        <w:pStyle w:val="TableNotesChar"/>
        <w:spacing w:after="0"/>
      </w:pPr>
      <w:r w:rsidRPr="00537C3C">
        <w:t>Other studies are assessed as fair quality.</w:t>
      </w:r>
    </w:p>
    <w:p w:rsidR="00234376" w:rsidRPr="00537C3C" w:rsidRDefault="00234376" w:rsidP="008E03A7">
      <w:pPr>
        <w:spacing w:before="240"/>
      </w:pPr>
      <w:r w:rsidRPr="00537C3C">
        <w:t>Seven criteria were applied to assess the quality of systematic reviews (</w:t>
      </w:r>
      <w:r>
        <w:fldChar w:fldCharType="begin"/>
      </w:r>
      <w:r>
        <w:instrText xml:space="preserve"> REF _Ref161566567 \h  \* MERGEFORMAT </w:instrText>
      </w:r>
      <w:r>
        <w:fldChar w:fldCharType="separate"/>
      </w:r>
      <w:r w:rsidR="007D3DFF" w:rsidRPr="00537C3C">
        <w:t xml:space="preserve">Table </w:t>
      </w:r>
      <w:r w:rsidR="007D3DFF">
        <w:rPr>
          <w:noProof/>
        </w:rPr>
        <w:t>10</w:t>
      </w:r>
      <w:r>
        <w:fldChar w:fldCharType="end"/>
      </w:r>
      <w:r w:rsidRPr="00537C3C">
        <w:t>). For the criterion addressing heterogeneity, systematic reviews that did not undertake a meta-analysis were rated ‘not applicable’ (</w:t>
      </w:r>
      <w:r w:rsidRPr="00A316F5">
        <w:t>N/</w:t>
      </w:r>
      <w:r w:rsidRPr="00537C3C">
        <w:t>A), unless heterogeneity was specifically mentioned. Studies were required to meet al.l seven criteria to be assessed as high quality. A study with four or fewer ‘yes’ or ‘</w:t>
      </w:r>
      <w:r w:rsidRPr="00A316F5">
        <w:t>N/</w:t>
      </w:r>
      <w:r w:rsidRPr="00537C3C">
        <w:t>A’ ratings was considered to be of low quality.</w:t>
      </w:r>
    </w:p>
    <w:p w:rsidR="00234376" w:rsidRPr="00537C3C" w:rsidRDefault="00234376" w:rsidP="008E03A7">
      <w:pPr>
        <w:pStyle w:val="TableName"/>
        <w:rPr>
          <w:vertAlign w:val="superscript"/>
        </w:rPr>
      </w:pPr>
      <w:bookmarkStart w:id="262" w:name="_Ref161566567"/>
      <w:bookmarkStart w:id="263" w:name="_Toc161636581"/>
      <w:bookmarkStart w:id="264" w:name="_Ref169531053"/>
      <w:bookmarkStart w:id="265" w:name="_Toc185918604"/>
      <w:bookmarkStart w:id="266" w:name="_Toc95971246"/>
      <w:r w:rsidRPr="00537C3C">
        <w:t xml:space="preserve">Table </w:t>
      </w:r>
      <w:fldSimple w:instr=" SEQ Table \* ARABIC ">
        <w:r w:rsidR="007D3DFF">
          <w:rPr>
            <w:noProof/>
          </w:rPr>
          <w:t>10</w:t>
        </w:r>
      </w:fldSimple>
      <w:bookmarkEnd w:id="262"/>
      <w:r w:rsidRPr="00537C3C">
        <w:tab/>
        <w:t xml:space="preserve">Criteria used to assess the quality of </w:t>
      </w:r>
      <w:bookmarkStart w:id="267" w:name="OLE_LINK648"/>
      <w:bookmarkStart w:id="268" w:name="OLE_LINK649"/>
      <w:r w:rsidRPr="00537C3C">
        <w:t xml:space="preserve">effectiveness studies </w:t>
      </w:r>
      <w:bookmarkEnd w:id="267"/>
      <w:bookmarkEnd w:id="268"/>
      <w:r w:rsidRPr="00537C3C">
        <w:t xml:space="preserve">(adapted from </w:t>
      </w:r>
      <w:bookmarkStart w:id="269" w:name="OLE_LINK468"/>
      <w:bookmarkStart w:id="270" w:name="OLE_LINK469"/>
      <w:r w:rsidRPr="00BB76D8">
        <w:t>NHMRC</w:t>
      </w:r>
      <w:r w:rsidRPr="00537C3C">
        <w:t xml:space="preserve"> 2000 </w:t>
      </w:r>
      <w:bookmarkEnd w:id="269"/>
      <w:bookmarkEnd w:id="270"/>
      <w:r w:rsidRPr="00537C3C">
        <w:t xml:space="preserve">and </w:t>
      </w:r>
      <w:bookmarkStart w:id="271" w:name="OLE_LINK470"/>
      <w:bookmarkStart w:id="272" w:name="OLE_LINK471"/>
      <w:r w:rsidRPr="00537C3C">
        <w:t>CRD 2001</w:t>
      </w:r>
      <w:bookmarkEnd w:id="271"/>
      <w:bookmarkEnd w:id="272"/>
      <w:r w:rsidRPr="00537C3C">
        <w:t>)</w:t>
      </w:r>
      <w:bookmarkEnd w:id="263"/>
      <w:bookmarkEnd w:id="264"/>
      <w:bookmarkEnd w:id="265"/>
      <w:r w:rsidRPr="00537C3C">
        <w:t>.</w:t>
      </w:r>
      <w:bookmarkEnd w:id="266"/>
    </w:p>
    <w:tbl>
      <w:tblPr>
        <w:tblW w:w="0" w:type="auto"/>
        <w:tblInd w:w="817"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1370"/>
        <w:gridCol w:w="4967"/>
      </w:tblGrid>
      <w:tr w:rsidR="00234376" w:rsidRPr="00537C3C">
        <w:tc>
          <w:tcPr>
            <w:tcW w:w="1370" w:type="dxa"/>
          </w:tcPr>
          <w:p w:rsidR="00234376" w:rsidRPr="00537C3C" w:rsidRDefault="00234376" w:rsidP="008E03A7">
            <w:pPr>
              <w:pStyle w:val="TableHeading0"/>
            </w:pPr>
            <w:r w:rsidRPr="00537C3C">
              <w:t>Study design</w:t>
            </w:r>
          </w:p>
        </w:tc>
        <w:tc>
          <w:tcPr>
            <w:tcW w:w="4967" w:type="dxa"/>
          </w:tcPr>
          <w:p w:rsidR="00234376" w:rsidRPr="00537C3C" w:rsidRDefault="00234376" w:rsidP="008E03A7">
            <w:pPr>
              <w:pStyle w:val="TableHeading0"/>
            </w:pPr>
            <w:r w:rsidRPr="00537C3C">
              <w:t xml:space="preserve">Quality checklist </w:t>
            </w:r>
          </w:p>
        </w:tc>
      </w:tr>
      <w:tr w:rsidR="00234376" w:rsidRPr="00537C3C">
        <w:tc>
          <w:tcPr>
            <w:tcW w:w="1370" w:type="dxa"/>
          </w:tcPr>
          <w:p w:rsidR="00234376" w:rsidRPr="00537C3C" w:rsidRDefault="00234376" w:rsidP="008E03A7">
            <w:pPr>
              <w:pStyle w:val="TableText"/>
            </w:pPr>
            <w:r w:rsidRPr="00537C3C">
              <w:t xml:space="preserve">Systematic reviews </w:t>
            </w:r>
            <w:r w:rsidRPr="00537C3C">
              <w:rPr>
                <w:sz w:val="20"/>
                <w:vertAlign w:val="superscript"/>
              </w:rPr>
              <w:t>a</w:t>
            </w:r>
          </w:p>
        </w:tc>
        <w:tc>
          <w:tcPr>
            <w:tcW w:w="4967" w:type="dxa"/>
          </w:tcPr>
          <w:p w:rsidR="00234376" w:rsidRPr="00537C3C" w:rsidRDefault="00234376" w:rsidP="008E03A7">
            <w:pPr>
              <w:pStyle w:val="TableText"/>
            </w:pPr>
            <w:r w:rsidRPr="00537C3C">
              <w:t>Was the research question specified?</w:t>
            </w:r>
          </w:p>
          <w:p w:rsidR="00234376" w:rsidRPr="00537C3C" w:rsidRDefault="00234376" w:rsidP="008E03A7">
            <w:pPr>
              <w:pStyle w:val="TableText"/>
            </w:pPr>
            <w:r w:rsidRPr="00537C3C">
              <w:t>Was the search strategy explicit and comprehensive?</w:t>
            </w:r>
          </w:p>
          <w:p w:rsidR="00234376" w:rsidRPr="00537C3C" w:rsidRDefault="00234376" w:rsidP="008E03A7">
            <w:pPr>
              <w:pStyle w:val="TableText"/>
            </w:pPr>
            <w:r w:rsidRPr="00537C3C">
              <w:t>Were the eligibility criteria explicit and appropriate?</w:t>
            </w:r>
          </w:p>
          <w:p w:rsidR="00234376" w:rsidRPr="00537C3C" w:rsidRDefault="00234376" w:rsidP="008E03A7">
            <w:pPr>
              <w:pStyle w:val="TableText"/>
            </w:pPr>
            <w:r w:rsidRPr="00537C3C">
              <w:t>Was a quality assessment of included studies undertaken?</w:t>
            </w:r>
          </w:p>
          <w:p w:rsidR="00234376" w:rsidRPr="00537C3C" w:rsidRDefault="00234376" w:rsidP="008E03A7">
            <w:pPr>
              <w:pStyle w:val="TableText"/>
            </w:pPr>
            <w:r w:rsidRPr="00537C3C">
              <w:t>Were the methods of the study appraisal reproducible?</w:t>
            </w:r>
          </w:p>
          <w:p w:rsidR="00234376" w:rsidRPr="00537C3C" w:rsidRDefault="00234376" w:rsidP="008E03A7">
            <w:pPr>
              <w:pStyle w:val="TableText"/>
            </w:pPr>
            <w:r w:rsidRPr="00537C3C">
              <w:t>Were sources of heterogeneity explored?</w:t>
            </w:r>
          </w:p>
          <w:p w:rsidR="00234376" w:rsidRPr="00537C3C" w:rsidRDefault="00234376" w:rsidP="008E03A7">
            <w:pPr>
              <w:pStyle w:val="TableText"/>
            </w:pPr>
            <w:r w:rsidRPr="00537C3C">
              <w:t>Was a summary of the main results clear and appropriate?</w:t>
            </w:r>
          </w:p>
        </w:tc>
      </w:tr>
    </w:tbl>
    <w:p w:rsidR="00234376" w:rsidRPr="00537C3C" w:rsidRDefault="00234376" w:rsidP="008E03A7">
      <w:pPr>
        <w:pStyle w:val="TableNotesCharCharChar"/>
        <w:spacing w:after="0"/>
        <w:ind w:left="567" w:firstLine="0"/>
      </w:pPr>
      <w:r w:rsidRPr="00234376">
        <w:rPr>
          <w:vertAlign w:val="superscript"/>
        </w:rPr>
        <w:t>a</w:t>
      </w:r>
      <w:r w:rsidRPr="00537C3C">
        <w:t xml:space="preserve"> High quality: Yes or </w:t>
      </w:r>
      <w:r w:rsidRPr="00A316F5">
        <w:t>N/</w:t>
      </w:r>
      <w:r w:rsidRPr="00537C3C">
        <w:t xml:space="preserve">A to all 7 criteria; low quality: ≤4 Yes or </w:t>
      </w:r>
      <w:r w:rsidRPr="00A316F5">
        <w:t>N/</w:t>
      </w:r>
      <w:r w:rsidRPr="00537C3C">
        <w:t>A. Other studies assessed as fair quality.</w:t>
      </w:r>
    </w:p>
    <w:p w:rsidR="00234376" w:rsidRPr="00537C3C" w:rsidRDefault="00234376" w:rsidP="008E03A7">
      <w:pPr>
        <w:spacing w:before="240"/>
        <w:ind w:left="709"/>
      </w:pPr>
      <w:r w:rsidRPr="00537C3C">
        <w:lastRenderedPageBreak/>
        <w:t>Studies of a population representing the Australian population with a mixture of patients presenting for screening or diagnosis were considered highly applicable. Studies of patients in a high-risk population with seeded cases or where different cytological preparation systems were pooled were considered of limited applicability. Studies in which all patients were undergoing cervical cytology for diagnostic purposes were considered not applicable. Although some studies have been conducted in a setting where the population is likely to be highly applicable, where this was not clearly reported the population will be rated as of limited applicability.</w:t>
      </w:r>
    </w:p>
    <w:p w:rsidR="00234376" w:rsidRPr="00537C3C" w:rsidRDefault="00234376">
      <w:pPr>
        <w:ind w:left="711"/>
      </w:pPr>
      <w:r w:rsidRPr="00537C3C">
        <w:t xml:space="preserve">The grading system in </w:t>
      </w:r>
      <w:r w:rsidRPr="00537C3C">
        <w:fldChar w:fldCharType="begin"/>
      </w:r>
      <w:r w:rsidRPr="00537C3C">
        <w:instrText xml:space="preserve"> REF _Ref207620141 \h  \* MERGEFORMAT </w:instrText>
      </w:r>
      <w:r w:rsidRPr="00537C3C">
        <w:fldChar w:fldCharType="separate"/>
      </w:r>
      <w:r w:rsidR="007D3DFF" w:rsidRPr="00537C3C">
        <w:t xml:space="preserve">Table </w:t>
      </w:r>
      <w:r w:rsidR="007D3DFF">
        <w:rPr>
          <w:noProof/>
        </w:rPr>
        <w:t>11</w:t>
      </w:r>
      <w:r w:rsidRPr="00537C3C">
        <w:fldChar w:fldCharType="end"/>
      </w:r>
      <w:r w:rsidRPr="00537C3C">
        <w:t xml:space="preserve"> was used for summarising the quality and applicability of the studies.</w:t>
      </w:r>
    </w:p>
    <w:p w:rsidR="00234376" w:rsidRPr="00537C3C" w:rsidRDefault="00234376" w:rsidP="008E03A7">
      <w:pPr>
        <w:pStyle w:val="TableName"/>
      </w:pPr>
      <w:bookmarkStart w:id="273" w:name="_Ref207620141"/>
      <w:bookmarkStart w:id="274" w:name="_Toc95971247"/>
      <w:r w:rsidRPr="00537C3C">
        <w:t xml:space="preserve">Table </w:t>
      </w:r>
      <w:fldSimple w:instr=" SEQ Table \* ARABIC ">
        <w:r w:rsidR="007D3DFF">
          <w:rPr>
            <w:noProof/>
          </w:rPr>
          <w:t>11</w:t>
        </w:r>
      </w:fldSimple>
      <w:bookmarkEnd w:id="273"/>
      <w:r w:rsidRPr="00537C3C">
        <w:tab/>
        <w:t>Grading system for the appraisal of studies evaluating diagnostic tests.</w:t>
      </w:r>
      <w:bookmarkEnd w:id="274"/>
    </w:p>
    <w:tbl>
      <w:tblPr>
        <w:tblW w:w="8790" w:type="dxa"/>
        <w:tblInd w:w="840" w:type="dxa"/>
        <w:tblLook w:val="01E0" w:firstRow="1" w:lastRow="1" w:firstColumn="1" w:lastColumn="1" w:noHBand="0" w:noVBand="0"/>
      </w:tblPr>
      <w:tblGrid>
        <w:gridCol w:w="1786"/>
        <w:gridCol w:w="4160"/>
        <w:gridCol w:w="2844"/>
      </w:tblGrid>
      <w:tr w:rsidR="00234376" w:rsidRPr="00537C3C">
        <w:tc>
          <w:tcPr>
            <w:tcW w:w="1786" w:type="dxa"/>
            <w:tcBorders>
              <w:top w:val="single" w:sz="4" w:space="0" w:color="auto"/>
              <w:bottom w:val="single" w:sz="4" w:space="0" w:color="auto"/>
            </w:tcBorders>
          </w:tcPr>
          <w:p w:rsidR="00234376" w:rsidRPr="00537C3C" w:rsidRDefault="00234376" w:rsidP="008E03A7">
            <w:pPr>
              <w:pStyle w:val="TableHeading0"/>
            </w:pPr>
            <w:r w:rsidRPr="00537C3C">
              <w:t>Validity criteria</w:t>
            </w:r>
          </w:p>
        </w:tc>
        <w:tc>
          <w:tcPr>
            <w:tcW w:w="4160" w:type="dxa"/>
            <w:tcBorders>
              <w:top w:val="single" w:sz="4" w:space="0" w:color="auto"/>
              <w:bottom w:val="single" w:sz="4" w:space="0" w:color="auto"/>
            </w:tcBorders>
          </w:tcPr>
          <w:p w:rsidR="00234376" w:rsidRPr="00537C3C" w:rsidRDefault="00234376" w:rsidP="008E03A7">
            <w:pPr>
              <w:pStyle w:val="TableHeading0"/>
            </w:pPr>
            <w:r w:rsidRPr="00537C3C">
              <w:t>Description</w:t>
            </w:r>
          </w:p>
        </w:tc>
        <w:tc>
          <w:tcPr>
            <w:tcW w:w="2844" w:type="dxa"/>
            <w:tcBorders>
              <w:top w:val="single" w:sz="4" w:space="0" w:color="auto"/>
              <w:bottom w:val="single" w:sz="4" w:space="0" w:color="auto"/>
            </w:tcBorders>
          </w:tcPr>
          <w:p w:rsidR="00234376" w:rsidRPr="00537C3C" w:rsidRDefault="00234376" w:rsidP="008E03A7">
            <w:pPr>
              <w:pStyle w:val="TableHeading0"/>
            </w:pPr>
            <w:r w:rsidRPr="00537C3C">
              <w:t>Grading System</w:t>
            </w:r>
          </w:p>
        </w:tc>
      </w:tr>
      <w:tr w:rsidR="00234376" w:rsidRPr="00537C3C">
        <w:tc>
          <w:tcPr>
            <w:tcW w:w="1786" w:type="dxa"/>
            <w:tcBorders>
              <w:top w:val="single" w:sz="4" w:space="0" w:color="auto"/>
              <w:bottom w:val="single" w:sz="4" w:space="0" w:color="auto"/>
            </w:tcBorders>
          </w:tcPr>
          <w:p w:rsidR="00234376" w:rsidRPr="00537C3C" w:rsidRDefault="00234376" w:rsidP="008E03A7">
            <w:pPr>
              <w:pStyle w:val="TableText0"/>
              <w:rPr>
                <w:rFonts w:ascii="Arial Narrow" w:hAnsi="Arial Narrow"/>
                <w:b/>
                <w:bCs/>
              </w:rPr>
            </w:pPr>
            <w:r w:rsidRPr="00537C3C">
              <w:rPr>
                <w:rFonts w:ascii="Arial Narrow" w:hAnsi="Arial Narrow"/>
                <w:b/>
                <w:bCs/>
              </w:rPr>
              <w:t>Appropriate</w:t>
            </w:r>
          </w:p>
          <w:p w:rsidR="00234376" w:rsidRPr="00537C3C" w:rsidRDefault="00234376" w:rsidP="008E03A7">
            <w:pPr>
              <w:pStyle w:val="TableText0"/>
              <w:rPr>
                <w:rFonts w:ascii="Arial Narrow" w:hAnsi="Arial Narrow"/>
                <w:b/>
                <w:bCs/>
              </w:rPr>
            </w:pPr>
            <w:r w:rsidRPr="00537C3C">
              <w:rPr>
                <w:rFonts w:ascii="Arial Narrow" w:hAnsi="Arial Narrow"/>
                <w:b/>
                <w:bCs/>
              </w:rPr>
              <w:t>comparison</w:t>
            </w:r>
          </w:p>
        </w:tc>
        <w:tc>
          <w:tcPr>
            <w:tcW w:w="4160" w:type="dxa"/>
            <w:tcBorders>
              <w:top w:val="single" w:sz="4" w:space="0" w:color="auto"/>
              <w:bottom w:val="single" w:sz="4" w:space="0" w:color="auto"/>
            </w:tcBorders>
          </w:tcPr>
          <w:p w:rsidR="00234376" w:rsidRPr="00537C3C" w:rsidRDefault="00234376" w:rsidP="008E03A7">
            <w:pPr>
              <w:pStyle w:val="TableText"/>
            </w:pPr>
            <w:r w:rsidRPr="00537C3C">
              <w:t>Did the study evaluate a direct comparison of the index test strategy vs the comparator test strategy?</w:t>
            </w:r>
          </w:p>
        </w:tc>
        <w:tc>
          <w:tcPr>
            <w:tcW w:w="2844" w:type="dxa"/>
            <w:tcBorders>
              <w:top w:val="single" w:sz="4" w:space="0" w:color="auto"/>
              <w:bottom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C1 direct comparison</w:t>
            </w:r>
          </w:p>
          <w:p w:rsidR="00234376" w:rsidRPr="00537C3C" w:rsidRDefault="00234376" w:rsidP="008E03A7">
            <w:pPr>
              <w:pStyle w:val="TableText0"/>
              <w:rPr>
                <w:rFonts w:ascii="Arial Narrow" w:hAnsi="Arial Narrow"/>
              </w:rPr>
            </w:pPr>
            <w:r w:rsidRPr="00537C3C">
              <w:rPr>
                <w:rFonts w:ascii="Arial Narrow" w:hAnsi="Arial Narrow"/>
              </w:rPr>
              <w:t>CX other comparison</w:t>
            </w:r>
          </w:p>
        </w:tc>
      </w:tr>
      <w:tr w:rsidR="00234376" w:rsidRPr="00537C3C">
        <w:tc>
          <w:tcPr>
            <w:tcW w:w="1786" w:type="dxa"/>
            <w:tcBorders>
              <w:top w:val="single" w:sz="4" w:space="0" w:color="auto"/>
              <w:bottom w:val="single" w:sz="4" w:space="0" w:color="auto"/>
            </w:tcBorders>
          </w:tcPr>
          <w:p w:rsidR="00234376" w:rsidRPr="00537C3C" w:rsidRDefault="00234376" w:rsidP="008E03A7">
            <w:pPr>
              <w:pStyle w:val="TableText0"/>
              <w:rPr>
                <w:rFonts w:ascii="Arial Narrow" w:hAnsi="Arial Narrow"/>
                <w:b/>
                <w:bCs/>
              </w:rPr>
            </w:pPr>
            <w:r w:rsidRPr="00537C3C">
              <w:rPr>
                <w:rFonts w:ascii="Arial Narrow" w:hAnsi="Arial Narrow"/>
                <w:b/>
                <w:bCs/>
              </w:rPr>
              <w:t>Applicable</w:t>
            </w:r>
          </w:p>
          <w:p w:rsidR="00234376" w:rsidRPr="00537C3C" w:rsidRDefault="00234376" w:rsidP="008E03A7">
            <w:pPr>
              <w:pStyle w:val="TableText0"/>
              <w:rPr>
                <w:rFonts w:ascii="Arial Narrow" w:hAnsi="Arial Narrow"/>
                <w:b/>
                <w:bCs/>
              </w:rPr>
            </w:pPr>
            <w:r w:rsidRPr="00537C3C">
              <w:rPr>
                <w:rFonts w:ascii="Arial Narrow" w:hAnsi="Arial Narrow"/>
                <w:b/>
                <w:bCs/>
              </w:rPr>
              <w:t>population</w:t>
            </w:r>
          </w:p>
        </w:tc>
        <w:tc>
          <w:tcPr>
            <w:tcW w:w="4160" w:type="dxa"/>
            <w:tcBorders>
              <w:top w:val="single" w:sz="4" w:space="0" w:color="auto"/>
              <w:bottom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Did the study evaluate the index test in a manner similar to routine use in a population that is undergoing cervical cancer screening for mixed screening and diagnostic purposes?</w:t>
            </w:r>
          </w:p>
        </w:tc>
        <w:tc>
          <w:tcPr>
            <w:tcW w:w="2844" w:type="dxa"/>
            <w:tcBorders>
              <w:top w:val="single" w:sz="4" w:space="0" w:color="auto"/>
              <w:bottom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P1 applicable</w:t>
            </w:r>
          </w:p>
          <w:p w:rsidR="00234376" w:rsidRPr="00537C3C" w:rsidRDefault="00234376" w:rsidP="008E03A7">
            <w:pPr>
              <w:pStyle w:val="TableText0"/>
              <w:rPr>
                <w:rFonts w:ascii="Arial Narrow" w:hAnsi="Arial Narrow"/>
              </w:rPr>
            </w:pPr>
            <w:r w:rsidRPr="00537C3C">
              <w:rPr>
                <w:rFonts w:ascii="Arial Narrow" w:hAnsi="Arial Narrow"/>
              </w:rPr>
              <w:t>P2 limited</w:t>
            </w:r>
          </w:p>
          <w:p w:rsidR="00234376" w:rsidRPr="00537C3C" w:rsidRDefault="00234376" w:rsidP="008E03A7">
            <w:pPr>
              <w:pStyle w:val="TableText0"/>
              <w:rPr>
                <w:rFonts w:ascii="Arial Narrow" w:hAnsi="Arial Narrow"/>
              </w:rPr>
            </w:pPr>
            <w:r w:rsidRPr="00537C3C">
              <w:rPr>
                <w:rFonts w:ascii="Arial Narrow" w:hAnsi="Arial Narrow"/>
              </w:rPr>
              <w:t>P3 different population</w:t>
            </w:r>
          </w:p>
        </w:tc>
      </w:tr>
      <w:tr w:rsidR="00234376" w:rsidRPr="00537C3C">
        <w:tc>
          <w:tcPr>
            <w:tcW w:w="1786" w:type="dxa"/>
            <w:tcBorders>
              <w:top w:val="single" w:sz="4" w:space="0" w:color="auto"/>
              <w:bottom w:val="single" w:sz="4" w:space="0" w:color="auto"/>
            </w:tcBorders>
          </w:tcPr>
          <w:p w:rsidR="00234376" w:rsidRPr="00537C3C" w:rsidRDefault="00234376" w:rsidP="008E03A7">
            <w:pPr>
              <w:pStyle w:val="TableText0"/>
              <w:rPr>
                <w:rFonts w:ascii="Arial Narrow" w:hAnsi="Arial Narrow"/>
                <w:b/>
                <w:bCs/>
              </w:rPr>
            </w:pPr>
            <w:r w:rsidRPr="00537C3C">
              <w:rPr>
                <w:rFonts w:ascii="Arial Narrow" w:hAnsi="Arial Narrow"/>
                <w:b/>
                <w:bCs/>
              </w:rPr>
              <w:t>Quality of study</w:t>
            </w:r>
          </w:p>
        </w:tc>
        <w:tc>
          <w:tcPr>
            <w:tcW w:w="4160" w:type="dxa"/>
            <w:tcBorders>
              <w:top w:val="single" w:sz="4" w:space="0" w:color="auto"/>
              <w:bottom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Was the study designed to avoid bias?</w:t>
            </w:r>
          </w:p>
          <w:p w:rsidR="00234376" w:rsidRPr="00537C3C" w:rsidRDefault="00234376" w:rsidP="008E03A7">
            <w:pPr>
              <w:pStyle w:val="TableText0"/>
              <w:rPr>
                <w:rFonts w:ascii="Arial Narrow" w:hAnsi="Arial Narrow"/>
              </w:rPr>
            </w:pPr>
          </w:p>
          <w:p w:rsidR="00234376" w:rsidRPr="00537C3C" w:rsidRDefault="00234376" w:rsidP="008E03A7">
            <w:pPr>
              <w:pStyle w:val="TableText0"/>
              <w:rPr>
                <w:rFonts w:ascii="Arial Narrow" w:hAnsi="Arial Narrow"/>
              </w:rPr>
            </w:pPr>
            <w:r w:rsidRPr="00537C3C">
              <w:rPr>
                <w:rFonts w:ascii="Arial Narrow" w:hAnsi="Arial Narrow"/>
              </w:rPr>
              <w:t>High quality</w:t>
            </w:r>
          </w:p>
          <w:p w:rsidR="00234376" w:rsidRPr="00537C3C" w:rsidRDefault="00234376" w:rsidP="008E03A7">
            <w:pPr>
              <w:pStyle w:val="TableText0"/>
              <w:rPr>
                <w:rFonts w:ascii="Arial Narrow" w:hAnsi="Arial Narrow"/>
              </w:rPr>
            </w:pPr>
            <w:r w:rsidRPr="00537C3C">
              <w:rPr>
                <w:rFonts w:ascii="Arial Narrow" w:hAnsi="Arial Narrow"/>
              </w:rPr>
              <w:t>Fair quality</w:t>
            </w:r>
          </w:p>
          <w:p w:rsidR="00234376" w:rsidRPr="00537C3C" w:rsidRDefault="00234376" w:rsidP="008E03A7">
            <w:pPr>
              <w:pStyle w:val="TableText0"/>
              <w:rPr>
                <w:rFonts w:ascii="Arial Narrow" w:hAnsi="Arial Narrow"/>
              </w:rPr>
            </w:pPr>
            <w:r w:rsidRPr="00537C3C">
              <w:rPr>
                <w:rFonts w:ascii="Arial Narrow" w:hAnsi="Arial Narrow"/>
              </w:rPr>
              <w:t xml:space="preserve">Poor quality </w:t>
            </w:r>
          </w:p>
        </w:tc>
        <w:tc>
          <w:tcPr>
            <w:tcW w:w="2844" w:type="dxa"/>
            <w:tcBorders>
              <w:top w:val="single" w:sz="4" w:space="0" w:color="auto"/>
              <w:bottom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 xml:space="preserve">Study design: </w:t>
            </w:r>
            <w:r w:rsidRPr="00BB76D8">
              <w:rPr>
                <w:rFonts w:ascii="Arial Narrow" w:hAnsi="Arial Narrow"/>
              </w:rPr>
              <w:t>NHMRC</w:t>
            </w:r>
            <w:r w:rsidRPr="00537C3C">
              <w:rPr>
                <w:rFonts w:ascii="Arial Narrow" w:hAnsi="Arial Narrow"/>
              </w:rPr>
              <w:t xml:space="preserve"> level of evidence</w:t>
            </w:r>
          </w:p>
          <w:p w:rsidR="00234376" w:rsidRPr="00537C3C" w:rsidRDefault="00234376" w:rsidP="008E03A7">
            <w:pPr>
              <w:pStyle w:val="TableText0"/>
              <w:rPr>
                <w:rFonts w:ascii="Arial Narrow" w:hAnsi="Arial Narrow"/>
              </w:rPr>
            </w:pPr>
            <w:r w:rsidRPr="00537C3C">
              <w:rPr>
                <w:rFonts w:ascii="Arial Narrow" w:hAnsi="Arial Narrow"/>
              </w:rPr>
              <w:t>Study quality:</w:t>
            </w:r>
          </w:p>
          <w:p w:rsidR="00234376" w:rsidRPr="00537C3C" w:rsidRDefault="00234376" w:rsidP="008E03A7">
            <w:pPr>
              <w:pStyle w:val="TableText0"/>
              <w:rPr>
                <w:rFonts w:ascii="Arial Narrow" w:hAnsi="Arial Narrow"/>
              </w:rPr>
            </w:pPr>
            <w:r w:rsidRPr="00537C3C">
              <w:rPr>
                <w:rFonts w:ascii="Arial Narrow" w:hAnsi="Arial Narrow"/>
              </w:rPr>
              <w:t>Q1 high quality</w:t>
            </w:r>
          </w:p>
          <w:p w:rsidR="00234376" w:rsidRPr="00537C3C" w:rsidRDefault="00234376" w:rsidP="008E03A7">
            <w:pPr>
              <w:pStyle w:val="TableText0"/>
              <w:rPr>
                <w:rFonts w:ascii="Arial Narrow" w:hAnsi="Arial Narrow"/>
              </w:rPr>
            </w:pPr>
            <w:r w:rsidRPr="00537C3C">
              <w:rPr>
                <w:rFonts w:ascii="Arial Narrow" w:hAnsi="Arial Narrow"/>
              </w:rPr>
              <w:t>Q2 fair quality</w:t>
            </w:r>
          </w:p>
          <w:p w:rsidR="00234376" w:rsidRPr="00537C3C" w:rsidRDefault="00234376" w:rsidP="008E03A7">
            <w:pPr>
              <w:pStyle w:val="TableText0"/>
              <w:rPr>
                <w:rFonts w:ascii="Arial Narrow" w:hAnsi="Arial Narrow"/>
              </w:rPr>
            </w:pPr>
            <w:r w:rsidRPr="00537C3C">
              <w:rPr>
                <w:rFonts w:ascii="Arial Narrow" w:hAnsi="Arial Narrow"/>
              </w:rPr>
              <w:t>Q3 poor quality</w:t>
            </w:r>
          </w:p>
        </w:tc>
      </w:tr>
    </w:tbl>
    <w:p w:rsidR="00234376" w:rsidRPr="00537C3C" w:rsidRDefault="00234376" w:rsidP="00B94BF8">
      <w:pPr>
        <w:pStyle w:val="Heading3"/>
      </w:pPr>
      <w:r w:rsidRPr="00537C3C">
        <w:t>Ranking the evidence</w:t>
      </w:r>
    </w:p>
    <w:p w:rsidR="00234376" w:rsidRPr="00537C3C" w:rsidRDefault="00234376">
      <w:r w:rsidRPr="00537C3C">
        <w:t>A structured appraisal of each study was performed to classify studies according to the type of study design (levels of evidence) (</w:t>
      </w:r>
      <w:r>
        <w:fldChar w:fldCharType="begin"/>
      </w:r>
      <w:r>
        <w:instrText xml:space="preserve"> REF _Ref190700922 \h  \* MERGEFORMAT </w:instrText>
      </w:r>
      <w:r>
        <w:fldChar w:fldCharType="separate"/>
      </w:r>
      <w:r w:rsidR="007D3DFF" w:rsidRPr="00537C3C">
        <w:t xml:space="preserve">Table </w:t>
      </w:r>
      <w:r w:rsidR="007D3DFF">
        <w:rPr>
          <w:noProof/>
        </w:rPr>
        <w:t>12</w:t>
      </w:r>
      <w:r>
        <w:fldChar w:fldCharType="end"/>
      </w:r>
      <w:r w:rsidRPr="00537C3C">
        <w:t>).</w:t>
      </w:r>
    </w:p>
    <w:p w:rsidR="00234376" w:rsidRPr="00537C3C" w:rsidRDefault="00234376" w:rsidP="008E03A7">
      <w:pPr>
        <w:pStyle w:val="Caption"/>
      </w:pPr>
      <w:bookmarkStart w:id="275" w:name="_Ref190700922"/>
      <w:bookmarkStart w:id="276" w:name="_Toc86213955"/>
      <w:bookmarkStart w:id="277" w:name="_Toc190744369"/>
      <w:bookmarkStart w:id="278" w:name="_Toc95971248"/>
      <w:r w:rsidRPr="00537C3C">
        <w:lastRenderedPageBreak/>
        <w:t xml:space="preserve">Table </w:t>
      </w:r>
      <w:fldSimple w:instr=" SEQ Table \* ARABIC ">
        <w:r w:rsidR="007D3DFF">
          <w:rPr>
            <w:noProof/>
          </w:rPr>
          <w:t>12</w:t>
        </w:r>
      </w:fldSimple>
      <w:bookmarkEnd w:id="275"/>
      <w:r w:rsidRPr="00537C3C">
        <w:tab/>
      </w:r>
      <w:r w:rsidRPr="00BB76D8">
        <w:t>NHMRC</w:t>
      </w:r>
      <w:r w:rsidRPr="00537C3C">
        <w:t xml:space="preserve"> designations of levels of evidence</w:t>
      </w:r>
      <w:bookmarkEnd w:id="276"/>
      <w:bookmarkEnd w:id="277"/>
      <w:r w:rsidRPr="00537C3C">
        <w:t>.</w:t>
      </w:r>
      <w:bookmarkEnd w:id="278"/>
    </w:p>
    <w:tbl>
      <w:tblPr>
        <w:tblW w:w="0" w:type="auto"/>
        <w:tblInd w:w="880" w:type="dxa"/>
        <w:tblLayout w:type="fixed"/>
        <w:tblLook w:val="0000" w:firstRow="0" w:lastRow="0" w:firstColumn="0" w:lastColumn="0" w:noHBand="0" w:noVBand="0"/>
      </w:tblPr>
      <w:tblGrid>
        <w:gridCol w:w="1451"/>
        <w:gridCol w:w="6720"/>
      </w:tblGrid>
      <w:tr w:rsidR="00234376" w:rsidRPr="00537C3C">
        <w:trPr>
          <w:tblHeader/>
        </w:trPr>
        <w:tc>
          <w:tcPr>
            <w:tcW w:w="1451" w:type="dxa"/>
            <w:tcBorders>
              <w:top w:val="single" w:sz="4" w:space="0" w:color="auto"/>
              <w:left w:val="nil"/>
              <w:bottom w:val="single" w:sz="4" w:space="0" w:color="auto"/>
            </w:tcBorders>
          </w:tcPr>
          <w:p w:rsidR="00234376" w:rsidRPr="00537C3C" w:rsidRDefault="00234376">
            <w:pPr>
              <w:pStyle w:val="TableHeading"/>
            </w:pPr>
            <w:r w:rsidRPr="00537C3C">
              <w:t>Level of evidence</w:t>
            </w:r>
          </w:p>
        </w:tc>
        <w:tc>
          <w:tcPr>
            <w:tcW w:w="6720" w:type="dxa"/>
            <w:tcBorders>
              <w:top w:val="single" w:sz="4" w:space="0" w:color="auto"/>
              <w:bottom w:val="single" w:sz="4" w:space="0" w:color="auto"/>
              <w:right w:val="nil"/>
            </w:tcBorders>
          </w:tcPr>
          <w:p w:rsidR="00234376" w:rsidRPr="00537C3C" w:rsidRDefault="00234376">
            <w:pPr>
              <w:pStyle w:val="TableHeading"/>
            </w:pPr>
            <w:r w:rsidRPr="00537C3C">
              <w:t>Study design</w:t>
            </w:r>
          </w:p>
        </w:tc>
      </w:tr>
      <w:tr w:rsidR="00234376" w:rsidRPr="00537C3C">
        <w:tc>
          <w:tcPr>
            <w:tcW w:w="8171" w:type="dxa"/>
            <w:gridSpan w:val="2"/>
            <w:tcBorders>
              <w:top w:val="single" w:sz="4" w:space="0" w:color="auto"/>
              <w:left w:val="nil"/>
              <w:bottom w:val="single" w:sz="4" w:space="0" w:color="auto"/>
              <w:right w:val="nil"/>
            </w:tcBorders>
          </w:tcPr>
          <w:p w:rsidR="00234376" w:rsidRPr="00537C3C" w:rsidRDefault="00234376">
            <w:pPr>
              <w:pStyle w:val="TableText"/>
            </w:pPr>
            <w:r w:rsidRPr="00537C3C">
              <w:t>Studies of effectiveness</w:t>
            </w:r>
          </w:p>
        </w:tc>
      </w:tr>
      <w:tr w:rsidR="00234376" w:rsidRPr="00537C3C">
        <w:tc>
          <w:tcPr>
            <w:tcW w:w="1451" w:type="dxa"/>
            <w:tcBorders>
              <w:top w:val="single" w:sz="4" w:space="0" w:color="auto"/>
              <w:left w:val="nil"/>
              <w:bottom w:val="single" w:sz="4" w:space="0" w:color="auto"/>
            </w:tcBorders>
          </w:tcPr>
          <w:p w:rsidR="00234376" w:rsidRPr="00537C3C" w:rsidRDefault="00234376">
            <w:pPr>
              <w:pStyle w:val="TableText"/>
            </w:pPr>
            <w:r w:rsidRPr="00537C3C">
              <w:t>I</w:t>
            </w:r>
          </w:p>
          <w:p w:rsidR="00234376" w:rsidRPr="00537C3C" w:rsidRDefault="00234376">
            <w:pPr>
              <w:pStyle w:val="TableText"/>
            </w:pPr>
            <w:r w:rsidRPr="00BB76D8">
              <w:t>II</w:t>
            </w:r>
          </w:p>
          <w:p w:rsidR="00234376" w:rsidRPr="00537C3C" w:rsidRDefault="00234376">
            <w:pPr>
              <w:pStyle w:val="TableText"/>
            </w:pPr>
            <w:r w:rsidRPr="00BB76D8">
              <w:t>III</w:t>
            </w:r>
            <w:r w:rsidRPr="00537C3C">
              <w:t>-1</w:t>
            </w:r>
            <w:r w:rsidRPr="00537C3C">
              <w:br/>
            </w:r>
          </w:p>
          <w:p w:rsidR="00234376" w:rsidRPr="00537C3C" w:rsidRDefault="00234376">
            <w:pPr>
              <w:pStyle w:val="TableText"/>
            </w:pPr>
            <w:r w:rsidRPr="00BB76D8">
              <w:t>III</w:t>
            </w:r>
            <w:r w:rsidRPr="00537C3C">
              <w:t>-2</w:t>
            </w:r>
            <w:r w:rsidRPr="00537C3C">
              <w:br/>
            </w:r>
            <w:r w:rsidRPr="00537C3C">
              <w:br/>
            </w:r>
          </w:p>
          <w:p w:rsidR="00234376" w:rsidRPr="00537C3C" w:rsidRDefault="00234376">
            <w:pPr>
              <w:pStyle w:val="TableText"/>
            </w:pPr>
            <w:r w:rsidRPr="00BB76D8">
              <w:t>III</w:t>
            </w:r>
            <w:r w:rsidRPr="00537C3C">
              <w:t>-3</w:t>
            </w:r>
            <w:r w:rsidRPr="00537C3C">
              <w:br/>
            </w:r>
          </w:p>
          <w:p w:rsidR="00234376" w:rsidRPr="00537C3C" w:rsidRDefault="00234376">
            <w:pPr>
              <w:pStyle w:val="TableText"/>
            </w:pPr>
            <w:r w:rsidRPr="00BB76D8">
              <w:t>IV</w:t>
            </w:r>
          </w:p>
        </w:tc>
        <w:tc>
          <w:tcPr>
            <w:tcW w:w="6720" w:type="dxa"/>
            <w:tcBorders>
              <w:top w:val="single" w:sz="4" w:space="0" w:color="auto"/>
              <w:bottom w:val="single" w:sz="4" w:space="0" w:color="auto"/>
              <w:right w:val="nil"/>
            </w:tcBorders>
          </w:tcPr>
          <w:p w:rsidR="00234376" w:rsidRPr="00537C3C" w:rsidRDefault="00234376">
            <w:pPr>
              <w:pStyle w:val="TableText"/>
            </w:pPr>
            <w:r w:rsidRPr="00537C3C">
              <w:t>Evidence obtained from a systematic review of all relevant randomised controlled trials</w:t>
            </w:r>
          </w:p>
          <w:p w:rsidR="00234376" w:rsidRPr="00537C3C" w:rsidRDefault="00234376">
            <w:pPr>
              <w:pStyle w:val="TableText"/>
            </w:pPr>
            <w:r w:rsidRPr="00537C3C">
              <w:t>Evidence obtained from at least one properly designed randomised controlled trial</w:t>
            </w:r>
          </w:p>
          <w:p w:rsidR="00234376" w:rsidRPr="00537C3C" w:rsidRDefault="00234376">
            <w:pPr>
              <w:pStyle w:val="TableText"/>
            </w:pPr>
            <w:r w:rsidRPr="00537C3C">
              <w:t>Evidence obtained from well-designed pseudo-randomised controlled trials (alternate allocation or some other method)</w:t>
            </w:r>
          </w:p>
          <w:p w:rsidR="00234376" w:rsidRPr="00537C3C" w:rsidRDefault="00234376">
            <w:pPr>
              <w:pStyle w:val="TableText"/>
            </w:pPr>
            <w:r w:rsidRPr="00537C3C">
              <w:t>Evidence obtained from comparative studies (including systematic reviews of such studies) with concurrent controls and allocation not randomised, cohort studies, case-control studies, or interrupted time series with a control group</w:t>
            </w:r>
          </w:p>
          <w:p w:rsidR="00234376" w:rsidRPr="00537C3C" w:rsidRDefault="00234376">
            <w:pPr>
              <w:pStyle w:val="TableText"/>
            </w:pPr>
            <w:r w:rsidRPr="00537C3C">
              <w:t>Evidence obtained from comparative studies with historical control, two or more single arm studies, or interrupted time series without a parallel control group</w:t>
            </w:r>
          </w:p>
          <w:p w:rsidR="00234376" w:rsidRPr="00537C3C" w:rsidRDefault="00234376">
            <w:pPr>
              <w:pStyle w:val="TableText"/>
            </w:pPr>
            <w:r w:rsidRPr="00537C3C">
              <w:t>Evidence obtained from case series, either post-test or pretest/post-test</w:t>
            </w:r>
          </w:p>
        </w:tc>
      </w:tr>
      <w:tr w:rsidR="00234376" w:rsidRPr="00537C3C">
        <w:tc>
          <w:tcPr>
            <w:tcW w:w="8171" w:type="dxa"/>
            <w:gridSpan w:val="2"/>
            <w:tcBorders>
              <w:top w:val="single" w:sz="4" w:space="0" w:color="auto"/>
              <w:left w:val="nil"/>
              <w:bottom w:val="single" w:sz="4" w:space="0" w:color="auto"/>
              <w:right w:val="nil"/>
            </w:tcBorders>
          </w:tcPr>
          <w:p w:rsidR="00234376" w:rsidRPr="00537C3C" w:rsidRDefault="00234376" w:rsidP="008E03A7">
            <w:pPr>
              <w:pStyle w:val="TableText"/>
            </w:pPr>
            <w:r w:rsidRPr="00537C3C">
              <w:t>Studies of test accuracy</w:t>
            </w:r>
          </w:p>
        </w:tc>
      </w:tr>
      <w:tr w:rsidR="00234376" w:rsidRPr="00537C3C">
        <w:tc>
          <w:tcPr>
            <w:tcW w:w="1451" w:type="dxa"/>
            <w:tcBorders>
              <w:top w:val="single" w:sz="4" w:space="0" w:color="auto"/>
              <w:left w:val="nil"/>
              <w:bottom w:val="single" w:sz="4" w:space="0" w:color="auto"/>
            </w:tcBorders>
          </w:tcPr>
          <w:p w:rsidR="00234376" w:rsidRPr="00537C3C" w:rsidRDefault="00234376" w:rsidP="008E03A7">
            <w:pPr>
              <w:pStyle w:val="TableText"/>
            </w:pPr>
            <w:r w:rsidRPr="00537C3C">
              <w:t>I</w:t>
            </w:r>
          </w:p>
          <w:p w:rsidR="00234376" w:rsidRPr="00537C3C" w:rsidRDefault="00234376" w:rsidP="008E03A7">
            <w:pPr>
              <w:pStyle w:val="TableText"/>
            </w:pPr>
            <w:r w:rsidRPr="00BB76D8">
              <w:t>II</w:t>
            </w:r>
          </w:p>
          <w:p w:rsidR="00234376" w:rsidRPr="00537C3C" w:rsidRDefault="00234376" w:rsidP="008E03A7">
            <w:pPr>
              <w:pStyle w:val="TableText"/>
            </w:pPr>
          </w:p>
          <w:p w:rsidR="00234376" w:rsidRPr="00537C3C" w:rsidRDefault="00234376" w:rsidP="008E03A7">
            <w:pPr>
              <w:pStyle w:val="TableText"/>
              <w:spacing w:after="240"/>
            </w:pPr>
            <w:r w:rsidRPr="00BB76D8">
              <w:t>III</w:t>
            </w:r>
            <w:r w:rsidRPr="00537C3C">
              <w:t>-1</w:t>
            </w:r>
          </w:p>
          <w:p w:rsidR="00234376" w:rsidRPr="00537C3C" w:rsidRDefault="00234376" w:rsidP="008E03A7">
            <w:pPr>
              <w:pStyle w:val="TableText"/>
              <w:spacing w:after="120"/>
            </w:pPr>
            <w:r w:rsidRPr="00BB76D8">
              <w:t>III</w:t>
            </w:r>
            <w:r w:rsidRPr="00537C3C">
              <w:t>-2</w:t>
            </w:r>
          </w:p>
          <w:p w:rsidR="00234376" w:rsidRPr="00537C3C" w:rsidRDefault="00234376" w:rsidP="008E03A7">
            <w:pPr>
              <w:pStyle w:val="TableText"/>
            </w:pPr>
            <w:r w:rsidRPr="00BB76D8">
              <w:t>III</w:t>
            </w:r>
            <w:r w:rsidRPr="00537C3C">
              <w:t>-3</w:t>
            </w:r>
          </w:p>
          <w:p w:rsidR="00234376" w:rsidRPr="00537C3C" w:rsidRDefault="00234376" w:rsidP="008E03A7">
            <w:pPr>
              <w:pStyle w:val="TableText"/>
            </w:pPr>
            <w:r w:rsidRPr="00BB76D8">
              <w:t>IV</w:t>
            </w:r>
          </w:p>
        </w:tc>
        <w:tc>
          <w:tcPr>
            <w:tcW w:w="6720" w:type="dxa"/>
            <w:tcBorders>
              <w:top w:val="single" w:sz="4" w:space="0" w:color="auto"/>
              <w:bottom w:val="single" w:sz="4" w:space="0" w:color="auto"/>
              <w:right w:val="nil"/>
            </w:tcBorders>
          </w:tcPr>
          <w:p w:rsidR="00234376" w:rsidRPr="00537C3C" w:rsidRDefault="00234376" w:rsidP="008E03A7">
            <w:pPr>
              <w:pStyle w:val="TableText"/>
            </w:pPr>
            <w:r w:rsidRPr="00537C3C">
              <w:t xml:space="preserve">A systematic review of level </w:t>
            </w:r>
            <w:r w:rsidRPr="00BB76D8">
              <w:t>II</w:t>
            </w:r>
            <w:r w:rsidRPr="00537C3C">
              <w:t xml:space="preserve"> studies</w:t>
            </w:r>
          </w:p>
          <w:p w:rsidR="00234376" w:rsidRPr="00537C3C" w:rsidRDefault="00234376" w:rsidP="008E03A7">
            <w:pPr>
              <w:pStyle w:val="TableText"/>
            </w:pPr>
            <w:r w:rsidRPr="00537C3C">
              <w:t>A study of test accuracy with: an independent, blinded comparison with a valid reference standard, among consecutive patients with a defined clinical presentation</w:t>
            </w:r>
          </w:p>
          <w:p w:rsidR="00234376" w:rsidRPr="00537C3C" w:rsidRDefault="00234376" w:rsidP="008E03A7">
            <w:pPr>
              <w:pStyle w:val="TableText"/>
            </w:pPr>
            <w:r w:rsidRPr="00537C3C">
              <w:t>A study of test accuracy with: an independent, blinded comparison with a valid reference standard, among non-consecutive patients with a defined clinical presentation</w:t>
            </w:r>
          </w:p>
          <w:p w:rsidR="00234376" w:rsidRPr="00537C3C" w:rsidRDefault="00234376" w:rsidP="008E03A7">
            <w:pPr>
              <w:pStyle w:val="TableText"/>
            </w:pPr>
            <w:r w:rsidRPr="00537C3C">
              <w:t xml:space="preserve">A comparison with a reference standard that does not meet the criteria required for Level </w:t>
            </w:r>
            <w:r w:rsidRPr="00BB76D8">
              <w:t>II</w:t>
            </w:r>
            <w:r w:rsidRPr="00537C3C">
              <w:t xml:space="preserve"> and </w:t>
            </w:r>
            <w:r w:rsidRPr="00BB76D8">
              <w:t>III</w:t>
            </w:r>
            <w:r w:rsidRPr="00537C3C">
              <w:t>-1 evidence</w:t>
            </w:r>
          </w:p>
          <w:p w:rsidR="00234376" w:rsidRPr="00537C3C" w:rsidRDefault="00234376" w:rsidP="008E03A7">
            <w:pPr>
              <w:pStyle w:val="TableText"/>
            </w:pPr>
            <w:r w:rsidRPr="00537C3C">
              <w:t>Diagnostic case-control study</w:t>
            </w:r>
          </w:p>
          <w:p w:rsidR="00234376" w:rsidRPr="00537C3C" w:rsidRDefault="00234376" w:rsidP="008E03A7">
            <w:pPr>
              <w:pStyle w:val="TableText"/>
            </w:pPr>
            <w:r w:rsidRPr="00537C3C">
              <w:t>Study of diagnostic yield (no reference standard)</w:t>
            </w:r>
          </w:p>
        </w:tc>
      </w:tr>
    </w:tbl>
    <w:p w:rsidR="00234376" w:rsidRPr="00537C3C" w:rsidRDefault="00234376">
      <w:pPr>
        <w:pStyle w:val="TableNotes"/>
      </w:pPr>
      <w:r w:rsidRPr="00537C3C">
        <w:t xml:space="preserve">Modified from </w:t>
      </w:r>
      <w:r w:rsidRPr="00BB76D8">
        <w:t>NHMRC</w:t>
      </w:r>
      <w:r w:rsidRPr="00537C3C">
        <w:t xml:space="preserve"> </w:t>
      </w:r>
      <w:r w:rsidRPr="00537C3C">
        <w:fldChar w:fldCharType="begin"/>
      </w:r>
      <w:r w:rsidRPr="00537C3C">
        <w:instrText xml:space="preserve"> ADDIN REFMGR.CITE &lt;Refman&gt;&lt;Cite ExcludeAuth="1"&gt;&lt;Author&gt;NHMRC&lt;/Author&gt;&lt;Year&gt;2000&lt;/Year&gt;&lt;RecNum&gt;36&lt;/RecNum&gt;&lt;IDText&gt;How to use the evidence: assessment and application of scientific evidence&lt;/IDText&gt;&lt;MDL Ref_Type="Generic"&gt;&lt;Ref_Type&gt;Generic&lt;/Ref_Type&gt;&lt;Ref_ID&gt;36&lt;/Ref_ID&gt;&lt;Title_Primary&gt;How to use the evidence: assessment and application of scientific evidence&lt;/Title_Primary&gt;&lt;Authors_Primary&gt;NHMRC&lt;/Authors_Primary&gt;&lt;Date_Primary&gt;2000/2&lt;/Date_Primary&gt;&lt;Keywords&gt;Guidelines&lt;/Keywords&gt;&lt;Reprint&gt;Not in File&lt;/Reprint&gt;&lt;Start_Page&gt;1&lt;/Start_Page&gt;&lt;End_Page&gt;91&lt;/End_Page&gt;&lt;Pub_Place&gt;Canberra&lt;/Pub_Place&gt;&lt;Publisher&gt;Biotext&lt;/Publisher&gt;&lt;Title_Series&gt;Handbook series on preparing clinical practice guidelines&lt;/Title_Series&gt;&lt;ISSN_ISBN&gt;0 642 43295 3&lt;/ISSN_ISBN&gt;&lt;Web_URL_Link1&gt;&lt;u&gt;http://www.csp.nsw.gov.au/nhmrc/downloads/pdfs/NHMRC%20Scientific.pdf&lt;/u&gt;&lt;/Web_URL_Link1&gt;&lt;ZZ_WorkformID&gt;33&lt;/ZZ_WorkformID&gt;&lt;/MDL&gt;&lt;/Cite&gt;&lt;Cite ExcludeAuth="1"&gt;&lt;Author&gt;NHMRC&lt;/Author&gt;&lt;Year&gt;2008&lt;/Year&gt;&lt;RecNum&gt;3355&lt;/RecNum&gt;&lt;IDText&gt;NHMRC additional levels of evidence and grades for recommendations for developers of guidelines&lt;/IDText&gt;&lt;MDL Ref_Type="Generic"&gt;&lt;Ref_Type&gt;Generic&lt;/Ref_Type&gt;&lt;Ref_ID&gt;3355&lt;/Ref_ID&gt;&lt;Title_Primary&gt;NHMRC additional levels of evidence and grades for recommendations for developers of guidelines&lt;/Title_Primary&gt;&lt;Authors_Primary&gt;NHMRC&lt;/Authors_Primary&gt;&lt;Date_Primary&gt;2008&lt;/Date_Primary&gt;&lt;Reprint&gt;In File&lt;/Reprint&gt;&lt;Title_Secondary&gt;Stage 2 consultation: early 2008 - end June 2009&lt;/Title_Secondary&gt;&lt;Authors_Secondary&gt;Coleman,K.&lt;/Authors_Secondary&gt;&lt;Authors_Secondary&gt;Norris,S.&lt;/Authors_Secondary&gt;&lt;Authors_Secondary&gt;Weston,A.&lt;/Authors_Secondary&gt;&lt;Authors_Secondary&gt;Grimmer,K.&lt;/Authors_Secondary&gt;&lt;Authors_Secondary&gt;Hillier,S.&lt;/Authors_Secondary&gt;&lt;Authors_Secondary&gt;Merlin,T.&lt;/Authors_Secondary&gt;&lt;Authors_Secondary&gt;Middleton,P.&lt;/Authors_Secondary&gt;&lt;Authors_Secondary&gt;Tooher,R.&lt;/Authors_Secondary&gt;&lt;Authors_Secondary&gt;Salisbury,J.&lt;/Authors_Secondary&gt;&lt;Pub_Place&gt;Canberra&lt;/Pub_Place&gt;&lt;Publisher&gt;National Health and Medical Research Council (NHMRC)&lt;/Publisher&gt;&lt;Web_URL&gt;&lt;u&gt;http://www.nhmrc.gov.au/consult/add_levels_grades_dev_guidelines2.htm&lt;/u&gt;&lt;/Web_URL&gt;&lt;ZZ_WorkformID&gt;33&lt;/ZZ_WorkformID&gt;&lt;/MDL&gt;&lt;/Cite&gt;&lt;/Refman&gt;</w:instrText>
      </w:r>
      <w:r w:rsidRPr="00537C3C">
        <w:fldChar w:fldCharType="separate"/>
      </w:r>
      <w:r w:rsidRPr="00537C3C">
        <w:t>(2000; 2008)</w:t>
      </w:r>
      <w:r w:rsidRPr="00537C3C">
        <w:fldChar w:fldCharType="end"/>
      </w:r>
      <w:r w:rsidRPr="00537C3C">
        <w:t>.</w:t>
      </w:r>
    </w:p>
    <w:p w:rsidR="00234376" w:rsidRPr="00537C3C" w:rsidRDefault="00234376" w:rsidP="00B94BF8">
      <w:pPr>
        <w:pStyle w:val="Heading3"/>
      </w:pPr>
      <w:bookmarkStart w:id="279" w:name="_Ref199667978"/>
      <w:bookmarkStart w:id="280" w:name="_Ref199667982"/>
      <w:r w:rsidRPr="00537C3C">
        <w:t>Statistical methods</w:t>
      </w:r>
      <w:bookmarkEnd w:id="279"/>
      <w:bookmarkEnd w:id="280"/>
    </w:p>
    <w:p w:rsidR="00234376" w:rsidRPr="00537C3C" w:rsidRDefault="00234376" w:rsidP="008E03A7">
      <w:r w:rsidRPr="00537C3C">
        <w:t xml:space="preserve">The number of </w:t>
      </w:r>
      <w:r w:rsidRPr="006C24DD">
        <w:t>true positive</w:t>
      </w:r>
      <w:r w:rsidRPr="00537C3C">
        <w:t xml:space="preserve"> cases detected was compared between alternative testing strategies by </w:t>
      </w:r>
      <w:r w:rsidRPr="00537C3C">
        <w:rPr>
          <w:szCs w:val="24"/>
        </w:rPr>
        <w:sym w:font="Symbol" w:char="F063"/>
      </w:r>
      <w:r w:rsidRPr="00537C3C">
        <w:rPr>
          <w:vertAlign w:val="superscript"/>
        </w:rPr>
        <w:t>2</w:t>
      </w:r>
      <w:r w:rsidRPr="00537C3C">
        <w:t>-test.</w:t>
      </w:r>
    </w:p>
    <w:p w:rsidR="00234376" w:rsidRPr="00537C3C" w:rsidRDefault="00234376" w:rsidP="008E03A7">
      <w:r w:rsidRPr="00537C3C">
        <w:t xml:space="preserve">Estimated differences in sensitivity and specificity are calculated for studies with complete verification of positive findings comparing automated </w:t>
      </w:r>
      <w:r w:rsidRPr="00BB76D8">
        <w:t>LBC</w:t>
      </w:r>
      <w:r w:rsidRPr="00537C3C">
        <w:t xml:space="preserve"> with manual </w:t>
      </w:r>
      <w:r w:rsidRPr="00BB76D8">
        <w:t>LBC</w:t>
      </w:r>
      <w:r w:rsidRPr="00537C3C">
        <w:t>. Whilst the total number of cases is not known, and absolute sensitivity &amp; specificity are not known, the difference can be estimated from the known values as below:</w:t>
      </w:r>
    </w:p>
    <w:p w:rsidR="00234376" w:rsidRPr="00537C3C" w:rsidRDefault="00234376" w:rsidP="008E03A7">
      <w:r w:rsidRPr="00537C3C">
        <w:t xml:space="preserve">Sensitivity difference = additional </w:t>
      </w:r>
      <w:r w:rsidRPr="006C24DD">
        <w:t>TP</w:t>
      </w:r>
      <w:r w:rsidRPr="00537C3C">
        <w:t xml:space="preserve"> / (</w:t>
      </w:r>
      <w:r w:rsidRPr="00BB76D8">
        <w:t>TP</w:t>
      </w:r>
      <w:r w:rsidRPr="00537C3C">
        <w:t xml:space="preserve"> + known </w:t>
      </w:r>
      <w:r w:rsidRPr="00BB76D8">
        <w:t>FN</w:t>
      </w:r>
      <w:r w:rsidRPr="00537C3C">
        <w:t xml:space="preserve"> cases)</w:t>
      </w:r>
    </w:p>
    <w:p w:rsidR="00234376" w:rsidRPr="00537C3C" w:rsidRDefault="00234376" w:rsidP="008E03A7">
      <w:r w:rsidRPr="00537C3C">
        <w:t xml:space="preserve">Specificity difference = fewer </w:t>
      </w:r>
      <w:r w:rsidRPr="006C24DD">
        <w:t>FP</w:t>
      </w:r>
      <w:r w:rsidRPr="00537C3C">
        <w:t xml:space="preserve"> cases / (concordant negative + </w:t>
      </w:r>
      <w:r w:rsidRPr="00BB76D8">
        <w:t>FP</w:t>
      </w:r>
      <w:r w:rsidRPr="00537C3C">
        <w:t xml:space="preserve"> cases)</w:t>
      </w:r>
    </w:p>
    <w:p w:rsidR="00234376" w:rsidRPr="00537C3C" w:rsidRDefault="00234376" w:rsidP="00B94BF8">
      <w:pPr>
        <w:pStyle w:val="Heading3"/>
      </w:pPr>
      <w:r w:rsidRPr="00537C3C">
        <w:t>Methodological considerations</w:t>
      </w:r>
    </w:p>
    <w:p w:rsidR="00234376" w:rsidRPr="00537C3C" w:rsidRDefault="00234376">
      <w:r w:rsidRPr="00537C3C">
        <w:t xml:space="preserve">In studies comparing different methods of reading the same slide, the use of adjudicated cytology as a reference standard should not bias the relative accuracy results </w:t>
      </w:r>
      <w:r w:rsidRPr="00537C3C">
        <w:fldChar w:fldCharType="begin"/>
      </w:r>
      <w:r w:rsidRPr="00537C3C">
        <w:instrText xml:space="preserve"> ADDIN REFMGR.CITE &lt;Refman&gt;&lt;Cite&gt;&lt;Author&gt;Irwig&lt;/Author&gt;&lt;Year&gt;2004&lt;/Year&gt;&lt;RecNum&gt;319&lt;/RecNum&gt;&lt;IDText&gt;A randomized crossover trial of PAPNET for primary cervical screening&lt;/IDText&gt;&lt;MDL Ref_Type="Journal"&gt;&lt;Ref_Type&gt;Journal&lt;/Ref_Type&gt;&lt;Ref_ID&gt;319&lt;/Ref_ID&gt;&lt;Title_Primary&gt;A randomized crossover trial of PAPNET for primary cervical screening&lt;/Title_Primary&gt;&lt;Authors_Primary&gt;Irwig,L.&lt;/Authors_Primary&gt;&lt;Authors_Primary&gt;Macaskill,P.&lt;/Authors_Primary&gt;&lt;Authors_Primary&gt;Farnsworth,A.&lt;/Authors_Primary&gt;&lt;Authors_Primary&gt;Wright,R.G.&lt;/Authors_Primary&gt;&lt;Authors_Primary&gt;McCool,J.&lt;/Authors_Primary&gt;&lt;Authors_Primary&gt;Barratt,A.&lt;/Authors_Primary&gt;&lt;Authors_Primary&gt;Simpson,J.M.&lt;/Authors_Primary&gt;&lt;Date_Primary&gt;2004/1&lt;/Date_Primary&gt;&lt;Keywords&gt;Adolescent&lt;/Keywords&gt;&lt;Keywords&gt;Adult&lt;/Keywords&gt;&lt;Keywords&gt;Cross-Over Studies&lt;/Keywords&gt;&lt;Keywords&gt;Female&lt;/Keywords&gt;&lt;Keywords&gt;Humans&lt;/Keywords&gt;&lt;Keywords&gt;Image Processing,Computer-Assisted&lt;/Keywords&gt;&lt;Keywords&gt;methods&lt;/Keywords&gt;&lt;Keywords&gt;Middle Aged&lt;/Keywords&gt;&lt;Keywords&gt;Predictive Value of Tests&lt;/Keywords&gt;&lt;Keywords&gt;prevention &amp;amp; control&lt;/Keywords&gt;&lt;Keywords&gt;Reference Standards&lt;/Keywords&gt;&lt;Keywords&gt;Sample Size&lt;/Keywords&gt;&lt;Keywords&gt;Sensitivity and Specificity&lt;/Keywords&gt;&lt;Keywords&gt;Uterine Cervical Neoplasms&lt;/Keywords&gt;&lt;Keywords&gt;Vaginal Smears&lt;/Keywords&gt;&lt;Reprint&gt;Not in File&lt;/Reprint&gt;&lt;Start_Page&gt;75&lt;/Start_Page&gt;&lt;End_Page&gt;81&lt;/End_Page&gt;&lt;Periodical&gt;J Clin Epidemiol.&lt;/Periodical&gt;&lt;Volume&gt;57&lt;/Volume&gt;&lt;Issue&gt;1&lt;/Issue&gt;&lt;ZZ_JournalStdAbbrev&gt;&lt;f name="System"&gt;J Clin Epidemiol.&lt;/f&gt;&lt;/ZZ_JournalStdAbbrev&gt;&lt;ZZ_WorkformID&gt;1&lt;/ZZ_WorkformID&gt;&lt;/MDL&gt;&lt;/Cite&gt;&lt;/Refman&gt;</w:instrText>
      </w:r>
      <w:r w:rsidRPr="00537C3C">
        <w:fldChar w:fldCharType="separate"/>
      </w:r>
      <w:r w:rsidRPr="00537C3C">
        <w:t>(Irwig et al. 2004)</w:t>
      </w:r>
      <w:r w:rsidRPr="00537C3C">
        <w:fldChar w:fldCharType="end"/>
      </w:r>
      <w:r w:rsidRPr="00537C3C">
        <w:t>, as errors in sampling or slide preparation will affect estimates of accuracy for both methods equally. Any differences in accuracy between the methods will relate only to reader interpretation of the slide.</w:t>
      </w:r>
    </w:p>
    <w:p w:rsidR="00234376" w:rsidRPr="00537C3C" w:rsidRDefault="00234376" w:rsidP="00B94BF8">
      <w:pPr>
        <w:pStyle w:val="Heading3"/>
      </w:pPr>
      <w:r w:rsidRPr="00537C3C">
        <w:t>Appraisal of the body of evidence</w:t>
      </w:r>
    </w:p>
    <w:p w:rsidR="00234376" w:rsidRPr="00537C3C" w:rsidRDefault="00234376" w:rsidP="008E03A7">
      <w:r w:rsidRPr="00537C3C">
        <w:t xml:space="preserve">In addition to the appraisal of individual studies, an appraisal of the overall body of evidence about the safety, effectiveness and cost-effectiveness of the automated </w:t>
      </w:r>
      <w:r w:rsidRPr="00BB76D8">
        <w:t>LBC</w:t>
      </w:r>
      <w:r w:rsidRPr="00537C3C">
        <w:t xml:space="preserve"> tests was conducted using the same principles. This appraisal was based on the assessment of five criteria suggested by the </w:t>
      </w:r>
      <w:r w:rsidRPr="00BB76D8">
        <w:t>NHMRC</w:t>
      </w:r>
      <w:r w:rsidRPr="00537C3C">
        <w:t xml:space="preserve"> guidelines for the developers of guidelines </w:t>
      </w:r>
      <w:r w:rsidRPr="00537C3C">
        <w:fldChar w:fldCharType="begin"/>
      </w:r>
      <w:r w:rsidRPr="00537C3C">
        <w:instrText xml:space="preserve"> ADDIN REFMGR.CITE &lt;Refman&gt;&lt;Cite ExcludeAuth="1"&gt;&lt;Author&gt;NHMRC&lt;/Author&gt;&lt;Year&gt;2008&lt;/Year&gt;&lt;RecNum&gt;3355&lt;/RecNum&gt;&lt;IDText&gt;NHMRC additional levels of evidence and grades for recommendations for developers of guidelines&lt;/IDText&gt;&lt;MDL Ref_Type="Generic"&gt;&lt;Ref_Type&gt;Generic&lt;/Ref_Type&gt;&lt;Ref_ID&gt;3355&lt;/Ref_ID&gt;&lt;Title_Primary&gt;NHMRC additional levels of evidence and grades for recommendations for developers of guidelines&lt;/Title_Primary&gt;&lt;Authors_Primary&gt;NHMRC&lt;/Authors_Primary&gt;&lt;Date_Primary&gt;2008&lt;/Date_Primary&gt;&lt;Reprint&gt;In File&lt;/Reprint&gt;&lt;Title_Secondary&gt;Stage 2 consultation: early 2008 - end June 2009&lt;/Title_Secondary&gt;&lt;Authors_Secondary&gt;Coleman,K.&lt;/Authors_Secondary&gt;&lt;Authors_Secondary&gt;Norris,S.&lt;/Authors_Secondary&gt;&lt;Authors_Secondary&gt;Weston,A.&lt;/Authors_Secondary&gt;&lt;Authors_Secondary&gt;Grimmer,K.&lt;/Authors_Secondary&gt;&lt;Authors_Secondary&gt;Hillier,S.&lt;/Authors_Secondary&gt;&lt;Authors_Secondary&gt;Merlin,T.&lt;/Authors_Secondary&gt;&lt;Authors_Secondary&gt;Middleton,P.&lt;/Authors_Secondary&gt;&lt;Authors_Secondary&gt;Tooher,R.&lt;/Authors_Secondary&gt;&lt;Authors_Secondary&gt;Salisbury,J.&lt;/Authors_Secondary&gt;&lt;Pub_Place&gt;Canberra&lt;/Pub_Place&gt;&lt;Publisher&gt;National Health and Medical Research Council (NHMRC)&lt;/Publisher&gt;&lt;Web_URL&gt;&lt;u&gt;http://www.nhmrc.gov.au/consult/add_levels_grades_dev_guidelines2.htm&lt;/u&gt;&lt;/Web_URL&gt;&lt;ZZ_WorkformID&gt;33&lt;/ZZ_WorkformID&gt;&lt;/MDL&gt;&lt;/Cite&gt;&lt;/Refman&gt;</w:instrText>
      </w:r>
      <w:r w:rsidRPr="00537C3C">
        <w:fldChar w:fldCharType="separate"/>
      </w:r>
      <w:r w:rsidRPr="00537C3C">
        <w:t>(2008)</w:t>
      </w:r>
      <w:r w:rsidRPr="00537C3C">
        <w:fldChar w:fldCharType="end"/>
      </w:r>
      <w:r w:rsidRPr="00537C3C">
        <w:t>:</w:t>
      </w:r>
    </w:p>
    <w:p w:rsidR="00234376" w:rsidRDefault="00234376" w:rsidP="00600AC0">
      <w:pPr>
        <w:pStyle w:val="ListNumber"/>
        <w:numPr>
          <w:ilvl w:val="0"/>
          <w:numId w:val="32"/>
        </w:numPr>
        <w:tabs>
          <w:tab w:val="clear" w:pos="1440"/>
          <w:tab w:val="num" w:pos="1136"/>
        </w:tabs>
        <w:spacing w:after="120"/>
        <w:ind w:left="1136" w:hanging="416"/>
      </w:pPr>
      <w:r w:rsidRPr="00537C3C">
        <w:lastRenderedPageBreak/>
        <w:t>The volume of evidence—the number of studies sorted by their methodological quality and relevance to patients.</w:t>
      </w:r>
    </w:p>
    <w:p w:rsidR="00234376" w:rsidRDefault="00234376" w:rsidP="00234376">
      <w:pPr>
        <w:pStyle w:val="ListNumber"/>
        <w:tabs>
          <w:tab w:val="clear" w:pos="1440"/>
          <w:tab w:val="num" w:pos="1136"/>
        </w:tabs>
        <w:spacing w:after="120"/>
        <w:ind w:left="1136" w:hanging="416"/>
      </w:pPr>
      <w:r w:rsidRPr="00537C3C">
        <w:t>The consistency of the study results—whether the better-quality studies had results of a similar magnitude and in the same direction; ie, homogeneous or heterogeneous findings.</w:t>
      </w:r>
    </w:p>
    <w:p w:rsidR="00234376" w:rsidRDefault="00234376" w:rsidP="00234376">
      <w:pPr>
        <w:pStyle w:val="ListNumber"/>
        <w:tabs>
          <w:tab w:val="clear" w:pos="1440"/>
          <w:tab w:val="num" w:pos="1136"/>
        </w:tabs>
        <w:spacing w:after="120"/>
        <w:ind w:left="1136" w:hanging="416"/>
      </w:pPr>
      <w:r w:rsidRPr="00537C3C">
        <w:t>The potential clinical impact—appraisal of the precision, size and clinical importance or relevance of the primary outcomes used to determine the safety and effectiveness of the test.</w:t>
      </w:r>
    </w:p>
    <w:p w:rsidR="00234376" w:rsidRDefault="00234376" w:rsidP="00234376">
      <w:pPr>
        <w:pStyle w:val="ListNumber"/>
        <w:tabs>
          <w:tab w:val="clear" w:pos="1440"/>
          <w:tab w:val="num" w:pos="1136"/>
        </w:tabs>
        <w:spacing w:after="120"/>
        <w:ind w:left="1136" w:hanging="416"/>
      </w:pPr>
      <w:r w:rsidRPr="00537C3C">
        <w:t>The generalisability of the evidence to the target population.</w:t>
      </w:r>
    </w:p>
    <w:p w:rsidR="00234376" w:rsidRDefault="00234376" w:rsidP="00234376">
      <w:pPr>
        <w:pStyle w:val="ListNumber"/>
        <w:tabs>
          <w:tab w:val="clear" w:pos="1440"/>
          <w:tab w:val="num" w:pos="1136"/>
        </w:tabs>
        <w:ind w:left="1136" w:hanging="416"/>
      </w:pPr>
      <w:r w:rsidRPr="00537C3C">
        <w:t>The applicability of the evidence—integration of this evidence for conclusions about the net clinical benefit of the index test in the context of Australian clinical practice.</w:t>
      </w:r>
    </w:p>
    <w:p w:rsidR="00234376" w:rsidRPr="00537C3C" w:rsidRDefault="00234376">
      <w:pPr>
        <w:pStyle w:val="Heading2"/>
        <w:ind w:left="0"/>
      </w:pPr>
      <w:bookmarkStart w:id="281" w:name="_Toc95971075"/>
      <w:bookmarkStart w:id="282" w:name="_Toc241658174"/>
      <w:r w:rsidRPr="00537C3C">
        <w:t>Data extraction and synthesis</w:t>
      </w:r>
      <w:bookmarkEnd w:id="281"/>
      <w:bookmarkEnd w:id="282"/>
    </w:p>
    <w:p w:rsidR="00234376" w:rsidRPr="00537C3C" w:rsidRDefault="00234376" w:rsidP="008E03A7">
      <w:r w:rsidRPr="00537C3C">
        <w:t xml:space="preserve">Data were extracted by using a standardised instrument designed for this review. Data extraction was performed by one reviewer and checked by a second reviewer. Any discrepancies were resolved by discussion. The data extraction tables are provided in </w:t>
      </w:r>
      <w:r w:rsidRPr="00537C3C">
        <w:fldChar w:fldCharType="begin"/>
      </w:r>
      <w:r w:rsidRPr="00537C3C">
        <w:instrText xml:space="preserve"> REF _Ref219868752 \h </w:instrText>
      </w:r>
      <w:r w:rsidRPr="00537C3C">
        <w:fldChar w:fldCharType="separate"/>
      </w:r>
      <w:r w:rsidR="007D3DFF" w:rsidRPr="00537C3C">
        <w:t xml:space="preserve">Appendix </w:t>
      </w:r>
      <w:r w:rsidR="007D3DFF">
        <w:rPr>
          <w:noProof/>
        </w:rPr>
        <w:t>F</w:t>
      </w:r>
      <w:r w:rsidRPr="00537C3C">
        <w:fldChar w:fldCharType="end"/>
      </w:r>
      <w:r w:rsidRPr="00537C3C">
        <w:t>. Where the publications reported percentages only, raw numbers were determined from the number of patients on which each test was performed. Where only raw numbers were reported, percentages or rates were calculated from the number of patients reported to have had the test.</w:t>
      </w:r>
    </w:p>
    <w:p w:rsidR="00234376" w:rsidRPr="00537C3C" w:rsidRDefault="00234376">
      <w:pPr>
        <w:pStyle w:val="Heading2"/>
        <w:ind w:left="0"/>
      </w:pPr>
      <w:bookmarkStart w:id="283" w:name="_Toc95971076"/>
      <w:bookmarkStart w:id="284" w:name="_Toc241658175"/>
      <w:r w:rsidRPr="00537C3C">
        <w:t>Expert advice</w:t>
      </w:r>
      <w:bookmarkEnd w:id="283"/>
      <w:bookmarkEnd w:id="284"/>
    </w:p>
    <w:p w:rsidR="00510A55" w:rsidRDefault="00234376" w:rsidP="00772C61">
      <w:r w:rsidRPr="00537C3C">
        <w:t xml:space="preserve">An Advisory Panel was established to guide the health technology assessors so as to ensure that the assessment </w:t>
      </w:r>
      <w:r w:rsidRPr="00537C3C" w:rsidDel="00B94BF8">
        <w:t>wa</w:t>
      </w:r>
      <w:r w:rsidRPr="00537C3C">
        <w:t>s clinically relevant and took into account consumer interests. Membership of the Advisory Panel is provided at</w:t>
      </w:r>
      <w:r w:rsidR="00510A55">
        <w:t xml:space="preserve"> Appendix B.</w:t>
      </w:r>
    </w:p>
    <w:p w:rsidR="00510A55" w:rsidRDefault="00510A55" w:rsidP="00772C61"/>
    <w:p w:rsidR="00234376" w:rsidRPr="00537C3C" w:rsidRDefault="00234376">
      <w:r w:rsidRPr="00537C3C">
        <w:t>.</w:t>
      </w:r>
    </w:p>
    <w:p w:rsidR="00234376" w:rsidRPr="00537C3C" w:rsidRDefault="00234376">
      <w:pPr>
        <w:ind w:left="0"/>
      </w:pPr>
    </w:p>
    <w:p w:rsidR="00234376" w:rsidRPr="00537C3C" w:rsidRDefault="00234376">
      <w:pPr>
        <w:pStyle w:val="Heading1"/>
        <w:ind w:left="0"/>
      </w:pPr>
      <w:bookmarkStart w:id="285" w:name="_Ref212954752"/>
      <w:bookmarkStart w:id="286" w:name="_Toc95971077"/>
      <w:bookmarkStart w:id="287" w:name="_Toc241658176"/>
      <w:r w:rsidRPr="00537C3C">
        <w:lastRenderedPageBreak/>
        <w:t>Results of assessment</w:t>
      </w:r>
      <w:bookmarkEnd w:id="285"/>
      <w:bookmarkEnd w:id="286"/>
      <w:bookmarkEnd w:id="287"/>
    </w:p>
    <w:p w:rsidR="00234376" w:rsidRPr="00537C3C" w:rsidRDefault="00234376">
      <w:pPr>
        <w:pStyle w:val="Heading2"/>
        <w:ind w:left="0"/>
      </w:pPr>
      <w:bookmarkStart w:id="288" w:name="_Toc95971078"/>
      <w:bookmarkStart w:id="289" w:name="_Toc241658177"/>
      <w:r w:rsidRPr="00537C3C">
        <w:t>Is it safe?</w:t>
      </w:r>
      <w:bookmarkEnd w:id="288"/>
      <w:bookmarkEnd w:id="289"/>
    </w:p>
    <w:p w:rsidR="00234376" w:rsidRPr="00537C3C" w:rsidRDefault="00234376" w:rsidP="00C97E47">
      <w:pPr>
        <w:pStyle w:val="Heading3"/>
      </w:pPr>
      <w:r w:rsidRPr="00537C3C">
        <w:t>Safety</w:t>
      </w:r>
    </w:p>
    <w:p w:rsidR="00234376" w:rsidRPr="00537C3C" w:rsidRDefault="00234376" w:rsidP="008E03A7">
      <w:pPr>
        <w:pBdr>
          <w:top w:val="single" w:sz="4" w:space="1" w:color="auto"/>
          <w:left w:val="single" w:sz="4" w:space="4" w:color="auto"/>
          <w:bottom w:val="single" w:sz="4" w:space="1" w:color="auto"/>
          <w:right w:val="single" w:sz="4" w:space="4" w:color="auto"/>
        </w:pBdr>
      </w:pPr>
      <w:r w:rsidRPr="00BB76D8">
        <w:t>LBC</w:t>
      </w:r>
      <w:r w:rsidRPr="00537C3C">
        <w:t xml:space="preserve"> with manual or automated slide reading is considered safe.</w:t>
      </w:r>
    </w:p>
    <w:p w:rsidR="00234376" w:rsidRPr="00537C3C" w:rsidRDefault="00234376" w:rsidP="008E03A7">
      <w:pPr>
        <w:rPr>
          <w:snapToGrid w:val="0"/>
          <w:szCs w:val="24"/>
        </w:rPr>
      </w:pPr>
      <w:r w:rsidRPr="00537C3C">
        <w:rPr>
          <w:snapToGrid w:val="0"/>
          <w:szCs w:val="24"/>
        </w:rPr>
        <w:t>LBC with manual or automated slide reading uses the same procedure for collecting cervical cell samples as conventional Pap cytology tests and therefore does not introduce any additional risks to the patient. Collection of cervical cells is regarded as safe. Some women may experience discomfort or minor bleeding afterwards that resolves spontaneously.</w:t>
      </w:r>
    </w:p>
    <w:p w:rsidR="00234376" w:rsidRPr="00537C3C" w:rsidRDefault="00234376">
      <w:pPr>
        <w:pStyle w:val="Heading2"/>
        <w:ind w:left="0"/>
      </w:pPr>
      <w:bookmarkStart w:id="290" w:name="_Toc95971079"/>
      <w:bookmarkStart w:id="291" w:name="_Toc241658178"/>
      <w:r w:rsidRPr="00537C3C">
        <w:t>Is it effective?</w:t>
      </w:r>
      <w:bookmarkEnd w:id="290"/>
      <w:bookmarkEnd w:id="291"/>
    </w:p>
    <w:p w:rsidR="00234376" w:rsidRPr="00537C3C" w:rsidRDefault="00234376" w:rsidP="008E03A7">
      <w:r w:rsidRPr="00537C3C">
        <w:t xml:space="preserve">No studies have assessed the impact of </w:t>
      </w:r>
      <w:r w:rsidRPr="00BB76D8">
        <w:t>LBC</w:t>
      </w:r>
      <w:r w:rsidRPr="00537C3C">
        <w:t xml:space="preserve"> with manual or automated slide reading on incidence or mortality rates of invasive cervical cancer compared to conventional cytology. </w:t>
      </w:r>
      <w:r w:rsidRPr="00BB76D8">
        <w:t>LBC</w:t>
      </w:r>
      <w:r w:rsidRPr="00537C3C">
        <w:t xml:space="preserve"> and automated slide reading are tests which will be used to identify patients at the same stage of disease as the current test used in the cervical screening program (conventional Pap smears). The present review therefore relies on evidence about the relative accuracy of manual or automated </w:t>
      </w:r>
      <w:r w:rsidRPr="00BB76D8">
        <w:t>LBC</w:t>
      </w:r>
      <w:r w:rsidRPr="00537C3C">
        <w:t xml:space="preserve"> to detect precancerous cervical lesions to draw conclusions about its relative effectiveness. This ‘linked evidence’ approach is justified by existing evidence that early detection and treatment of precancerous cervical lesions leads to a reduction in the incidence and mortality of cervical cancer </w:t>
      </w:r>
      <w:r w:rsidRPr="00537C3C">
        <w:fldChar w:fldCharType="begin"/>
      </w:r>
      <w:r w:rsidRPr="00537C3C">
        <w:instrText xml:space="preserve"> ADDIN REFMGR.CITE &lt;Refman&gt;&lt;Cite&gt;&lt;Author&gt;Peto&lt;/Author&gt;&lt;Year&gt;2004&lt;/Year&gt;&lt;RecNum&gt;2853&lt;/RecNum&gt;&lt;IDText&gt;The cervical cancer epidemic that screening has prevented in the UK&lt;/IDText&gt;&lt;MDL Ref_Type="Journal"&gt;&lt;Ref_Type&gt;Journal&lt;/Ref_Type&gt;&lt;Ref_ID&gt;2853&lt;/Ref_ID&gt;&lt;Title_Primary&gt;The cervical cancer epidemic that screening has prevented in the UK&lt;/Title_Primary&gt;&lt;Authors_Primary&gt;Peto,J.&lt;/Authors_Primary&gt;&lt;Authors_Primary&gt;Gilham,C.&lt;/Authors_Primary&gt;&lt;Authors_Primary&gt;Fletcher,O.&lt;/Authors_Primary&gt;&lt;Authors_Primary&gt;Matthews,F.E.&lt;/Authors_Primary&gt;&lt;Date_Primary&gt;2004/7/17&lt;/Date_Primary&gt;&lt;Keywords&gt;Adult&lt;/Keywords&gt;&lt;Keywords&gt;Aged&lt;/Keywords&gt;&lt;Keywords&gt;Aged,80 and over&lt;/Keywords&gt;&lt;Keywords&gt;diagnosis&lt;/Keywords&gt;&lt;Keywords&gt;England&lt;/Keywords&gt;&lt;Keywords&gt;epidemiology&lt;/Keywords&gt;&lt;Keywords&gt;Female&lt;/Keywords&gt;&lt;Keywords&gt;Humans&lt;/Keywords&gt;&lt;Keywords&gt;Incidence&lt;/Keywords&gt;&lt;Keywords&gt;Mass Screening&lt;/Keywords&gt;&lt;Keywords&gt;Middle Aged&lt;/Keywords&gt;&lt;Keywords&gt;mortality&lt;/Keywords&gt;&lt;Keywords&gt;prevention &amp;amp; control&lt;/Keywords&gt;&lt;Keywords&gt;Uterine Cervical Neoplasms&lt;/Keywords&gt;&lt;Keywords&gt;Wales&lt;/Keywords&gt;&lt;Reprint&gt;Not in File&lt;/Reprint&gt;&lt;Start_Page&gt;249&lt;/Start_Page&gt;&lt;End_Page&gt;256&lt;/End_Page&gt;&lt;Periodical&gt;Lancet.&lt;/Periodical&gt;&lt;Volume&gt;364&lt;/Volume&gt;&lt;Issue&gt;9430&lt;/Issue&gt;&lt;ZZ_JournalStdAbbrev&gt;&lt;f name="System"&gt;Lancet.&lt;/f&gt;&lt;/ZZ_JournalStdAbbrev&gt;&lt;ZZ_WorkformID&gt;1&lt;/ZZ_WorkformID&gt;&lt;/MDL&gt;&lt;/Cite&gt;&lt;Cite&gt;&lt;Author&gt;AIHW&lt;/Author&gt;&lt;Year&gt;2007&lt;/Year&gt;&lt;RecNum&gt;3912&lt;/RecNum&gt;&lt;IDText&gt;ACIM (Australian Cancer Incidence and Mortality) Books&lt;/IDText&gt;&lt;MDL Ref_Type="Generic"&gt;&lt;Ref_Type&gt;Generic&lt;/Ref_Type&gt;&lt;Ref_ID&gt;3912&lt;/Ref_ID&gt;&lt;Title_Primary&gt;ACIM (Australian Cancer Incidence and Mortality) Books&lt;/Title_Primary&gt;&lt;Authors_Primary&gt;AIHW&lt;/Authors_Primary&gt;&lt;Date_Primary&gt;2007&lt;/Date_Primary&gt;&lt;Keywords&gt;Cancer&lt;/Keywords&gt;&lt;Keywords&gt;Incidence&lt;/Keywords&gt;&lt;Keywords&gt;mortality&lt;/Keywords&gt;&lt;Reprint&gt;In File&lt;/Reprint&gt;&lt;Pub_Place&gt;Canberra&lt;/Pub_Place&gt;&lt;Publisher&gt;Australian Institute of Health and Welfare&lt;/Publisher&gt;&lt;ZZ_WorkformID&gt;33&lt;/ZZ_WorkformID&gt;&lt;/MDL&gt;&lt;/Cite&gt;&lt;/Refman&gt;</w:instrText>
      </w:r>
      <w:r w:rsidRPr="00537C3C">
        <w:fldChar w:fldCharType="separate"/>
      </w:r>
      <w:r w:rsidRPr="00537C3C">
        <w:t>(</w:t>
      </w:r>
      <w:r w:rsidRPr="00BB76D8">
        <w:t>AIHW</w:t>
      </w:r>
      <w:r w:rsidRPr="00537C3C">
        <w:t xml:space="preserve"> 2007a; Peto et al. 2004)</w:t>
      </w:r>
      <w:r w:rsidRPr="00537C3C">
        <w:fldChar w:fldCharType="end"/>
      </w:r>
      <w:r w:rsidRPr="00537C3C">
        <w:t>, See ‘</w:t>
      </w:r>
      <w:r>
        <w:fldChar w:fldCharType="begin"/>
      </w:r>
      <w:r>
        <w:instrText xml:space="preserve"> REF _Ref208897726 \h  \* MERGEFORMAT </w:instrText>
      </w:r>
      <w:r>
        <w:fldChar w:fldCharType="separate"/>
      </w:r>
      <w:r w:rsidR="007D3DFF" w:rsidRPr="00537C3C">
        <w:t>Impact of the National Cervical Screening Program</w:t>
      </w:r>
      <w:r>
        <w:fldChar w:fldCharType="end"/>
      </w:r>
      <w:r w:rsidRPr="00537C3C">
        <w:t xml:space="preserve">‘ page </w:t>
      </w:r>
      <w:r w:rsidR="00D532BF">
        <w:t>9</w:t>
      </w:r>
      <w:r w:rsidRPr="00537C3C">
        <w:t>.</w:t>
      </w:r>
    </w:p>
    <w:p w:rsidR="00234376" w:rsidRPr="00537C3C" w:rsidRDefault="00234376" w:rsidP="008E03A7">
      <w:pPr>
        <w:pStyle w:val="Heading2"/>
        <w:ind w:left="0"/>
        <w:rPr>
          <w:bCs/>
        </w:rPr>
      </w:pPr>
      <w:bookmarkStart w:id="292" w:name="_Ref190678105"/>
      <w:bookmarkStart w:id="293" w:name="_Toc95971080"/>
      <w:bookmarkStart w:id="294" w:name="_Toc241658179"/>
      <w:bookmarkStart w:id="295" w:name="_Toc170913859"/>
      <w:r w:rsidRPr="00537C3C">
        <w:rPr>
          <w:bCs/>
        </w:rPr>
        <w:t>Liquid-based cytology</w:t>
      </w:r>
      <w:bookmarkEnd w:id="292"/>
      <w:bookmarkEnd w:id="293"/>
      <w:bookmarkEnd w:id="294"/>
    </w:p>
    <w:p w:rsidR="00234376" w:rsidRDefault="00234376" w:rsidP="00234376">
      <w:pPr>
        <w:pStyle w:val="Heading3"/>
      </w:pPr>
      <w:r w:rsidRPr="00537C3C">
        <w:t>Accuracy</w:t>
      </w:r>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 xml:space="preserve">The most recent systematic review and meta-analysis of comparative accuracy </w:t>
      </w:r>
      <w:r w:rsidRPr="00537C3C">
        <w:fldChar w:fldCharType="begin"/>
      </w:r>
      <w:r w:rsidRPr="00537C3C">
        <w:instrText xml:space="preserve"> ADDIN REFMGR.CITE &lt;Refman&gt;&lt;Cite&gt;&lt;Author&gt;Arbyn&lt;/Author&gt;&lt;Year&gt;2008&lt;/Year&gt;&lt;RecNum&gt;5&lt;/RecNum&gt;&lt;IDText&gt;Liquid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537C3C">
        <w:fldChar w:fldCharType="separate"/>
      </w:r>
      <w:r w:rsidRPr="00537C3C">
        <w:t>(Arbyn et al. 2008)</w:t>
      </w:r>
      <w:r w:rsidRPr="00537C3C">
        <w:fldChar w:fldCharType="end"/>
      </w:r>
      <w:r w:rsidRPr="00537C3C">
        <w:t xml:space="preserve"> demonstrated that </w:t>
      </w:r>
      <w:r w:rsidRPr="00BB76D8">
        <w:t>LBC</w:t>
      </w:r>
      <w:r w:rsidRPr="00537C3C">
        <w:t xml:space="preserve"> compared to conventional cytology has</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 xml:space="preserve">no statistically significant increase in sensitivity to detect </w:t>
      </w:r>
      <w:r w:rsidRPr="00BB76D8">
        <w:t>CIN</w:t>
      </w:r>
      <w:r w:rsidRPr="00537C3C">
        <w:t xml:space="preserve"> 2+ (</w:t>
      </w:r>
      <w:r w:rsidRPr="00BB76D8">
        <w:t>LBC</w:t>
      </w:r>
      <w:r w:rsidRPr="00537C3C">
        <w:t xml:space="preserve">:conventional sensitivity ratio </w:t>
      </w:r>
      <w:r w:rsidRPr="00BB76D8">
        <w:t>HSIL</w:t>
      </w:r>
      <w:r w:rsidRPr="00537C3C">
        <w:t xml:space="preserve"> threshold 1.05, 95% </w:t>
      </w:r>
      <w:r w:rsidRPr="00BB76D8">
        <w:t>CI</w:t>
      </w:r>
      <w:r w:rsidRPr="00537C3C">
        <w:t xml:space="preserve"> 0.95–1.16; </w:t>
      </w:r>
      <w:r w:rsidRPr="00BB76D8">
        <w:t>LSIL</w:t>
      </w:r>
      <w:r w:rsidRPr="00537C3C">
        <w:t xml:space="preserve">+ 1.03, 0.96–1.11; </w:t>
      </w:r>
      <w:r w:rsidRPr="00BB76D8">
        <w:t>pLSIL</w:t>
      </w:r>
      <w:r w:rsidRPr="00537C3C">
        <w:t>+ 1.03, 0.97–1.09)</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 xml:space="preserve">no statistically significant difference in specificity to detect </w:t>
      </w:r>
      <w:r w:rsidRPr="00BB76D8">
        <w:t>CIN</w:t>
      </w:r>
      <w:r w:rsidRPr="00537C3C">
        <w:t xml:space="preserve"> 2+ at a test threshold of </w:t>
      </w:r>
      <w:r w:rsidRPr="00BB76D8">
        <w:t>HSIL</w:t>
      </w:r>
      <w:r w:rsidRPr="00537C3C">
        <w:t xml:space="preserve"> or </w:t>
      </w:r>
      <w:r w:rsidRPr="00BB76D8">
        <w:t>LSIL</w:t>
      </w:r>
      <w:r w:rsidRPr="00537C3C">
        <w:t xml:space="preserve"> (</w:t>
      </w:r>
      <w:r w:rsidRPr="00BB76D8">
        <w:t>LBC</w:t>
      </w:r>
      <w:r w:rsidRPr="00537C3C">
        <w:t xml:space="preserve">:conventional specificity ratio </w:t>
      </w:r>
      <w:r w:rsidRPr="00BB76D8">
        <w:t>HSIL</w:t>
      </w:r>
      <w:r w:rsidRPr="00537C3C">
        <w:t>+ 0.99, 95%</w:t>
      </w:r>
      <w:r w:rsidRPr="00BB76D8">
        <w:t>CI</w:t>
      </w:r>
      <w:r w:rsidRPr="00537C3C">
        <w:t xml:space="preserve"> 0.98–1.01; </w:t>
      </w:r>
      <w:r w:rsidRPr="00BB76D8">
        <w:t>LSIL</w:t>
      </w:r>
      <w:r w:rsidRPr="00537C3C">
        <w:t>+ 0.97 95%</w:t>
      </w:r>
      <w:r w:rsidRPr="00BB76D8">
        <w:t>CI</w:t>
      </w:r>
      <w:r w:rsidRPr="00537C3C">
        <w:t xml:space="preserve"> 0.94–1.01)</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 xml:space="preserve">lower specificity to detect </w:t>
      </w:r>
      <w:r w:rsidRPr="00BB76D8">
        <w:t>CIN</w:t>
      </w:r>
      <w:r w:rsidRPr="00537C3C">
        <w:t xml:space="preserve"> 2+ at a test threshold of </w:t>
      </w:r>
      <w:r w:rsidRPr="00BB76D8">
        <w:t>pLSIL</w:t>
      </w:r>
      <w:r w:rsidRPr="00537C3C">
        <w:t xml:space="preserve"> (</w:t>
      </w:r>
      <w:r w:rsidRPr="00BB76D8">
        <w:t>ASCUS</w:t>
      </w:r>
      <w:r w:rsidRPr="00537C3C">
        <w:t xml:space="preserve">+, </w:t>
      </w:r>
      <w:r w:rsidRPr="00BB76D8">
        <w:t>LBC</w:t>
      </w:r>
      <w:r w:rsidRPr="00537C3C">
        <w:t xml:space="preserve">:conventional specificity ratio 0.91, 95% </w:t>
      </w:r>
      <w:r w:rsidRPr="00BB76D8">
        <w:t>CI</w:t>
      </w:r>
      <w:r w:rsidRPr="00537C3C">
        <w:t xml:space="preserve"> 0.84–0.98)</w:t>
      </w:r>
    </w:p>
    <w:p w:rsidR="00234376" w:rsidRDefault="00234376" w:rsidP="00234376">
      <w:pPr>
        <w:pStyle w:val="Heading3"/>
      </w:pPr>
      <w:bookmarkStart w:id="296" w:name="_Ref213665255"/>
      <w:r w:rsidRPr="00537C3C">
        <w:t>Unsatisfactory rates</w:t>
      </w:r>
      <w:bookmarkEnd w:id="296"/>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 xml:space="preserve">The most recent </w:t>
      </w:r>
      <w:r w:rsidRPr="00BB76D8">
        <w:t>HTA</w:t>
      </w:r>
      <w:r w:rsidRPr="00537C3C">
        <w:t xml:space="preserve"> and Bayesian meta-analysis of comparative unsatisfactory rates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 xml:space="preserve"> found significant between-study heterogeneity, with:</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lastRenderedPageBreak/>
        <w:t xml:space="preserve">pooled unsatisfactory rates of 2.24 per cent (95% </w:t>
      </w:r>
      <w:r w:rsidRPr="00BB76D8">
        <w:t>CI</w:t>
      </w:r>
      <w:r w:rsidRPr="00537C3C">
        <w:t xml:space="preserve"> 1.20%</w:t>
      </w:r>
      <w:r w:rsidRPr="00537C3C" w:rsidDel="0030078D">
        <w:t>–</w:t>
      </w:r>
      <w:r w:rsidRPr="00537C3C">
        <w:t>3.29%) for a filtration-based</w:t>
      </w:r>
      <w:r w:rsidRPr="00537C3C" w:rsidDel="00575CF6">
        <w:t xml:space="preserve"> </w:t>
      </w:r>
      <w:r w:rsidRPr="00BB76D8">
        <w:t>LBC</w:t>
      </w:r>
      <w:r w:rsidRPr="00537C3C">
        <w:t xml:space="preserve"> method and 3.04 per cent (1.92%–4.16%) for conventional slides, with a difference of –0.81% (–1.87 to 0.24 %) in 44 studies</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 xml:space="preserve">pooled unsatisfactory rates of 0.82 per cent (95% </w:t>
      </w:r>
      <w:r w:rsidRPr="00BB76D8">
        <w:t>CI</w:t>
      </w:r>
      <w:r w:rsidRPr="00537C3C">
        <w:t xml:space="preserve"> 0.14%–1.51%) for a centrifugation-based </w:t>
      </w:r>
      <w:r w:rsidRPr="00BB76D8">
        <w:t>LBC</w:t>
      </w:r>
      <w:r w:rsidRPr="00537C3C">
        <w:t xml:space="preserve"> method and 3.31 per cent (0.97%–5.67%) for conventional slides, with a difference of –2.49 per cent (–4.43% to –0.55%) in 15 studies</w:t>
      </w:r>
    </w:p>
    <w:p w:rsidR="00234376" w:rsidRDefault="00234376" w:rsidP="00234376">
      <w:pPr>
        <w:numPr>
          <w:ilvl w:val="0"/>
          <w:numId w:val="13"/>
        </w:numPr>
        <w:pBdr>
          <w:top w:val="single" w:sz="4" w:space="1" w:color="auto"/>
          <w:left w:val="single" w:sz="4" w:space="4" w:color="auto"/>
          <w:bottom w:val="single" w:sz="4" w:space="1" w:color="auto"/>
          <w:right w:val="single" w:sz="4" w:space="4" w:color="auto"/>
        </w:pBdr>
      </w:pPr>
      <w:r w:rsidRPr="00537C3C">
        <w:t>Subgroup analyses by study quality, design or population were not conducted.</w:t>
      </w:r>
    </w:p>
    <w:p w:rsidR="00234376" w:rsidRPr="00537C3C" w:rsidRDefault="00234376" w:rsidP="008E03A7">
      <w:pPr>
        <w:keepNext/>
        <w:pBdr>
          <w:top w:val="single" w:sz="4" w:space="1" w:color="auto"/>
          <w:left w:val="single" w:sz="4" w:space="4" w:color="auto"/>
          <w:bottom w:val="single" w:sz="4" w:space="1" w:color="auto"/>
          <w:right w:val="single" w:sz="4" w:space="4" w:color="auto"/>
        </w:pBdr>
      </w:pPr>
      <w:r w:rsidRPr="00537C3C">
        <w:t xml:space="preserve">A recent large </w:t>
      </w:r>
      <w:r w:rsidRPr="00BB76D8">
        <w:t>RCT</w:t>
      </w:r>
      <w:r w:rsidRPr="00537C3C">
        <w:t xml:space="preserve"> </w:t>
      </w:r>
      <w:r w:rsidRPr="00537C3C">
        <w:fldChar w:fldCharType="begin"/>
      </w:r>
      <w:r w:rsidRPr="00537C3C">
        <w:instrText xml:space="preserve"> ADDIN REFMGR.CITE &lt;Refman&gt;&lt;Cite&gt;&lt;Author&gt;Ronco&lt;/Author&gt;&lt;Year&gt;2006&lt;/Year&gt;&lt;RecNum&gt;191&lt;/RecNum&gt;&lt;IDText&gt;Human papillomavirus testing and liquid-based cytology: Results at recruitment from the new technologies for cervical cancer randomized controlled trial&lt;/IDText&gt;&lt;MDL Ref_Type="Journal"&gt;&lt;Ref_Type&gt;Journal&lt;/Ref_Type&gt;&lt;Ref_ID&gt;191&lt;/Ref_ID&gt;&lt;Title_Primary&gt;Human papillomavirus testing and liquid-based cytology: Results at recruitment from the new technologies for cervical cancer randomized controlled trial&lt;/Title_Primary&gt;&lt;Authors_Primary&gt;Ronco,G.&lt;/Authors_Primary&gt;&lt;Authors_Primary&gt;Segnan,N.&lt;/Authors_Primary&gt;&lt;Authors_Primary&gt;Giorgi-Rossi,P.&lt;/Authors_Primary&gt;&lt;Authors_Primary&gt;Zappa,M.&lt;/Authors_Primary&gt;&lt;Authors_Primary&gt;Casadei,G.P.&lt;/Authors_Primary&gt;&lt;Authors_Primary&gt;Carozzi,F.&lt;/Authors_Primary&gt;&lt;Authors_Primary&gt;Palma,P.D.&lt;/Authors_Primary&gt;&lt;Authors_Primary&gt;Del Mistro,A.&lt;/Authors_Primary&gt;&lt;Authors_Primary&gt;Folicaldi,S.&lt;/Authors_Primary&gt;&lt;Authors_Primary&gt;Gillio-Tos,A.&lt;/Authors_Primary&gt;&lt;Authors_Primary&gt;Nardo,G.&lt;/Authors_Primary&gt;&lt;Authors_Primary&gt;Naldoni,C.&lt;/Authors_Primary&gt;&lt;Authors_Primary&gt;Schincaglia,P.&lt;/Authors_Primary&gt;&lt;Authors_Primary&gt;Zorzi,M.&lt;/Authors_Primary&gt;&lt;Authors_Primary&gt;Confortini,M.&lt;/Authors_Primary&gt;&lt;Authors_Primary&gt;Cuzick,J.&lt;/Authors_Primary&gt;&lt;Authors_Primary&gt;Rizzolo,R.&lt;/Authors_Primary&gt;&lt;Authors_Primary&gt;Mari,D.&lt;/Authors_Primary&gt;&lt;Authors_Primary&gt;De Marco,L.&lt;/Authors_Primary&gt;&lt;Authors_Primary&gt;Ghiringhello,B.&lt;/Authors_Primary&gt;&lt;Authors_Primary&gt;Parisio,F.&lt;/Authors_Primary&gt;&lt;Authors_Primary&gt;Volante,R.&lt;/Authors_Primary&gt;&lt;Authors_Primary&gt;Berardengo,E.&lt;/Authors_Primary&gt;&lt;Authors_Primary&gt;Andrion,A.&lt;/Authors_Primary&gt;&lt;Authors_Primary&gt;Coverlizza,S.&lt;/Authors_Primary&gt;&lt;Authors_Primary&gt;Taraglio,S.&lt;/Authors_Primary&gt;&lt;Authors_Primary&gt;Accinellli,M.G.&lt;/Authors_Primary&gt;&lt;Authors_Primary&gt;Polla,E.&lt;/Authors_Primary&gt;&lt;Authors_Primary&gt;Pojer,A.&lt;/Authors_Primary&gt;&lt;Authors_Primary&gt;Girlando,S.&lt;/Authors_Primary&gt;&lt;Authors_Primary&gt;Aldovini,D.&lt;/Authors_Primary&gt;&lt;Authors_Primary&gt;Vettorazzi,M.&lt;/Authors_Primary&gt;&lt;Authors_Primary&gt;Minucci,D.&lt;/Authors_Primary&gt;&lt;Authors_Primary&gt;Matteucci,M.&lt;/Authors_Primary&gt;&lt;Authors_Primary&gt;Onnis,L.&lt;/Authors_Primary&gt;&lt;Authors_Primary&gt;Insacco,E.&lt;/Authors_Primary&gt;&lt;Authors_Primary&gt;Lestani,M.&lt;/Authors_Primary&gt;&lt;Authors_Primary&gt;Vignato,A.&lt;/Authors_Primary&gt;&lt;Authors_Primary&gt;Manfredi,M.&lt;/Authors_Primary&gt;&lt;Authors_Primary&gt;Pierotti,P.&lt;/Authors_Primary&gt;&lt;Authors_Primary&gt;Collina,G.&lt;/Authors_Primary&gt;&lt;Authors_Primary&gt;Serafini,M.&lt;/Authors_Primary&gt;&lt;Authors_Primary&gt;Sintoni,C.&lt;/Authors_Primary&gt;&lt;Authors_Primary&gt;Aldi,M.&lt;/Authors_Primary&gt;&lt;Authors_Primary&gt;Bondi,A.&lt;/Authors_Primary&gt;&lt;Authors_Primary&gt;Galanti,G.&lt;/Authors_Primary&gt;&lt;Authors_Primary&gt;Iossa,A.&lt;/Authors_Primary&gt;&lt;Authors_Primary&gt;Ciatto,S.&lt;/Authors_Primary&gt;&lt;Authors_Primary&gt;Cariaggi,M.P.&lt;/Authors_Primary&gt;&lt;Authors_Primary&gt;Cecchini,S.&lt;/Authors_Primary&gt;&lt;Authors_Primary&gt;Sani,C.&lt;/Authors_Primary&gt;&lt;Authors_Primary&gt;Taddie,G.L.&lt;/Authors_Primary&gt;&lt;Authors_Primary&gt;Brezzi,S.&lt;/Authors_Primary&gt;&lt;Authors_Primary&gt;Raggi,P.&lt;/Authors_Primary&gt;&lt;Authors_Primary&gt;Gomes,E.&lt;/Authors_Primary&gt;&lt;Authors_Primary&gt;Pellegrini,A.&lt;/Authors_Primary&gt;&lt;Authors_Primary&gt;Schiboni,M.L.&lt;/Authors_Primary&gt;&lt;Date_Primary&gt;2006&lt;/Date_Primary&gt;&lt;Keywords&gt;adult&lt;/Keywords&gt;&lt;Keywords&gt;article&lt;/Keywords&gt;&lt;Keywords&gt;cancer grading&lt;/Keywords&gt;&lt;Keywords&gt;cancer screening&lt;/Keywords&gt;&lt;Keywords&gt;clinical trial&lt;/Keywords&gt;&lt;Keywords&gt;colposcopy&lt;/Keywords&gt;&lt;Keywords&gt;controlled study&lt;/Keywords&gt;&lt;Keywords&gt;diagnostic accuracy&lt;/Keywords&gt;&lt;Keywords&gt;diagnostic test&lt;/Keywords&gt;&lt;Keywords&gt;diagnostic value&lt;/Keywords&gt;&lt;Keywords&gt;disease association&lt;/Keywords&gt;&lt;Keywords&gt;female&lt;/Keywords&gt;&lt;Keywords&gt;female genital tract cytology&lt;/Keywords&gt;&lt;Keywords&gt;high risk population&lt;/Keywords&gt;&lt;Keywords&gt;histopathology&lt;/Keywords&gt;&lt;Keywords&gt;human&lt;/Keywords&gt;&lt;Keywords&gt;Hybrid Capture 2 assay&lt;/Keywords&gt;&lt;Keywords&gt;immunohistochemistry&lt;/Keywords&gt;&lt;Keywords&gt;infection risk&lt;/Keywords&gt;&lt;Keywords&gt;intermethod comparison&lt;/Keywords&gt;&lt;Keywords&gt;laboratory diagnosis&lt;/Keywords&gt;&lt;Keywords&gt;liquid based cytology&lt;/Keywords&gt;&lt;Keywords&gt;major clinical study&lt;/Keywords&gt;&lt;Keywords&gt;medical technology&lt;/Keywords&gt;&lt;Keywords&gt;multicenter study&lt;/Keywords&gt;&lt;Keywords&gt;patient referral&lt;/Keywords&gt;&lt;Keywords&gt;priority journal&lt;/Keywords&gt;&lt;Keywords&gt;randomized controlled trial&lt;/Keywords&gt;&lt;Keywords&gt;screening test&lt;/Keywords&gt;&lt;Keywords&gt;sensitivity and specificity&lt;/Keywords&gt;&lt;Keywords&gt;statistical analysis&lt;/Keywords&gt;&lt;Keywords&gt;statistical significance&lt;/Keywords&gt;&lt;Keywords&gt;ThinPrep&lt;/Keywords&gt;&lt;Keywords&gt;uterine cervix cancer&lt;/Keywords&gt;&lt;Keywords&gt;virus infection&lt;/Keywords&gt;&lt;Keywords&gt;Wart virus&lt;/Keywords&gt;&lt;Reprint&gt;In File&lt;/Reprint&gt;&lt;Start_Page&gt;765&lt;/Start_Page&gt;&lt;End_Page&gt;774&lt;/End_Page&gt;&lt;Periodical&gt;Journal of the National Cancer Institute&lt;/Periodical&gt;&lt;Volume&gt;98&lt;/Volume&gt;&lt;Issue&gt;11&lt;/Issue&gt;&lt;ISSN_ISBN&gt;0027-8874&lt;/ISSN_ISBN&gt;&lt;Address&gt;Ronco, G., Unit of Cancer Epidemiology, Centro per la Prevenzione Oncologica Piemonte, 10123 Torino, Italy&lt;/Address&gt;&lt;ZZ_JournalFull&gt;&lt;f name="System"&gt;Journal of the National Cancer Institute&lt;/f&gt;&lt;/ZZ_JournalFull&gt;&lt;ZZ_JournalStdAbbrev&gt;&lt;f name="System"&gt;J.Natl.Cancer Inst.&lt;/f&gt;&lt;/ZZ_JournalStdAbbrev&gt;&lt;ZZ_WorkformID&gt;1&lt;/ZZ_WorkformID&gt;&lt;/MDL&gt;&lt;/Cite&gt;&lt;/Refman&gt;</w:instrText>
      </w:r>
      <w:r w:rsidRPr="00537C3C">
        <w:fldChar w:fldCharType="separate"/>
      </w:r>
      <w:r w:rsidRPr="00537C3C">
        <w:t>(Ronco et al. 2006)</w:t>
      </w:r>
      <w:r w:rsidRPr="00537C3C">
        <w:fldChar w:fldCharType="end"/>
      </w:r>
      <w:r w:rsidRPr="00537C3C">
        <w:t xml:space="preserve"> of 45, 174 women reported that </w:t>
      </w:r>
      <w:r w:rsidRPr="00BB76D8">
        <w:t>LBC</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decreased the unsatisfactory rate (2.6% filtration-based</w:t>
      </w:r>
      <w:r w:rsidRPr="00537C3C" w:rsidDel="00575CF6">
        <w:t xml:space="preserve"> </w:t>
      </w:r>
      <w:r w:rsidRPr="00BB76D8">
        <w:t>LBC</w:t>
      </w:r>
      <w:r w:rsidRPr="00537C3C">
        <w:t xml:space="preserve"> vs 4.1% conventional, relative frequency 0.62, 95% </w:t>
      </w:r>
      <w:r w:rsidRPr="00BB76D8">
        <w:t>CI</w:t>
      </w:r>
      <w:r w:rsidRPr="00537C3C">
        <w:t xml:space="preserve"> 0.56–0.69).</w:t>
      </w:r>
    </w:p>
    <w:p w:rsidR="00234376" w:rsidRDefault="00234376" w:rsidP="00234376">
      <w:pPr>
        <w:pStyle w:val="Heading3"/>
      </w:pPr>
      <w:bookmarkStart w:id="297" w:name="_Ref219700498"/>
      <w:r w:rsidRPr="00537C3C">
        <w:t>Test yield</w:t>
      </w:r>
      <w:bookmarkEnd w:id="297"/>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 xml:space="preserve">A recent </w:t>
      </w:r>
      <w:r w:rsidRPr="00BB76D8">
        <w:t>HTA</w:t>
      </w:r>
      <w:r w:rsidRPr="00537C3C">
        <w:t xml:space="preserve"> and meta-analysis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 xml:space="preserve"> demonstrated that </w:t>
      </w:r>
      <w:r w:rsidRPr="00BB76D8">
        <w:t>LBC</w:t>
      </w:r>
      <w:r w:rsidRPr="00537C3C">
        <w:t xml:space="preserve"> compared to conventional cytology</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 xml:space="preserve">classified significantly more slides as </w:t>
      </w:r>
      <w:r w:rsidRPr="00BB76D8">
        <w:t>LSIL</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 xml:space="preserve">did not classify a significantly different proportion of slides as </w:t>
      </w:r>
      <w:r w:rsidRPr="00BB76D8">
        <w:t>HSIL</w:t>
      </w:r>
      <w:r w:rsidRPr="00537C3C">
        <w:t>+</w:t>
      </w:r>
    </w:p>
    <w:p w:rsidR="00234376" w:rsidRDefault="00234376" w:rsidP="00234376">
      <w:pPr>
        <w:pStyle w:val="Heading3"/>
      </w:pPr>
      <w:r w:rsidRPr="00537C3C">
        <w:t>Manufacturer</w:t>
      </w:r>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Data from two systematic reviews indicated in subgroup analyses that there may be variations in accuracy and unsatisfactory rates according to proprietary name.</w:t>
      </w:r>
    </w:p>
    <w:p w:rsidR="00234376" w:rsidRPr="00537C3C" w:rsidRDefault="00234376" w:rsidP="008E03A7">
      <w:pPr>
        <w:pStyle w:val="Heading2"/>
      </w:pPr>
      <w:bookmarkStart w:id="298" w:name="_Toc95971081"/>
      <w:bookmarkStart w:id="299" w:name="_Toc241658180"/>
      <w:r w:rsidRPr="00537C3C">
        <w:t>Included studies</w:t>
      </w:r>
      <w:bookmarkEnd w:id="295"/>
      <w:bookmarkEnd w:id="298"/>
      <w:bookmarkEnd w:id="299"/>
    </w:p>
    <w:p w:rsidR="00234376" w:rsidRPr="00537C3C" w:rsidRDefault="00234376" w:rsidP="008E03A7">
      <w:r w:rsidRPr="00537C3C">
        <w:t xml:space="preserve">The most recent and comprehensive systematic review of the comparative accuracy of </w:t>
      </w:r>
      <w:r w:rsidRPr="00BB76D8">
        <w:t>LBC</w:t>
      </w:r>
      <w:r w:rsidRPr="00537C3C">
        <w:t xml:space="preserve"> and conventional cytology identified was Arbyn et al. </w:t>
      </w:r>
      <w:r w:rsidRPr="00537C3C">
        <w:fldChar w:fldCharType="begin"/>
      </w:r>
      <w:r w:rsidRPr="00537C3C">
        <w:instrText xml:space="preserve"> ADDIN REFMGR.CITE &lt;Refman&gt;&lt;Cite ExcludeAuth="1"&gt;&lt;Author&gt;Arbyn&lt;/Author&gt;&lt;Year&gt;2008&lt;/Year&gt;&lt;RecNum&gt;5&lt;/RecNum&gt;&lt;IDText&gt;Liquid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537C3C">
        <w:fldChar w:fldCharType="separate"/>
      </w:r>
      <w:r w:rsidRPr="00537C3C">
        <w:t>(2008)</w:t>
      </w:r>
      <w:r w:rsidRPr="00537C3C">
        <w:fldChar w:fldCharType="end"/>
      </w:r>
      <w:r w:rsidRPr="00537C3C">
        <w:t xml:space="preserve">. This review was considered a high-quality systematic review and provided data on the comparative accuracy of these technologies. As this review did not provide any information on unsatisfactory rates, the most recent </w:t>
      </w:r>
      <w:r w:rsidRPr="00BB76D8">
        <w:t>HTA</w:t>
      </w:r>
      <w:r w:rsidRPr="00537C3C">
        <w:t xml:space="preserve"> report considering this outcome was also included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w:t>
      </w:r>
    </w:p>
    <w:p w:rsidR="00234376" w:rsidRPr="00537C3C" w:rsidRDefault="00234376" w:rsidP="008E03A7">
      <w:r w:rsidRPr="00537C3C">
        <w:t xml:space="preserve">The review by the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analysis&lt;/IDText&gt;&lt;Prefix&gt;CADTH; &lt;/Prefix&gt;&lt;MDL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BB76D8">
        <w:t>CADTH</w:t>
      </w:r>
      <w:r w:rsidRPr="00537C3C">
        <w:t xml:space="preserve"> (Krahn et al. 2008)</w:t>
      </w:r>
      <w:r w:rsidRPr="00537C3C">
        <w:fldChar w:fldCharType="end"/>
      </w:r>
      <w:r w:rsidRPr="00537C3C">
        <w:t xml:space="preserve"> was based on evidence from a systematic literature search to June 2006. The more recent review </w:t>
      </w:r>
      <w:r w:rsidRPr="00537C3C">
        <w:fldChar w:fldCharType="begin"/>
      </w:r>
      <w:r w:rsidRPr="00537C3C">
        <w:instrText xml:space="preserve"> ADDIN REFMGR.CITE &lt;Refman&gt;&lt;Cite&gt;&lt;Author&gt;Arbyn&lt;/Author&gt;&lt;Year&gt;2008&lt;/Year&gt;&lt;RecNum&gt;5&lt;/RecNum&gt;&lt;IDText&gt;Liquid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537C3C">
        <w:fldChar w:fldCharType="separate"/>
      </w:r>
      <w:r w:rsidRPr="00537C3C">
        <w:t>(Arbyn et al. 2008)</w:t>
      </w:r>
      <w:r w:rsidRPr="00537C3C">
        <w:fldChar w:fldCharType="end"/>
      </w:r>
      <w:r w:rsidRPr="00537C3C">
        <w:t xml:space="preserve"> included one study </w:t>
      </w:r>
      <w:r w:rsidRPr="00537C3C">
        <w:fldChar w:fldCharType="begin"/>
      </w:r>
      <w:r w:rsidRPr="00537C3C">
        <w:instrText xml:space="preserve"> ADDIN REFMGR.CITE &lt;Refman&gt;&lt;Cite&gt;&lt;Author&gt;Ronco&lt;/Author&gt;&lt;Year&gt;2007&lt;/Year&gt;&lt;RecNum&gt;66&lt;/RecNum&gt;&lt;IDText&gt;Accuracy of liquid based versus conventional cytology: Overall results of new technologies for cervical cancer screening: Randomised controlled trial&lt;/IDText&gt;&lt;MDL Ref_Type="Journal"&gt;&lt;Ref_Type&gt;Journal&lt;/Ref_Type&gt;&lt;Ref_ID&gt;66&lt;/Ref_ID&gt;&lt;Title_Primary&gt;Accuracy of liquid based versus conventional cytology: Overall results of new technologies for cervical cancer screening: Randomised controlled trial&lt;/Title_Primary&gt;&lt;Authors_Primary&gt;Ronco,G.&lt;/Authors_Primary&gt;&lt;Authors_Primary&gt;Cuzick,J.&lt;/Authors_Primary&gt;&lt;Authors_Primary&gt;Pierotti,P.&lt;/Authors_Primary&gt;&lt;Authors_Primary&gt;Cariaggi,M.P.&lt;/Authors_Primary&gt;&lt;Authors_Primary&gt;Palma,P.D.&lt;/Authors_Primary&gt;&lt;Authors_Primary&gt;Naldoni,C.&lt;/Authors_Primary&gt;&lt;Authors_Primary&gt;Ghiringhello,B.&lt;/Authors_Primary&gt;&lt;Authors_Primary&gt;Giorgi-Rossi,P.&lt;/Authors_Primary&gt;&lt;Authors_Primary&gt;Minucci,D.&lt;/Authors_Primary&gt;&lt;Authors_Primary&gt;Parisio,F.&lt;/Authors_Primary&gt;&lt;Authors_Primary&gt;Pojer,A.&lt;/Authors_Primary&gt;&lt;Authors_Primary&gt;Schiboni,M.L.&lt;/Authors_Primary&gt;&lt;Authors_Primary&gt;Sintoni,C.&lt;/Authors_Primary&gt;&lt;Authors_Primary&gt;Zorzi,M.&lt;/Authors_Primary&gt;&lt;Authors_Primary&gt;Segnan,N.&lt;/Authors_Primary&gt;&lt;Authors_Primary&gt;Confortini,M.&lt;/Authors_Primary&gt;&lt;Date_Primary&gt;2007&lt;/Date_Primary&gt;&lt;Keywords&gt;adult&lt;/Keywords&gt;&lt;Keywords&gt;article&lt;/Keywords&gt;&lt;Keywords&gt;cancer cytodiagnosis&lt;/Keywords&gt;&lt;Keywords&gt;cancer screening&lt;/Keywords&gt;&lt;Keywords&gt;clinical laboratory&lt;/Keywords&gt;&lt;Keywords&gt;clinical trial&lt;/Keywords&gt;&lt;Keywords&gt;colposcopy&lt;/Keywords&gt;&lt;Keywords&gt;controlled clinical trial&lt;/Keywords&gt;&lt;Keywords&gt;controlled study&lt;/Keywords&gt;&lt;Keywords&gt;diagnostic accuracy&lt;/Keywords&gt;&lt;Keywords&gt;female&lt;/Keywords&gt;&lt;Keywords&gt;health program&lt;/Keywords&gt;&lt;Keywords&gt;human&lt;/Keywords&gt;&lt;Keywords&gt;human cell&lt;/Keywords&gt;&lt;Keywords&gt;intermethod comparison&lt;/Keywords&gt;&lt;Keywords&gt;Italy&lt;/Keywords&gt;&lt;Keywords&gt;liquid based cytology&lt;/Keywords&gt;&lt;Keywords&gt;major clinical study&lt;/Keywords&gt;&lt;Keywords&gt;medical technology&lt;/Keywords&gt;&lt;Keywords&gt;priority journal&lt;/Keywords&gt;&lt;Keywords&gt;randomized controlled trial&lt;/Keywords&gt;&lt;Keywords&gt;ThinPrep&lt;/Keywords&gt;&lt;Keywords&gt;uterine cervix cancer&lt;/Keywords&gt;&lt;Keywords&gt;uterine cervix cytology&lt;/Keywords&gt;&lt;Keywords&gt;Wart virus&lt;/Keywords&gt;&lt;Reprint&gt;In File&lt;/Reprint&gt;&lt;Start_Page&gt;28&lt;/Start_Page&gt;&lt;End_Page&gt;31&lt;/End_Page&gt;&lt;Periodical&gt;British Medical Journal&lt;/Periodical&gt;&lt;Volume&gt;335&lt;/Volume&gt;&lt;Issue&gt;7609&lt;/Issue&gt;&lt;ISSN_ISBN&gt;0959-8146&lt;/ISSN_ISBN&gt;&lt;Address&gt;Ronco, G., Unit of Cancer Epidemiology, Centre for Cancer Prevention, 10123 Turin, Italy&lt;/Address&gt;&lt;ZZ_JournalFull&gt;&lt;f name="System"&gt;British Medical Journal&lt;/f&gt;&lt;/ZZ_JournalFull&gt;&lt;ZZ_JournalStdAbbrev&gt;&lt;f name="System"&gt;Br.Med.J.&lt;/f&gt;&lt;/ZZ_JournalStdAbbrev&gt;&lt;ZZ_WorkformID&gt;1&lt;/ZZ_WorkformID&gt;&lt;/MDL&gt;&lt;/Cite&gt;&lt;/Refman&gt;</w:instrText>
      </w:r>
      <w:r w:rsidRPr="00537C3C">
        <w:fldChar w:fldCharType="separate"/>
      </w:r>
      <w:r w:rsidRPr="00537C3C">
        <w:t>(Ronco et al. 2007a)</w:t>
      </w:r>
      <w:r w:rsidRPr="00537C3C">
        <w:fldChar w:fldCharType="end"/>
      </w:r>
      <w:r w:rsidRPr="00537C3C">
        <w:t xml:space="preserve"> which was published after June 2006 and conducted in a screening population. Therefore. data on unsatisfactory rates were extracted from this study and included in the current review.</w:t>
      </w:r>
    </w:p>
    <w:p w:rsidR="00234376" w:rsidRPr="00537C3C" w:rsidRDefault="00234376" w:rsidP="008E03A7">
      <w:r w:rsidRPr="00537C3C">
        <w:t xml:space="preserve">Three potentially eligible primary accuracy studies published after the search period of the Arbyn et al. </w:t>
      </w:r>
      <w:r w:rsidRPr="00537C3C">
        <w:fldChar w:fldCharType="begin"/>
      </w:r>
      <w:r w:rsidRPr="00537C3C">
        <w:instrText xml:space="preserve"> ADDIN REFMGR.CITE &lt;Refman&gt;&lt;Cite ExcludeAuth="1"&gt;&lt;Author&gt;Arbyn&lt;/Author&gt;&lt;Year&gt;2008&lt;/Year&gt;&lt;RecNum&gt;5&lt;/RecNum&gt;&lt;IDText&gt;Liquid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537C3C">
        <w:fldChar w:fldCharType="separate"/>
      </w:r>
      <w:r w:rsidRPr="00537C3C">
        <w:t>(2008)</w:t>
      </w:r>
      <w:r w:rsidRPr="00537C3C">
        <w:fldChar w:fldCharType="end"/>
      </w:r>
      <w:r w:rsidRPr="00537C3C">
        <w:t xml:space="preserve"> review were identified. Two studies </w:t>
      </w:r>
      <w:r w:rsidRPr="00537C3C">
        <w:fldChar w:fldCharType="begin"/>
      </w:r>
      <w:r w:rsidRPr="00537C3C">
        <w:instrText xml:space="preserve"> ADDIN REFMGR.CITE &lt;Refman&gt;&lt;Cite&gt;&lt;Author&gt;Lerma&lt;/Author&gt;&lt;Year&gt;2007&lt;/Year&gt;&lt;RecNum&gt;79&lt;/RecNum&gt;&lt;IDText&gt;Effectiveness of liquid-based cytology and Papanicolaou tests in a low risk population&lt;/IDText&gt;&lt;MDL Ref_Type="Journal"&gt;&lt;Ref_Type&gt;Journal&lt;/Ref_Type&gt;&lt;Ref_ID&gt;79&lt;/Ref_ID&gt;&lt;Title_Primary&gt;Effectiveness of liquid-based cytology and Papanicolaou tests in a low risk population&lt;/Title_Primary&gt;&lt;Authors_Primary&gt;Lerma,E.&lt;/Authors_Primary&gt;&lt;Authors_Primary&gt;Quintana,M.J.&lt;/Authors_Primary&gt;&lt;Authors_Primary&gt;Quilez,M.&lt;/Authors_Primary&gt;&lt;Authors_Primary&gt;Esteva,E.&lt;/Authors_Primary&gt;&lt;Authors_Primary&gt;Carreras,A.&lt;/Authors_Primary&gt;&lt;Authors_Primary&gt;Bonfill,X.&lt;/Authors_Primary&gt;&lt;Authors_Primary&gt;Prat,J.&lt;/Authors_Primary&gt;&lt;Authors_Primary&gt;Calaf,J.&lt;/Authors_Primary&gt;&lt;Date_Primary&gt;2007&lt;/Date_Primary&gt;&lt;Keywords&gt;article&lt;/Keywords&gt;&lt;Keywords&gt;cancer diagnosis&lt;/Keywords&gt;&lt;Keywords&gt;cancer grading&lt;/Keywords&gt;&lt;Keywords&gt;Cervex Brush&lt;/Keywords&gt;&lt;Keywords&gt;controlled study&lt;/Keywords&gt;&lt;Keywords&gt;cytology&lt;/Keywords&gt;&lt;Keywords&gt;cytopathology&lt;/Keywords&gt;&lt;Keywords&gt;diagnostic accuracy&lt;/Keywords&gt;&lt;Keywords&gt;female&lt;/Keywords&gt;&lt;Keywords&gt;human&lt;/Keywords&gt;&lt;Keywords&gt;human cell&lt;/Keywords&gt;&lt;Keywords&gt;human tissue&lt;/Keywords&gt;&lt;Keywords&gt;intermethod comparison&lt;/Keywords&gt;&lt;Keywords&gt;major clinical study&lt;/Keywords&gt;&lt;Keywords&gt;Papanicolaou test&lt;/Keywords&gt;&lt;Keywords&gt;population risk&lt;/Keywords&gt;&lt;Keywords&gt;priority journal&lt;/Keywords&gt;&lt;Keywords&gt;screening&lt;/Keywords&gt;&lt;Keywords&gt;squamous cell&lt;/Keywords&gt;&lt;Keywords&gt;staining&lt;/Keywords&gt;&lt;Keywords&gt;ThinPrep&lt;/Keywords&gt;&lt;Keywords&gt;uterine cervix cancer&lt;/Keywords&gt;&lt;Keywords&gt;Wart virus&lt;/Keywords&gt;&lt;Reprint&gt;In File&lt;/Reprint&gt;&lt;Start_Page&gt;399&lt;/Start_Page&gt;&lt;End_Page&gt;406&lt;/End_Page&gt;&lt;Periodical&gt;Acta Cytologica&lt;/Periodical&gt;&lt;Volume&gt;51&lt;/Volume&gt;&lt;Issue&gt;3&lt;/Issue&gt;&lt;ISSN_ISBN&gt;0001-5547&lt;/ISSN_ISBN&gt;&lt;Address&gt;Lerma, E., Department of Pathology, Hospital Santa Creu I Sant Pau, 08025 Barcelona, Spain&lt;/Address&gt;&lt;ZZ_JournalFull&gt;&lt;f name="System"&gt;Acta Cytologica&lt;/f&gt;&lt;/ZZ_JournalFull&gt;&lt;ZZ_JournalStdAbbrev&gt;&lt;f name="System"&gt;Acta Cytol.&lt;/f&gt;&lt;/ZZ_JournalStdAbbrev&gt;&lt;ZZ_WorkformID&gt;1&lt;/ZZ_WorkformID&gt;&lt;/MDL&gt;&lt;/Cite&gt;&lt;Cite&gt;&lt;Author&gt;Celik&lt;/Author&gt;&lt;Year&gt;2008&lt;/Year&gt;&lt;RecNum&gt;4&lt;/RecNum&gt;&lt;IDText&gt;A comparison of liquid-based cytology with conventional cytology&lt;/IDText&gt;&lt;MDL Ref_Type="Journal"&gt;&lt;Ref_Type&gt;Journal&lt;/Ref_Type&gt;&lt;Ref_ID&gt;4&lt;/Ref_ID&gt;&lt;Title_Primary&gt;A comparison of liquid-based cytology with conventional cytology&lt;/Title_Primary&gt;&lt;Authors_Primary&gt;Celik,C.&lt;/Authors_Primary&gt;&lt;Authors_Primary&gt;Gezginc,K.&lt;/Authors_Primary&gt;&lt;Authors_Primary&gt;Toy,H.&lt;/Authors_Primary&gt;&lt;Authors_Primary&gt;Findik,S.&lt;/Authors_Primary&gt;&lt;Authors_Primary&gt;Yilmaz,O.&lt;/Authors_Primary&gt;&lt;Date_Primary&gt;2008&lt;/Date_Primary&gt;&lt;Keywords&gt;adult&lt;/Keywords&gt;&lt;Keywords&gt;article&lt;/Keywords&gt;&lt;Keywords&gt;controlled study&lt;/Keywords&gt;&lt;Keywords&gt;epithelium cell&lt;/Keywords&gt;&lt;Keywords&gt;female&lt;/Keywords&gt;&lt;Keywords&gt;human&lt;/Keywords&gt;&lt;Keywords&gt;major clinical study&lt;/Keywords&gt;&lt;Keywords&gt;medical school&lt;/Keywords&gt;&lt;Keywords&gt;priority journal&lt;/Keywords&gt;&lt;Keywords&gt;risk factor&lt;/Keywords&gt;&lt;Keywords&gt;sensitivity and specificity&lt;/Keywords&gt;&lt;Keywords&gt;uterine cervix cancer&lt;/Keywords&gt;&lt;Keywords&gt;uterine cervix cytology&lt;/Keywords&gt;&lt;Keywords&gt;uterine cervix epithelium&lt;/Keywords&gt;&lt;Reprint&gt;Not in File&lt;/Reprint&gt;&lt;Start_Page&gt;163&lt;/Start_Page&gt;&lt;End_Page&gt;166&lt;/End_Page&gt;&lt;Periodical&gt;International Journal of Gynecology and Obstetrics&lt;/Periodical&gt;&lt;Volume&gt;100&lt;/Volume&gt;&lt;Issue&gt;2&lt;/Issue&gt;&lt;ISSN_ISBN&gt;0020-7292&lt;/ISSN_ISBN&gt;&lt;Address&gt;Gezginc, K., Department of Obstetrics and Gynecology, Selcuk University Meram Medical School, Konya, Turkey&lt;/Address&gt;&lt;ZZ_JournalFull&gt;&lt;f name="System"&gt;International Journal of Gynecology and Obstetrics&lt;/f&gt;&lt;/ZZ_JournalFull&gt;&lt;ZZ_JournalStdAbbrev&gt;&lt;f name="System"&gt;Int.J.Gynecol.Obstet.&lt;/f&gt;&lt;/ZZ_JournalStdAbbrev&gt;&lt;ZZ_WorkformID&gt;1&lt;/ZZ_WorkformID&gt;&lt;/MDL&gt;&lt;/Cite&gt;&lt;/Refman&gt;</w:instrText>
      </w:r>
      <w:r w:rsidRPr="00537C3C">
        <w:fldChar w:fldCharType="separate"/>
      </w:r>
      <w:r w:rsidRPr="00537C3C">
        <w:t>(Celik et al. 2008; Lerma et al. 2007)</w:t>
      </w:r>
      <w:r w:rsidRPr="00537C3C">
        <w:fldChar w:fldCharType="end"/>
      </w:r>
      <w:r w:rsidRPr="00537C3C">
        <w:t xml:space="preserve"> reported the accuracy of </w:t>
      </w:r>
      <w:r w:rsidRPr="00BB76D8">
        <w:t>LBC</w:t>
      </w:r>
      <w:r w:rsidRPr="00537C3C">
        <w:t xml:space="preserve"> and conventional cytology for the detection of low (</w:t>
      </w:r>
      <w:r w:rsidRPr="00BB76D8">
        <w:t>LSIL</w:t>
      </w:r>
      <w:r w:rsidRPr="00537C3C">
        <w:t xml:space="preserve"> or </w:t>
      </w:r>
      <w:r w:rsidRPr="00BB76D8">
        <w:t>CIN</w:t>
      </w:r>
      <w:r w:rsidRPr="00537C3C">
        <w:t xml:space="preserve"> 1) or high-grade lesions on biopsy. These studies were excluded as the reference standard threshold was different to that specified for this review. One study by </w:t>
      </w:r>
      <w:bookmarkStart w:id="300" w:name="OLE_LINK425"/>
      <w:bookmarkStart w:id="301" w:name="OLE_LINK426"/>
      <w:r w:rsidRPr="00537C3C">
        <w:t xml:space="preserve">Cibas </w:t>
      </w:r>
      <w:bookmarkEnd w:id="300"/>
      <w:bookmarkEnd w:id="301"/>
      <w:r w:rsidRPr="00537C3C">
        <w:t xml:space="preserve">et al. (2008) compared the accuracy of the </w:t>
      </w:r>
      <w:bookmarkStart w:id="302" w:name="OLE_LINK138"/>
      <w:bookmarkStart w:id="303" w:name="OLE_LINK139"/>
      <w:r w:rsidRPr="00537C3C">
        <w:t xml:space="preserve">MonoPrep </w:t>
      </w:r>
      <w:bookmarkEnd w:id="302"/>
      <w:bookmarkEnd w:id="303"/>
      <w:r w:rsidRPr="00537C3C">
        <w:t xml:space="preserve">Pap Test with conventional cytology using a reference standard of adjudicated cytology by an independent </w:t>
      </w:r>
      <w:r w:rsidRPr="00537C3C">
        <w:lastRenderedPageBreak/>
        <w:t xml:space="preserve">pathologist. This is considered a suboptimal reference standard. The study therefore provided a lower quality of evidence to that in </w:t>
      </w:r>
      <w:bookmarkStart w:id="304" w:name="OLE_LINK472"/>
      <w:bookmarkStart w:id="305" w:name="OLE_LINK473"/>
      <w:r w:rsidRPr="00537C3C">
        <w:t>Arbyn et al. (2008</w:t>
      </w:r>
      <w:bookmarkEnd w:id="304"/>
      <w:bookmarkEnd w:id="305"/>
      <w:r w:rsidRPr="00537C3C">
        <w:t>) and was excluded from review.</w:t>
      </w:r>
    </w:p>
    <w:p w:rsidR="00234376" w:rsidRPr="00537C3C" w:rsidRDefault="00234376" w:rsidP="008E03A7">
      <w:r w:rsidRPr="00537C3C">
        <w:t xml:space="preserve">One primary study conducted in Scotland investigated patient’s preferences and willingness-to-pay for reduced time for Pap test recalls and test results, and more frequent screening </w:t>
      </w:r>
      <w:r w:rsidRPr="00537C3C">
        <w:fldChar w:fldCharType="begin"/>
      </w:r>
      <w:r w:rsidRPr="00537C3C">
        <w:instrText xml:space="preserve"> ADDIN REFMGR.CITE &lt;Refman&gt;&lt;Cite&gt;&lt;Author&gt;Wordsworth&lt;/Author&gt;&lt;Year&gt;2006&lt;/Year&gt;&lt;RecNum&gt;142&lt;/RecNum&gt;&lt;IDText&gt;Women&amp;apos;s preferences for cervical cancer screening: A study using a discrete choice experiment&lt;/IDText&gt;&lt;MDL Ref_Type="Journal"&gt;&lt;Ref_Type&gt;Journal&lt;/Ref_Type&gt;&lt;Ref_ID&gt;142&lt;/Ref_ID&gt;&lt;Title_Primary&gt;Women&amp;apos;s preferences for cervical cancer screening: A study using a discrete choice experiment&lt;/Title_Primary&gt;&lt;Authors_Primary&gt;Wordsworth,S.&lt;/Authors_Primary&gt;&lt;Authors_Primary&gt;Ryan,M.&lt;/Authors_Primary&gt;&lt;Authors_Primary&gt;Skatun,D.&lt;/Authors_Primary&gt;&lt;Authors_Primary&gt;Waugh,N.&lt;/Authors_Primary&gt;&lt;Date_Primary&gt;2006&lt;/Date_Primary&gt;&lt;Keywords&gt;adult&lt;/Keywords&gt;&lt;Keywords&gt;article&lt;/Keywords&gt;&lt;Keywords&gt;cancer screening&lt;/Keywords&gt;&lt;Keywords&gt;experimental design&lt;/Keywords&gt;&lt;Keywords&gt;female&lt;/Keywords&gt;&lt;Keywords&gt;human&lt;/Keywords&gt;&lt;Keywords&gt;major clinical study&lt;/Keywords&gt;&lt;Keywords&gt;Papanicolaou test&lt;/Keywords&gt;&lt;Keywords&gt;postal mail&lt;/Keywords&gt;&lt;Keywords&gt;questionnaire&lt;/Keywords&gt;&lt;Keywords&gt;United Kingdom&lt;/Keywords&gt;&lt;Keywords&gt;uterine cervix cancer&lt;/Keywords&gt;&lt;Keywords&gt;uterine cervix cytology&lt;/Keywords&gt;&lt;Reprint&gt;In File&lt;/Reprint&gt;&lt;Start_Page&gt;344&lt;/Start_Page&gt;&lt;End_Page&gt;350&lt;/End_Page&gt;&lt;Periodical&gt;International Journal of Technology Assessment in Health Care&lt;/Periodical&gt;&lt;Volume&gt;22&lt;/Volume&gt;&lt;Issue&gt;3&lt;/Issue&gt;&lt;ISSN_ISBN&gt;0266-4623&lt;/ISSN_ISBN&gt;&lt;Address&gt;Wordsworth, S., Health Economics Research Centre, Department of Public Health, University of Oxford, Oxford OX3 7LF, United Kingdom&lt;/Address&gt;&lt;ZZ_JournalFull&gt;&lt;f name="System"&gt;International Journal of Technology Assessment in Health Care&lt;/f&gt;&lt;/ZZ_JournalFull&gt;&lt;ZZ_JournalStdAbbrev&gt;&lt;f name="System"&gt;Int.J.Technol.Assess.Health Care&lt;/f&gt;&lt;/ZZ_JournalStdAbbrev&gt;&lt;ZZ_WorkformID&gt;1&lt;/ZZ_WorkformID&gt;&lt;/MDL&gt;&lt;/Cite&gt;&lt;/Refman&gt;</w:instrText>
      </w:r>
      <w:r w:rsidRPr="00537C3C">
        <w:fldChar w:fldCharType="separate"/>
      </w:r>
      <w:r w:rsidRPr="00537C3C">
        <w:t>(Wordsworth et al. 2006)</w:t>
      </w:r>
      <w:r w:rsidRPr="00537C3C">
        <w:fldChar w:fldCharType="end"/>
      </w:r>
      <w:r w:rsidRPr="00537C3C">
        <w:t>. This study was excluded from the current review as neither the costs nor the recall rates or test waiting times in this study are applicable to the Australian setting.</w:t>
      </w:r>
    </w:p>
    <w:p w:rsidR="00234376" w:rsidRDefault="00234376" w:rsidP="00234376">
      <w:pPr>
        <w:pStyle w:val="Heading3"/>
      </w:pPr>
      <w:r w:rsidRPr="00537C3C">
        <w:t>Study characteristics, quality and applicability</w:t>
      </w:r>
    </w:p>
    <w:p w:rsidR="00234376" w:rsidRPr="00537C3C" w:rsidRDefault="00234376" w:rsidP="008E03A7">
      <w:r w:rsidRPr="00537C3C">
        <w:t xml:space="preserve">The characteristics and quality appraisal of the included systematic reviews are summarised in </w:t>
      </w:r>
      <w:r>
        <w:fldChar w:fldCharType="begin"/>
      </w:r>
      <w:r>
        <w:instrText xml:space="preserve"> REF _Ref157935818 \h  \* MERGEFORMAT </w:instrText>
      </w:r>
      <w:r>
        <w:fldChar w:fldCharType="separate"/>
      </w:r>
      <w:r w:rsidR="007D3DFF" w:rsidRPr="00537C3C">
        <w:t xml:space="preserve">Table </w:t>
      </w:r>
      <w:r w:rsidR="007D3DFF">
        <w:rPr>
          <w:noProof/>
        </w:rPr>
        <w:t>13</w:t>
      </w:r>
      <w:r>
        <w:fldChar w:fldCharType="end"/>
      </w:r>
      <w:r w:rsidRPr="00537C3C">
        <w:t xml:space="preserve">. Both systematic reviews were considered high </w:t>
      </w:r>
      <w:r w:rsidR="00CA3C8D">
        <w:t>quality for accuracy outcomes, t</w:t>
      </w:r>
      <w:r w:rsidRPr="00537C3C">
        <w:t xml:space="preserve">he </w:t>
      </w:r>
      <w:r w:rsidRPr="00BB76D8">
        <w:t>CADTH</w:t>
      </w:r>
      <w:r w:rsidRPr="00537C3C">
        <w:t xml:space="preserve"> review was considered fair quality for the outcome of unsatisfactory rates.</w:t>
      </w:r>
    </w:p>
    <w:p w:rsidR="00234376" w:rsidRPr="00537C3C" w:rsidRDefault="00234376" w:rsidP="008E03A7">
      <w:r w:rsidRPr="00537C3C">
        <w:t xml:space="preserve">The systematic review by Arbyn et al. </w:t>
      </w:r>
      <w:r w:rsidRPr="00537C3C">
        <w:fldChar w:fldCharType="begin"/>
      </w:r>
      <w:r w:rsidRPr="00537C3C">
        <w:instrText xml:space="preserve"> ADDIN REFMGR.CITE &lt;Refman&gt;&lt;Cite ExcludeAuth="1"&gt;&lt;Author&gt;Arbyn&lt;/Author&gt;&lt;Year&gt;2008&lt;/Year&gt;&lt;RecNum&gt;5&lt;/RecNum&gt;&lt;IDText&gt;Liquid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537C3C">
        <w:fldChar w:fldCharType="separate"/>
      </w:r>
      <w:r w:rsidRPr="00537C3C">
        <w:t>(2008)</w:t>
      </w:r>
      <w:r w:rsidRPr="00537C3C">
        <w:fldChar w:fldCharType="end"/>
      </w:r>
      <w:r w:rsidRPr="00537C3C">
        <w:t xml:space="preserve"> included 9 primary studies of the diagnostic accuracy of </w:t>
      </w:r>
      <w:r w:rsidRPr="00BB76D8">
        <w:t>LBC</w:t>
      </w:r>
      <w:r w:rsidRPr="00537C3C">
        <w:t xml:space="preserve"> compared to conventional cytology. A specified inclusion criterion was verification of disease status in all subjects by colposcopy, augmented by histology obtained from biopsy where indicated. In eight non-randomised studies all subjects received reference standard verification by colposcopy ± biopsy. Pooled relative and absolute sensitivity and specificity for three test thresholds (</w:t>
      </w:r>
      <w:r w:rsidRPr="00BB76D8">
        <w:t>HSIL</w:t>
      </w:r>
      <w:r w:rsidRPr="00537C3C">
        <w:t xml:space="preserve">+, </w:t>
      </w:r>
      <w:r w:rsidRPr="00BB76D8">
        <w:t>LSIL</w:t>
      </w:r>
      <w:r w:rsidRPr="00537C3C">
        <w:t xml:space="preserve">+, or </w:t>
      </w:r>
      <w:r w:rsidRPr="00BB76D8">
        <w:t>pLSIL</w:t>
      </w:r>
      <w:r w:rsidRPr="00537C3C">
        <w:t xml:space="preserve">+) were determined by meta-analysis. A single </w:t>
      </w:r>
      <w:r w:rsidRPr="00BB76D8">
        <w:t>RCT</w:t>
      </w:r>
      <w:r w:rsidRPr="00537C3C">
        <w:t xml:space="preserve"> of 45, 174 women with more than 90 per cent follow-up of women with a positive cytology result was also included for the meta-analysis of relative test accuracy only; additional data provided by the authors of the </w:t>
      </w:r>
      <w:r w:rsidRPr="00BB76D8">
        <w:t>RCT</w:t>
      </w:r>
      <w:r w:rsidRPr="00537C3C">
        <w:t xml:space="preserve"> were used in the review </w:t>
      </w:r>
      <w:r w:rsidRPr="00537C3C">
        <w:fldChar w:fldCharType="begin"/>
      </w:r>
      <w:r w:rsidRPr="00537C3C">
        <w:instrText xml:space="preserve"> ADDIN REFMGR.CITE &lt;Refman&gt;&lt;Cite&gt;&lt;Author&gt;Ronco&lt;/Author&gt;&lt;Year&gt;2007&lt;/Year&gt;&lt;RecNum&gt;66&lt;/RecNum&gt;&lt;IDText&gt;Accuracy of liquid based versus conventional cytology: Overall results of new technologies for cervical cancer screening: Randomised controlled trial&lt;/IDText&gt;&lt;MDL Ref_Type="Journal"&gt;&lt;Ref_Type&gt;Journal&lt;/Ref_Type&gt;&lt;Ref_ID&gt;66&lt;/Ref_ID&gt;&lt;Title_Primary&gt;Accuracy of liquid based versus conventional cytology: Overall results of new technologies for cervical cancer screening: Randomised controlled trial&lt;/Title_Primary&gt;&lt;Authors_Primary&gt;Ronco,G.&lt;/Authors_Primary&gt;&lt;Authors_Primary&gt;Cuzick,J.&lt;/Authors_Primary&gt;&lt;Authors_Primary&gt;Pierotti,P.&lt;/Authors_Primary&gt;&lt;Authors_Primary&gt;Cariaggi,M.P.&lt;/Authors_Primary&gt;&lt;Authors_Primary&gt;Palma,P.D.&lt;/Authors_Primary&gt;&lt;Authors_Primary&gt;Naldoni,C.&lt;/Authors_Primary&gt;&lt;Authors_Primary&gt;Ghiringhello,B.&lt;/Authors_Primary&gt;&lt;Authors_Primary&gt;Giorgi-Rossi,P.&lt;/Authors_Primary&gt;&lt;Authors_Primary&gt;Minucci,D.&lt;/Authors_Primary&gt;&lt;Authors_Primary&gt;Parisio,F.&lt;/Authors_Primary&gt;&lt;Authors_Primary&gt;Pojer,A.&lt;/Authors_Primary&gt;&lt;Authors_Primary&gt;Schiboni,M.L.&lt;/Authors_Primary&gt;&lt;Authors_Primary&gt;Sintoni,C.&lt;/Authors_Primary&gt;&lt;Authors_Primary&gt;Zorzi,M.&lt;/Authors_Primary&gt;&lt;Authors_Primary&gt;Segnan,N.&lt;/Authors_Primary&gt;&lt;Authors_Primary&gt;Confortini,M.&lt;/Authors_Primary&gt;&lt;Date_Primary&gt;2007&lt;/Date_Primary&gt;&lt;Keywords&gt;adult&lt;/Keywords&gt;&lt;Keywords&gt;article&lt;/Keywords&gt;&lt;Keywords&gt;cancer cytodiagnosis&lt;/Keywords&gt;&lt;Keywords&gt;cancer screening&lt;/Keywords&gt;&lt;Keywords&gt;clinical laboratory&lt;/Keywords&gt;&lt;Keywords&gt;clinical trial&lt;/Keywords&gt;&lt;Keywords&gt;colposcopy&lt;/Keywords&gt;&lt;Keywords&gt;controlled clinical trial&lt;/Keywords&gt;&lt;Keywords&gt;controlled study&lt;/Keywords&gt;&lt;Keywords&gt;diagnostic accuracy&lt;/Keywords&gt;&lt;Keywords&gt;female&lt;/Keywords&gt;&lt;Keywords&gt;health program&lt;/Keywords&gt;&lt;Keywords&gt;human&lt;/Keywords&gt;&lt;Keywords&gt;human cell&lt;/Keywords&gt;&lt;Keywords&gt;intermethod comparison&lt;/Keywords&gt;&lt;Keywords&gt;Italy&lt;/Keywords&gt;&lt;Keywords&gt;liquid based cytology&lt;/Keywords&gt;&lt;Keywords&gt;major clinical study&lt;/Keywords&gt;&lt;Keywords&gt;medical technology&lt;/Keywords&gt;&lt;Keywords&gt;priority journal&lt;/Keywords&gt;&lt;Keywords&gt;randomized controlled trial&lt;/Keywords&gt;&lt;Keywords&gt;ThinPrep&lt;/Keywords&gt;&lt;Keywords&gt;uterine cervix cancer&lt;/Keywords&gt;&lt;Keywords&gt;uterine cervix cytology&lt;/Keywords&gt;&lt;Keywords&gt;Wart virus&lt;/Keywords&gt;&lt;Reprint&gt;In File&lt;/Reprint&gt;&lt;Start_Page&gt;28&lt;/Start_Page&gt;&lt;End_Page&gt;31&lt;/End_Page&gt;&lt;Periodical&gt;British Medical Journal&lt;/Periodical&gt;&lt;Volume&gt;335&lt;/Volume&gt;&lt;Issue&gt;7609&lt;/Issue&gt;&lt;ISSN_ISBN&gt;0959-8146&lt;/ISSN_ISBN&gt;&lt;Address&gt;Ronco, G., Unit of Cancer Epidemiology, Centre for Cancer Prevention, 10123 Turin, Italy&lt;/Address&gt;&lt;ZZ_JournalFull&gt;&lt;f name="System"&gt;British Medical Journal&lt;/f&gt;&lt;/ZZ_JournalFull&gt;&lt;ZZ_JournalStdAbbrev&gt;&lt;f name="System"&gt;Br.Med.J.&lt;/f&gt;&lt;/ZZ_JournalStdAbbrev&gt;&lt;ZZ_WorkformID&gt;1&lt;/ZZ_WorkformID&gt;&lt;/MDL&gt;&lt;/Cite&gt;&lt;/Refman&gt;</w:instrText>
      </w:r>
      <w:r w:rsidRPr="00537C3C">
        <w:fldChar w:fldCharType="separate"/>
      </w:r>
      <w:r w:rsidRPr="00537C3C">
        <w:t>(Ronco et al. 2007a)</w:t>
      </w:r>
      <w:r w:rsidRPr="00537C3C">
        <w:fldChar w:fldCharType="end"/>
      </w:r>
      <w:r w:rsidRPr="00537C3C">
        <w:t>. Seven of the nine included studies were in women undergoing follow-up of a previous cervical abnormality, but a subgroup analysis of studies in patients at higher risk compared to a screening population was presented</w:t>
      </w:r>
      <w:r w:rsidR="00D23CD7">
        <w:t xml:space="preserve"> in the review</w:t>
      </w:r>
      <w:r w:rsidRPr="00537C3C">
        <w:t xml:space="preserve">. This review pooled data from different </w:t>
      </w:r>
      <w:r w:rsidRPr="00BB76D8">
        <w:t>LBC</w:t>
      </w:r>
      <w:r w:rsidRPr="00537C3C">
        <w:t xml:space="preserve"> systems, but conducted sensitivity analyses by </w:t>
      </w:r>
      <w:r w:rsidRPr="00BB76D8">
        <w:t>LBC</w:t>
      </w:r>
      <w:r w:rsidRPr="00537C3C">
        <w:t xml:space="preserve"> proprietary name.</w:t>
      </w:r>
    </w:p>
    <w:p w:rsidR="00234376" w:rsidRPr="00537C3C" w:rsidRDefault="00234376" w:rsidP="008E03A7">
      <w:r w:rsidRPr="00537C3C">
        <w:t xml:space="preserve">The </w:t>
      </w:r>
      <w:r w:rsidRPr="00BB76D8">
        <w:t>HTA</w:t>
      </w:r>
      <w:r w:rsidRPr="00537C3C">
        <w:t xml:space="preserve"> by </w:t>
      </w:r>
      <w:r w:rsidRPr="00BB76D8">
        <w:t>CADTH</w:t>
      </w:r>
      <w:r w:rsidRPr="00537C3C">
        <w:t xml:space="preserve">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 xml:space="preserve"> included a meta-analysis of unsatisfactory rates and discordant cytological classifications around an </w:t>
      </w:r>
      <w:r w:rsidRPr="00BB76D8">
        <w:t>LSIL</w:t>
      </w:r>
      <w:r w:rsidRPr="00537C3C">
        <w:t xml:space="preserve"> threshold. Data were reported separately for ThinPrep (filtration-based) and SurePath (centrifugation-based) </w:t>
      </w:r>
      <w:r w:rsidRPr="00BB76D8">
        <w:t>LBC</w:t>
      </w:r>
      <w:r w:rsidRPr="00537C3C">
        <w:t xml:space="preserve"> systems, but no other subgroup analyses were conducted. The review included 20 studies that directly compared </w:t>
      </w:r>
      <w:r w:rsidRPr="00BB76D8">
        <w:t>LBC</w:t>
      </w:r>
      <w:r w:rsidRPr="00537C3C">
        <w:t xml:space="preserve"> and conventional cytology sensitivity and specificity and 66 studies reporting unsatisfactory rates. Pooled values were derived by a Bayesian meta-analysis using a random-effects model. Most outcomes demonstrated significant between study heterogeneity. The authors noted that the rates of unsatisfactory slides reported in different studies varied with both reporting terminology and screening practices.</w:t>
      </w:r>
    </w:p>
    <w:p w:rsidR="00234376" w:rsidRPr="00537C3C" w:rsidRDefault="00234376" w:rsidP="008E03A7">
      <w:pPr>
        <w:pStyle w:val="TableNameCharChar1"/>
      </w:pPr>
      <w:bookmarkStart w:id="306" w:name="_Ref157935818"/>
      <w:bookmarkStart w:id="307" w:name="_Toc161636583"/>
      <w:bookmarkStart w:id="308" w:name="_Toc174795184"/>
      <w:bookmarkStart w:id="309" w:name="_Toc190744370"/>
      <w:bookmarkStart w:id="310" w:name="_Toc95971249"/>
      <w:r w:rsidRPr="00537C3C">
        <w:lastRenderedPageBreak/>
        <w:t xml:space="preserve">Table </w:t>
      </w:r>
      <w:fldSimple w:instr=" SEQ Table \* ARABIC ">
        <w:r w:rsidR="007D3DFF">
          <w:rPr>
            <w:noProof/>
          </w:rPr>
          <w:t>13</w:t>
        </w:r>
      </w:fldSimple>
      <w:bookmarkEnd w:id="306"/>
      <w:r w:rsidRPr="00537C3C">
        <w:tab/>
        <w:t xml:space="preserve">Characteristics and appraisal of </w:t>
      </w:r>
      <w:bookmarkEnd w:id="307"/>
      <w:bookmarkEnd w:id="308"/>
      <w:r w:rsidRPr="00537C3C">
        <w:t xml:space="preserve">systematic reviews and </w:t>
      </w:r>
      <w:r w:rsidRPr="00BB76D8">
        <w:t>HTA</w:t>
      </w:r>
      <w:r w:rsidRPr="00537C3C">
        <w:t xml:space="preserve">s of </w:t>
      </w:r>
      <w:r w:rsidRPr="00BB76D8">
        <w:t>LBC</w:t>
      </w:r>
      <w:bookmarkEnd w:id="309"/>
      <w:r w:rsidRPr="00537C3C">
        <w:t>.</w:t>
      </w:r>
      <w:bookmarkEnd w:id="310"/>
    </w:p>
    <w:tbl>
      <w:tblPr>
        <w:tblW w:w="5000" w:type="pct"/>
        <w:tblInd w:w="750"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197"/>
        <w:gridCol w:w="2839"/>
        <w:gridCol w:w="2420"/>
        <w:gridCol w:w="2786"/>
      </w:tblGrid>
      <w:tr w:rsidR="00234376" w:rsidRPr="00537C3C">
        <w:trPr>
          <w:cantSplit/>
          <w:tblHeader/>
        </w:trPr>
        <w:tc>
          <w:tcPr>
            <w:tcW w:w="647" w:type="pct"/>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Author, year</w:t>
            </w:r>
          </w:p>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 xml:space="preserve">Country </w:t>
            </w:r>
          </w:p>
        </w:tc>
        <w:tc>
          <w:tcPr>
            <w:tcW w:w="1536" w:type="pct"/>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Objective &amp; methods</w:t>
            </w:r>
          </w:p>
        </w:tc>
        <w:tc>
          <w:tcPr>
            <w:tcW w:w="1309" w:type="pct"/>
          </w:tcPr>
          <w:p w:rsidR="00234376" w:rsidRPr="00537C3C" w:rsidRDefault="00234376" w:rsidP="00600AC0">
            <w:pPr>
              <w:pStyle w:val="TableText0"/>
            </w:pPr>
            <w:r w:rsidRPr="00537C3C">
              <w:t>Included studies</w:t>
            </w:r>
          </w:p>
          <w:p w:rsidR="00234376" w:rsidRDefault="00234376" w:rsidP="00600AC0">
            <w:pPr>
              <w:pStyle w:val="TableText0"/>
              <w:rPr>
                <w:b/>
              </w:rPr>
            </w:pPr>
          </w:p>
          <w:p w:rsidR="00234376" w:rsidRPr="00537C3C" w:rsidRDefault="00234376" w:rsidP="008E03A7">
            <w:pPr>
              <w:pStyle w:val="TableText0"/>
              <w:rPr>
                <w:b/>
              </w:rPr>
            </w:pPr>
            <w:r w:rsidRPr="00537C3C">
              <w:rPr>
                <w:rFonts w:ascii="Arial Narrow" w:hAnsi="Arial Narrow"/>
                <w:b/>
                <w:bCs/>
                <w:sz w:val="20"/>
              </w:rPr>
              <w:t>Outcomes</w:t>
            </w:r>
          </w:p>
        </w:tc>
        <w:tc>
          <w:tcPr>
            <w:tcW w:w="1507" w:type="pct"/>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 xml:space="preserve">Quality assessment of review </w:t>
            </w:r>
          </w:p>
        </w:tc>
      </w:tr>
      <w:tr w:rsidR="00234376" w:rsidRPr="00537C3C">
        <w:trPr>
          <w:cantSplit/>
        </w:trPr>
        <w:tc>
          <w:tcPr>
            <w:tcW w:w="647" w:type="pct"/>
          </w:tcPr>
          <w:p w:rsidR="00234376" w:rsidRPr="00537C3C" w:rsidRDefault="00234376" w:rsidP="008E03A7">
            <w:pPr>
              <w:pStyle w:val="TableText"/>
              <w:rPr>
                <w:b/>
                <w:bCs/>
                <w:szCs w:val="18"/>
              </w:rPr>
            </w:pPr>
            <w:r w:rsidRPr="00537C3C">
              <w:rPr>
                <w:b/>
                <w:bCs/>
                <w:szCs w:val="18"/>
              </w:rPr>
              <w:t>Arbyn et al. 2008</w:t>
            </w:r>
          </w:p>
          <w:p w:rsidR="00234376" w:rsidRPr="00537C3C" w:rsidRDefault="00234376" w:rsidP="008E03A7">
            <w:pPr>
              <w:pStyle w:val="TableText"/>
              <w:rPr>
                <w:bCs/>
                <w:szCs w:val="18"/>
              </w:rPr>
            </w:pPr>
          </w:p>
          <w:p w:rsidR="00234376" w:rsidRPr="00537C3C" w:rsidRDefault="00234376" w:rsidP="008E03A7">
            <w:pPr>
              <w:pStyle w:val="TableText"/>
              <w:rPr>
                <w:bCs/>
                <w:szCs w:val="18"/>
              </w:rPr>
            </w:pPr>
            <w:smartTag w:uri="urn:schemas-microsoft-com:office:smarttags" w:element="place">
              <w:smartTag w:uri="urn:schemas-microsoft-com:office:smarttags" w:element="country-region">
                <w:r w:rsidRPr="00537C3C">
                  <w:rPr>
                    <w:bCs/>
                    <w:szCs w:val="18"/>
                  </w:rPr>
                  <w:t>Belgi</w:t>
                </w:r>
                <w:r w:rsidR="00772C61">
                  <w:rPr>
                    <w:bCs/>
                    <w:szCs w:val="18"/>
                  </w:rPr>
                  <w:t>u</w:t>
                </w:r>
                <w:r w:rsidRPr="00537C3C">
                  <w:rPr>
                    <w:bCs/>
                    <w:szCs w:val="18"/>
                  </w:rPr>
                  <w:t>m</w:t>
                </w:r>
              </w:smartTag>
            </w:smartTag>
          </w:p>
          <w:p w:rsidR="00234376" w:rsidRPr="00537C3C" w:rsidRDefault="00234376" w:rsidP="008E03A7">
            <w:pPr>
              <w:pStyle w:val="TableText"/>
            </w:pPr>
          </w:p>
        </w:tc>
        <w:tc>
          <w:tcPr>
            <w:tcW w:w="1536" w:type="pct"/>
          </w:tcPr>
          <w:p w:rsidR="00234376" w:rsidRPr="00537C3C" w:rsidRDefault="00234376" w:rsidP="008E03A7">
            <w:pPr>
              <w:pStyle w:val="TableText"/>
            </w:pPr>
            <w:r w:rsidRPr="00537C3C">
              <w:rPr>
                <w:b/>
              </w:rPr>
              <w:t>Objective:</w:t>
            </w:r>
            <w:r w:rsidRPr="00537C3C">
              <w:t xml:space="preserve"> To compare accuracy of conventional Pap and </w:t>
            </w:r>
            <w:r w:rsidRPr="00BB76D8">
              <w:t>LBC</w:t>
            </w:r>
            <w:r w:rsidRPr="00537C3C">
              <w:t xml:space="preserve"> cervical samples</w:t>
            </w:r>
          </w:p>
          <w:p w:rsidR="00234376" w:rsidRPr="00537C3C" w:rsidRDefault="00234376" w:rsidP="008E03A7">
            <w:pPr>
              <w:pStyle w:val="TableText"/>
              <w:rPr>
                <w:b/>
              </w:rPr>
            </w:pPr>
            <w:r w:rsidRPr="00537C3C">
              <w:rPr>
                <w:b/>
              </w:rPr>
              <w:t>Literature review:</w:t>
            </w:r>
          </w:p>
          <w:p w:rsidR="00234376" w:rsidRPr="00537C3C" w:rsidRDefault="00234376" w:rsidP="00600AC0">
            <w:pPr>
              <w:numPr>
                <w:ilvl w:val="0"/>
                <w:numId w:val="4"/>
              </w:numPr>
              <w:tabs>
                <w:tab w:val="num" w:pos="360"/>
              </w:tabs>
              <w:autoSpaceDE w:val="0"/>
              <w:autoSpaceDN w:val="0"/>
              <w:adjustRightInd w:val="0"/>
              <w:spacing w:before="40" w:after="0"/>
              <w:ind w:left="181" w:hanging="136"/>
              <w:rPr>
                <w:rFonts w:ascii="Arial Narrow" w:hAnsi="Arial Narrow"/>
                <w:sz w:val="18"/>
              </w:rPr>
            </w:pPr>
            <w:bookmarkStart w:id="311" w:name="OLE_LINK140"/>
            <w:bookmarkStart w:id="312" w:name="OLE_LINK141"/>
            <w:r w:rsidRPr="00537C3C">
              <w:rPr>
                <w:rFonts w:ascii="Arial Narrow" w:hAnsi="Arial Narrow"/>
                <w:sz w:val="18"/>
              </w:rPr>
              <w:t>PubMed</w:t>
            </w:r>
            <w:bookmarkEnd w:id="311"/>
            <w:bookmarkEnd w:id="312"/>
            <w:r w:rsidRPr="00537C3C">
              <w:rPr>
                <w:rFonts w:ascii="Arial Narrow" w:hAnsi="Arial Narrow"/>
                <w:sz w:val="18"/>
              </w:rPr>
              <w:t xml:space="preserve"> (MEDLINE &amp; PreMEDLINE) &amp; EMBASE Jan 1991 to May 2007</w:t>
            </w:r>
          </w:p>
          <w:p w:rsidR="00234376" w:rsidRPr="00537C3C" w:rsidRDefault="00234376" w:rsidP="00600AC0">
            <w:pPr>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 xml:space="preserve">Table of contents of 5 gynecologic </w:t>
            </w:r>
            <w:r w:rsidRPr="00537C3C">
              <w:rPr>
                <w:rFonts w:ascii="Arial Narrow" w:hAnsi="Arial Narrow"/>
                <w:bCs/>
                <w:sz w:val="18"/>
                <w:szCs w:val="18"/>
              </w:rPr>
              <w:t xml:space="preserve">&amp; 4 cytopathology </w:t>
            </w:r>
            <w:r w:rsidRPr="00537C3C">
              <w:rPr>
                <w:rFonts w:ascii="Arial Narrow" w:hAnsi="Arial Narrow"/>
                <w:sz w:val="18"/>
              </w:rPr>
              <w:t>journals</w:t>
            </w:r>
          </w:p>
          <w:p w:rsidR="00234376" w:rsidRPr="00537C3C" w:rsidRDefault="00234376" w:rsidP="00600AC0">
            <w:pPr>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Reference lists</w:t>
            </w:r>
          </w:p>
          <w:p w:rsidR="00234376" w:rsidRPr="00537C3C" w:rsidRDefault="00234376" w:rsidP="008E03A7">
            <w:pPr>
              <w:pStyle w:val="TableText"/>
              <w:rPr>
                <w:b/>
              </w:rPr>
            </w:pPr>
            <w:r w:rsidRPr="00537C3C">
              <w:br/>
            </w:r>
            <w:r w:rsidRPr="00537C3C">
              <w:rPr>
                <w:b/>
              </w:rPr>
              <w:t>Inclusio</w:t>
            </w:r>
            <w:r w:rsidRPr="00A316F5">
              <w:rPr>
                <w:b/>
              </w:rPr>
              <w:t>n/</w:t>
            </w:r>
            <w:r w:rsidRPr="00537C3C">
              <w:rPr>
                <w:b/>
              </w:rPr>
              <w:t>exclusion criteria:</w:t>
            </w:r>
          </w:p>
          <w:p w:rsidR="00234376" w:rsidRPr="00537C3C" w:rsidRDefault="00234376" w:rsidP="008E03A7">
            <w:pPr>
              <w:pStyle w:val="TableText"/>
              <w:ind w:hanging="1080"/>
            </w:pPr>
            <w:r w:rsidRPr="00537C3C">
              <w:rPr>
                <w:i/>
              </w:rPr>
              <w:t>Study design:</w:t>
            </w:r>
            <w:r w:rsidRPr="00537C3C">
              <w:t xml:space="preserve"> •</w:t>
            </w:r>
            <w:r w:rsidRPr="00537C3C">
              <w:tab/>
            </w:r>
            <w:r w:rsidRPr="00537C3C">
              <w:rPr>
                <w:i/>
              </w:rPr>
              <w:t xml:space="preserve">Study design: </w:t>
            </w:r>
            <w:r w:rsidRPr="00537C3C">
              <w:t>Comparative studies (concomitant split-sample or direct-to-vial, or 2-cohort design)</w:t>
            </w:r>
          </w:p>
          <w:p w:rsidR="00234376" w:rsidRPr="00537C3C" w:rsidRDefault="00234376" w:rsidP="008E03A7">
            <w:pPr>
              <w:pStyle w:val="TableText"/>
              <w:ind w:hanging="1080"/>
            </w:pPr>
            <w:r w:rsidRPr="00537C3C">
              <w:t>•</w:t>
            </w:r>
            <w:r w:rsidRPr="00537C3C">
              <w:tab/>
            </w:r>
            <w:r w:rsidRPr="00537C3C">
              <w:rPr>
                <w:i/>
              </w:rPr>
              <w:t>Reference standard:</w:t>
            </w:r>
            <w:r w:rsidRPr="00537C3C">
              <w:t xml:space="preserve"> All subjects receive reference standard verification by colposcopy ± biopsy for </w:t>
            </w:r>
            <w:r w:rsidRPr="00BB76D8">
              <w:t>CIN</w:t>
            </w:r>
            <w:r w:rsidRPr="00537C3C">
              <w:t xml:space="preserve"> 2+, if indicated; OR </w:t>
            </w:r>
            <w:bookmarkStart w:id="313" w:name="OLE_LINK142"/>
            <w:bookmarkStart w:id="314" w:name="OLE_LINK143"/>
            <w:r w:rsidRPr="00BB76D8">
              <w:t>RCT</w:t>
            </w:r>
            <w:r w:rsidRPr="00537C3C">
              <w:t xml:space="preserve">s </w:t>
            </w:r>
            <w:bookmarkEnd w:id="313"/>
            <w:bookmarkEnd w:id="314"/>
            <w:r w:rsidRPr="00537C3C">
              <w:t>with ≥ 90% complete follow-up confirmation of positive women</w:t>
            </w:r>
          </w:p>
          <w:p w:rsidR="00234376" w:rsidRPr="00537C3C" w:rsidRDefault="00234376" w:rsidP="008E03A7">
            <w:pPr>
              <w:pStyle w:val="TableText"/>
            </w:pPr>
            <w:r w:rsidRPr="00537C3C">
              <w:rPr>
                <w:i/>
              </w:rPr>
              <w:t>Intervention:</w:t>
            </w:r>
            <w:r w:rsidRPr="00537C3C">
              <w:t xml:space="preserve"> </w:t>
            </w:r>
            <w:r w:rsidRPr="00BB76D8">
              <w:t>LBC</w:t>
            </w:r>
          </w:p>
          <w:p w:rsidR="00234376" w:rsidRPr="00537C3C" w:rsidRDefault="00234376" w:rsidP="008E03A7">
            <w:pPr>
              <w:pStyle w:val="TableText"/>
            </w:pPr>
            <w:r w:rsidRPr="00537C3C">
              <w:rPr>
                <w:i/>
              </w:rPr>
              <w:t>Comparator:</w:t>
            </w:r>
            <w:r w:rsidRPr="00537C3C">
              <w:t xml:space="preserve"> Conventional Pap</w:t>
            </w:r>
          </w:p>
          <w:p w:rsidR="00234376" w:rsidRPr="00537C3C" w:rsidRDefault="00234376" w:rsidP="008E03A7">
            <w:pPr>
              <w:pStyle w:val="TableText"/>
              <w:rPr>
                <w:i/>
              </w:rPr>
            </w:pPr>
            <w:r w:rsidRPr="00537C3C">
              <w:rPr>
                <w:i/>
              </w:rPr>
              <w:t xml:space="preserve">Language: </w:t>
            </w:r>
            <w:r w:rsidRPr="00537C3C">
              <w:t>No language restrictions</w:t>
            </w:r>
          </w:p>
        </w:tc>
        <w:tc>
          <w:tcPr>
            <w:tcW w:w="1309" w:type="pct"/>
          </w:tcPr>
          <w:p w:rsidR="00234376" w:rsidRPr="00537C3C" w:rsidRDefault="00234376" w:rsidP="008E03A7">
            <w:pPr>
              <w:pStyle w:val="TableText"/>
              <w:rPr>
                <w:b/>
              </w:rPr>
            </w:pPr>
            <w:r w:rsidRPr="00537C3C">
              <w:rPr>
                <w:b/>
              </w:rPr>
              <w:t>9 primary studies</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7 studies with concomitant testing (4 split-sample)</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1 two-cohort study</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 xml:space="preserve">1 </w:t>
            </w:r>
            <w:r w:rsidRPr="00BB76D8">
              <w:rPr>
                <w:rFonts w:ascii="Arial Narrow" w:hAnsi="Arial Narrow"/>
                <w:sz w:val="18"/>
              </w:rPr>
              <w:t>RCT</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pPr>
            <w:r w:rsidRPr="00537C3C">
              <w:rPr>
                <w:rFonts w:ascii="Arial Narrow" w:hAnsi="Arial Narrow"/>
                <w:sz w:val="18"/>
              </w:rPr>
              <w:t xml:space="preserve">6 ThinPrep, 1 AutoCyte, 1 </w:t>
            </w:r>
            <w:r w:rsidRPr="00BB76D8">
              <w:rPr>
                <w:rFonts w:ascii="Arial Narrow" w:hAnsi="Arial Narrow"/>
                <w:sz w:val="18"/>
              </w:rPr>
              <w:t>DNA</w:t>
            </w:r>
            <w:r w:rsidRPr="00537C3C">
              <w:rPr>
                <w:rFonts w:ascii="Arial Narrow" w:hAnsi="Arial Narrow"/>
                <w:sz w:val="18"/>
              </w:rPr>
              <w:t xml:space="preserve"> </w:t>
            </w:r>
            <w:bookmarkStart w:id="315" w:name="OLE_LINK144"/>
            <w:bookmarkStart w:id="316" w:name="OLE_LINK145"/>
            <w:r w:rsidRPr="00537C3C">
              <w:rPr>
                <w:rFonts w:ascii="Arial Narrow" w:hAnsi="Arial Narrow"/>
                <w:sz w:val="18"/>
              </w:rPr>
              <w:t>Citoliq</w:t>
            </w:r>
            <w:bookmarkEnd w:id="315"/>
            <w:bookmarkEnd w:id="316"/>
            <w:r w:rsidRPr="00537C3C">
              <w:rPr>
                <w:rFonts w:ascii="Arial Narrow" w:hAnsi="Arial Narrow"/>
                <w:sz w:val="18"/>
              </w:rPr>
              <w:t xml:space="preserve">, 1 </w:t>
            </w:r>
            <w:bookmarkStart w:id="317" w:name="OLE_LINK146"/>
            <w:bookmarkStart w:id="318" w:name="OLE_LINK147"/>
            <w:r w:rsidRPr="00537C3C">
              <w:rPr>
                <w:rFonts w:ascii="Arial Narrow" w:hAnsi="Arial Narrow"/>
                <w:sz w:val="18"/>
              </w:rPr>
              <w:t>CellSlide</w:t>
            </w:r>
            <w:bookmarkEnd w:id="317"/>
            <w:bookmarkEnd w:id="318"/>
          </w:p>
          <w:p w:rsidR="00234376" w:rsidRPr="00537C3C" w:rsidRDefault="00234376" w:rsidP="00600AC0">
            <w:pPr>
              <w:keepNext/>
              <w:numPr>
                <w:ilvl w:val="0"/>
                <w:numId w:val="4"/>
              </w:numPr>
              <w:tabs>
                <w:tab w:val="num" w:pos="360"/>
              </w:tabs>
              <w:autoSpaceDE w:val="0"/>
              <w:autoSpaceDN w:val="0"/>
              <w:adjustRightInd w:val="0"/>
              <w:spacing w:before="40" w:after="0"/>
              <w:ind w:left="181" w:hanging="136"/>
            </w:pPr>
            <w:r w:rsidRPr="00537C3C">
              <w:rPr>
                <w:rFonts w:ascii="Arial Narrow" w:hAnsi="Arial Narrow"/>
                <w:sz w:val="18"/>
              </w:rPr>
              <w:t>2 studies screening population</w:t>
            </w:r>
          </w:p>
          <w:p w:rsidR="00234376" w:rsidRPr="00537C3C" w:rsidRDefault="00234376" w:rsidP="008E03A7">
            <w:pPr>
              <w:keepNext/>
              <w:autoSpaceDE w:val="0"/>
              <w:autoSpaceDN w:val="0"/>
              <w:adjustRightInd w:val="0"/>
              <w:spacing w:before="40" w:after="0"/>
              <w:rPr>
                <w:rFonts w:ascii="Arial Narrow" w:hAnsi="Arial Narrow"/>
                <w:sz w:val="18"/>
              </w:rPr>
            </w:pPr>
          </w:p>
          <w:p w:rsidR="00234376" w:rsidRPr="00537C3C" w:rsidRDefault="00234376" w:rsidP="008E03A7">
            <w:pPr>
              <w:keepNext/>
              <w:autoSpaceDE w:val="0"/>
              <w:autoSpaceDN w:val="0"/>
              <w:adjustRightInd w:val="0"/>
              <w:spacing w:before="40" w:after="0"/>
              <w:ind w:left="45"/>
              <w:rPr>
                <w:b/>
              </w:rPr>
            </w:pPr>
            <w:r w:rsidRPr="00537C3C">
              <w:rPr>
                <w:rFonts w:ascii="Arial Narrow" w:hAnsi="Arial Narrow"/>
                <w:b/>
                <w:sz w:val="18"/>
              </w:rPr>
              <w:t>Outcomes</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 xml:space="preserve">Accuracy for </w:t>
            </w:r>
            <w:r w:rsidRPr="00BB76D8">
              <w:rPr>
                <w:rFonts w:ascii="Arial Narrow" w:hAnsi="Arial Narrow"/>
                <w:sz w:val="18"/>
              </w:rPr>
              <w:t>CIN</w:t>
            </w:r>
            <w:r w:rsidRPr="00537C3C">
              <w:rPr>
                <w:rFonts w:ascii="Arial Narrow" w:hAnsi="Arial Narrow"/>
                <w:sz w:val="18"/>
              </w:rPr>
              <w:t xml:space="preserve"> 2+ (absolute &amp; relative sensitivity &amp; specificity)</w:t>
            </w:r>
          </w:p>
          <w:p w:rsidR="00234376" w:rsidRPr="00537C3C" w:rsidRDefault="00234376" w:rsidP="008E03A7">
            <w:pPr>
              <w:pStyle w:val="TableText"/>
            </w:pPr>
          </w:p>
          <w:p w:rsidR="00234376" w:rsidRPr="00537C3C" w:rsidRDefault="00234376" w:rsidP="008E03A7">
            <w:pPr>
              <w:pStyle w:val="TableText"/>
              <w:ind w:hanging="1080"/>
            </w:pPr>
          </w:p>
          <w:p w:rsidR="00234376" w:rsidRPr="00537C3C" w:rsidRDefault="00234376" w:rsidP="008E03A7">
            <w:pPr>
              <w:pStyle w:val="TableText"/>
              <w:ind w:hanging="1080"/>
            </w:pPr>
          </w:p>
        </w:tc>
        <w:tc>
          <w:tcPr>
            <w:tcW w:w="1507" w:type="pct"/>
          </w:tcPr>
          <w:p w:rsidR="00234376" w:rsidRPr="00537C3C" w:rsidRDefault="00234376" w:rsidP="008E03A7">
            <w:pPr>
              <w:pStyle w:val="TableText0"/>
              <w:rPr>
                <w:rFonts w:ascii="Arial Narrow" w:hAnsi="Arial Narrow"/>
                <w:b/>
                <w:lang w:eastAsia="en-AU"/>
              </w:rPr>
            </w:pPr>
            <w:r w:rsidRPr="00537C3C">
              <w:rPr>
                <w:rFonts w:ascii="Arial Narrow" w:hAnsi="Arial Narrow"/>
                <w:b/>
                <w:lang w:eastAsia="en-AU"/>
              </w:rPr>
              <w:t>Quality: High</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Explicit review questions: yes</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Explicit &amp; appropriate eligibility criteria: yes</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Explicit &amp; comprehensive search strategy: yes</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Quality of included studies appraised: yes</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Methods of study appraisal reproducible: yes</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Heterogeneity between studies assessed: yes</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Summary of main results clear and appropriate: yes</w:t>
            </w:r>
          </w:p>
          <w:p w:rsidR="00234376" w:rsidRPr="00537C3C" w:rsidRDefault="00234376" w:rsidP="008E03A7">
            <w:pPr>
              <w:pStyle w:val="TableText0"/>
              <w:rPr>
                <w:rFonts w:ascii="Arial Narrow" w:hAnsi="Arial Narrow"/>
                <w:b/>
                <w:lang w:eastAsia="en-AU"/>
              </w:rPr>
            </w:pPr>
            <w:r w:rsidRPr="00537C3C">
              <w:rPr>
                <w:rFonts w:ascii="Arial Narrow" w:hAnsi="Arial Narrow"/>
                <w:b/>
                <w:lang w:eastAsia="en-AU"/>
              </w:rPr>
              <w:t>Applicability: high</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 xml:space="preserve">Most studies in women with previous abnormalities due to criteria for all subjects receiving high-quality reference standard, but subgroup analysis conducted. Pooled data on different </w:t>
            </w:r>
            <w:r w:rsidRPr="00BB76D8">
              <w:rPr>
                <w:rFonts w:ascii="Arial Narrow" w:hAnsi="Arial Narrow"/>
                <w:lang w:eastAsia="en-AU"/>
              </w:rPr>
              <w:t>LBC</w:t>
            </w:r>
            <w:r w:rsidRPr="00537C3C">
              <w:rPr>
                <w:rFonts w:ascii="Arial Narrow" w:hAnsi="Arial Narrow"/>
                <w:lang w:eastAsia="en-AU"/>
              </w:rPr>
              <w:t xml:space="preserve"> systems, but subgroup analysis conducted.</w:t>
            </w:r>
          </w:p>
        </w:tc>
      </w:tr>
      <w:tr w:rsidR="00234376" w:rsidRPr="00537C3C">
        <w:trPr>
          <w:cantSplit/>
        </w:trPr>
        <w:tc>
          <w:tcPr>
            <w:tcW w:w="647" w:type="pct"/>
          </w:tcPr>
          <w:p w:rsidR="00234376" w:rsidRPr="00537C3C" w:rsidRDefault="00234376" w:rsidP="008E03A7">
            <w:pPr>
              <w:pStyle w:val="TableText"/>
              <w:rPr>
                <w:b/>
              </w:rPr>
            </w:pPr>
            <w:r w:rsidRPr="00537C3C">
              <w:rPr>
                <w:b/>
              </w:rPr>
              <w:t>Krahn et al. 2008</w:t>
            </w:r>
          </w:p>
          <w:p w:rsidR="00234376" w:rsidRPr="00537C3C" w:rsidRDefault="00234376" w:rsidP="008E03A7">
            <w:pPr>
              <w:pStyle w:val="TableText"/>
              <w:rPr>
                <w:b/>
              </w:rPr>
            </w:pPr>
            <w:r w:rsidRPr="00BB76D8">
              <w:rPr>
                <w:b/>
              </w:rPr>
              <w:t>CADTH</w:t>
            </w:r>
          </w:p>
          <w:p w:rsidR="00234376" w:rsidRPr="00537C3C" w:rsidRDefault="00234376" w:rsidP="008E03A7">
            <w:pPr>
              <w:pStyle w:val="TableText"/>
            </w:pPr>
          </w:p>
          <w:p w:rsidR="00234376" w:rsidRPr="00537C3C" w:rsidRDefault="00234376" w:rsidP="008E03A7">
            <w:pPr>
              <w:pStyle w:val="TableText"/>
              <w:rPr>
                <w:b/>
              </w:rPr>
            </w:pPr>
            <w:smartTag w:uri="urn:schemas-microsoft-com:office:smarttags" w:element="place">
              <w:smartTag w:uri="urn:schemas-microsoft-com:office:smarttags" w:element="country-region">
                <w:r w:rsidRPr="00537C3C">
                  <w:t>Canada</w:t>
                </w:r>
              </w:smartTag>
            </w:smartTag>
          </w:p>
        </w:tc>
        <w:tc>
          <w:tcPr>
            <w:tcW w:w="1536" w:type="pct"/>
          </w:tcPr>
          <w:p w:rsidR="00234376" w:rsidRPr="00537C3C" w:rsidRDefault="00234376" w:rsidP="008E03A7">
            <w:pPr>
              <w:pStyle w:val="TableText"/>
            </w:pPr>
            <w:r w:rsidRPr="00537C3C">
              <w:rPr>
                <w:b/>
              </w:rPr>
              <w:t>Objective:</w:t>
            </w:r>
            <w:r w:rsidRPr="00537C3C">
              <w:t xml:space="preserve"> To assess the effectiveness and cost-effectiveness of </w:t>
            </w:r>
            <w:r w:rsidRPr="00BB76D8">
              <w:t>LBC</w:t>
            </w:r>
            <w:r w:rsidRPr="00537C3C">
              <w:t xml:space="preserve"> with and without </w:t>
            </w:r>
            <w:r w:rsidRPr="00BB76D8">
              <w:t>HPV</w:t>
            </w:r>
            <w:r w:rsidRPr="00537C3C">
              <w:t xml:space="preserve"> compared to conventional cytology</w:t>
            </w:r>
          </w:p>
          <w:p w:rsidR="00234376" w:rsidRPr="00537C3C" w:rsidRDefault="00234376" w:rsidP="008E03A7">
            <w:pPr>
              <w:pStyle w:val="TableText"/>
            </w:pPr>
          </w:p>
          <w:p w:rsidR="00234376" w:rsidRPr="00537C3C" w:rsidRDefault="00234376" w:rsidP="008E03A7">
            <w:pPr>
              <w:pStyle w:val="TableText"/>
              <w:rPr>
                <w:b/>
              </w:rPr>
            </w:pPr>
            <w:r w:rsidRPr="00537C3C">
              <w:rPr>
                <w:b/>
              </w:rPr>
              <w:t>Literature review:</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bookmarkStart w:id="319" w:name="OLE_LINK148"/>
            <w:bookmarkStart w:id="320" w:name="OLE_LINK149"/>
            <w:r w:rsidRPr="00537C3C">
              <w:rPr>
                <w:rFonts w:ascii="Arial Narrow" w:hAnsi="Arial Narrow"/>
                <w:sz w:val="18"/>
              </w:rPr>
              <w:t xml:space="preserve">BIOSIS </w:t>
            </w:r>
            <w:bookmarkEnd w:id="319"/>
            <w:bookmarkEnd w:id="320"/>
            <w:r w:rsidRPr="00537C3C">
              <w:rPr>
                <w:rFonts w:ascii="Arial Narrow" w:hAnsi="Arial Narrow"/>
                <w:sz w:val="18"/>
              </w:rPr>
              <w:t xml:space="preserve">Previews, </w:t>
            </w:r>
            <w:bookmarkStart w:id="321" w:name="OLE_LINK150"/>
            <w:bookmarkStart w:id="322" w:name="OLE_LINK151"/>
            <w:r w:rsidRPr="00537C3C">
              <w:rPr>
                <w:rFonts w:ascii="Arial Narrow" w:hAnsi="Arial Narrow"/>
                <w:sz w:val="18"/>
              </w:rPr>
              <w:t>CancerLit</w:t>
            </w:r>
            <w:bookmarkEnd w:id="321"/>
            <w:bookmarkEnd w:id="322"/>
            <w:r w:rsidRPr="00537C3C">
              <w:rPr>
                <w:rFonts w:ascii="Arial Narrow" w:hAnsi="Arial Narrow"/>
                <w:sz w:val="18"/>
              </w:rPr>
              <w:t>, EMBASE, MEDLINE, Cochrane Library Nov 2002 to June 2006</w:t>
            </w:r>
          </w:p>
          <w:p w:rsidR="00234376" w:rsidRPr="00537C3C" w:rsidRDefault="00234376" w:rsidP="008E03A7">
            <w:pPr>
              <w:pStyle w:val="TableText"/>
              <w:rPr>
                <w:b/>
              </w:rPr>
            </w:pPr>
            <w:r w:rsidRPr="00537C3C">
              <w:br/>
            </w:r>
            <w:r w:rsidRPr="00537C3C">
              <w:rPr>
                <w:b/>
              </w:rPr>
              <w:t>Inclusio</w:t>
            </w:r>
            <w:r w:rsidRPr="00A316F5">
              <w:rPr>
                <w:b/>
              </w:rPr>
              <w:t>n/</w:t>
            </w:r>
            <w:r w:rsidRPr="00537C3C">
              <w:rPr>
                <w:b/>
              </w:rPr>
              <w:t>exclusion criteria:</w:t>
            </w:r>
          </w:p>
          <w:p w:rsidR="00234376" w:rsidRPr="00537C3C" w:rsidRDefault="00234376" w:rsidP="008E03A7">
            <w:pPr>
              <w:pStyle w:val="TableText"/>
              <w:ind w:hanging="1080"/>
            </w:pPr>
            <w:r w:rsidRPr="00537C3C">
              <w:rPr>
                <w:i/>
              </w:rPr>
              <w:t>Study design:</w:t>
            </w:r>
            <w:r w:rsidRPr="00537C3C">
              <w:t xml:space="preserve"> •</w:t>
            </w:r>
            <w:r w:rsidRPr="00537C3C">
              <w:tab/>
            </w:r>
            <w:r w:rsidRPr="00537C3C">
              <w:rPr>
                <w:i/>
              </w:rPr>
              <w:t xml:space="preserve">Study design: </w:t>
            </w:r>
            <w:r w:rsidRPr="00537C3C">
              <w:t xml:space="preserve">Systematic reviews, </w:t>
            </w:r>
            <w:r w:rsidRPr="00BB76D8">
              <w:t>HTA</w:t>
            </w:r>
            <w:r w:rsidRPr="00537C3C">
              <w:t>s or primary studies with direct comparison</w:t>
            </w:r>
          </w:p>
          <w:p w:rsidR="00234376" w:rsidRPr="00537C3C" w:rsidRDefault="00234376" w:rsidP="008E03A7">
            <w:pPr>
              <w:pStyle w:val="TableText"/>
              <w:ind w:hanging="1080"/>
            </w:pPr>
            <w:r w:rsidRPr="00537C3C">
              <w:t>•</w:t>
            </w:r>
            <w:r w:rsidRPr="00537C3C">
              <w:tab/>
            </w:r>
            <w:r w:rsidRPr="00537C3C">
              <w:rPr>
                <w:i/>
              </w:rPr>
              <w:t>Intervention:</w:t>
            </w:r>
            <w:r w:rsidRPr="00537C3C">
              <w:t xml:space="preserve"> </w:t>
            </w:r>
            <w:r w:rsidRPr="00BB76D8">
              <w:t>LBC</w:t>
            </w:r>
          </w:p>
          <w:p w:rsidR="00234376" w:rsidRPr="00537C3C" w:rsidRDefault="00234376" w:rsidP="008E03A7">
            <w:pPr>
              <w:pStyle w:val="TableText"/>
            </w:pPr>
            <w:r w:rsidRPr="00537C3C">
              <w:rPr>
                <w:i/>
              </w:rPr>
              <w:t>Comparator:</w:t>
            </w:r>
            <w:r w:rsidRPr="00537C3C">
              <w:t xml:space="preserve"> Conventional Pap</w:t>
            </w:r>
          </w:p>
        </w:tc>
        <w:tc>
          <w:tcPr>
            <w:tcW w:w="1309" w:type="pct"/>
          </w:tcPr>
          <w:p w:rsidR="00234376" w:rsidRPr="00537C3C" w:rsidRDefault="00234376" w:rsidP="008E03A7">
            <w:pPr>
              <w:keepNext/>
              <w:autoSpaceDE w:val="0"/>
              <w:autoSpaceDN w:val="0"/>
              <w:adjustRightInd w:val="0"/>
              <w:spacing w:before="40" w:after="40"/>
              <w:ind w:left="0"/>
              <w:rPr>
                <w:rFonts w:ascii="Arial Narrow" w:hAnsi="Arial Narrow"/>
                <w:b/>
                <w:sz w:val="18"/>
              </w:rPr>
            </w:pPr>
            <w:r w:rsidRPr="00537C3C">
              <w:rPr>
                <w:rFonts w:ascii="Arial Narrow" w:hAnsi="Arial Narrow"/>
                <w:b/>
                <w:sz w:val="18"/>
              </w:rPr>
              <w:t>21 secondary studies</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 xml:space="preserve">19 </w:t>
            </w:r>
            <w:r w:rsidRPr="00BB76D8">
              <w:rPr>
                <w:rFonts w:ascii="Arial Narrow" w:hAnsi="Arial Narrow"/>
                <w:sz w:val="18"/>
              </w:rPr>
              <w:t>HTA</w:t>
            </w:r>
            <w:r w:rsidRPr="00537C3C">
              <w:rPr>
                <w:rFonts w:ascii="Arial Narrow" w:hAnsi="Arial Narrow"/>
                <w:sz w:val="18"/>
              </w:rPr>
              <w:t>s/systematic reviews/economic evaluations identified in update</w:t>
            </w:r>
          </w:p>
          <w:p w:rsidR="00234376" w:rsidRPr="00537C3C" w:rsidRDefault="00234376" w:rsidP="008E03A7">
            <w:pPr>
              <w:keepNext/>
              <w:autoSpaceDE w:val="0"/>
              <w:autoSpaceDN w:val="0"/>
              <w:adjustRightInd w:val="0"/>
              <w:spacing w:before="40" w:after="40"/>
              <w:ind w:left="0"/>
              <w:rPr>
                <w:rFonts w:ascii="Arial Narrow" w:hAnsi="Arial Narrow"/>
                <w:sz w:val="18"/>
              </w:rPr>
            </w:pPr>
          </w:p>
          <w:p w:rsidR="00234376" w:rsidRPr="00537C3C" w:rsidRDefault="00234376" w:rsidP="008E03A7">
            <w:pPr>
              <w:keepNext/>
              <w:autoSpaceDE w:val="0"/>
              <w:autoSpaceDN w:val="0"/>
              <w:adjustRightInd w:val="0"/>
              <w:spacing w:before="40" w:after="40"/>
              <w:ind w:left="0"/>
              <w:rPr>
                <w:rFonts w:ascii="Arial Narrow" w:hAnsi="Arial Narrow"/>
                <w:b/>
                <w:sz w:val="18"/>
              </w:rPr>
            </w:pPr>
            <w:r w:rsidRPr="00537C3C">
              <w:rPr>
                <w:rFonts w:ascii="Arial Narrow" w:hAnsi="Arial Narrow"/>
                <w:b/>
                <w:sz w:val="18"/>
              </w:rPr>
              <w:t>108 primary studies</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44 identified in update</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20 direct comparison studies</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 xml:space="preserve">49 </w:t>
            </w:r>
            <w:r w:rsidRPr="00BB76D8">
              <w:rPr>
                <w:rFonts w:ascii="Arial Narrow" w:hAnsi="Arial Narrow"/>
                <w:sz w:val="18"/>
              </w:rPr>
              <w:t>LBC</w:t>
            </w:r>
            <w:r w:rsidRPr="00537C3C">
              <w:rPr>
                <w:rFonts w:ascii="Arial Narrow" w:hAnsi="Arial Narrow"/>
                <w:sz w:val="18"/>
              </w:rPr>
              <w:t xml:space="preserve"> studies</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47 split-sample</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31 two-cohort studies</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66 studies with unsatisfactory rate</w:t>
            </w:r>
          </w:p>
        </w:tc>
        <w:tc>
          <w:tcPr>
            <w:tcW w:w="1507" w:type="pct"/>
          </w:tcPr>
          <w:p w:rsidR="00234376" w:rsidRPr="00537C3C" w:rsidRDefault="00234376" w:rsidP="008E03A7">
            <w:pPr>
              <w:pStyle w:val="TableText0"/>
              <w:rPr>
                <w:rFonts w:ascii="Arial Narrow" w:hAnsi="Arial Narrow"/>
                <w:b/>
                <w:lang w:eastAsia="en-AU"/>
              </w:rPr>
            </w:pPr>
            <w:r w:rsidRPr="00537C3C">
              <w:rPr>
                <w:rFonts w:ascii="Arial Narrow" w:hAnsi="Arial Narrow"/>
                <w:b/>
                <w:lang w:eastAsia="en-AU"/>
              </w:rPr>
              <w:t>Quality: high (accuracy), fair (unsatisfactory rates)</w:t>
            </w:r>
          </w:p>
          <w:p w:rsidR="00234376" w:rsidRPr="00537C3C" w:rsidRDefault="00234376" w:rsidP="008E03A7">
            <w:pPr>
              <w:keepNext/>
              <w:spacing w:before="40" w:after="40"/>
              <w:ind w:left="0"/>
              <w:rPr>
                <w:rFonts w:ascii="Arial Narrow" w:hAnsi="Arial Narrow"/>
                <w:sz w:val="18"/>
                <w:lang w:eastAsia="en-AU"/>
              </w:rPr>
            </w:pPr>
            <w:r w:rsidRPr="00537C3C">
              <w:rPr>
                <w:rFonts w:ascii="Arial Narrow" w:hAnsi="Arial Narrow"/>
                <w:sz w:val="18"/>
                <w:lang w:eastAsia="en-AU"/>
              </w:rPr>
              <w:t>Explicit review questions: yes</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Explicit &amp; appropriate eligibility criteria: yes</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Explicit &amp; comprehensive search strategy: yes</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Quality of included studies appraised: yes</w:t>
            </w:r>
          </w:p>
          <w:p w:rsidR="00234376" w:rsidRPr="00537C3C" w:rsidRDefault="00234376" w:rsidP="008E03A7">
            <w:pPr>
              <w:pStyle w:val="TableText0"/>
              <w:rPr>
                <w:rFonts w:ascii="Arial Narrow" w:hAnsi="Arial Narrow"/>
                <w:lang w:eastAsia="en-AU"/>
              </w:rPr>
            </w:pPr>
            <w:r w:rsidRPr="00537C3C">
              <w:rPr>
                <w:rFonts w:ascii="Arial Narrow" w:hAnsi="Arial Narrow"/>
                <w:lang w:eastAsia="en-AU"/>
              </w:rPr>
              <w:t>Methods of study appraisal reproducible: yes</w:t>
            </w:r>
          </w:p>
          <w:p w:rsidR="00234376" w:rsidRPr="00537C3C" w:rsidRDefault="00234376" w:rsidP="008E03A7">
            <w:pPr>
              <w:keepNext/>
              <w:spacing w:before="40" w:after="40"/>
              <w:ind w:left="0"/>
              <w:rPr>
                <w:rFonts w:ascii="Arial Narrow" w:hAnsi="Arial Narrow"/>
                <w:sz w:val="18"/>
                <w:lang w:eastAsia="en-AU"/>
              </w:rPr>
            </w:pPr>
            <w:r w:rsidRPr="00537C3C">
              <w:rPr>
                <w:rFonts w:ascii="Arial Narrow" w:hAnsi="Arial Narrow"/>
                <w:sz w:val="18"/>
                <w:lang w:eastAsia="en-AU"/>
              </w:rPr>
              <w:t>Heterogeneity between studies assessed: accuracy studies yes, unsatisfactory rates no</w:t>
            </w:r>
          </w:p>
          <w:p w:rsidR="00234376" w:rsidRPr="00537C3C" w:rsidRDefault="00234376" w:rsidP="008E03A7">
            <w:pPr>
              <w:keepNext/>
              <w:spacing w:before="40" w:after="40"/>
              <w:ind w:left="0"/>
              <w:rPr>
                <w:rFonts w:ascii="Arial Narrow" w:hAnsi="Arial Narrow"/>
                <w:sz w:val="18"/>
                <w:lang w:eastAsia="en-AU"/>
              </w:rPr>
            </w:pPr>
            <w:r w:rsidRPr="00537C3C">
              <w:rPr>
                <w:rFonts w:ascii="Arial Narrow" w:hAnsi="Arial Narrow"/>
                <w:sz w:val="18"/>
                <w:lang w:eastAsia="en-AU"/>
              </w:rPr>
              <w:t>Summary of main results clear and appropriate: yes</w:t>
            </w:r>
          </w:p>
          <w:p w:rsidR="00234376" w:rsidRPr="00537C3C" w:rsidRDefault="00234376" w:rsidP="008E03A7">
            <w:pPr>
              <w:pStyle w:val="TableText0"/>
              <w:rPr>
                <w:rFonts w:ascii="Arial Narrow" w:hAnsi="Arial Narrow"/>
                <w:b/>
                <w:lang w:eastAsia="en-AU"/>
              </w:rPr>
            </w:pPr>
            <w:r w:rsidRPr="00537C3C">
              <w:rPr>
                <w:rFonts w:ascii="Arial Narrow" w:hAnsi="Arial Narrow"/>
                <w:b/>
                <w:lang w:eastAsia="en-AU"/>
              </w:rPr>
              <w:t>Applicability: limited (unsatisfactory rates)</w:t>
            </w:r>
          </w:p>
          <w:p w:rsidR="00234376" w:rsidRPr="00537C3C" w:rsidRDefault="00234376" w:rsidP="008E03A7">
            <w:pPr>
              <w:pStyle w:val="TableText0"/>
              <w:rPr>
                <w:rFonts w:ascii="Arial Narrow" w:hAnsi="Arial Narrow" w:cs="Garamond"/>
                <w:szCs w:val="18"/>
                <w:lang w:eastAsia="en-AU"/>
              </w:rPr>
            </w:pPr>
            <w:r w:rsidRPr="00537C3C">
              <w:rPr>
                <w:rFonts w:ascii="Arial Narrow" w:hAnsi="Arial Narrow" w:cs="Garamond"/>
                <w:szCs w:val="18"/>
                <w:lang w:eastAsia="en-AU"/>
              </w:rPr>
              <w:t xml:space="preserve">Non-comparative studies included. </w:t>
            </w:r>
            <w:r w:rsidRPr="00BB76D8">
              <w:rPr>
                <w:rFonts w:ascii="Arial Narrow" w:hAnsi="Arial Narrow" w:cs="Garamond"/>
                <w:szCs w:val="18"/>
                <w:lang w:eastAsia="en-AU"/>
              </w:rPr>
              <w:t>LBC</w:t>
            </w:r>
            <w:r w:rsidRPr="00537C3C">
              <w:rPr>
                <w:rFonts w:ascii="Arial Narrow" w:hAnsi="Arial Narrow" w:cs="Garamond"/>
                <w:szCs w:val="18"/>
                <w:lang w:eastAsia="en-AU"/>
              </w:rPr>
              <w:t xml:space="preserve"> manufacturer data reported separately, however no subgroup analyses by study desig</w:t>
            </w:r>
            <w:r w:rsidRPr="00A316F5">
              <w:rPr>
                <w:rFonts w:ascii="Arial Narrow" w:hAnsi="Arial Narrow" w:cs="Garamond"/>
                <w:szCs w:val="18"/>
                <w:lang w:eastAsia="en-AU"/>
              </w:rPr>
              <w:t>n/</w:t>
            </w:r>
            <w:r w:rsidRPr="00537C3C">
              <w:rPr>
                <w:rFonts w:ascii="Arial Narrow" w:hAnsi="Arial Narrow" w:cs="Garamond"/>
                <w:szCs w:val="18"/>
                <w:lang w:eastAsia="en-AU"/>
              </w:rPr>
              <w:t xml:space="preserve"> setting/ quality conducted. </w:t>
            </w:r>
          </w:p>
        </w:tc>
      </w:tr>
    </w:tbl>
    <w:p w:rsidR="00234376" w:rsidRPr="00537C3C" w:rsidRDefault="00234376" w:rsidP="008E03A7">
      <w:bookmarkStart w:id="323" w:name="_Ref212954754"/>
    </w:p>
    <w:p w:rsidR="00234376" w:rsidRPr="00537C3C" w:rsidRDefault="00234376" w:rsidP="008E03A7">
      <w:pPr>
        <w:pStyle w:val="Heading2"/>
      </w:pPr>
      <w:bookmarkStart w:id="324" w:name="_Toc95971082"/>
      <w:bookmarkStart w:id="325" w:name="_Toc241658181"/>
      <w:r w:rsidRPr="00537C3C">
        <w:lastRenderedPageBreak/>
        <w:t>Test accuracy</w:t>
      </w:r>
      <w:bookmarkEnd w:id="323"/>
      <w:bookmarkEnd w:id="324"/>
      <w:bookmarkEnd w:id="325"/>
    </w:p>
    <w:p w:rsidR="00234376" w:rsidRPr="00537C3C" w:rsidRDefault="00234376" w:rsidP="008E03A7">
      <w:pPr>
        <w:keepNext/>
        <w:keepLines/>
      </w:pPr>
      <w:r w:rsidRPr="00537C3C">
        <w:t xml:space="preserve">The pooled absolute and relative sensitivities and specificities and the </w:t>
      </w:r>
      <w:bookmarkStart w:id="326" w:name="OLE_LINK576"/>
      <w:bookmarkStart w:id="327" w:name="OLE_LINK577"/>
      <w:r w:rsidRPr="006C24DD">
        <w:t>diagnostic odds ratio</w:t>
      </w:r>
      <w:bookmarkEnd w:id="326"/>
      <w:bookmarkEnd w:id="327"/>
      <w:r w:rsidRPr="006C24DD">
        <w:t>s (</w:t>
      </w:r>
      <w:bookmarkStart w:id="328" w:name="OLE_LINK152"/>
      <w:bookmarkStart w:id="329" w:name="OLE_LINK153"/>
      <w:r w:rsidRPr="006C24DD">
        <w:t>DORs</w:t>
      </w:r>
      <w:bookmarkEnd w:id="328"/>
      <w:bookmarkEnd w:id="329"/>
      <w:r w:rsidRPr="006C24DD">
        <w:t>)</w:t>
      </w:r>
      <w:r w:rsidRPr="00537C3C">
        <w:t xml:space="preserve"> of </w:t>
      </w:r>
      <w:r w:rsidRPr="00BB76D8">
        <w:t>LBC</w:t>
      </w:r>
      <w:r w:rsidRPr="00537C3C">
        <w:t xml:space="preserve"> versus conventional cytology from the Arbyn et al. </w:t>
      </w:r>
      <w:r w:rsidRPr="00537C3C">
        <w:fldChar w:fldCharType="begin"/>
      </w:r>
      <w:r w:rsidRPr="00537C3C">
        <w:instrText xml:space="preserve"> ADDIN REFMGR.CITE &lt;Refman&gt;&lt;Cite ExcludeAuth="1"&gt;&lt;Author&gt;Arbyn&lt;/Author&gt;&lt;Year&gt;2008&lt;/Year&gt;&lt;RecNum&gt;5&lt;/RecNum&gt;&lt;IDText&gt;Liquid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537C3C">
        <w:fldChar w:fldCharType="separate"/>
      </w:r>
      <w:r w:rsidRPr="00537C3C">
        <w:t>(2008)</w:t>
      </w:r>
      <w:r w:rsidRPr="00537C3C">
        <w:fldChar w:fldCharType="end"/>
      </w:r>
      <w:r w:rsidRPr="00537C3C">
        <w:t xml:space="preserve"> systematic review are summarised in </w:t>
      </w:r>
      <w:r>
        <w:fldChar w:fldCharType="begin"/>
      </w:r>
      <w:r>
        <w:instrText xml:space="preserve"> REF _Ref190167406 \h  \* MERGEFORMAT </w:instrText>
      </w:r>
      <w:r>
        <w:fldChar w:fldCharType="separate"/>
      </w:r>
      <w:r w:rsidR="007D3DFF" w:rsidRPr="00537C3C">
        <w:t xml:space="preserve">Table </w:t>
      </w:r>
      <w:r w:rsidR="007D3DFF">
        <w:rPr>
          <w:noProof/>
        </w:rPr>
        <w:t>14</w:t>
      </w:r>
      <w:r>
        <w:fldChar w:fldCharType="end"/>
      </w:r>
      <w:r w:rsidRPr="00537C3C">
        <w:t xml:space="preserve">. As the test positivity threshold was lowered from </w:t>
      </w:r>
      <w:r w:rsidRPr="00BB76D8">
        <w:t>HSIL</w:t>
      </w:r>
      <w:r w:rsidRPr="00537C3C">
        <w:t xml:space="preserve">+ to </w:t>
      </w:r>
      <w:r w:rsidRPr="00BB76D8">
        <w:t>ASCUS</w:t>
      </w:r>
      <w:r w:rsidRPr="00537C3C">
        <w:t xml:space="preserve">+, the sensitivity for the detection of </w:t>
      </w:r>
      <w:r w:rsidRPr="00BB76D8">
        <w:t>CIN</w:t>
      </w:r>
      <w:r w:rsidRPr="00537C3C">
        <w:t xml:space="preserve"> 2+ increased and the specificity decreased for both test preparation methods.</w:t>
      </w:r>
    </w:p>
    <w:p w:rsidR="00234376" w:rsidRPr="00537C3C" w:rsidRDefault="00234376" w:rsidP="008E03A7">
      <w:pPr>
        <w:keepNext/>
        <w:keepLines/>
      </w:pPr>
      <w:r w:rsidRPr="00537C3C">
        <w:t xml:space="preserve">The meta-analysis demonstrated a modest non-statistically significant increase in sensitivity to detect </w:t>
      </w:r>
      <w:r w:rsidRPr="00BB76D8">
        <w:t>CIN</w:t>
      </w:r>
      <w:r w:rsidRPr="00537C3C">
        <w:t xml:space="preserve"> 2+ for </w:t>
      </w:r>
      <w:r w:rsidRPr="00BB76D8">
        <w:t>LBC</w:t>
      </w:r>
      <w:r w:rsidRPr="00537C3C">
        <w:t xml:space="preserve"> over that of conventional cytology when all studies were pooled, using three different test threshold levels (</w:t>
      </w:r>
      <w:r>
        <w:fldChar w:fldCharType="begin"/>
      </w:r>
      <w:r>
        <w:instrText xml:space="preserve"> REF _Ref190167406 \h  \* MERGEFORMAT </w:instrText>
      </w:r>
      <w:r>
        <w:fldChar w:fldCharType="separate"/>
      </w:r>
      <w:r w:rsidR="007D3DFF" w:rsidRPr="00537C3C">
        <w:t xml:space="preserve">Table </w:t>
      </w:r>
      <w:r w:rsidR="007D3DFF">
        <w:rPr>
          <w:noProof/>
        </w:rPr>
        <w:t>14</w:t>
      </w:r>
      <w:r>
        <w:fldChar w:fldCharType="end"/>
      </w:r>
      <w:r w:rsidRPr="00537C3C">
        <w:t xml:space="preserve"> and </w:t>
      </w:r>
      <w:r>
        <w:fldChar w:fldCharType="begin"/>
      </w:r>
      <w:r>
        <w:instrText xml:space="preserve"> REF _Ref191107944 \h  \* MERGEFORMAT </w:instrText>
      </w:r>
      <w:r>
        <w:fldChar w:fldCharType="separate"/>
      </w:r>
      <w:r w:rsidR="007D3DFF" w:rsidRPr="007D3DFF">
        <w:t>Figure 3</w:t>
      </w:r>
      <w:r>
        <w:fldChar w:fldCharType="end"/>
      </w:r>
      <w:r w:rsidRPr="00537C3C">
        <w:t xml:space="preserve">; </w:t>
      </w:r>
      <w:r w:rsidRPr="00BB76D8">
        <w:t>LBC</w:t>
      </w:r>
      <w:r w:rsidRPr="00537C3C">
        <w:t xml:space="preserve">:conventional sensitivity ratio </w:t>
      </w:r>
      <w:r w:rsidRPr="00BB76D8">
        <w:t>HSIL</w:t>
      </w:r>
      <w:r w:rsidRPr="00537C3C">
        <w:t>+ 1.05, 95% confidence interval [</w:t>
      </w:r>
      <w:r w:rsidRPr="00BB76D8">
        <w:t>CI</w:t>
      </w:r>
      <w:r w:rsidRPr="00537C3C">
        <w:t xml:space="preserve">] 0.95–1.16; </w:t>
      </w:r>
      <w:r w:rsidRPr="00BB76D8">
        <w:t>LSIL</w:t>
      </w:r>
      <w:r w:rsidRPr="00537C3C">
        <w:t xml:space="preserve">+ 1.03, 0.96–1.11; </w:t>
      </w:r>
      <w:r w:rsidRPr="00BB76D8">
        <w:t>pLSIL</w:t>
      </w:r>
      <w:r w:rsidRPr="00537C3C">
        <w:t>+ 1.03, 0.97–1.09). The same result was found when considering only the Italian RCT (</w:t>
      </w:r>
      <w:r w:rsidRPr="00537C3C">
        <w:fldChar w:fldCharType="begin"/>
      </w:r>
      <w:r w:rsidRPr="00537C3C">
        <w:instrText xml:space="preserve"> REF _Ref190167406 \h </w:instrText>
      </w:r>
      <w:r w:rsidRPr="00537C3C">
        <w:fldChar w:fldCharType="separate"/>
      </w:r>
      <w:r w:rsidR="007D3DFF" w:rsidRPr="00537C3C">
        <w:t xml:space="preserve">Table </w:t>
      </w:r>
      <w:r w:rsidR="007D3DFF">
        <w:rPr>
          <w:noProof/>
        </w:rPr>
        <w:t>14</w:t>
      </w:r>
      <w:r w:rsidRPr="00537C3C">
        <w:fldChar w:fldCharType="end"/>
      </w:r>
      <w:r w:rsidRPr="00537C3C">
        <w:t xml:space="preserve">; </w:t>
      </w:r>
      <w:r w:rsidRPr="00BB76D8">
        <w:t>LBC</w:t>
      </w:r>
      <w:r w:rsidRPr="00537C3C">
        <w:t xml:space="preserve">:conventional sensitivity ratio </w:t>
      </w:r>
      <w:r w:rsidRPr="00BB76D8">
        <w:t>HSIL</w:t>
      </w:r>
      <w:r w:rsidRPr="00537C3C">
        <w:t>+ 1.07, 95%</w:t>
      </w:r>
      <w:r w:rsidRPr="00BB76D8">
        <w:t>CI</w:t>
      </w:r>
      <w:r w:rsidRPr="00537C3C">
        <w:t xml:space="preserve"> 0.71–1.26; </w:t>
      </w:r>
      <w:r w:rsidRPr="00BB76D8">
        <w:t>LSIL</w:t>
      </w:r>
      <w:r w:rsidRPr="00537C3C">
        <w:t>+ 1.03, 0.74–1.43).</w:t>
      </w:r>
    </w:p>
    <w:p w:rsidR="00234376" w:rsidRPr="008E03A7" w:rsidRDefault="006F242B" w:rsidP="008E03A7">
      <w:r>
        <w:rPr>
          <w:noProof/>
          <w:lang w:eastAsia="en-AU"/>
        </w:rPr>
        <w:drawing>
          <wp:inline distT="0" distB="0" distL="0" distR="0" wp14:anchorId="66DDCFE8" wp14:editId="667DEFEA">
            <wp:extent cx="6124575" cy="2084070"/>
            <wp:effectExtent l="0" t="0" r="9525" b="0"/>
            <wp:docPr id="25" name="Picture 25" title="Relative sensitivity (A) and specificity (B) at test threshold of HSIL+ from Arbyn et al.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2084070"/>
                    </a:xfrm>
                    <a:prstGeom prst="rect">
                      <a:avLst/>
                    </a:prstGeom>
                    <a:noFill/>
                    <a:ln>
                      <a:noFill/>
                    </a:ln>
                  </pic:spPr>
                </pic:pic>
              </a:graphicData>
            </a:graphic>
          </wp:inline>
        </w:drawing>
      </w:r>
    </w:p>
    <w:p w:rsidR="00234376" w:rsidRPr="00A95778" w:rsidRDefault="00234376" w:rsidP="008E03A7">
      <w:pPr>
        <w:pStyle w:val="TableNameCharChar1"/>
        <w:rPr>
          <w:rStyle w:val="CaptionChar"/>
          <w:b/>
        </w:rPr>
      </w:pPr>
      <w:bookmarkStart w:id="330" w:name="_Ref191107944"/>
      <w:bookmarkStart w:id="331" w:name="_Toc231895844"/>
      <w:bookmarkStart w:id="332" w:name="_Toc222823900"/>
      <w:r w:rsidRPr="00A95778">
        <w:rPr>
          <w:rStyle w:val="CaptionChar"/>
          <w:b/>
        </w:rPr>
        <w:t xml:space="preserve">Figure </w:t>
      </w:r>
      <w:r w:rsidRPr="00A95778">
        <w:rPr>
          <w:rStyle w:val="CaptionChar"/>
          <w:b/>
        </w:rPr>
        <w:fldChar w:fldCharType="begin"/>
      </w:r>
      <w:r w:rsidRPr="00A95778">
        <w:rPr>
          <w:rStyle w:val="CaptionChar"/>
          <w:b/>
        </w:rPr>
        <w:instrText xml:space="preserve"> SEQ Figure \* ARABIC </w:instrText>
      </w:r>
      <w:r w:rsidRPr="00A95778">
        <w:rPr>
          <w:rStyle w:val="CaptionChar"/>
          <w:b/>
        </w:rPr>
        <w:fldChar w:fldCharType="separate"/>
      </w:r>
      <w:r w:rsidR="007D3DFF">
        <w:rPr>
          <w:rStyle w:val="CaptionChar"/>
          <w:b/>
          <w:noProof/>
        </w:rPr>
        <w:t>3</w:t>
      </w:r>
      <w:r w:rsidRPr="00A95778">
        <w:rPr>
          <w:rStyle w:val="CaptionChar"/>
          <w:b/>
        </w:rPr>
        <w:fldChar w:fldCharType="end"/>
      </w:r>
      <w:bookmarkEnd w:id="330"/>
      <w:r w:rsidRPr="00A95778">
        <w:rPr>
          <w:rStyle w:val="CaptionChar"/>
          <w:b/>
        </w:rPr>
        <w:tab/>
        <w:t xml:space="preserve">Relative sensitivity (A) and specificity (B) at test threshold of HSIL+ from </w:t>
      </w:r>
      <w:bookmarkStart w:id="333" w:name="OLE_LINK474"/>
      <w:bookmarkStart w:id="334" w:name="OLE_LINK475"/>
      <w:r w:rsidRPr="00A95778">
        <w:rPr>
          <w:rStyle w:val="CaptionChar"/>
          <w:b/>
        </w:rPr>
        <w:t>Arbyn et al. (2008</w:t>
      </w:r>
      <w:bookmarkEnd w:id="333"/>
      <w:bookmarkEnd w:id="334"/>
      <w:r w:rsidRPr="00A95778">
        <w:rPr>
          <w:rStyle w:val="CaptionChar"/>
          <w:b/>
        </w:rPr>
        <w:t>).</w:t>
      </w:r>
      <w:bookmarkEnd w:id="331"/>
      <w:bookmarkEnd w:id="332"/>
    </w:p>
    <w:p w:rsidR="00234376" w:rsidRPr="00537C3C" w:rsidRDefault="00234376" w:rsidP="008E03A7">
      <w:r w:rsidRPr="00537C3C">
        <w:t xml:space="preserve">The specificity of </w:t>
      </w:r>
      <w:r w:rsidRPr="00BB76D8">
        <w:t>LBC</w:t>
      </w:r>
      <w:r w:rsidRPr="00537C3C">
        <w:t xml:space="preserve"> and conventional cytology were not significantly different at </w:t>
      </w:r>
      <w:r w:rsidRPr="00BB76D8">
        <w:t>HSIL</w:t>
      </w:r>
      <w:r w:rsidRPr="00537C3C">
        <w:t xml:space="preserve">+ or </w:t>
      </w:r>
      <w:r w:rsidRPr="00BB76D8">
        <w:t>LSIL</w:t>
      </w:r>
      <w:r w:rsidRPr="00537C3C">
        <w:t>+ test thresholds (</w:t>
      </w:r>
      <w:r>
        <w:fldChar w:fldCharType="begin"/>
      </w:r>
      <w:r>
        <w:instrText xml:space="preserve"> REF _Ref190167406 \h  \* MERGEFORMAT </w:instrText>
      </w:r>
      <w:r>
        <w:fldChar w:fldCharType="separate"/>
      </w:r>
      <w:r w:rsidR="007D3DFF" w:rsidRPr="00537C3C">
        <w:t xml:space="preserve">Table </w:t>
      </w:r>
      <w:r w:rsidR="007D3DFF">
        <w:rPr>
          <w:noProof/>
        </w:rPr>
        <w:t>14</w:t>
      </w:r>
      <w:r>
        <w:fldChar w:fldCharType="end"/>
      </w:r>
      <w:r w:rsidRPr="00537C3C">
        <w:t xml:space="preserve">; </w:t>
      </w:r>
      <w:r w:rsidRPr="00BB76D8">
        <w:t>HSIL</w:t>
      </w:r>
      <w:r w:rsidRPr="00537C3C">
        <w:t>+ 0.99, 95%</w:t>
      </w:r>
      <w:r w:rsidRPr="00BB76D8">
        <w:t>CI</w:t>
      </w:r>
      <w:r w:rsidRPr="00537C3C">
        <w:t xml:space="preserve"> 0.98–1.01; </w:t>
      </w:r>
      <w:r w:rsidRPr="00BB76D8">
        <w:t>LSIL</w:t>
      </w:r>
      <w:r w:rsidRPr="00537C3C">
        <w:t>+ 0.97 95%</w:t>
      </w:r>
      <w:r w:rsidRPr="00BB76D8">
        <w:t>CI</w:t>
      </w:r>
      <w:r w:rsidRPr="00537C3C">
        <w:t xml:space="preserve"> 0.94–1.01). The specificity of </w:t>
      </w:r>
      <w:r w:rsidRPr="00BB76D8">
        <w:t>LBC</w:t>
      </w:r>
      <w:r w:rsidRPr="00537C3C">
        <w:t xml:space="preserve"> was significantly lower than conventional cytology at a test threshold of </w:t>
      </w:r>
      <w:r w:rsidRPr="00BB76D8">
        <w:t>pLSIL</w:t>
      </w:r>
      <w:r w:rsidRPr="00537C3C">
        <w:t xml:space="preserve"> (</w:t>
      </w:r>
      <w:r w:rsidRPr="00BB76D8">
        <w:t>ASCUS</w:t>
      </w:r>
      <w:r w:rsidRPr="00537C3C">
        <w:t xml:space="preserve">+, </w:t>
      </w:r>
      <w:r w:rsidRPr="00BB76D8">
        <w:t>LBC</w:t>
      </w:r>
      <w:r w:rsidRPr="00537C3C">
        <w:t xml:space="preserve">:conventional specificity ratio 0.91, 95% </w:t>
      </w:r>
      <w:r w:rsidRPr="00BB76D8">
        <w:t>CI</w:t>
      </w:r>
      <w:r w:rsidRPr="00537C3C">
        <w:t xml:space="preserve"> 0.84–0.98).</w:t>
      </w:r>
    </w:p>
    <w:p w:rsidR="00234376" w:rsidRPr="00537C3C" w:rsidRDefault="00234376" w:rsidP="008E03A7">
      <w:r w:rsidRPr="00537C3C">
        <w:t xml:space="preserve">The authors reported that the contrast in DOR between conventional cytology and </w:t>
      </w:r>
      <w:r w:rsidRPr="00BB76D8">
        <w:t>LBC</w:t>
      </w:r>
      <w:r w:rsidRPr="00537C3C">
        <w:t xml:space="preserve"> was not influenced by the number of quality issues of the Standards for Reporting of Diagnostic Accuracy (STARD) guidelines that were appropriately addressed in the individual study reports (</w:t>
      </w:r>
      <w:r w:rsidRPr="00BB76D8">
        <w:t>HSIL</w:t>
      </w:r>
      <w:r w:rsidRPr="00537C3C">
        <w:t xml:space="preserve">+ </w:t>
      </w:r>
      <w:r w:rsidRPr="0030078D">
        <w:rPr>
          <w:i/>
        </w:rPr>
        <w:t>P</w:t>
      </w:r>
      <w:r w:rsidRPr="00537C3C">
        <w:t xml:space="preserve"> = 0.84, </w:t>
      </w:r>
      <w:r w:rsidRPr="00BB76D8">
        <w:t>LSIL</w:t>
      </w:r>
      <w:r w:rsidRPr="00537C3C">
        <w:t xml:space="preserve">+ </w:t>
      </w:r>
      <w:r w:rsidRPr="0030078D">
        <w:rPr>
          <w:i/>
        </w:rPr>
        <w:t>P</w:t>
      </w:r>
      <w:r w:rsidRPr="00537C3C">
        <w:t xml:space="preserve"> = 0.37, </w:t>
      </w:r>
      <w:r w:rsidRPr="00BB76D8">
        <w:t>ASCUS</w:t>
      </w:r>
      <w:r w:rsidRPr="00537C3C">
        <w:t xml:space="preserve">+ </w:t>
      </w:r>
      <w:r w:rsidRPr="0030078D">
        <w:rPr>
          <w:i/>
        </w:rPr>
        <w:t>P</w:t>
      </w:r>
      <w:r w:rsidRPr="00537C3C">
        <w:t xml:space="preserve"> = 0.65).</w:t>
      </w:r>
    </w:p>
    <w:p w:rsidR="00234376" w:rsidRPr="00537C3C" w:rsidRDefault="00234376" w:rsidP="008E03A7">
      <w:r w:rsidRPr="00537C3C">
        <w:t xml:space="preserve">There was no significant heterogeneity between studies in the relative sensitivity of </w:t>
      </w:r>
      <w:r w:rsidRPr="00BB76D8">
        <w:t>LBC</w:t>
      </w:r>
      <w:r w:rsidRPr="00537C3C">
        <w:t xml:space="preserve"> and conventional cytology at a test threshold of </w:t>
      </w:r>
      <w:r w:rsidRPr="00BB76D8">
        <w:t>HSIL</w:t>
      </w:r>
      <w:r w:rsidRPr="00537C3C">
        <w:t xml:space="preserve">+. There was significant heterogeneity in the relative sensitivity and specificity estimates across the different studies at all other test thresholds. Subgroup analyses of the relative accuracy estimates of </w:t>
      </w:r>
      <w:r w:rsidRPr="00BB76D8">
        <w:t>LBC</w:t>
      </w:r>
      <w:r w:rsidRPr="00537C3C">
        <w:t xml:space="preserve"> versus conventional cytology for </w:t>
      </w:r>
      <w:r w:rsidRPr="00BB76D8">
        <w:t>CIN</w:t>
      </w:r>
      <w:r w:rsidRPr="00537C3C">
        <w:t xml:space="preserve"> 2+ (test threshold </w:t>
      </w:r>
      <w:r w:rsidRPr="00BB76D8">
        <w:t>HSIL</w:t>
      </w:r>
      <w:r w:rsidRPr="00537C3C">
        <w:t xml:space="preserve">+) are summarised in </w:t>
      </w:r>
      <w:r>
        <w:fldChar w:fldCharType="begin"/>
      </w:r>
      <w:r>
        <w:instrText xml:space="preserve"> REF _Ref191704564 \h  \* MERGEFORMAT </w:instrText>
      </w:r>
      <w:r>
        <w:fldChar w:fldCharType="separate"/>
      </w:r>
      <w:r w:rsidR="007D3DFF" w:rsidRPr="00537C3C">
        <w:t xml:space="preserve">Table </w:t>
      </w:r>
      <w:r w:rsidR="007D3DFF">
        <w:rPr>
          <w:noProof/>
        </w:rPr>
        <w:t>15</w:t>
      </w:r>
      <w:r>
        <w:fldChar w:fldCharType="end"/>
      </w:r>
      <w:r w:rsidRPr="00537C3C">
        <w:t>. None of the factors analysed (screening vs high-risk setting, paired vs independent patient cohorts, split-sample vs direct-to-vial studies, completeness of biopsy as reference standard, or proprietary name) contributed to heterogeneity in sensitivity.</w:t>
      </w:r>
    </w:p>
    <w:p w:rsidR="00234376" w:rsidRPr="00537C3C" w:rsidRDefault="00234376" w:rsidP="008E03A7">
      <w:pPr>
        <w:ind w:left="1080"/>
        <w:sectPr w:rsidR="00234376" w:rsidRPr="00537C3C" w:rsidSect="008E03A7">
          <w:headerReference w:type="even" r:id="rId23"/>
          <w:headerReference w:type="default" r:id="rId24"/>
          <w:footerReference w:type="even" r:id="rId25"/>
          <w:headerReference w:type="first" r:id="rId26"/>
          <w:type w:val="oddPage"/>
          <w:pgSz w:w="11906" w:h="16838"/>
          <w:pgMar w:top="1440" w:right="1440" w:bottom="1440" w:left="1440" w:header="720" w:footer="720" w:gutter="0"/>
          <w:pgNumType w:start="1"/>
          <w:cols w:space="720"/>
        </w:sectPr>
      </w:pPr>
    </w:p>
    <w:p w:rsidR="00234376" w:rsidRPr="00537C3C" w:rsidRDefault="00234376" w:rsidP="008E03A7">
      <w:pPr>
        <w:pStyle w:val="TableNamea"/>
        <w:ind w:left="1644"/>
      </w:pPr>
      <w:bookmarkStart w:id="335" w:name="_Ref190167406"/>
      <w:bookmarkStart w:id="336" w:name="_Toc190744100"/>
      <w:bookmarkStart w:id="337" w:name="_Toc190744371"/>
      <w:bookmarkStart w:id="338" w:name="_Ref209432011"/>
      <w:bookmarkStart w:id="339" w:name="_Toc95971250"/>
      <w:r w:rsidRPr="00537C3C">
        <w:lastRenderedPageBreak/>
        <w:t xml:space="preserve">Table </w:t>
      </w:r>
      <w:fldSimple w:instr=" SEQ Table \* ARABIC ">
        <w:r w:rsidR="007D3DFF">
          <w:rPr>
            <w:noProof/>
          </w:rPr>
          <w:t>14</w:t>
        </w:r>
      </w:fldSimple>
      <w:bookmarkEnd w:id="335"/>
      <w:r w:rsidRPr="00537C3C">
        <w:tab/>
        <w:t xml:space="preserve">Estimates of the relative accuracy of </w:t>
      </w:r>
      <w:r w:rsidRPr="00BB76D8">
        <w:t>LBC</w:t>
      </w:r>
      <w:r w:rsidRPr="00537C3C">
        <w:t xml:space="preserve"> versus conventional cytology for </w:t>
      </w:r>
      <w:r w:rsidRPr="00BB76D8">
        <w:t>CIN</w:t>
      </w:r>
      <w:r w:rsidRPr="00537C3C">
        <w:t xml:space="preserve"> 2+ from Arbyn et al. (2008)</w:t>
      </w:r>
      <w:bookmarkEnd w:id="336"/>
      <w:bookmarkEnd w:id="337"/>
      <w:bookmarkEnd w:id="338"/>
      <w:r w:rsidRPr="00537C3C">
        <w:t>.</w:t>
      </w:r>
      <w:bookmarkEnd w:id="339"/>
    </w:p>
    <w:tbl>
      <w:tblPr>
        <w:tblW w:w="4752"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8"/>
        <w:gridCol w:w="945"/>
        <w:gridCol w:w="1228"/>
        <w:gridCol w:w="1229"/>
        <w:gridCol w:w="1229"/>
        <w:gridCol w:w="1229"/>
        <w:gridCol w:w="1229"/>
        <w:gridCol w:w="1234"/>
        <w:gridCol w:w="1498"/>
        <w:gridCol w:w="1692"/>
      </w:tblGrid>
      <w:tr w:rsidR="00234376" w:rsidRPr="00537C3C">
        <w:trPr>
          <w:trHeight w:val="367"/>
          <w:tblHeader/>
        </w:trPr>
        <w:tc>
          <w:tcPr>
            <w:tcW w:w="727" w:type="pct"/>
            <w:vMerge w:val="restart"/>
            <w:tcBorders>
              <w:left w:val="nil"/>
              <w:right w:val="nil"/>
            </w:tcBorders>
          </w:tcPr>
          <w:p w:rsidR="00234376" w:rsidRPr="00537C3C" w:rsidRDefault="00234376" w:rsidP="008E03A7">
            <w:pPr>
              <w:pStyle w:val="TableHeading"/>
            </w:pPr>
            <w:r w:rsidRPr="00537C3C">
              <w:t>Study</w:t>
            </w:r>
          </w:p>
          <w:p w:rsidR="00234376" w:rsidRPr="00537C3C" w:rsidRDefault="00234376" w:rsidP="008E03A7">
            <w:pPr>
              <w:pStyle w:val="TableHeading"/>
            </w:pPr>
            <w:r w:rsidRPr="0030078D">
              <w:rPr>
                <w:i/>
              </w:rPr>
              <w:t>N</w:t>
            </w:r>
            <w:r w:rsidRPr="00537C3C">
              <w:t xml:space="preserve"> </w:t>
            </w:r>
          </w:p>
        </w:tc>
        <w:tc>
          <w:tcPr>
            <w:tcW w:w="351" w:type="pct"/>
            <w:vMerge w:val="restart"/>
            <w:tcBorders>
              <w:left w:val="nil"/>
              <w:right w:val="nil"/>
            </w:tcBorders>
          </w:tcPr>
          <w:p w:rsidR="00234376" w:rsidRPr="00537C3C" w:rsidRDefault="00234376" w:rsidP="008E03A7">
            <w:pPr>
              <w:pStyle w:val="TableTextCharChar"/>
              <w:rPr>
                <w:b/>
              </w:rPr>
            </w:pPr>
            <w:r w:rsidRPr="00537C3C">
              <w:rPr>
                <w:b/>
              </w:rPr>
              <w:t>Test threshold</w:t>
            </w:r>
          </w:p>
        </w:tc>
        <w:tc>
          <w:tcPr>
            <w:tcW w:w="1368" w:type="pct"/>
            <w:gridSpan w:val="3"/>
            <w:tcBorders>
              <w:left w:val="nil"/>
              <w:right w:val="nil"/>
            </w:tcBorders>
          </w:tcPr>
          <w:p w:rsidR="00234376" w:rsidRPr="00537C3C" w:rsidRDefault="00234376" w:rsidP="008E03A7">
            <w:pPr>
              <w:pStyle w:val="TableHeading"/>
              <w:jc w:val="center"/>
            </w:pPr>
            <w:r w:rsidRPr="00BB76D8">
              <w:t>LBC</w:t>
            </w:r>
          </w:p>
          <w:p w:rsidR="00234376" w:rsidRPr="00537C3C" w:rsidRDefault="00234376" w:rsidP="008E03A7">
            <w:pPr>
              <w:pStyle w:val="TableHeading"/>
              <w:jc w:val="center"/>
            </w:pPr>
            <w:r w:rsidRPr="00537C3C">
              <w:t>Absolute accuracy</w:t>
            </w:r>
          </w:p>
        </w:tc>
        <w:tc>
          <w:tcPr>
            <w:tcW w:w="1370" w:type="pct"/>
            <w:gridSpan w:val="3"/>
            <w:tcBorders>
              <w:left w:val="nil"/>
              <w:right w:val="nil"/>
            </w:tcBorders>
          </w:tcPr>
          <w:p w:rsidR="00234376" w:rsidRPr="00537C3C" w:rsidRDefault="00234376" w:rsidP="008E03A7">
            <w:pPr>
              <w:pStyle w:val="TableHeading"/>
              <w:jc w:val="center"/>
            </w:pPr>
            <w:r w:rsidRPr="00537C3C">
              <w:t>Conventional</w:t>
            </w:r>
          </w:p>
          <w:p w:rsidR="00234376" w:rsidRPr="00537C3C" w:rsidRDefault="00234376" w:rsidP="008E03A7">
            <w:pPr>
              <w:pStyle w:val="TableHeading"/>
              <w:jc w:val="center"/>
            </w:pPr>
            <w:r w:rsidRPr="00537C3C">
              <w:t>Absolute accuracy</w:t>
            </w:r>
          </w:p>
        </w:tc>
        <w:tc>
          <w:tcPr>
            <w:tcW w:w="1184" w:type="pct"/>
            <w:gridSpan w:val="2"/>
            <w:tcBorders>
              <w:left w:val="nil"/>
              <w:right w:val="nil"/>
            </w:tcBorders>
          </w:tcPr>
          <w:p w:rsidR="00234376" w:rsidRPr="00537C3C" w:rsidRDefault="00234376" w:rsidP="008E03A7">
            <w:pPr>
              <w:pStyle w:val="TableHeading"/>
              <w:jc w:val="center"/>
            </w:pPr>
            <w:r w:rsidRPr="00537C3C">
              <w:t>Relative accuracy</w:t>
            </w:r>
          </w:p>
          <w:p w:rsidR="00234376" w:rsidRPr="00537C3C" w:rsidRDefault="00234376" w:rsidP="008E03A7">
            <w:pPr>
              <w:pStyle w:val="TableHeading"/>
              <w:jc w:val="center"/>
            </w:pPr>
            <w:r w:rsidRPr="00BB76D8">
              <w:t>LBC</w:t>
            </w:r>
            <w:r w:rsidRPr="00537C3C">
              <w:t xml:space="preserve"> : conventional</w:t>
            </w:r>
          </w:p>
        </w:tc>
      </w:tr>
      <w:tr w:rsidR="00234376" w:rsidRPr="00537C3C">
        <w:trPr>
          <w:trHeight w:val="367"/>
          <w:tblHeader/>
        </w:trPr>
        <w:tc>
          <w:tcPr>
            <w:tcW w:w="727" w:type="pct"/>
            <w:vMerge/>
            <w:tcBorders>
              <w:left w:val="nil"/>
              <w:right w:val="nil"/>
            </w:tcBorders>
          </w:tcPr>
          <w:p w:rsidR="00234376" w:rsidRPr="00537C3C" w:rsidRDefault="00234376" w:rsidP="008E03A7">
            <w:pPr>
              <w:pStyle w:val="TableHeading"/>
            </w:pPr>
          </w:p>
        </w:tc>
        <w:tc>
          <w:tcPr>
            <w:tcW w:w="351" w:type="pct"/>
            <w:vMerge/>
            <w:tcBorders>
              <w:left w:val="nil"/>
              <w:right w:val="nil"/>
            </w:tcBorders>
          </w:tcPr>
          <w:p w:rsidR="00234376" w:rsidRPr="00537C3C" w:rsidRDefault="00234376" w:rsidP="008E03A7">
            <w:pPr>
              <w:pStyle w:val="TableHeading"/>
              <w:spacing w:after="0"/>
            </w:pPr>
          </w:p>
        </w:tc>
        <w:tc>
          <w:tcPr>
            <w:tcW w:w="456" w:type="pct"/>
            <w:tcBorders>
              <w:left w:val="nil"/>
              <w:right w:val="nil"/>
            </w:tcBorders>
          </w:tcPr>
          <w:p w:rsidR="00234376" w:rsidRDefault="00234376" w:rsidP="00234376">
            <w:pPr>
              <w:pStyle w:val="TableTextCharChar"/>
              <w:jc w:val="center"/>
            </w:pPr>
            <w:r w:rsidRPr="00537C3C">
              <w:t>Sensitivity %</w:t>
            </w:r>
          </w:p>
          <w:p w:rsidR="00234376" w:rsidRDefault="00234376" w:rsidP="00234376">
            <w:pPr>
              <w:pStyle w:val="TableTextCharChar"/>
              <w:jc w:val="center"/>
            </w:pPr>
            <w:r w:rsidRPr="00537C3C">
              <w:t xml:space="preserve">(95% </w:t>
            </w:r>
            <w:r w:rsidRPr="00BB76D8">
              <w:t>CI</w:t>
            </w:r>
            <w:r w:rsidRPr="00537C3C">
              <w:t>)</w:t>
            </w:r>
          </w:p>
        </w:tc>
        <w:tc>
          <w:tcPr>
            <w:tcW w:w="456" w:type="pct"/>
            <w:tcBorders>
              <w:left w:val="nil"/>
              <w:right w:val="nil"/>
            </w:tcBorders>
          </w:tcPr>
          <w:p w:rsidR="00234376" w:rsidRDefault="00234376" w:rsidP="00234376">
            <w:pPr>
              <w:pStyle w:val="TableTextCharChar"/>
              <w:jc w:val="center"/>
            </w:pPr>
            <w:r w:rsidRPr="00537C3C">
              <w:t>Specificity %</w:t>
            </w:r>
          </w:p>
          <w:p w:rsidR="00234376" w:rsidRDefault="00234376" w:rsidP="00234376">
            <w:pPr>
              <w:pStyle w:val="TableTextCharChar"/>
              <w:jc w:val="center"/>
            </w:pPr>
            <w:r w:rsidRPr="00537C3C">
              <w:t xml:space="preserve">(95% </w:t>
            </w:r>
            <w:r w:rsidRPr="00BB76D8">
              <w:t>CI</w:t>
            </w:r>
            <w:r w:rsidRPr="00537C3C">
              <w:t>)</w:t>
            </w:r>
          </w:p>
        </w:tc>
        <w:tc>
          <w:tcPr>
            <w:tcW w:w="456" w:type="pct"/>
            <w:tcBorders>
              <w:left w:val="nil"/>
              <w:right w:val="nil"/>
            </w:tcBorders>
          </w:tcPr>
          <w:p w:rsidR="00234376" w:rsidRDefault="00234376" w:rsidP="00234376">
            <w:pPr>
              <w:spacing w:after="0"/>
              <w:ind w:left="0"/>
              <w:jc w:val="center"/>
              <w:rPr>
                <w:rFonts w:ascii="Arial Narrow" w:hAnsi="Arial Narrow"/>
                <w:sz w:val="18"/>
                <w:lang w:eastAsia="en-AU"/>
              </w:rPr>
            </w:pPr>
            <w:r w:rsidRPr="00537C3C">
              <w:rPr>
                <w:rFonts w:ascii="Arial Narrow" w:hAnsi="Arial Narrow"/>
                <w:sz w:val="18"/>
                <w:lang w:eastAsia="en-AU"/>
              </w:rPr>
              <w:t>DOR</w:t>
            </w:r>
          </w:p>
          <w:p w:rsidR="00234376" w:rsidRDefault="00234376" w:rsidP="00234376">
            <w:pPr>
              <w:pStyle w:val="TableTextCharChar"/>
              <w:jc w:val="center"/>
            </w:pPr>
            <w:r w:rsidRPr="00537C3C">
              <w:t xml:space="preserve">(95% </w:t>
            </w:r>
            <w:r w:rsidRPr="00BB76D8">
              <w:t>CI</w:t>
            </w:r>
            <w:r w:rsidRPr="00537C3C">
              <w:t>)</w:t>
            </w:r>
          </w:p>
        </w:tc>
        <w:tc>
          <w:tcPr>
            <w:tcW w:w="456" w:type="pct"/>
            <w:tcBorders>
              <w:left w:val="nil"/>
              <w:right w:val="nil"/>
            </w:tcBorders>
          </w:tcPr>
          <w:p w:rsidR="00234376" w:rsidRDefault="00234376" w:rsidP="00234376">
            <w:pPr>
              <w:pStyle w:val="TableTextCharChar"/>
              <w:jc w:val="center"/>
            </w:pPr>
            <w:r w:rsidRPr="00537C3C">
              <w:t>Sensitivity</w:t>
            </w:r>
          </w:p>
          <w:p w:rsidR="00234376" w:rsidRDefault="00234376" w:rsidP="00234376">
            <w:pPr>
              <w:pStyle w:val="TableTextCharChar"/>
              <w:jc w:val="center"/>
            </w:pPr>
            <w:r w:rsidRPr="00537C3C">
              <w:t xml:space="preserve">(95% </w:t>
            </w:r>
            <w:r w:rsidRPr="00BB76D8">
              <w:t>CI</w:t>
            </w:r>
            <w:r w:rsidRPr="00537C3C">
              <w:t>)</w:t>
            </w:r>
          </w:p>
        </w:tc>
        <w:tc>
          <w:tcPr>
            <w:tcW w:w="456" w:type="pct"/>
            <w:tcBorders>
              <w:left w:val="nil"/>
              <w:right w:val="nil"/>
            </w:tcBorders>
          </w:tcPr>
          <w:p w:rsidR="00234376" w:rsidRDefault="00234376" w:rsidP="00234376">
            <w:pPr>
              <w:pStyle w:val="TableTextCharChar"/>
              <w:ind w:left="-289" w:firstLine="289"/>
              <w:jc w:val="center"/>
            </w:pPr>
            <w:r w:rsidRPr="00537C3C">
              <w:t>Specificity</w:t>
            </w:r>
          </w:p>
          <w:p w:rsidR="00234376" w:rsidRDefault="00234376" w:rsidP="00234376">
            <w:pPr>
              <w:pStyle w:val="TableTextCharChar"/>
              <w:jc w:val="center"/>
            </w:pPr>
            <w:r w:rsidRPr="00537C3C">
              <w:t xml:space="preserve">(95% </w:t>
            </w:r>
            <w:r w:rsidRPr="00BB76D8">
              <w:t>CI</w:t>
            </w:r>
            <w:r w:rsidRPr="00537C3C">
              <w:t>)</w:t>
            </w:r>
          </w:p>
        </w:tc>
        <w:tc>
          <w:tcPr>
            <w:tcW w:w="458" w:type="pct"/>
            <w:tcBorders>
              <w:left w:val="nil"/>
              <w:right w:val="nil"/>
            </w:tcBorders>
          </w:tcPr>
          <w:p w:rsidR="00234376" w:rsidRDefault="00234376" w:rsidP="00234376">
            <w:pPr>
              <w:pStyle w:val="TableTextLessSpaceCharCharCharCharCharCharCharChar"/>
              <w:jc w:val="center"/>
              <w:rPr>
                <w:rFonts w:eastAsia="Times New Roman"/>
              </w:rPr>
            </w:pPr>
            <w:r w:rsidRPr="00537C3C">
              <w:rPr>
                <w:rFonts w:eastAsia="Times New Roman"/>
              </w:rPr>
              <w:t>DOR</w:t>
            </w:r>
          </w:p>
          <w:p w:rsidR="00234376" w:rsidRDefault="00234376" w:rsidP="00234376">
            <w:pPr>
              <w:pStyle w:val="TableTextLessSpaceCharCharCharCharCharCharCharChar"/>
              <w:jc w:val="center"/>
              <w:rPr>
                <w:rFonts w:eastAsia="Times New Roman"/>
              </w:rPr>
            </w:pPr>
            <w:r w:rsidRPr="00537C3C">
              <w:rPr>
                <w:rFonts w:eastAsia="Times New Roman"/>
              </w:rPr>
              <w:t xml:space="preserve">(95% </w:t>
            </w:r>
            <w:r w:rsidRPr="00BB76D8">
              <w:rPr>
                <w:rFonts w:eastAsia="Times New Roman"/>
              </w:rPr>
              <w:t>CI</w:t>
            </w:r>
            <w:r w:rsidRPr="00537C3C">
              <w:rPr>
                <w:rFonts w:eastAsia="Times New Roman"/>
              </w:rPr>
              <w:t>)</w:t>
            </w:r>
          </w:p>
          <w:p w:rsidR="00234376" w:rsidRDefault="00234376" w:rsidP="00234376">
            <w:pPr>
              <w:pStyle w:val="TableHeading"/>
              <w:spacing w:after="0"/>
              <w:jc w:val="center"/>
            </w:pPr>
          </w:p>
        </w:tc>
        <w:tc>
          <w:tcPr>
            <w:tcW w:w="556" w:type="pct"/>
            <w:tcBorders>
              <w:left w:val="nil"/>
              <w:right w:val="nil"/>
            </w:tcBorders>
          </w:tcPr>
          <w:p w:rsidR="00234376" w:rsidRDefault="00234376" w:rsidP="00234376">
            <w:pPr>
              <w:pStyle w:val="TableTextCharChar"/>
              <w:jc w:val="center"/>
            </w:pPr>
            <w:r w:rsidRPr="00537C3C">
              <w:t>Sensitivity</w:t>
            </w:r>
          </w:p>
          <w:p w:rsidR="00234376" w:rsidRDefault="00234376" w:rsidP="00234376">
            <w:pPr>
              <w:pStyle w:val="TableTextCharChar"/>
              <w:jc w:val="center"/>
            </w:pPr>
            <w:r w:rsidRPr="00537C3C">
              <w:t xml:space="preserve">(95% </w:t>
            </w:r>
            <w:r w:rsidRPr="00BB76D8">
              <w:t>CI</w:t>
            </w:r>
            <w:r w:rsidRPr="00537C3C">
              <w:t>)</w:t>
            </w:r>
          </w:p>
        </w:tc>
        <w:tc>
          <w:tcPr>
            <w:tcW w:w="628" w:type="pct"/>
            <w:tcBorders>
              <w:left w:val="nil"/>
              <w:right w:val="nil"/>
            </w:tcBorders>
          </w:tcPr>
          <w:p w:rsidR="00234376" w:rsidRDefault="00234376" w:rsidP="00234376">
            <w:pPr>
              <w:pStyle w:val="TableTextCharChar"/>
              <w:ind w:left="-289" w:firstLine="289"/>
              <w:jc w:val="center"/>
            </w:pPr>
            <w:r w:rsidRPr="00537C3C">
              <w:t>Specificity</w:t>
            </w:r>
          </w:p>
          <w:p w:rsidR="00234376" w:rsidRDefault="00234376" w:rsidP="00234376">
            <w:pPr>
              <w:pStyle w:val="TableTextCharChar"/>
              <w:jc w:val="center"/>
            </w:pPr>
            <w:r w:rsidRPr="00537C3C">
              <w:t xml:space="preserve">(95% </w:t>
            </w:r>
            <w:r w:rsidRPr="00BB76D8">
              <w:t>CI</w:t>
            </w:r>
            <w:r w:rsidRPr="00537C3C">
              <w:t>)</w:t>
            </w:r>
          </w:p>
        </w:tc>
      </w:tr>
      <w:tr w:rsidR="00234376" w:rsidRPr="00537C3C">
        <w:tc>
          <w:tcPr>
            <w:tcW w:w="727" w:type="pct"/>
            <w:vMerge w:val="restart"/>
            <w:tcBorders>
              <w:left w:val="nil"/>
              <w:bottom w:val="nil"/>
              <w:right w:val="nil"/>
            </w:tcBorders>
          </w:tcPr>
          <w:p w:rsidR="00234376" w:rsidRPr="00537C3C" w:rsidRDefault="00234376" w:rsidP="008E03A7">
            <w:pPr>
              <w:pStyle w:val="TableTextLessSpaceCharCharCharCharCharCharCharChar"/>
              <w:rPr>
                <w:b/>
              </w:rPr>
            </w:pPr>
            <w:r w:rsidRPr="00537C3C">
              <w:rPr>
                <w:b/>
              </w:rPr>
              <w:t>Pooled data</w:t>
            </w:r>
          </w:p>
          <w:p w:rsidR="00234376" w:rsidRPr="00537C3C" w:rsidRDefault="00234376" w:rsidP="008E03A7">
            <w:pPr>
              <w:pStyle w:val="TableTextLessSpaceCharCharCharCharCharCharCharChar"/>
            </w:pPr>
            <w:r w:rsidRPr="00537C3C">
              <w:t>7 studies absolute data</w:t>
            </w:r>
          </w:p>
          <w:p w:rsidR="00234376" w:rsidRPr="00537C3C" w:rsidRDefault="00234376" w:rsidP="008E03A7">
            <w:pPr>
              <w:pStyle w:val="TableTextLessSpaceCharCharCharCharCharCharCharChar"/>
            </w:pPr>
            <w:r w:rsidRPr="00537C3C">
              <w:t>9 studies relative Se data</w:t>
            </w:r>
          </w:p>
          <w:p w:rsidR="00234376" w:rsidRPr="00537C3C" w:rsidRDefault="00234376" w:rsidP="008E03A7">
            <w:pPr>
              <w:pStyle w:val="TableTextLessSpaceCharCharCharCharCharCharCharChar"/>
            </w:pPr>
            <w:r w:rsidRPr="00537C3C">
              <w:t>8 studies relative Sp data</w:t>
            </w:r>
          </w:p>
          <w:p w:rsidR="00234376" w:rsidRPr="00537C3C" w:rsidRDefault="00234376" w:rsidP="008E03A7">
            <w:pPr>
              <w:pStyle w:val="TableTextLessSpaceCharCharCharCharCharCharCharChar"/>
            </w:pPr>
            <w:r w:rsidRPr="00537C3C">
              <w:t xml:space="preserve">7 studies Se </w:t>
            </w:r>
            <w:r w:rsidRPr="00BB76D8">
              <w:t>pLSIL</w:t>
            </w:r>
          </w:p>
          <w:p w:rsidR="00234376" w:rsidRPr="00537C3C" w:rsidRDefault="00234376" w:rsidP="008E03A7">
            <w:pPr>
              <w:pStyle w:val="TableTextLessSpaceCharCharCharCharCharCharCharChar"/>
            </w:pPr>
            <w:r w:rsidRPr="00537C3C">
              <w:t xml:space="preserve">6 studies Sp </w:t>
            </w:r>
            <w:r w:rsidRPr="00BB76D8">
              <w:t>pLSIL</w:t>
            </w:r>
          </w:p>
        </w:tc>
        <w:tc>
          <w:tcPr>
            <w:tcW w:w="351" w:type="pct"/>
            <w:tcBorders>
              <w:left w:val="nil"/>
              <w:bottom w:val="nil"/>
              <w:right w:val="nil"/>
            </w:tcBorders>
          </w:tcPr>
          <w:p w:rsidR="00234376" w:rsidRPr="00537C3C" w:rsidRDefault="00234376" w:rsidP="008E03A7">
            <w:pPr>
              <w:pStyle w:val="TableTextLessSpaceCharCharCharCharCharCharCharChar"/>
              <w:spacing w:before="40" w:after="40"/>
              <w:rPr>
                <w:sz w:val="16"/>
                <w:szCs w:val="16"/>
              </w:rPr>
            </w:pPr>
            <w:r w:rsidRPr="00BB76D8">
              <w:rPr>
                <w:sz w:val="16"/>
                <w:szCs w:val="16"/>
              </w:rPr>
              <w:t>HSIL</w:t>
            </w:r>
            <w:r w:rsidRPr="00537C3C">
              <w:rPr>
                <w:sz w:val="16"/>
                <w:szCs w:val="16"/>
              </w:rPr>
              <w:t>+</w:t>
            </w:r>
          </w:p>
        </w:tc>
        <w:tc>
          <w:tcPr>
            <w:tcW w:w="456" w:type="pct"/>
            <w:tcBorders>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57 (46–67)</w:t>
            </w:r>
          </w:p>
        </w:tc>
        <w:tc>
          <w:tcPr>
            <w:tcW w:w="456" w:type="pct"/>
            <w:tcBorders>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97 (94–99)</w:t>
            </w:r>
          </w:p>
        </w:tc>
        <w:tc>
          <w:tcPr>
            <w:tcW w:w="456" w:type="pct"/>
            <w:tcBorders>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43 (21–89)</w:t>
            </w:r>
          </w:p>
        </w:tc>
        <w:tc>
          <w:tcPr>
            <w:tcW w:w="456" w:type="pct"/>
            <w:tcBorders>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55 (46–65)</w:t>
            </w:r>
          </w:p>
        </w:tc>
        <w:tc>
          <w:tcPr>
            <w:tcW w:w="456" w:type="pct"/>
            <w:tcBorders>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97 (96–98)</w:t>
            </w:r>
          </w:p>
        </w:tc>
        <w:tc>
          <w:tcPr>
            <w:tcW w:w="458" w:type="pct"/>
            <w:tcBorders>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36 (21–62)</w:t>
            </w:r>
          </w:p>
        </w:tc>
        <w:tc>
          <w:tcPr>
            <w:tcW w:w="556" w:type="pct"/>
            <w:tcBorders>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1.05 (0.95–1.16)</w:t>
            </w:r>
          </w:p>
        </w:tc>
        <w:tc>
          <w:tcPr>
            <w:tcW w:w="628" w:type="pct"/>
            <w:tcBorders>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0.99 (0.98–1.01)</w:t>
            </w:r>
          </w:p>
        </w:tc>
      </w:tr>
      <w:tr w:rsidR="00234376" w:rsidRPr="00537C3C">
        <w:tc>
          <w:tcPr>
            <w:tcW w:w="727" w:type="pct"/>
            <w:vMerge/>
            <w:tcBorders>
              <w:top w:val="nil"/>
              <w:left w:val="nil"/>
              <w:bottom w:val="nil"/>
              <w:right w:val="nil"/>
            </w:tcBorders>
          </w:tcPr>
          <w:p w:rsidR="00234376" w:rsidRPr="00537C3C" w:rsidRDefault="00234376" w:rsidP="008E03A7">
            <w:pPr>
              <w:pStyle w:val="TableTextLessSpaceCharCharCharCharCharCharCharChar"/>
            </w:pPr>
          </w:p>
        </w:tc>
        <w:tc>
          <w:tcPr>
            <w:tcW w:w="351" w:type="pct"/>
            <w:tcBorders>
              <w:top w:val="nil"/>
              <w:left w:val="nil"/>
              <w:bottom w:val="nil"/>
              <w:right w:val="nil"/>
            </w:tcBorders>
          </w:tcPr>
          <w:p w:rsidR="00234376" w:rsidRPr="00537C3C" w:rsidRDefault="00234376" w:rsidP="008E03A7">
            <w:pPr>
              <w:pStyle w:val="TableTextLessSpaceCharCharCharCharCharCharCharChar"/>
              <w:spacing w:before="40" w:after="40"/>
              <w:rPr>
                <w:sz w:val="16"/>
                <w:szCs w:val="16"/>
              </w:rPr>
            </w:pPr>
            <w:r w:rsidRPr="00BB76D8">
              <w:rPr>
                <w:sz w:val="16"/>
                <w:szCs w:val="16"/>
              </w:rPr>
              <w:t>LSIL</w:t>
            </w:r>
            <w:r w:rsidRPr="00537C3C">
              <w:rPr>
                <w:sz w:val="16"/>
                <w:szCs w:val="16"/>
              </w:rPr>
              <w:t>+</w:t>
            </w:r>
          </w:p>
        </w:tc>
        <w:tc>
          <w:tcPr>
            <w:tcW w:w="456" w:type="pct"/>
            <w:tcBorders>
              <w:top w:val="nil"/>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79 (70–86)</w:t>
            </w:r>
          </w:p>
        </w:tc>
        <w:tc>
          <w:tcPr>
            <w:tcW w:w="456" w:type="pct"/>
            <w:tcBorders>
              <w:top w:val="nil"/>
              <w:left w:val="nil"/>
              <w:bottom w:val="nil"/>
              <w:right w:val="nil"/>
            </w:tcBorders>
          </w:tcPr>
          <w:p w:rsidR="00234376" w:rsidRDefault="00234376" w:rsidP="00234376">
            <w:pPr>
              <w:pStyle w:val="TableTextLessSpaceCharCharCharCharCharCharCharChar"/>
              <w:spacing w:before="40" w:after="40"/>
              <w:jc w:val="center"/>
              <w:rPr>
                <w:sz w:val="16"/>
                <w:szCs w:val="16"/>
                <w:vertAlign w:val="superscript"/>
              </w:rPr>
            </w:pPr>
            <w:r w:rsidRPr="00537C3C">
              <w:rPr>
                <w:rFonts w:cs="Garamond"/>
                <w:szCs w:val="18"/>
              </w:rPr>
              <w:t>79 (70–86)</w:t>
            </w:r>
          </w:p>
        </w:tc>
        <w:tc>
          <w:tcPr>
            <w:tcW w:w="456" w:type="pct"/>
            <w:tcBorders>
              <w:top w:val="nil"/>
              <w:left w:val="nil"/>
              <w:bottom w:val="nil"/>
              <w:right w:val="nil"/>
            </w:tcBorders>
          </w:tcPr>
          <w:p w:rsidR="00234376" w:rsidRDefault="00234376" w:rsidP="00234376">
            <w:pPr>
              <w:pStyle w:val="TableTextLessSpaceCharCharCharCharCharCharCharChar"/>
              <w:spacing w:before="40" w:after="40"/>
              <w:jc w:val="center"/>
              <w:rPr>
                <w:sz w:val="16"/>
                <w:szCs w:val="16"/>
                <w:vertAlign w:val="superscript"/>
              </w:rPr>
            </w:pPr>
            <w:r w:rsidRPr="00537C3C">
              <w:rPr>
                <w:rFonts w:cs="Garamond"/>
                <w:szCs w:val="18"/>
              </w:rPr>
              <w:t>14.1 (8–26)</w:t>
            </w:r>
          </w:p>
        </w:tc>
        <w:tc>
          <w:tcPr>
            <w:tcW w:w="456" w:type="pct"/>
            <w:tcBorders>
              <w:top w:val="nil"/>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76 (67–83)</w:t>
            </w:r>
          </w:p>
        </w:tc>
        <w:tc>
          <w:tcPr>
            <w:tcW w:w="456" w:type="pct"/>
            <w:tcBorders>
              <w:top w:val="nil"/>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81 (72–88)</w:t>
            </w:r>
          </w:p>
        </w:tc>
        <w:tc>
          <w:tcPr>
            <w:tcW w:w="458" w:type="pct"/>
            <w:tcBorders>
              <w:top w:val="nil"/>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13 (7–25)</w:t>
            </w:r>
          </w:p>
        </w:tc>
        <w:tc>
          <w:tcPr>
            <w:tcW w:w="556" w:type="pct"/>
            <w:tcBorders>
              <w:top w:val="nil"/>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1.03 (0.96–1.11)</w:t>
            </w:r>
          </w:p>
        </w:tc>
        <w:tc>
          <w:tcPr>
            <w:tcW w:w="628" w:type="pct"/>
            <w:tcBorders>
              <w:top w:val="nil"/>
              <w:left w:val="nil"/>
              <w:bottom w:val="nil"/>
              <w:right w:val="nil"/>
            </w:tcBorders>
          </w:tcPr>
          <w:p w:rsidR="00234376" w:rsidRDefault="00234376" w:rsidP="00234376">
            <w:pPr>
              <w:pStyle w:val="TableTextLessSpaceCharCharCharCharCharCharCharChar"/>
              <w:spacing w:before="40" w:after="40"/>
              <w:jc w:val="center"/>
              <w:rPr>
                <w:sz w:val="16"/>
                <w:szCs w:val="16"/>
              </w:rPr>
            </w:pPr>
            <w:r w:rsidRPr="00537C3C">
              <w:rPr>
                <w:rFonts w:cs="Garamond"/>
                <w:szCs w:val="18"/>
              </w:rPr>
              <w:t>0.97 (0.94–1.01)</w:t>
            </w:r>
          </w:p>
        </w:tc>
      </w:tr>
      <w:tr w:rsidR="00234376" w:rsidRPr="00537C3C">
        <w:tc>
          <w:tcPr>
            <w:tcW w:w="727" w:type="pct"/>
            <w:vMerge/>
            <w:tcBorders>
              <w:top w:val="nil"/>
              <w:left w:val="nil"/>
              <w:right w:val="nil"/>
            </w:tcBorders>
          </w:tcPr>
          <w:p w:rsidR="00234376" w:rsidRPr="00537C3C" w:rsidRDefault="00234376" w:rsidP="008E03A7">
            <w:pPr>
              <w:pStyle w:val="TableTextLessSpaceCharCharCharCharCharCharCharChar"/>
            </w:pPr>
          </w:p>
        </w:tc>
        <w:tc>
          <w:tcPr>
            <w:tcW w:w="351" w:type="pct"/>
            <w:tcBorders>
              <w:top w:val="nil"/>
              <w:left w:val="nil"/>
              <w:right w:val="nil"/>
            </w:tcBorders>
          </w:tcPr>
          <w:p w:rsidR="00234376" w:rsidRPr="00537C3C" w:rsidRDefault="00234376" w:rsidP="008E03A7">
            <w:pPr>
              <w:pStyle w:val="TableTextLessSpaceCharCharCharCharCharCharCharChar"/>
              <w:spacing w:before="40" w:after="40"/>
              <w:rPr>
                <w:sz w:val="16"/>
                <w:szCs w:val="16"/>
                <w:vertAlign w:val="superscript"/>
              </w:rPr>
            </w:pPr>
            <w:r w:rsidRPr="00BB76D8">
              <w:rPr>
                <w:sz w:val="16"/>
                <w:szCs w:val="16"/>
              </w:rPr>
              <w:t>pLSIL</w:t>
            </w:r>
            <w:r w:rsidRPr="00537C3C">
              <w:rPr>
                <w:sz w:val="16"/>
                <w:szCs w:val="16"/>
              </w:rPr>
              <w:t xml:space="preserve">+ </w:t>
            </w:r>
            <w:r w:rsidRPr="00537C3C">
              <w:rPr>
                <w:sz w:val="16"/>
                <w:szCs w:val="16"/>
                <w:vertAlign w:val="superscript"/>
              </w:rPr>
              <w:t>a</w:t>
            </w:r>
          </w:p>
        </w:tc>
        <w:tc>
          <w:tcPr>
            <w:tcW w:w="456" w:type="pct"/>
            <w:tcBorders>
              <w:top w:val="nil"/>
              <w:left w:val="nil"/>
              <w:right w:val="nil"/>
            </w:tcBorders>
          </w:tcPr>
          <w:p w:rsidR="00234376" w:rsidRDefault="00234376" w:rsidP="00234376">
            <w:pPr>
              <w:pStyle w:val="TableTextLessSpaceCharCharCharCharCharCharCharChar"/>
              <w:spacing w:before="40" w:after="40"/>
              <w:jc w:val="center"/>
              <w:rPr>
                <w:rFonts w:cs="Garamond"/>
                <w:szCs w:val="18"/>
              </w:rPr>
            </w:pPr>
            <w:r w:rsidRPr="00537C3C">
              <w:rPr>
                <w:rFonts w:cs="Garamond"/>
                <w:szCs w:val="18"/>
              </w:rPr>
              <w:t>90 (83–95)</w:t>
            </w:r>
          </w:p>
          <w:p w:rsidR="00234376" w:rsidRDefault="00234376" w:rsidP="00234376">
            <w:pPr>
              <w:pStyle w:val="TableTextLessSpaceCharCharCharCharCharCharCharChar"/>
              <w:spacing w:before="40" w:after="40"/>
              <w:jc w:val="center"/>
              <w:rPr>
                <w:rFonts w:cs="Garamond"/>
                <w:b/>
                <w:szCs w:val="18"/>
              </w:rPr>
            </w:pPr>
          </w:p>
        </w:tc>
        <w:tc>
          <w:tcPr>
            <w:tcW w:w="456" w:type="pct"/>
            <w:tcBorders>
              <w:top w:val="nil"/>
              <w:left w:val="nil"/>
              <w:right w:val="nil"/>
            </w:tcBorders>
          </w:tcPr>
          <w:p w:rsidR="00234376" w:rsidRDefault="00234376" w:rsidP="00234376">
            <w:pPr>
              <w:pStyle w:val="TableTextLessSpaceCharCharCharCharCharCharCharChar"/>
              <w:spacing w:before="40" w:after="40"/>
              <w:jc w:val="center"/>
              <w:rPr>
                <w:rFonts w:cs="Garamond"/>
                <w:szCs w:val="18"/>
              </w:rPr>
            </w:pPr>
            <w:r w:rsidRPr="00537C3C">
              <w:rPr>
                <w:rFonts w:cs="Garamond"/>
                <w:szCs w:val="18"/>
              </w:rPr>
              <w:t>65 (50–77)</w:t>
            </w:r>
          </w:p>
          <w:p w:rsidR="00234376" w:rsidRDefault="00234376" w:rsidP="00234376">
            <w:pPr>
              <w:pStyle w:val="TableTextLessSpaceCharCharCharCharCharCharCharChar"/>
              <w:spacing w:before="40" w:after="40"/>
              <w:jc w:val="center"/>
              <w:rPr>
                <w:rFonts w:cs="Garamond"/>
                <w:b/>
                <w:szCs w:val="18"/>
              </w:rPr>
            </w:pPr>
          </w:p>
        </w:tc>
        <w:tc>
          <w:tcPr>
            <w:tcW w:w="456" w:type="pct"/>
            <w:tcBorders>
              <w:top w:val="nil"/>
              <w:left w:val="nil"/>
              <w:right w:val="nil"/>
            </w:tcBorders>
          </w:tcPr>
          <w:p w:rsidR="00234376" w:rsidRDefault="00234376" w:rsidP="00234376">
            <w:pPr>
              <w:pStyle w:val="TableTextLessSpaceCharCharCharCharCharCharCharChar"/>
              <w:spacing w:before="40" w:after="40"/>
              <w:jc w:val="center"/>
              <w:rPr>
                <w:rFonts w:cs="Garamond"/>
                <w:szCs w:val="18"/>
              </w:rPr>
            </w:pPr>
            <w:r w:rsidRPr="00537C3C">
              <w:rPr>
                <w:rFonts w:cs="Garamond"/>
                <w:szCs w:val="18"/>
              </w:rPr>
              <w:t>17 (9–34)</w:t>
            </w:r>
          </w:p>
          <w:p w:rsidR="00234376" w:rsidRDefault="00234376" w:rsidP="00234376">
            <w:pPr>
              <w:pStyle w:val="TableTextLessSpaceCharCharCharCharCharCharCharChar"/>
              <w:spacing w:before="40" w:after="40"/>
              <w:jc w:val="center"/>
              <w:rPr>
                <w:rFonts w:cs="Garamond"/>
                <w:b/>
                <w:szCs w:val="18"/>
              </w:rPr>
            </w:pPr>
          </w:p>
        </w:tc>
        <w:tc>
          <w:tcPr>
            <w:tcW w:w="456" w:type="pct"/>
            <w:tcBorders>
              <w:top w:val="nil"/>
              <w:left w:val="nil"/>
              <w:right w:val="nil"/>
            </w:tcBorders>
          </w:tcPr>
          <w:p w:rsidR="00234376" w:rsidRDefault="00234376" w:rsidP="00234376">
            <w:pPr>
              <w:pStyle w:val="TableTextLessSpaceCharCharCharCharCharCharCharChar"/>
              <w:spacing w:before="40" w:after="40"/>
              <w:jc w:val="center"/>
              <w:rPr>
                <w:rFonts w:cs="Garamond"/>
                <w:szCs w:val="18"/>
              </w:rPr>
            </w:pPr>
            <w:r w:rsidRPr="00537C3C">
              <w:rPr>
                <w:rFonts w:cs="Garamond"/>
                <w:szCs w:val="18"/>
              </w:rPr>
              <w:t>88 (80–93)</w:t>
            </w:r>
          </w:p>
          <w:p w:rsidR="00234376" w:rsidRDefault="00234376" w:rsidP="00234376">
            <w:pPr>
              <w:pStyle w:val="TableTextLessSpaceCharCharCharCharCharCharCharChar"/>
              <w:spacing w:before="40" w:after="40"/>
              <w:jc w:val="center"/>
              <w:rPr>
                <w:rFonts w:cs="Garamond"/>
                <w:b/>
                <w:szCs w:val="18"/>
              </w:rPr>
            </w:pPr>
          </w:p>
        </w:tc>
        <w:tc>
          <w:tcPr>
            <w:tcW w:w="456" w:type="pct"/>
            <w:tcBorders>
              <w:top w:val="nil"/>
              <w:left w:val="nil"/>
              <w:right w:val="nil"/>
            </w:tcBorders>
          </w:tcPr>
          <w:p w:rsidR="00234376" w:rsidRDefault="00234376" w:rsidP="00234376">
            <w:pPr>
              <w:pStyle w:val="TableTextLessSpaceCharCharCharCharCharCharCharChar"/>
              <w:spacing w:before="40" w:after="40"/>
              <w:jc w:val="center"/>
              <w:rPr>
                <w:rFonts w:cs="Garamond"/>
                <w:szCs w:val="18"/>
              </w:rPr>
            </w:pPr>
            <w:r w:rsidRPr="00537C3C">
              <w:rPr>
                <w:rFonts w:cs="Garamond"/>
                <w:szCs w:val="18"/>
              </w:rPr>
              <w:t>71 (58–82)</w:t>
            </w:r>
          </w:p>
          <w:p w:rsidR="00234376" w:rsidRDefault="00234376" w:rsidP="00234376">
            <w:pPr>
              <w:pStyle w:val="TableTextLessSpaceCharCharCharCharCharCharCharChar"/>
              <w:spacing w:before="40" w:after="40"/>
              <w:jc w:val="center"/>
              <w:rPr>
                <w:rFonts w:cs="Garamond"/>
                <w:b/>
                <w:szCs w:val="18"/>
              </w:rPr>
            </w:pPr>
          </w:p>
        </w:tc>
        <w:tc>
          <w:tcPr>
            <w:tcW w:w="458" w:type="pct"/>
            <w:tcBorders>
              <w:top w:val="nil"/>
              <w:left w:val="nil"/>
              <w:right w:val="nil"/>
            </w:tcBorders>
          </w:tcPr>
          <w:p w:rsidR="00234376" w:rsidRDefault="00234376" w:rsidP="00234376">
            <w:pPr>
              <w:pStyle w:val="TableTextLessSpaceCharCharCharCharCharCharCharChar"/>
              <w:spacing w:before="40" w:after="40"/>
              <w:jc w:val="center"/>
              <w:rPr>
                <w:rFonts w:cs="Garamond"/>
                <w:szCs w:val="18"/>
              </w:rPr>
            </w:pPr>
            <w:r w:rsidRPr="00537C3C">
              <w:rPr>
                <w:rFonts w:cs="Garamond"/>
                <w:szCs w:val="18"/>
              </w:rPr>
              <w:t>19 (10–35)</w:t>
            </w:r>
          </w:p>
          <w:p w:rsidR="00234376" w:rsidRDefault="00234376" w:rsidP="00234376">
            <w:pPr>
              <w:pStyle w:val="TableTextLessSpaceCharCharCharCharCharCharCharChar"/>
              <w:spacing w:before="40" w:after="40"/>
              <w:jc w:val="center"/>
              <w:rPr>
                <w:rFonts w:cs="Garamond"/>
                <w:b/>
                <w:szCs w:val="18"/>
              </w:rPr>
            </w:pPr>
          </w:p>
        </w:tc>
        <w:tc>
          <w:tcPr>
            <w:tcW w:w="556" w:type="pct"/>
            <w:tcBorders>
              <w:top w:val="nil"/>
              <w:left w:val="nil"/>
              <w:right w:val="nil"/>
            </w:tcBorders>
          </w:tcPr>
          <w:p w:rsidR="00234376" w:rsidRDefault="00234376" w:rsidP="00234376">
            <w:pPr>
              <w:pStyle w:val="TableTextLessSpaceCharCharCharCharCharCharCharChar"/>
              <w:spacing w:before="40" w:after="40"/>
              <w:jc w:val="center"/>
              <w:rPr>
                <w:rFonts w:cs="Garamond"/>
                <w:szCs w:val="18"/>
              </w:rPr>
            </w:pPr>
            <w:r w:rsidRPr="00537C3C">
              <w:rPr>
                <w:rFonts w:cs="Garamond"/>
                <w:szCs w:val="18"/>
              </w:rPr>
              <w:t>1.03 (0.97–1.09)</w:t>
            </w:r>
          </w:p>
        </w:tc>
        <w:tc>
          <w:tcPr>
            <w:tcW w:w="628" w:type="pct"/>
            <w:tcBorders>
              <w:top w:val="nil"/>
              <w:left w:val="nil"/>
              <w:right w:val="nil"/>
            </w:tcBorders>
          </w:tcPr>
          <w:p w:rsidR="00234376" w:rsidRDefault="00234376" w:rsidP="00234376">
            <w:pPr>
              <w:pStyle w:val="TableTextLessSpaceCharCharCharCharCharCharCharChar"/>
              <w:spacing w:before="40" w:after="40"/>
              <w:jc w:val="center"/>
              <w:rPr>
                <w:rFonts w:cs="Garamond"/>
                <w:szCs w:val="18"/>
              </w:rPr>
            </w:pPr>
            <w:r w:rsidRPr="00537C3C">
              <w:rPr>
                <w:rFonts w:cs="Garamond"/>
                <w:szCs w:val="18"/>
              </w:rPr>
              <w:t>0.91 (0.84–0.98)</w:t>
            </w:r>
          </w:p>
          <w:p w:rsidR="00234376" w:rsidRDefault="00234376" w:rsidP="00234376">
            <w:pPr>
              <w:pStyle w:val="TableTextLessSpaceCharCharCharCharCharCharCharChar"/>
              <w:spacing w:before="40" w:after="40"/>
              <w:jc w:val="center"/>
              <w:rPr>
                <w:rFonts w:cs="Garamond"/>
                <w:b/>
                <w:szCs w:val="18"/>
              </w:rPr>
            </w:pPr>
          </w:p>
        </w:tc>
      </w:tr>
      <w:tr w:rsidR="00234376" w:rsidRPr="00537C3C">
        <w:tc>
          <w:tcPr>
            <w:tcW w:w="727" w:type="pct"/>
            <w:tcBorders>
              <w:left w:val="nil"/>
              <w:bottom w:val="nil"/>
              <w:right w:val="nil"/>
            </w:tcBorders>
          </w:tcPr>
          <w:p w:rsidR="00234376" w:rsidRPr="00537C3C" w:rsidRDefault="00234376" w:rsidP="008E03A7">
            <w:pPr>
              <w:pStyle w:val="TableTextLessSpaceCharCharCharCharCharCharCharChar"/>
            </w:pPr>
            <w:r w:rsidRPr="00537C3C">
              <w:rPr>
                <w:b/>
              </w:rPr>
              <w:t xml:space="preserve">Italian </w:t>
            </w:r>
            <w:r w:rsidRPr="00BB76D8">
              <w:rPr>
                <w:b/>
              </w:rPr>
              <w:t>RCT</w:t>
            </w:r>
            <w:r w:rsidRPr="00537C3C">
              <w:t xml:space="preserve"> (Ronco)</w:t>
            </w:r>
          </w:p>
        </w:tc>
        <w:tc>
          <w:tcPr>
            <w:tcW w:w="351" w:type="pct"/>
            <w:tcBorders>
              <w:left w:val="nil"/>
              <w:bottom w:val="nil"/>
              <w:right w:val="nil"/>
            </w:tcBorders>
          </w:tcPr>
          <w:p w:rsidR="00234376" w:rsidRPr="00537C3C" w:rsidRDefault="00234376" w:rsidP="008E03A7">
            <w:pPr>
              <w:pStyle w:val="TableTextLessSpaceCharCharCharCharCharCharCharChar"/>
              <w:spacing w:before="40" w:after="40"/>
              <w:rPr>
                <w:rFonts w:cs="Garamond"/>
                <w:szCs w:val="18"/>
              </w:rPr>
            </w:pPr>
            <w:r w:rsidRPr="00BB76D8">
              <w:rPr>
                <w:rFonts w:cs="Garamond"/>
                <w:szCs w:val="18"/>
              </w:rPr>
              <w:t>HSIL</w:t>
            </w:r>
            <w:r w:rsidRPr="00537C3C">
              <w:rPr>
                <w:rFonts w:cs="Garamond"/>
                <w:szCs w:val="18"/>
              </w:rPr>
              <w:t>+</w:t>
            </w:r>
          </w:p>
        </w:tc>
        <w:tc>
          <w:tcPr>
            <w:tcW w:w="456" w:type="pct"/>
            <w:tcBorders>
              <w:left w:val="nil"/>
              <w:bottom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456" w:type="pct"/>
            <w:tcBorders>
              <w:left w:val="nil"/>
              <w:bottom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456" w:type="pct"/>
            <w:tcBorders>
              <w:left w:val="nil"/>
              <w:bottom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456" w:type="pct"/>
            <w:tcBorders>
              <w:left w:val="nil"/>
              <w:bottom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456" w:type="pct"/>
            <w:tcBorders>
              <w:left w:val="nil"/>
              <w:bottom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458" w:type="pct"/>
            <w:tcBorders>
              <w:left w:val="nil"/>
              <w:bottom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556" w:type="pct"/>
            <w:tcBorders>
              <w:left w:val="nil"/>
              <w:bottom w:val="nil"/>
              <w:right w:val="nil"/>
            </w:tcBorders>
          </w:tcPr>
          <w:p w:rsidR="00234376" w:rsidRDefault="00234376" w:rsidP="00234376">
            <w:pPr>
              <w:pStyle w:val="TableTextLessSpaceCharCharCharCharCharCharCharChar"/>
              <w:spacing w:before="40" w:after="40"/>
              <w:jc w:val="center"/>
              <w:rPr>
                <w:rFonts w:cs="Garamond"/>
                <w:szCs w:val="18"/>
              </w:rPr>
            </w:pPr>
            <w:r w:rsidRPr="00537C3C">
              <w:rPr>
                <w:rFonts w:cs="Garamond"/>
                <w:szCs w:val="18"/>
              </w:rPr>
              <w:t>1.07 (0.71–1.26)</w:t>
            </w:r>
          </w:p>
        </w:tc>
        <w:tc>
          <w:tcPr>
            <w:tcW w:w="628" w:type="pct"/>
            <w:tcBorders>
              <w:left w:val="nil"/>
              <w:bottom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r>
      <w:tr w:rsidR="00234376" w:rsidRPr="00537C3C">
        <w:tc>
          <w:tcPr>
            <w:tcW w:w="727" w:type="pct"/>
            <w:tcBorders>
              <w:top w:val="nil"/>
              <w:left w:val="nil"/>
              <w:right w:val="nil"/>
            </w:tcBorders>
          </w:tcPr>
          <w:p w:rsidR="00234376" w:rsidRPr="00537C3C" w:rsidRDefault="00234376" w:rsidP="008E03A7">
            <w:pPr>
              <w:pStyle w:val="TableTextLessSpaceCharCharCharCharCharCharCharChar"/>
            </w:pPr>
          </w:p>
        </w:tc>
        <w:tc>
          <w:tcPr>
            <w:tcW w:w="351" w:type="pct"/>
            <w:tcBorders>
              <w:top w:val="nil"/>
              <w:left w:val="nil"/>
              <w:right w:val="nil"/>
            </w:tcBorders>
          </w:tcPr>
          <w:p w:rsidR="00234376" w:rsidRPr="00537C3C" w:rsidRDefault="00234376" w:rsidP="008E03A7">
            <w:pPr>
              <w:pStyle w:val="TableTextLessSpaceCharCharCharCharCharCharCharChar"/>
              <w:spacing w:before="40" w:after="40"/>
              <w:rPr>
                <w:rFonts w:cs="Garamond"/>
                <w:szCs w:val="18"/>
              </w:rPr>
            </w:pPr>
            <w:r w:rsidRPr="00BB76D8">
              <w:rPr>
                <w:rFonts w:cs="Garamond"/>
                <w:szCs w:val="18"/>
              </w:rPr>
              <w:t>LSIL</w:t>
            </w:r>
            <w:r w:rsidRPr="00537C3C">
              <w:rPr>
                <w:rFonts w:cs="Garamond"/>
                <w:szCs w:val="18"/>
              </w:rPr>
              <w:t>+</w:t>
            </w:r>
          </w:p>
        </w:tc>
        <w:tc>
          <w:tcPr>
            <w:tcW w:w="456" w:type="pct"/>
            <w:tcBorders>
              <w:top w:val="nil"/>
              <w:left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456" w:type="pct"/>
            <w:tcBorders>
              <w:top w:val="nil"/>
              <w:left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456" w:type="pct"/>
            <w:tcBorders>
              <w:top w:val="nil"/>
              <w:left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456" w:type="pct"/>
            <w:tcBorders>
              <w:top w:val="nil"/>
              <w:left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456" w:type="pct"/>
            <w:tcBorders>
              <w:top w:val="nil"/>
              <w:left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458" w:type="pct"/>
            <w:tcBorders>
              <w:top w:val="nil"/>
              <w:left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c>
          <w:tcPr>
            <w:tcW w:w="556" w:type="pct"/>
            <w:tcBorders>
              <w:top w:val="nil"/>
              <w:left w:val="nil"/>
              <w:right w:val="nil"/>
            </w:tcBorders>
          </w:tcPr>
          <w:p w:rsidR="00234376" w:rsidRDefault="00234376" w:rsidP="00234376">
            <w:pPr>
              <w:pStyle w:val="TableTextLessSpaceCharCharCharCharCharCharCharChar"/>
              <w:spacing w:before="40" w:after="40"/>
              <w:jc w:val="center"/>
              <w:rPr>
                <w:rFonts w:cs="Garamond"/>
                <w:szCs w:val="18"/>
              </w:rPr>
            </w:pPr>
            <w:r w:rsidRPr="00537C3C">
              <w:rPr>
                <w:rFonts w:cs="Garamond"/>
                <w:szCs w:val="18"/>
              </w:rPr>
              <w:t>1.03 (0.74–1.43)</w:t>
            </w:r>
          </w:p>
        </w:tc>
        <w:tc>
          <w:tcPr>
            <w:tcW w:w="628" w:type="pct"/>
            <w:tcBorders>
              <w:top w:val="nil"/>
              <w:left w:val="nil"/>
              <w:right w:val="nil"/>
            </w:tcBorders>
          </w:tcPr>
          <w:p w:rsidR="00234376" w:rsidRPr="00537C3C" w:rsidRDefault="00234376" w:rsidP="008E03A7">
            <w:pPr>
              <w:pStyle w:val="TableTextLessSpaceCharCharCharCharCharCharCharChar"/>
              <w:spacing w:before="40" w:after="40"/>
              <w:jc w:val="center"/>
              <w:rPr>
                <w:rFonts w:cs="Garamond"/>
                <w:szCs w:val="18"/>
              </w:rPr>
            </w:pPr>
            <w:r w:rsidRPr="00537C3C">
              <w:rPr>
                <w:rFonts w:cs="Garamond"/>
                <w:szCs w:val="18"/>
              </w:rPr>
              <w:t>–</w:t>
            </w:r>
          </w:p>
        </w:tc>
      </w:tr>
    </w:tbl>
    <w:p w:rsidR="00234376" w:rsidRPr="00537C3C" w:rsidRDefault="00234376" w:rsidP="008E03A7">
      <w:pPr>
        <w:pStyle w:val="TableNotesMiddle"/>
        <w:ind w:left="567" w:firstLine="0"/>
      </w:pPr>
      <w:r w:rsidRPr="00537C3C">
        <w:rPr>
          <w:vertAlign w:val="superscript"/>
        </w:rPr>
        <w:t xml:space="preserve">a </w:t>
      </w:r>
      <w:r w:rsidRPr="00BB76D8">
        <w:t>ASCUS</w:t>
      </w:r>
      <w:r w:rsidRPr="00537C3C">
        <w:t xml:space="preserve">+ category. </w:t>
      </w:r>
      <w:r w:rsidRPr="00B94BF8">
        <w:t>Se = sensitivity, Sp = specificity,</w:t>
      </w:r>
      <w:r w:rsidRPr="00537C3C">
        <w:t xml:space="preserve"> DOR = </w:t>
      </w:r>
      <w:r w:rsidRPr="00234376">
        <w:t>diagnostic odds ratio</w:t>
      </w:r>
      <w:r w:rsidRPr="00A316F5">
        <w:t>.</w:t>
      </w:r>
    </w:p>
    <w:p w:rsidR="00234376" w:rsidRPr="00537C3C" w:rsidRDefault="00234376" w:rsidP="008E03A7">
      <w:pPr>
        <w:sectPr w:rsidR="00234376" w:rsidRPr="00537C3C" w:rsidSect="008E03A7">
          <w:pgSz w:w="16838" w:h="11906" w:orient="landscape"/>
          <w:pgMar w:top="1440" w:right="1440" w:bottom="1440" w:left="1440" w:header="720" w:footer="720" w:gutter="0"/>
          <w:paperSrc w:first="15" w:other="15"/>
          <w:cols w:space="720"/>
        </w:sectPr>
      </w:pPr>
    </w:p>
    <w:p w:rsidR="00234376" w:rsidRPr="00537C3C" w:rsidRDefault="00234376" w:rsidP="008E03A7">
      <w:pPr>
        <w:pStyle w:val="TableNamea"/>
        <w:ind w:left="1644"/>
      </w:pPr>
      <w:bookmarkStart w:id="340" w:name="_Ref191704564"/>
      <w:bookmarkStart w:id="341" w:name="_Toc95971251"/>
      <w:bookmarkStart w:id="342" w:name="_Ref190166109"/>
      <w:bookmarkStart w:id="343" w:name="_Toc190744101"/>
      <w:bookmarkStart w:id="344" w:name="_Toc190744372"/>
      <w:r w:rsidRPr="00537C3C">
        <w:lastRenderedPageBreak/>
        <w:t xml:space="preserve">Table </w:t>
      </w:r>
      <w:fldSimple w:instr=" SEQ Table \* ARABIC ">
        <w:r w:rsidR="007D3DFF">
          <w:rPr>
            <w:noProof/>
          </w:rPr>
          <w:t>15</w:t>
        </w:r>
      </w:fldSimple>
      <w:bookmarkEnd w:id="340"/>
      <w:r w:rsidRPr="00537C3C">
        <w:tab/>
        <w:t xml:space="preserve">Subgroup analysis of relative accuracy estimates of </w:t>
      </w:r>
      <w:r w:rsidRPr="00BB76D8">
        <w:t>LBC</w:t>
      </w:r>
      <w:r w:rsidRPr="00537C3C">
        <w:t xml:space="preserve"> versus conventional cytology for </w:t>
      </w:r>
      <w:r w:rsidRPr="00BB76D8">
        <w:t>CIN</w:t>
      </w:r>
      <w:r w:rsidRPr="00537C3C">
        <w:t xml:space="preserve"> 2+ from Arbyn et al. (2008).</w:t>
      </w:r>
      <w:bookmarkEnd w:id="341"/>
    </w:p>
    <w:tbl>
      <w:tblPr>
        <w:tblW w:w="4515" w:type="pct"/>
        <w:tblInd w:w="700" w:type="dxa"/>
        <w:tblLayout w:type="fixed"/>
        <w:tblLook w:val="0000" w:firstRow="0" w:lastRow="0" w:firstColumn="0" w:lastColumn="0" w:noHBand="0" w:noVBand="0"/>
      </w:tblPr>
      <w:tblGrid>
        <w:gridCol w:w="1275"/>
        <w:gridCol w:w="3045"/>
        <w:gridCol w:w="1335"/>
        <w:gridCol w:w="708"/>
        <w:gridCol w:w="1315"/>
        <w:gridCol w:w="668"/>
      </w:tblGrid>
      <w:tr w:rsidR="00234376" w:rsidRPr="00537C3C">
        <w:trPr>
          <w:trHeight w:val="367"/>
        </w:trPr>
        <w:tc>
          <w:tcPr>
            <w:tcW w:w="764" w:type="pct"/>
            <w:vMerge w:val="restart"/>
            <w:tcBorders>
              <w:top w:val="single" w:sz="4" w:space="0" w:color="auto"/>
            </w:tcBorders>
          </w:tcPr>
          <w:p w:rsidR="00234376" w:rsidRPr="00537C3C" w:rsidRDefault="00234376" w:rsidP="008E03A7">
            <w:pPr>
              <w:pStyle w:val="TableHeading"/>
            </w:pPr>
            <w:r w:rsidRPr="00537C3C">
              <w:t>Parameter</w:t>
            </w:r>
          </w:p>
        </w:tc>
        <w:tc>
          <w:tcPr>
            <w:tcW w:w="1824" w:type="pct"/>
            <w:vMerge w:val="restart"/>
            <w:tcBorders>
              <w:top w:val="single" w:sz="4" w:space="0" w:color="auto"/>
            </w:tcBorders>
          </w:tcPr>
          <w:p w:rsidR="00234376" w:rsidRPr="00537C3C" w:rsidRDefault="00234376" w:rsidP="008E03A7">
            <w:pPr>
              <w:pStyle w:val="TableHeading"/>
            </w:pPr>
            <w:r w:rsidRPr="00537C3C">
              <w:t>Subgroup</w:t>
            </w:r>
          </w:p>
        </w:tc>
        <w:tc>
          <w:tcPr>
            <w:tcW w:w="2412" w:type="pct"/>
            <w:gridSpan w:val="4"/>
            <w:tcBorders>
              <w:top w:val="single" w:sz="4" w:space="0" w:color="auto"/>
            </w:tcBorders>
          </w:tcPr>
          <w:p w:rsidR="00234376" w:rsidRPr="00537C3C" w:rsidRDefault="00234376" w:rsidP="008E03A7">
            <w:pPr>
              <w:pStyle w:val="TableHeading"/>
              <w:jc w:val="center"/>
            </w:pPr>
            <w:r w:rsidRPr="00537C3C">
              <w:t>Pooled accuracy ratio</w:t>
            </w:r>
          </w:p>
          <w:p w:rsidR="00234376" w:rsidRPr="00537C3C" w:rsidRDefault="00234376" w:rsidP="008E03A7">
            <w:pPr>
              <w:pStyle w:val="TableHeading"/>
              <w:jc w:val="center"/>
            </w:pPr>
            <w:r w:rsidRPr="00BB76D8">
              <w:t>LBC</w:t>
            </w:r>
            <w:r w:rsidRPr="00537C3C">
              <w:t xml:space="preserve"> : conventional</w:t>
            </w:r>
          </w:p>
        </w:tc>
      </w:tr>
      <w:tr w:rsidR="00234376" w:rsidRPr="00537C3C">
        <w:trPr>
          <w:trHeight w:val="367"/>
        </w:trPr>
        <w:tc>
          <w:tcPr>
            <w:tcW w:w="764" w:type="pct"/>
            <w:vMerge/>
            <w:tcBorders>
              <w:bottom w:val="single" w:sz="4" w:space="0" w:color="auto"/>
            </w:tcBorders>
          </w:tcPr>
          <w:p w:rsidR="00234376" w:rsidRPr="00537C3C" w:rsidRDefault="00234376" w:rsidP="008E03A7">
            <w:pPr>
              <w:pStyle w:val="TableHeading"/>
            </w:pPr>
          </w:p>
        </w:tc>
        <w:tc>
          <w:tcPr>
            <w:tcW w:w="1824" w:type="pct"/>
            <w:vMerge/>
            <w:tcBorders>
              <w:bottom w:val="single" w:sz="4" w:space="0" w:color="auto"/>
            </w:tcBorders>
          </w:tcPr>
          <w:p w:rsidR="00234376" w:rsidRPr="00537C3C" w:rsidRDefault="00234376" w:rsidP="008E03A7">
            <w:pPr>
              <w:pStyle w:val="TableHeading"/>
            </w:pPr>
          </w:p>
        </w:tc>
        <w:tc>
          <w:tcPr>
            <w:tcW w:w="800" w:type="pct"/>
            <w:tcBorders>
              <w:bottom w:val="single" w:sz="4" w:space="0" w:color="auto"/>
            </w:tcBorders>
          </w:tcPr>
          <w:p w:rsidR="00234376" w:rsidRPr="00537C3C" w:rsidRDefault="00234376" w:rsidP="008E03A7">
            <w:pPr>
              <w:pStyle w:val="TableTextCharChar"/>
              <w:jc w:val="center"/>
            </w:pPr>
            <w:r w:rsidRPr="00537C3C">
              <w:t>Sensitivity</w:t>
            </w:r>
          </w:p>
          <w:p w:rsidR="00234376" w:rsidRPr="00537C3C" w:rsidRDefault="00234376" w:rsidP="008E03A7">
            <w:pPr>
              <w:pStyle w:val="TableTextCharChar"/>
              <w:jc w:val="center"/>
            </w:pPr>
            <w:r w:rsidRPr="00537C3C">
              <w:t xml:space="preserve">(95% </w:t>
            </w:r>
            <w:r w:rsidRPr="00BB76D8">
              <w:t>CI</w:t>
            </w:r>
            <w:r w:rsidRPr="00537C3C">
              <w:t>)</w:t>
            </w:r>
          </w:p>
        </w:tc>
        <w:tc>
          <w:tcPr>
            <w:tcW w:w="424" w:type="pct"/>
            <w:tcBorders>
              <w:bottom w:val="single" w:sz="4" w:space="0" w:color="auto"/>
            </w:tcBorders>
          </w:tcPr>
          <w:p w:rsidR="00234376" w:rsidRPr="00537C3C" w:rsidRDefault="00234376" w:rsidP="008E03A7">
            <w:pPr>
              <w:pStyle w:val="TableTextCharChar"/>
              <w:jc w:val="center"/>
            </w:pPr>
            <w:r w:rsidRPr="00537C3C">
              <w:t>Trials</w:t>
            </w:r>
          </w:p>
          <w:p w:rsidR="00234376" w:rsidRPr="00537C3C" w:rsidRDefault="00234376" w:rsidP="008E03A7">
            <w:pPr>
              <w:pStyle w:val="TableTextCharChar"/>
              <w:jc w:val="center"/>
            </w:pPr>
            <w:r w:rsidRPr="0030078D">
              <w:rPr>
                <w:i/>
              </w:rPr>
              <w:t>N</w:t>
            </w:r>
          </w:p>
        </w:tc>
        <w:tc>
          <w:tcPr>
            <w:tcW w:w="788" w:type="pct"/>
            <w:tcBorders>
              <w:bottom w:val="single" w:sz="4" w:space="0" w:color="auto"/>
            </w:tcBorders>
          </w:tcPr>
          <w:p w:rsidR="00234376" w:rsidRPr="00537C3C" w:rsidRDefault="00234376" w:rsidP="008E03A7">
            <w:pPr>
              <w:pStyle w:val="TableTextCharChar"/>
              <w:ind w:left="-289" w:firstLine="289"/>
              <w:jc w:val="center"/>
            </w:pPr>
            <w:r w:rsidRPr="00537C3C">
              <w:t>Specificity</w:t>
            </w:r>
          </w:p>
          <w:p w:rsidR="00234376" w:rsidRPr="00537C3C" w:rsidRDefault="00234376" w:rsidP="008E03A7">
            <w:pPr>
              <w:pStyle w:val="TableTextCharChar"/>
              <w:jc w:val="center"/>
            </w:pPr>
            <w:r w:rsidRPr="00537C3C">
              <w:t xml:space="preserve">(95% </w:t>
            </w:r>
            <w:r w:rsidRPr="00BB76D8">
              <w:t>CI</w:t>
            </w:r>
            <w:r w:rsidRPr="00537C3C">
              <w:t>)</w:t>
            </w:r>
          </w:p>
        </w:tc>
        <w:tc>
          <w:tcPr>
            <w:tcW w:w="400" w:type="pct"/>
            <w:tcBorders>
              <w:bottom w:val="single" w:sz="4" w:space="0" w:color="auto"/>
            </w:tcBorders>
          </w:tcPr>
          <w:p w:rsidR="00234376" w:rsidRPr="00537C3C" w:rsidRDefault="00234376" w:rsidP="008E03A7">
            <w:pPr>
              <w:pStyle w:val="TableTextCharChar"/>
              <w:jc w:val="center"/>
            </w:pPr>
            <w:r w:rsidRPr="00537C3C">
              <w:t>Trials</w:t>
            </w:r>
          </w:p>
          <w:p w:rsidR="00234376" w:rsidRPr="00537C3C" w:rsidRDefault="00234376" w:rsidP="008E03A7">
            <w:pPr>
              <w:pStyle w:val="TableTextCharChar"/>
              <w:jc w:val="center"/>
            </w:pPr>
            <w:r w:rsidRPr="0030078D">
              <w:rPr>
                <w:i/>
              </w:rPr>
              <w:t>N</w:t>
            </w:r>
          </w:p>
        </w:tc>
      </w:tr>
      <w:tr w:rsidR="00234376" w:rsidRPr="00537C3C">
        <w:tc>
          <w:tcPr>
            <w:tcW w:w="764" w:type="pct"/>
            <w:tcBorders>
              <w:top w:val="single" w:sz="4" w:space="0" w:color="auto"/>
            </w:tcBorders>
          </w:tcPr>
          <w:p w:rsidR="00234376" w:rsidRPr="00537C3C" w:rsidRDefault="00234376" w:rsidP="008E03A7">
            <w:pPr>
              <w:pStyle w:val="TableTextLessSpaceCharCharCharCharCharCharCharChar"/>
              <w:rPr>
                <w:b/>
              </w:rPr>
            </w:pPr>
            <w:r w:rsidRPr="00537C3C">
              <w:rPr>
                <w:b/>
              </w:rPr>
              <w:t>Setting</w:t>
            </w:r>
          </w:p>
        </w:tc>
        <w:tc>
          <w:tcPr>
            <w:tcW w:w="1824" w:type="pct"/>
            <w:tcBorders>
              <w:top w:val="single" w:sz="4" w:space="0" w:color="auto"/>
            </w:tcBorders>
          </w:tcPr>
          <w:p w:rsidR="00234376" w:rsidRPr="00537C3C" w:rsidRDefault="00234376" w:rsidP="008E03A7">
            <w:pPr>
              <w:pStyle w:val="TableTextLessSpaceCharCharCharCharCharCharCharChar"/>
            </w:pPr>
            <w:r w:rsidRPr="00537C3C">
              <w:t>Screening setting</w:t>
            </w:r>
          </w:p>
        </w:tc>
        <w:tc>
          <w:tcPr>
            <w:tcW w:w="800" w:type="pct"/>
            <w:tcBorders>
              <w:top w:val="single" w:sz="4" w:space="0" w:color="auto"/>
            </w:tcBorders>
          </w:tcPr>
          <w:p w:rsidR="00234376" w:rsidRPr="00537C3C" w:rsidRDefault="00234376" w:rsidP="008E03A7">
            <w:pPr>
              <w:autoSpaceDE w:val="0"/>
              <w:autoSpaceDN w:val="0"/>
              <w:adjustRightInd w:val="0"/>
              <w:spacing w:before="20" w:after="20"/>
              <w:ind w:left="0"/>
              <w:jc w:val="center"/>
              <w:rPr>
                <w:rFonts w:ascii="Arial Narrow" w:eastAsia="Arial Unicode MS" w:hAnsi="Arial Narrow"/>
                <w:sz w:val="18"/>
                <w:lang w:eastAsia="en-AU"/>
              </w:rPr>
            </w:pPr>
            <w:r w:rsidRPr="00537C3C">
              <w:rPr>
                <w:rFonts w:ascii="Arial Narrow" w:eastAsia="Arial Unicode MS" w:hAnsi="Arial Narrow"/>
                <w:sz w:val="18"/>
                <w:lang w:eastAsia="en-AU"/>
              </w:rPr>
              <w:t>1.03 (0.76–1.40)</w:t>
            </w:r>
          </w:p>
        </w:tc>
        <w:tc>
          <w:tcPr>
            <w:tcW w:w="424" w:type="pct"/>
            <w:tcBorders>
              <w:top w:val="single" w:sz="4" w:space="0" w:color="auto"/>
            </w:tcBorders>
          </w:tcPr>
          <w:p w:rsidR="00234376" w:rsidRPr="00537C3C" w:rsidRDefault="00234376" w:rsidP="008E03A7">
            <w:pPr>
              <w:pStyle w:val="TableTextLessSpaceCharCharCharCharCharCharCharChar"/>
              <w:jc w:val="center"/>
            </w:pPr>
            <w:r w:rsidRPr="00537C3C">
              <w:t>2</w:t>
            </w:r>
          </w:p>
        </w:tc>
        <w:tc>
          <w:tcPr>
            <w:tcW w:w="788" w:type="pct"/>
            <w:tcBorders>
              <w:top w:val="single" w:sz="4" w:space="0" w:color="auto"/>
            </w:tcBorders>
          </w:tcPr>
          <w:p w:rsidR="00234376" w:rsidRPr="00537C3C" w:rsidRDefault="00234376" w:rsidP="008E03A7">
            <w:pPr>
              <w:pStyle w:val="TableTextLessSpaceCharCharCharCharCharCharCharChar"/>
              <w:jc w:val="center"/>
            </w:pPr>
            <w:r w:rsidRPr="00537C3C">
              <w:t>1.00 (0.99–1.00)</w:t>
            </w:r>
          </w:p>
        </w:tc>
        <w:tc>
          <w:tcPr>
            <w:tcW w:w="400" w:type="pct"/>
            <w:tcBorders>
              <w:top w:val="single" w:sz="4" w:space="0" w:color="auto"/>
            </w:tcBorders>
          </w:tcPr>
          <w:p w:rsidR="00234376" w:rsidRPr="00537C3C" w:rsidRDefault="00234376" w:rsidP="008E03A7">
            <w:pPr>
              <w:pStyle w:val="TableTextLessSpaceCharCharCharCharCharCharCharChar"/>
              <w:jc w:val="center"/>
            </w:pPr>
            <w:r w:rsidRPr="00537C3C">
              <w:t>1</w:t>
            </w:r>
          </w:p>
        </w:tc>
      </w:tr>
      <w:tr w:rsidR="00234376" w:rsidRPr="00537C3C">
        <w:tc>
          <w:tcPr>
            <w:tcW w:w="764" w:type="pct"/>
            <w:tcBorders>
              <w:bottom w:val="single" w:sz="4" w:space="0" w:color="auto"/>
            </w:tcBorders>
          </w:tcPr>
          <w:p w:rsidR="00234376" w:rsidRPr="00537C3C" w:rsidRDefault="00234376" w:rsidP="008E03A7">
            <w:pPr>
              <w:pStyle w:val="TableTextLessSpaceCharCharCharCharCharCharCharChar"/>
            </w:pPr>
          </w:p>
        </w:tc>
        <w:tc>
          <w:tcPr>
            <w:tcW w:w="1824" w:type="pct"/>
            <w:tcBorders>
              <w:bottom w:val="single" w:sz="4" w:space="0" w:color="auto"/>
            </w:tcBorders>
          </w:tcPr>
          <w:p w:rsidR="00234376" w:rsidRPr="00537C3C" w:rsidRDefault="00234376" w:rsidP="008E03A7">
            <w:pPr>
              <w:pStyle w:val="TableTextLessSpaceCharCharCharCharCharCharCharChar"/>
            </w:pPr>
            <w:r w:rsidRPr="00537C3C">
              <w:t>High risk / follow-up population</w:t>
            </w:r>
          </w:p>
        </w:tc>
        <w:tc>
          <w:tcPr>
            <w:tcW w:w="800" w:type="pct"/>
            <w:tcBorders>
              <w:bottom w:val="single" w:sz="4" w:space="0" w:color="auto"/>
            </w:tcBorders>
          </w:tcPr>
          <w:p w:rsidR="00234376" w:rsidRPr="00537C3C" w:rsidRDefault="00234376" w:rsidP="008E03A7">
            <w:pPr>
              <w:pStyle w:val="TableTextLessSpaceCharCharCharCharCharCharCharChar"/>
              <w:jc w:val="center"/>
            </w:pPr>
            <w:r w:rsidRPr="00537C3C">
              <w:t>1.05 (0.94–1.17)</w:t>
            </w:r>
          </w:p>
        </w:tc>
        <w:tc>
          <w:tcPr>
            <w:tcW w:w="424" w:type="pct"/>
            <w:tcBorders>
              <w:bottom w:val="single" w:sz="4" w:space="0" w:color="auto"/>
            </w:tcBorders>
          </w:tcPr>
          <w:p w:rsidR="00234376" w:rsidRPr="00537C3C" w:rsidRDefault="00234376" w:rsidP="008E03A7">
            <w:pPr>
              <w:pStyle w:val="TableTextLessSpaceCharCharCharCharCharCharCharChar"/>
              <w:jc w:val="center"/>
            </w:pPr>
            <w:r w:rsidRPr="00537C3C">
              <w:t>8</w:t>
            </w:r>
          </w:p>
        </w:tc>
        <w:tc>
          <w:tcPr>
            <w:tcW w:w="788" w:type="pct"/>
            <w:tcBorders>
              <w:bottom w:val="single" w:sz="4" w:space="0" w:color="auto"/>
            </w:tcBorders>
          </w:tcPr>
          <w:p w:rsidR="00234376" w:rsidRPr="00537C3C" w:rsidRDefault="00234376" w:rsidP="008E03A7">
            <w:pPr>
              <w:pStyle w:val="TableTextLessSpaceCharCharCharCharCharCharCharChar"/>
              <w:jc w:val="center"/>
            </w:pPr>
            <w:r w:rsidRPr="00537C3C">
              <w:t>0.99 (0.97–1.01)</w:t>
            </w:r>
          </w:p>
        </w:tc>
        <w:tc>
          <w:tcPr>
            <w:tcW w:w="400" w:type="pct"/>
            <w:tcBorders>
              <w:bottom w:val="single" w:sz="4" w:space="0" w:color="auto"/>
            </w:tcBorders>
          </w:tcPr>
          <w:p w:rsidR="00234376" w:rsidRPr="00537C3C" w:rsidRDefault="00234376" w:rsidP="008E03A7">
            <w:pPr>
              <w:pStyle w:val="TableTextLessSpaceCharCharCharCharCharCharCharChar"/>
              <w:jc w:val="center"/>
            </w:pPr>
            <w:r w:rsidRPr="00537C3C">
              <w:t>8</w:t>
            </w:r>
          </w:p>
        </w:tc>
      </w:tr>
      <w:tr w:rsidR="00234376" w:rsidRPr="00537C3C">
        <w:tc>
          <w:tcPr>
            <w:tcW w:w="764" w:type="pct"/>
            <w:tcBorders>
              <w:top w:val="single" w:sz="4" w:space="0" w:color="auto"/>
            </w:tcBorders>
          </w:tcPr>
          <w:p w:rsidR="00234376" w:rsidRPr="00537C3C" w:rsidRDefault="00234376" w:rsidP="008E03A7">
            <w:pPr>
              <w:pStyle w:val="TableTextLessSpaceCharCharCharCharCharCharCharChar"/>
              <w:rPr>
                <w:b/>
              </w:rPr>
            </w:pPr>
            <w:r w:rsidRPr="00537C3C">
              <w:rPr>
                <w:b/>
              </w:rPr>
              <w:t>Study design*</w:t>
            </w:r>
          </w:p>
        </w:tc>
        <w:tc>
          <w:tcPr>
            <w:tcW w:w="1824" w:type="pct"/>
            <w:tcBorders>
              <w:top w:val="single" w:sz="4" w:space="0" w:color="auto"/>
            </w:tcBorders>
          </w:tcPr>
          <w:p w:rsidR="00234376" w:rsidRPr="00537C3C" w:rsidRDefault="00234376" w:rsidP="008E03A7">
            <w:pPr>
              <w:pStyle w:val="TableTextLessSpaceCharCharCharCharCharCharCharChar"/>
            </w:pPr>
            <w:r w:rsidRPr="00537C3C">
              <w:t>Paired study design</w:t>
            </w:r>
          </w:p>
        </w:tc>
        <w:tc>
          <w:tcPr>
            <w:tcW w:w="800" w:type="pct"/>
            <w:tcBorders>
              <w:top w:val="single" w:sz="4" w:space="0" w:color="auto"/>
            </w:tcBorders>
          </w:tcPr>
          <w:p w:rsidR="00234376" w:rsidRPr="00537C3C" w:rsidRDefault="00234376" w:rsidP="008E03A7">
            <w:pPr>
              <w:pStyle w:val="TableTextLessSpaceCharCharCharCharCharCharCharChar"/>
              <w:jc w:val="center"/>
            </w:pPr>
            <w:r w:rsidRPr="00537C3C">
              <w:t>1.07 (0.95–1.20)</w:t>
            </w:r>
          </w:p>
        </w:tc>
        <w:tc>
          <w:tcPr>
            <w:tcW w:w="424" w:type="pct"/>
            <w:tcBorders>
              <w:top w:val="single" w:sz="4" w:space="0" w:color="auto"/>
            </w:tcBorders>
          </w:tcPr>
          <w:p w:rsidR="00234376" w:rsidRPr="00537C3C" w:rsidRDefault="00234376" w:rsidP="008E03A7">
            <w:pPr>
              <w:pStyle w:val="TableTextLessSpaceCharCharCharCharCharCharCharChar"/>
              <w:jc w:val="center"/>
            </w:pPr>
            <w:r w:rsidRPr="00537C3C">
              <w:t>7</w:t>
            </w:r>
          </w:p>
        </w:tc>
        <w:tc>
          <w:tcPr>
            <w:tcW w:w="788" w:type="pct"/>
            <w:tcBorders>
              <w:top w:val="single" w:sz="4" w:space="0" w:color="auto"/>
            </w:tcBorders>
          </w:tcPr>
          <w:p w:rsidR="00234376" w:rsidRPr="00537C3C" w:rsidRDefault="00234376" w:rsidP="008E03A7">
            <w:pPr>
              <w:pStyle w:val="TableTextLessSpaceCharCharCharCharCharCharCharChar"/>
              <w:jc w:val="center"/>
            </w:pPr>
            <w:r w:rsidRPr="00537C3C">
              <w:t>0.99 (0.97–1.00)</w:t>
            </w:r>
          </w:p>
        </w:tc>
        <w:tc>
          <w:tcPr>
            <w:tcW w:w="400" w:type="pct"/>
            <w:tcBorders>
              <w:top w:val="single" w:sz="4" w:space="0" w:color="auto"/>
            </w:tcBorders>
          </w:tcPr>
          <w:p w:rsidR="00234376" w:rsidRPr="00537C3C" w:rsidRDefault="00234376" w:rsidP="008E03A7">
            <w:pPr>
              <w:pStyle w:val="TableTextLessSpaceCharCharCharCharCharCharCharChar"/>
              <w:jc w:val="center"/>
            </w:pPr>
            <w:r w:rsidRPr="00537C3C">
              <w:t>7</w:t>
            </w:r>
          </w:p>
        </w:tc>
      </w:tr>
      <w:tr w:rsidR="00234376" w:rsidRPr="00537C3C">
        <w:tc>
          <w:tcPr>
            <w:tcW w:w="764" w:type="pct"/>
            <w:tcBorders>
              <w:bottom w:val="single" w:sz="4" w:space="0" w:color="auto"/>
            </w:tcBorders>
          </w:tcPr>
          <w:p w:rsidR="00234376" w:rsidRPr="00537C3C" w:rsidRDefault="00234376" w:rsidP="008E03A7">
            <w:pPr>
              <w:pStyle w:val="TableTextLessSpaceCharCharCharCharCharCharCharChar"/>
              <w:rPr>
                <w:b/>
              </w:rPr>
            </w:pPr>
          </w:p>
        </w:tc>
        <w:tc>
          <w:tcPr>
            <w:tcW w:w="1824" w:type="pct"/>
            <w:tcBorders>
              <w:bottom w:val="single" w:sz="4" w:space="0" w:color="auto"/>
            </w:tcBorders>
          </w:tcPr>
          <w:p w:rsidR="00234376" w:rsidRPr="00537C3C" w:rsidRDefault="00234376" w:rsidP="008E03A7">
            <w:pPr>
              <w:pStyle w:val="TableTextLessSpaceCharCharCharCharCharCharCharChar"/>
            </w:pPr>
            <w:r w:rsidRPr="00537C3C">
              <w:t>Independent study design</w:t>
            </w:r>
          </w:p>
        </w:tc>
        <w:tc>
          <w:tcPr>
            <w:tcW w:w="800" w:type="pct"/>
            <w:tcBorders>
              <w:bottom w:val="single" w:sz="4" w:space="0" w:color="auto"/>
            </w:tcBorders>
          </w:tcPr>
          <w:p w:rsidR="00234376" w:rsidRPr="00537C3C" w:rsidRDefault="00234376" w:rsidP="008E03A7">
            <w:pPr>
              <w:pStyle w:val="TableTextLessSpaceCharCharCharCharCharCharCharChar"/>
              <w:jc w:val="center"/>
            </w:pPr>
            <w:r w:rsidRPr="00537C3C">
              <w:t>0.94 (0.71–1.26)</w:t>
            </w:r>
          </w:p>
        </w:tc>
        <w:tc>
          <w:tcPr>
            <w:tcW w:w="424" w:type="pct"/>
            <w:tcBorders>
              <w:bottom w:val="single" w:sz="4" w:space="0" w:color="auto"/>
            </w:tcBorders>
          </w:tcPr>
          <w:p w:rsidR="00234376" w:rsidRPr="00537C3C" w:rsidRDefault="00234376" w:rsidP="008E03A7">
            <w:pPr>
              <w:pStyle w:val="TableTextLessSpaceCharCharCharCharCharCharCharChar"/>
              <w:jc w:val="center"/>
            </w:pPr>
            <w:r w:rsidRPr="00537C3C">
              <w:t>2</w:t>
            </w:r>
          </w:p>
        </w:tc>
        <w:tc>
          <w:tcPr>
            <w:tcW w:w="788" w:type="pct"/>
            <w:tcBorders>
              <w:bottom w:val="single" w:sz="4" w:space="0" w:color="auto"/>
            </w:tcBorders>
          </w:tcPr>
          <w:p w:rsidR="00234376" w:rsidRPr="00537C3C" w:rsidRDefault="00234376" w:rsidP="008E03A7">
            <w:pPr>
              <w:pStyle w:val="TableTextLessSpaceCharCharCharCharCharCharCharChar"/>
              <w:jc w:val="center"/>
            </w:pPr>
            <w:r w:rsidRPr="00537C3C">
              <w:t>1.01 (1.00–1.02)</w:t>
            </w:r>
          </w:p>
        </w:tc>
        <w:tc>
          <w:tcPr>
            <w:tcW w:w="400" w:type="pct"/>
            <w:tcBorders>
              <w:bottom w:val="single" w:sz="4" w:space="0" w:color="auto"/>
            </w:tcBorders>
          </w:tcPr>
          <w:p w:rsidR="00234376" w:rsidRPr="00537C3C" w:rsidRDefault="00234376" w:rsidP="008E03A7">
            <w:pPr>
              <w:pStyle w:val="TableTextLessSpaceCharCharCharCharCharCharCharChar"/>
              <w:jc w:val="center"/>
            </w:pPr>
            <w:r w:rsidRPr="00537C3C">
              <w:t>1</w:t>
            </w:r>
          </w:p>
        </w:tc>
      </w:tr>
      <w:tr w:rsidR="00234376" w:rsidRPr="00537C3C">
        <w:tc>
          <w:tcPr>
            <w:tcW w:w="764" w:type="pct"/>
            <w:tcBorders>
              <w:top w:val="single" w:sz="4" w:space="0" w:color="auto"/>
            </w:tcBorders>
          </w:tcPr>
          <w:p w:rsidR="00234376" w:rsidRPr="00537C3C" w:rsidRDefault="00234376" w:rsidP="008E03A7">
            <w:pPr>
              <w:pStyle w:val="TableTextLessSpaceCharCharCharCharCharCharCharChar"/>
              <w:rPr>
                <w:b/>
              </w:rPr>
            </w:pPr>
            <w:r w:rsidRPr="00537C3C">
              <w:rPr>
                <w:b/>
              </w:rPr>
              <w:t>Reference</w:t>
            </w:r>
          </w:p>
        </w:tc>
        <w:tc>
          <w:tcPr>
            <w:tcW w:w="1824" w:type="pct"/>
            <w:tcBorders>
              <w:top w:val="single" w:sz="4" w:space="0" w:color="auto"/>
            </w:tcBorders>
          </w:tcPr>
          <w:p w:rsidR="00234376" w:rsidRPr="00537C3C" w:rsidRDefault="00234376" w:rsidP="008E03A7">
            <w:pPr>
              <w:pStyle w:val="TableTextLessSpaceCharCharCharCharCharCharCharChar"/>
            </w:pPr>
            <w:r w:rsidRPr="00537C3C">
              <w:t>Colposcopy + biopsy if indicated</w:t>
            </w:r>
          </w:p>
        </w:tc>
        <w:tc>
          <w:tcPr>
            <w:tcW w:w="800" w:type="pct"/>
            <w:tcBorders>
              <w:top w:val="single" w:sz="4" w:space="0" w:color="auto"/>
            </w:tcBorders>
          </w:tcPr>
          <w:p w:rsidR="00234376" w:rsidRPr="00537C3C" w:rsidRDefault="00234376" w:rsidP="008E03A7">
            <w:pPr>
              <w:pStyle w:val="TableTextLessSpaceCharCharCharCharCharCharCharChar"/>
              <w:jc w:val="center"/>
            </w:pPr>
            <w:r w:rsidRPr="00537C3C">
              <w:t>1.07 (0.60–1.64)</w:t>
            </w:r>
          </w:p>
        </w:tc>
        <w:tc>
          <w:tcPr>
            <w:tcW w:w="424" w:type="pct"/>
            <w:tcBorders>
              <w:top w:val="single" w:sz="4" w:space="0" w:color="auto"/>
            </w:tcBorders>
          </w:tcPr>
          <w:p w:rsidR="00234376" w:rsidRPr="00537C3C" w:rsidRDefault="00234376" w:rsidP="008E03A7">
            <w:pPr>
              <w:pStyle w:val="TableTextLessSpaceCharCharCharCharCharCharCharChar"/>
              <w:jc w:val="center"/>
            </w:pPr>
            <w:r w:rsidRPr="00537C3C">
              <w:t>1</w:t>
            </w:r>
          </w:p>
        </w:tc>
        <w:tc>
          <w:tcPr>
            <w:tcW w:w="788" w:type="pct"/>
            <w:tcBorders>
              <w:top w:val="single" w:sz="4" w:space="0" w:color="auto"/>
            </w:tcBorders>
          </w:tcPr>
          <w:p w:rsidR="00234376" w:rsidRPr="00537C3C" w:rsidRDefault="00234376" w:rsidP="008E03A7">
            <w:pPr>
              <w:pStyle w:val="TableTextLessSpaceCharCharCharCharCharCharCharChar"/>
              <w:jc w:val="center"/>
            </w:pPr>
          </w:p>
        </w:tc>
        <w:tc>
          <w:tcPr>
            <w:tcW w:w="400" w:type="pct"/>
            <w:tcBorders>
              <w:top w:val="single" w:sz="4" w:space="0" w:color="auto"/>
            </w:tcBorders>
          </w:tcPr>
          <w:p w:rsidR="00234376" w:rsidRPr="00537C3C" w:rsidRDefault="00234376" w:rsidP="008E03A7">
            <w:pPr>
              <w:pStyle w:val="TableTextLessSpaceCharCharCharCharCharCharCharChar"/>
              <w:jc w:val="center"/>
            </w:pPr>
            <w:r w:rsidRPr="00537C3C">
              <w:t>0</w:t>
            </w:r>
          </w:p>
        </w:tc>
      </w:tr>
      <w:tr w:rsidR="00234376" w:rsidRPr="00537C3C">
        <w:tc>
          <w:tcPr>
            <w:tcW w:w="764" w:type="pct"/>
          </w:tcPr>
          <w:p w:rsidR="00234376" w:rsidRPr="00537C3C" w:rsidRDefault="00234376" w:rsidP="008E03A7">
            <w:pPr>
              <w:pStyle w:val="TableTextLessSpaceCharCharCharCharCharCharCharChar"/>
              <w:rPr>
                <w:b/>
              </w:rPr>
            </w:pPr>
            <w:r w:rsidRPr="00537C3C">
              <w:rPr>
                <w:b/>
              </w:rPr>
              <w:t>standard</w:t>
            </w:r>
          </w:p>
        </w:tc>
        <w:tc>
          <w:tcPr>
            <w:tcW w:w="1824" w:type="pct"/>
          </w:tcPr>
          <w:p w:rsidR="00234376" w:rsidRPr="00537C3C" w:rsidRDefault="00234376" w:rsidP="008E03A7">
            <w:pPr>
              <w:pStyle w:val="TableTextLessSpaceCharCharCharCharCharCharCharChar"/>
            </w:pPr>
            <w:r w:rsidRPr="00537C3C">
              <w:t>Complete colposcopy, histology if indicated</w:t>
            </w:r>
          </w:p>
        </w:tc>
        <w:tc>
          <w:tcPr>
            <w:tcW w:w="800" w:type="pct"/>
          </w:tcPr>
          <w:p w:rsidR="00234376" w:rsidRPr="00537C3C" w:rsidRDefault="00234376" w:rsidP="008E03A7">
            <w:pPr>
              <w:pStyle w:val="TableTextLessSpaceCharCharCharCharCharCharCharChar"/>
              <w:jc w:val="center"/>
            </w:pPr>
            <w:r w:rsidRPr="00537C3C">
              <w:t>1.10 (0.94–1.28)</w:t>
            </w:r>
          </w:p>
        </w:tc>
        <w:tc>
          <w:tcPr>
            <w:tcW w:w="424" w:type="pct"/>
          </w:tcPr>
          <w:p w:rsidR="00234376" w:rsidRPr="00537C3C" w:rsidRDefault="00234376" w:rsidP="008E03A7">
            <w:pPr>
              <w:pStyle w:val="TableTextLessSpaceCharCharCharCharCharCharCharChar"/>
              <w:jc w:val="center"/>
            </w:pPr>
            <w:r w:rsidRPr="00537C3C">
              <w:t>6</w:t>
            </w:r>
          </w:p>
        </w:tc>
        <w:tc>
          <w:tcPr>
            <w:tcW w:w="788" w:type="pct"/>
          </w:tcPr>
          <w:p w:rsidR="00234376" w:rsidRPr="00537C3C" w:rsidRDefault="00234376" w:rsidP="008E03A7">
            <w:pPr>
              <w:pStyle w:val="TableTextLessSpaceCharCharCharCharCharCharCharChar"/>
              <w:jc w:val="center"/>
            </w:pPr>
            <w:r w:rsidRPr="00537C3C">
              <w:t>0.99 (0.98–1.01)</w:t>
            </w:r>
          </w:p>
        </w:tc>
        <w:tc>
          <w:tcPr>
            <w:tcW w:w="400" w:type="pct"/>
          </w:tcPr>
          <w:p w:rsidR="00234376" w:rsidRPr="00537C3C" w:rsidRDefault="00234376" w:rsidP="008E03A7">
            <w:pPr>
              <w:pStyle w:val="TableTextLessSpaceCharCharCharCharCharCharCharChar"/>
              <w:jc w:val="center"/>
            </w:pPr>
            <w:r w:rsidRPr="00537C3C">
              <w:t>6</w:t>
            </w:r>
          </w:p>
        </w:tc>
      </w:tr>
      <w:tr w:rsidR="00234376" w:rsidRPr="00537C3C">
        <w:tc>
          <w:tcPr>
            <w:tcW w:w="764" w:type="pct"/>
            <w:tcBorders>
              <w:bottom w:val="single" w:sz="4" w:space="0" w:color="auto"/>
            </w:tcBorders>
          </w:tcPr>
          <w:p w:rsidR="00234376" w:rsidRPr="00537C3C" w:rsidRDefault="00234376" w:rsidP="008E03A7">
            <w:pPr>
              <w:pStyle w:val="TableTextLessSpaceCharCharCharCharCharCharCharChar"/>
              <w:rPr>
                <w:b/>
              </w:rPr>
            </w:pPr>
          </w:p>
        </w:tc>
        <w:tc>
          <w:tcPr>
            <w:tcW w:w="1824" w:type="pct"/>
            <w:tcBorders>
              <w:bottom w:val="single" w:sz="4" w:space="0" w:color="auto"/>
            </w:tcBorders>
          </w:tcPr>
          <w:p w:rsidR="00234376" w:rsidRPr="00537C3C" w:rsidRDefault="00234376" w:rsidP="008E03A7">
            <w:pPr>
              <w:pStyle w:val="TableTextLessSpaceCharCharCharCharCharCharCharChar"/>
            </w:pPr>
            <w:r w:rsidRPr="00537C3C">
              <w:t>Complete histology</w:t>
            </w:r>
          </w:p>
        </w:tc>
        <w:tc>
          <w:tcPr>
            <w:tcW w:w="800" w:type="pct"/>
            <w:tcBorders>
              <w:bottom w:val="single" w:sz="4" w:space="0" w:color="auto"/>
            </w:tcBorders>
          </w:tcPr>
          <w:p w:rsidR="00234376" w:rsidRPr="00537C3C" w:rsidRDefault="00234376" w:rsidP="008E03A7">
            <w:pPr>
              <w:pStyle w:val="TableTextLessSpaceCharCharCharCharCharCharCharChar"/>
              <w:jc w:val="center"/>
            </w:pPr>
            <w:r w:rsidRPr="00537C3C">
              <w:t>0.96 (0.84–1.11)</w:t>
            </w:r>
          </w:p>
        </w:tc>
        <w:tc>
          <w:tcPr>
            <w:tcW w:w="424" w:type="pct"/>
            <w:tcBorders>
              <w:bottom w:val="single" w:sz="4" w:space="0" w:color="auto"/>
            </w:tcBorders>
          </w:tcPr>
          <w:p w:rsidR="00234376" w:rsidRPr="00537C3C" w:rsidRDefault="00234376" w:rsidP="008E03A7">
            <w:pPr>
              <w:pStyle w:val="TableTextLessSpaceCharCharCharCharCharCharCharChar"/>
              <w:jc w:val="center"/>
            </w:pPr>
            <w:r w:rsidRPr="00537C3C">
              <w:t>2</w:t>
            </w:r>
          </w:p>
        </w:tc>
        <w:tc>
          <w:tcPr>
            <w:tcW w:w="788" w:type="pct"/>
            <w:tcBorders>
              <w:bottom w:val="single" w:sz="4" w:space="0" w:color="auto"/>
            </w:tcBorders>
          </w:tcPr>
          <w:p w:rsidR="00234376" w:rsidRPr="00537C3C" w:rsidRDefault="00234376" w:rsidP="008E03A7">
            <w:pPr>
              <w:pStyle w:val="TableTextLessSpaceCharCharCharCharCharCharCharChar"/>
              <w:jc w:val="center"/>
            </w:pPr>
            <w:r w:rsidRPr="00537C3C">
              <w:t>0.98 (0.89–1.08)</w:t>
            </w:r>
          </w:p>
        </w:tc>
        <w:tc>
          <w:tcPr>
            <w:tcW w:w="400" w:type="pct"/>
            <w:tcBorders>
              <w:bottom w:val="single" w:sz="4" w:space="0" w:color="auto"/>
            </w:tcBorders>
          </w:tcPr>
          <w:p w:rsidR="00234376" w:rsidRPr="00537C3C" w:rsidRDefault="00234376" w:rsidP="008E03A7">
            <w:pPr>
              <w:pStyle w:val="TableTextLessSpaceCharCharCharCharCharCharCharChar"/>
              <w:jc w:val="center"/>
            </w:pPr>
            <w:r w:rsidRPr="00537C3C">
              <w:t>2</w:t>
            </w:r>
          </w:p>
        </w:tc>
      </w:tr>
      <w:tr w:rsidR="00234376" w:rsidRPr="00537C3C">
        <w:tc>
          <w:tcPr>
            <w:tcW w:w="764" w:type="pct"/>
            <w:tcBorders>
              <w:top w:val="single" w:sz="4" w:space="0" w:color="auto"/>
            </w:tcBorders>
          </w:tcPr>
          <w:p w:rsidR="00234376" w:rsidRPr="00537C3C" w:rsidRDefault="00234376" w:rsidP="008E03A7">
            <w:pPr>
              <w:pStyle w:val="TableTextLessSpaceCharCharCharCharCharCharCharChar"/>
              <w:rPr>
                <w:b/>
                <w:vertAlign w:val="superscript"/>
              </w:rPr>
            </w:pPr>
            <w:r w:rsidRPr="00BB76D8">
              <w:rPr>
                <w:b/>
              </w:rPr>
              <w:t>LBC</w:t>
            </w:r>
            <w:r w:rsidRPr="00537C3C">
              <w:rPr>
                <w:b/>
              </w:rPr>
              <w:t xml:space="preserve"> type</w:t>
            </w:r>
            <w:r w:rsidRPr="00537C3C">
              <w:rPr>
                <w:b/>
                <w:vertAlign w:val="superscript"/>
              </w:rPr>
              <w:t>*</w:t>
            </w:r>
          </w:p>
        </w:tc>
        <w:tc>
          <w:tcPr>
            <w:tcW w:w="1824" w:type="pct"/>
            <w:tcBorders>
              <w:top w:val="single" w:sz="4" w:space="0" w:color="auto"/>
            </w:tcBorders>
          </w:tcPr>
          <w:p w:rsidR="00234376" w:rsidRPr="00537C3C" w:rsidRDefault="00234376" w:rsidP="008E03A7">
            <w:pPr>
              <w:pStyle w:val="TableTextLessSpaceCharCharCharCharCharCharCharChar"/>
            </w:pPr>
            <w:r w:rsidRPr="00537C3C">
              <w:t>ThinPrep</w:t>
            </w:r>
          </w:p>
        </w:tc>
        <w:tc>
          <w:tcPr>
            <w:tcW w:w="800" w:type="pct"/>
            <w:tcBorders>
              <w:top w:val="single" w:sz="4" w:space="0" w:color="auto"/>
            </w:tcBorders>
          </w:tcPr>
          <w:p w:rsidR="00234376" w:rsidRPr="00537C3C" w:rsidRDefault="00234376" w:rsidP="008E03A7">
            <w:pPr>
              <w:pStyle w:val="TableTextLessSpaceCharCharCharCharCharCharCharChar"/>
              <w:jc w:val="center"/>
            </w:pPr>
            <w:r w:rsidRPr="00537C3C">
              <w:t>1.07 (0.92–1.23)</w:t>
            </w:r>
          </w:p>
        </w:tc>
        <w:tc>
          <w:tcPr>
            <w:tcW w:w="424" w:type="pct"/>
            <w:tcBorders>
              <w:top w:val="single" w:sz="4" w:space="0" w:color="auto"/>
            </w:tcBorders>
          </w:tcPr>
          <w:p w:rsidR="00234376" w:rsidRPr="00537C3C" w:rsidRDefault="00234376" w:rsidP="008E03A7">
            <w:pPr>
              <w:pStyle w:val="TableTextLessSpaceCharCharCharCharCharCharCharChar"/>
              <w:jc w:val="center"/>
            </w:pPr>
            <w:r w:rsidRPr="00537C3C">
              <w:t>6</w:t>
            </w:r>
          </w:p>
        </w:tc>
        <w:tc>
          <w:tcPr>
            <w:tcW w:w="788" w:type="pct"/>
            <w:tcBorders>
              <w:top w:val="single" w:sz="4" w:space="0" w:color="auto"/>
            </w:tcBorders>
          </w:tcPr>
          <w:p w:rsidR="00234376" w:rsidRPr="00537C3C" w:rsidRDefault="00234376" w:rsidP="008E03A7">
            <w:pPr>
              <w:pStyle w:val="TableTextLessSpaceCharCharCharCharCharCharCharChar"/>
              <w:jc w:val="center"/>
            </w:pPr>
            <w:r w:rsidRPr="00537C3C">
              <w:t>1.00 (0.99–1.01)</w:t>
            </w:r>
          </w:p>
        </w:tc>
        <w:tc>
          <w:tcPr>
            <w:tcW w:w="400" w:type="pct"/>
            <w:tcBorders>
              <w:top w:val="single" w:sz="4" w:space="0" w:color="auto"/>
            </w:tcBorders>
          </w:tcPr>
          <w:p w:rsidR="00234376" w:rsidRPr="00537C3C" w:rsidRDefault="00234376" w:rsidP="008E03A7">
            <w:pPr>
              <w:pStyle w:val="TableTextLessSpaceCharCharCharCharCharCharCharChar"/>
              <w:jc w:val="center"/>
            </w:pPr>
            <w:r w:rsidRPr="00537C3C">
              <w:t>5</w:t>
            </w:r>
          </w:p>
        </w:tc>
      </w:tr>
      <w:tr w:rsidR="00234376" w:rsidRPr="00537C3C">
        <w:tc>
          <w:tcPr>
            <w:tcW w:w="764" w:type="pct"/>
          </w:tcPr>
          <w:p w:rsidR="00234376" w:rsidRPr="00537C3C" w:rsidRDefault="00234376" w:rsidP="008E03A7">
            <w:pPr>
              <w:pStyle w:val="TableTextLessSpaceCharCharCharCharCharCharCharChar"/>
              <w:rPr>
                <w:b/>
              </w:rPr>
            </w:pPr>
          </w:p>
        </w:tc>
        <w:tc>
          <w:tcPr>
            <w:tcW w:w="1824" w:type="pct"/>
          </w:tcPr>
          <w:p w:rsidR="00234376" w:rsidRPr="00537C3C" w:rsidRDefault="00234376" w:rsidP="008E03A7">
            <w:pPr>
              <w:pStyle w:val="TableTextLessSpaceCharCharCharCharCharCharCharChar"/>
            </w:pPr>
            <w:r w:rsidRPr="00537C3C">
              <w:t>AutoCyte</w:t>
            </w:r>
          </w:p>
        </w:tc>
        <w:tc>
          <w:tcPr>
            <w:tcW w:w="800" w:type="pct"/>
          </w:tcPr>
          <w:p w:rsidR="00234376" w:rsidRPr="00537C3C" w:rsidRDefault="00234376" w:rsidP="008E03A7">
            <w:pPr>
              <w:pStyle w:val="TableTextLessSpaceCharCharCharCharCharCharCharChar"/>
              <w:jc w:val="center"/>
            </w:pPr>
            <w:r w:rsidRPr="00537C3C">
              <w:t>0.95 (0.81–1.11)</w:t>
            </w:r>
          </w:p>
        </w:tc>
        <w:tc>
          <w:tcPr>
            <w:tcW w:w="424" w:type="pct"/>
          </w:tcPr>
          <w:p w:rsidR="00234376" w:rsidRPr="00537C3C" w:rsidRDefault="00234376" w:rsidP="008E03A7">
            <w:pPr>
              <w:pStyle w:val="TableTextLessSpaceCharCharCharCharCharCharCharChar"/>
              <w:jc w:val="center"/>
            </w:pPr>
            <w:r w:rsidRPr="00537C3C">
              <w:t>1</w:t>
            </w:r>
          </w:p>
        </w:tc>
        <w:tc>
          <w:tcPr>
            <w:tcW w:w="788" w:type="pct"/>
          </w:tcPr>
          <w:p w:rsidR="00234376" w:rsidRPr="00537C3C" w:rsidRDefault="00234376" w:rsidP="008E03A7">
            <w:pPr>
              <w:pStyle w:val="TableTextLessSpaceCharCharCharCharCharCharCharChar"/>
              <w:jc w:val="center"/>
            </w:pPr>
            <w:r w:rsidRPr="00537C3C">
              <w:t>0.94 (0.87–1.01)</w:t>
            </w:r>
          </w:p>
        </w:tc>
        <w:tc>
          <w:tcPr>
            <w:tcW w:w="400" w:type="pct"/>
          </w:tcPr>
          <w:p w:rsidR="00234376" w:rsidRPr="00537C3C" w:rsidRDefault="00234376" w:rsidP="008E03A7">
            <w:pPr>
              <w:pStyle w:val="TableTextLessSpaceCharCharCharCharCharCharCharChar"/>
              <w:jc w:val="center"/>
            </w:pPr>
            <w:r w:rsidRPr="00537C3C">
              <w:t>1</w:t>
            </w:r>
          </w:p>
        </w:tc>
      </w:tr>
      <w:tr w:rsidR="00234376" w:rsidRPr="00537C3C">
        <w:tc>
          <w:tcPr>
            <w:tcW w:w="764" w:type="pct"/>
          </w:tcPr>
          <w:p w:rsidR="00234376" w:rsidRPr="00537C3C" w:rsidRDefault="00234376" w:rsidP="008E03A7">
            <w:pPr>
              <w:pStyle w:val="TableTextLessSpaceCharCharCharCharCharCharCharChar"/>
              <w:rPr>
                <w:b/>
              </w:rPr>
            </w:pPr>
          </w:p>
        </w:tc>
        <w:tc>
          <w:tcPr>
            <w:tcW w:w="1824" w:type="pct"/>
          </w:tcPr>
          <w:p w:rsidR="00234376" w:rsidRPr="00537C3C" w:rsidRDefault="00234376" w:rsidP="008E03A7">
            <w:pPr>
              <w:pStyle w:val="TableTextLessSpaceCharCharCharCharCharCharCharChar"/>
            </w:pPr>
            <w:r w:rsidRPr="00537C3C">
              <w:t>CellSlide</w:t>
            </w:r>
          </w:p>
        </w:tc>
        <w:tc>
          <w:tcPr>
            <w:tcW w:w="800" w:type="pct"/>
          </w:tcPr>
          <w:p w:rsidR="00234376" w:rsidRPr="00537C3C" w:rsidRDefault="00234376" w:rsidP="008E03A7">
            <w:pPr>
              <w:pStyle w:val="TableTextLessSpaceCharCharCharCharCharCharCharChar"/>
              <w:jc w:val="center"/>
            </w:pPr>
            <w:r w:rsidRPr="00537C3C">
              <w:t>1.27 (0.75–2.15)</w:t>
            </w:r>
          </w:p>
        </w:tc>
        <w:tc>
          <w:tcPr>
            <w:tcW w:w="424" w:type="pct"/>
          </w:tcPr>
          <w:p w:rsidR="00234376" w:rsidRPr="00537C3C" w:rsidRDefault="00234376" w:rsidP="008E03A7">
            <w:pPr>
              <w:pStyle w:val="TableTextLessSpaceCharCharCharCharCharCharCharChar"/>
              <w:jc w:val="center"/>
            </w:pPr>
            <w:r w:rsidRPr="00537C3C">
              <w:t>1</w:t>
            </w:r>
          </w:p>
        </w:tc>
        <w:tc>
          <w:tcPr>
            <w:tcW w:w="788" w:type="pct"/>
          </w:tcPr>
          <w:p w:rsidR="00234376" w:rsidRPr="00537C3C" w:rsidRDefault="00234376" w:rsidP="008E03A7">
            <w:pPr>
              <w:pStyle w:val="TableTextLessSpaceCharCharCharCharCharCharCharChar"/>
              <w:jc w:val="center"/>
            </w:pPr>
            <w:r w:rsidRPr="00537C3C">
              <w:t>1.00 (0.95–1.05)</w:t>
            </w:r>
          </w:p>
        </w:tc>
        <w:tc>
          <w:tcPr>
            <w:tcW w:w="400" w:type="pct"/>
          </w:tcPr>
          <w:p w:rsidR="00234376" w:rsidRPr="00537C3C" w:rsidRDefault="00234376" w:rsidP="008E03A7">
            <w:pPr>
              <w:pStyle w:val="TableTextLessSpaceCharCharCharCharCharCharCharChar"/>
              <w:jc w:val="center"/>
            </w:pPr>
            <w:r w:rsidRPr="00537C3C">
              <w:t>1</w:t>
            </w:r>
          </w:p>
        </w:tc>
      </w:tr>
      <w:tr w:rsidR="00234376" w:rsidRPr="00537C3C">
        <w:tc>
          <w:tcPr>
            <w:tcW w:w="764" w:type="pct"/>
            <w:tcBorders>
              <w:bottom w:val="single" w:sz="4" w:space="0" w:color="auto"/>
            </w:tcBorders>
          </w:tcPr>
          <w:p w:rsidR="00234376" w:rsidRPr="00537C3C" w:rsidRDefault="00234376" w:rsidP="008E03A7">
            <w:pPr>
              <w:pStyle w:val="TableTextLessSpaceCharCharCharCharCharCharCharChar"/>
            </w:pPr>
          </w:p>
        </w:tc>
        <w:tc>
          <w:tcPr>
            <w:tcW w:w="1824" w:type="pct"/>
            <w:tcBorders>
              <w:bottom w:val="single" w:sz="4" w:space="0" w:color="auto"/>
            </w:tcBorders>
          </w:tcPr>
          <w:p w:rsidR="00234376" w:rsidRPr="00537C3C" w:rsidRDefault="00234376" w:rsidP="008E03A7">
            <w:pPr>
              <w:pStyle w:val="TableTextLessSpaceCharCharCharCharCharCharCharChar"/>
            </w:pPr>
            <w:r w:rsidRPr="00BB76D8">
              <w:t xml:space="preserve">DNA </w:t>
            </w:r>
            <w:r w:rsidRPr="00537C3C">
              <w:t>Citoliq</w:t>
            </w:r>
          </w:p>
        </w:tc>
        <w:tc>
          <w:tcPr>
            <w:tcW w:w="800" w:type="pct"/>
            <w:tcBorders>
              <w:bottom w:val="single" w:sz="4" w:space="0" w:color="auto"/>
            </w:tcBorders>
          </w:tcPr>
          <w:p w:rsidR="00234376" w:rsidRPr="00537C3C" w:rsidRDefault="00234376" w:rsidP="008E03A7">
            <w:pPr>
              <w:pStyle w:val="TableTextLessSpaceCharCharCharCharCharCharCharChar"/>
              <w:jc w:val="center"/>
            </w:pPr>
            <w:r w:rsidRPr="00537C3C">
              <w:t>1.14 (0.85–0.51)</w:t>
            </w:r>
          </w:p>
        </w:tc>
        <w:tc>
          <w:tcPr>
            <w:tcW w:w="424" w:type="pct"/>
            <w:tcBorders>
              <w:bottom w:val="single" w:sz="4" w:space="0" w:color="auto"/>
            </w:tcBorders>
          </w:tcPr>
          <w:p w:rsidR="00234376" w:rsidRPr="00537C3C" w:rsidRDefault="00234376" w:rsidP="008E03A7">
            <w:pPr>
              <w:pStyle w:val="TableTextLessSpaceCharCharCharCharCharCharCharChar"/>
              <w:jc w:val="center"/>
            </w:pPr>
            <w:r w:rsidRPr="00537C3C">
              <w:t>1</w:t>
            </w:r>
          </w:p>
        </w:tc>
        <w:tc>
          <w:tcPr>
            <w:tcW w:w="788" w:type="pct"/>
            <w:tcBorders>
              <w:bottom w:val="single" w:sz="4" w:space="0" w:color="auto"/>
            </w:tcBorders>
          </w:tcPr>
          <w:p w:rsidR="00234376" w:rsidRPr="00537C3C" w:rsidRDefault="00234376" w:rsidP="008E03A7">
            <w:pPr>
              <w:pStyle w:val="TableTextLessSpaceCharCharCharCharCharCharCharChar"/>
              <w:jc w:val="center"/>
            </w:pPr>
            <w:r w:rsidRPr="00537C3C">
              <w:t>0.97 (0.95–0.99)</w:t>
            </w:r>
          </w:p>
        </w:tc>
        <w:tc>
          <w:tcPr>
            <w:tcW w:w="400" w:type="pct"/>
            <w:tcBorders>
              <w:bottom w:val="single" w:sz="4" w:space="0" w:color="auto"/>
            </w:tcBorders>
          </w:tcPr>
          <w:p w:rsidR="00234376" w:rsidRPr="00537C3C" w:rsidRDefault="00234376" w:rsidP="008E03A7">
            <w:pPr>
              <w:pStyle w:val="TableTextLessSpaceCharCharCharCharCharCharCharChar"/>
              <w:jc w:val="center"/>
            </w:pPr>
            <w:r w:rsidRPr="00537C3C">
              <w:t>1</w:t>
            </w:r>
          </w:p>
        </w:tc>
      </w:tr>
    </w:tbl>
    <w:p w:rsidR="00234376" w:rsidRPr="00537C3C" w:rsidRDefault="00234376" w:rsidP="008E03A7">
      <w:pPr>
        <w:pStyle w:val="TableNotes"/>
        <w:spacing w:after="0"/>
        <w:ind w:left="709" w:firstLine="11"/>
      </w:pPr>
      <w:r w:rsidRPr="00537C3C">
        <w:t>* Significant between-study heterogeneity for relative specificity only.</w:t>
      </w:r>
      <w:r w:rsidRPr="00537C3C">
        <w:br/>
        <w:t xml:space="preserve">NB: Test threshold </w:t>
      </w:r>
      <w:r w:rsidRPr="00BB76D8">
        <w:t>HSIL</w:t>
      </w:r>
      <w:r w:rsidRPr="00537C3C">
        <w:t>+.</w:t>
      </w:r>
    </w:p>
    <w:p w:rsidR="00234376" w:rsidRPr="00537C3C" w:rsidRDefault="00234376" w:rsidP="008E03A7"/>
    <w:p w:rsidR="00234376" w:rsidRPr="00537C3C" w:rsidRDefault="00234376" w:rsidP="008E03A7">
      <w:r>
        <w:fldChar w:fldCharType="begin"/>
      </w:r>
      <w:r>
        <w:instrText xml:space="preserve"> REF _Ref191107944 \h  \* MERGEFORMAT </w:instrText>
      </w:r>
      <w:r>
        <w:fldChar w:fldCharType="separate"/>
      </w:r>
      <w:r w:rsidR="007D3DFF" w:rsidRPr="007D3DFF">
        <w:t>Figure 3</w:t>
      </w:r>
      <w:r>
        <w:fldChar w:fldCharType="end"/>
      </w:r>
      <w:r w:rsidRPr="00537C3C">
        <w:t xml:space="preserve"> displays the </w:t>
      </w:r>
      <w:smartTag w:uri="urn:schemas-microsoft-com:office:smarttags" w:element="place">
        <w:r w:rsidRPr="00537C3C">
          <w:t>Forest</w:t>
        </w:r>
      </w:smartTag>
      <w:r w:rsidRPr="00537C3C">
        <w:t xml:space="preserve"> plot for the pooled relative accuracy measures. Two individual studies showed a significantly higher sensitivity for </w:t>
      </w:r>
      <w:r w:rsidRPr="00BB76D8">
        <w:t>LBC</w:t>
      </w:r>
      <w:r w:rsidRPr="00537C3C">
        <w:t xml:space="preserve"> at a </w:t>
      </w:r>
      <w:r w:rsidRPr="00BB76D8">
        <w:t>HSIL</w:t>
      </w:r>
      <w:r w:rsidRPr="00537C3C">
        <w:t xml:space="preserve"> or </w:t>
      </w:r>
      <w:r w:rsidRPr="00BB76D8">
        <w:t>LSIL</w:t>
      </w:r>
      <w:r w:rsidRPr="00537C3C">
        <w:t xml:space="preserve"> threshold (</w:t>
      </w:r>
      <w:bookmarkStart w:id="345" w:name="OLE_LINK476"/>
      <w:bookmarkStart w:id="346" w:name="OLE_LINK477"/>
      <w:r w:rsidRPr="00537C3C">
        <w:t>Confortini et al. 2004, Hussein et al. 2005</w:t>
      </w:r>
      <w:bookmarkEnd w:id="345"/>
      <w:bookmarkEnd w:id="346"/>
      <w:r w:rsidRPr="00537C3C">
        <w:t xml:space="preserve">); both of these studies investigated the ThinPrep </w:t>
      </w:r>
      <w:r w:rsidRPr="00BB76D8">
        <w:t>LBC</w:t>
      </w:r>
      <w:r w:rsidRPr="00537C3C">
        <w:t xml:space="preserve"> system. A subgroup analysis by proprietary name did not demonstrate a higher sensitivity for </w:t>
      </w:r>
      <w:r w:rsidRPr="00BB76D8">
        <w:t>LBC</w:t>
      </w:r>
      <w:r w:rsidRPr="00537C3C">
        <w:t xml:space="preserve"> over conventional cytology in the ThinPrep studies (</w:t>
      </w:r>
      <w:r w:rsidRPr="00537C3C">
        <w:fldChar w:fldCharType="begin"/>
      </w:r>
      <w:r w:rsidRPr="00537C3C">
        <w:instrText xml:space="preserve"> REF _Ref191704564 \h </w:instrText>
      </w:r>
      <w:r w:rsidRPr="00537C3C">
        <w:fldChar w:fldCharType="separate"/>
      </w:r>
      <w:r w:rsidR="007D3DFF" w:rsidRPr="00537C3C">
        <w:t xml:space="preserve">Table </w:t>
      </w:r>
      <w:r w:rsidR="007D3DFF">
        <w:rPr>
          <w:noProof/>
        </w:rPr>
        <w:t>15</w:t>
      </w:r>
      <w:r w:rsidRPr="00537C3C">
        <w:fldChar w:fldCharType="end"/>
      </w:r>
      <w:r w:rsidRPr="00537C3C">
        <w:t xml:space="preserve">). This analysis included a single study of an earlier generation of the ThinPrep system </w:t>
      </w:r>
      <w:r w:rsidRPr="00537C3C">
        <w:fldChar w:fldCharType="begin"/>
      </w:r>
      <w:r w:rsidRPr="00537C3C">
        <w:instrText xml:space="preserve"> ADDIN REFMGR.CITE &lt;Refman&gt;&lt;Cite&gt;&lt;Author&gt;Ferenczy&lt;/Author&gt;&lt;Year&gt;1996&lt;/Year&gt;&lt;RecNum&gt;3358&lt;/RecNum&gt;&lt;IDText&gt;Conventional cervical cytologic smears vs. ThinPrep smears. A paired comparison study on cervical cytology&lt;/IDText&gt;&lt;Prefix&gt;ThinPrep beta, &lt;/Prefix&gt;&lt;MDL Ref_Type="Journal"&gt;&lt;Ref_Type&gt;Journal&lt;/Ref_Type&gt;&lt;Ref_ID&gt;3358&lt;/Ref_ID&gt;&lt;Title_Primary&gt;Conventional cervical cytologic smears vs. ThinPrep smears. A paired comparison study on cervical cytology&lt;/Title_Primary&gt;&lt;Authors_Primary&gt;Ferenczy,A.&lt;/Authors_Primary&gt;&lt;Authors_Primary&gt;Robitaille,J.&lt;/Authors_Primary&gt;&lt;Authors_Primary&gt;Franco,E.&lt;/Authors_Primary&gt;&lt;Authors_Primary&gt;Arseneau,J.&lt;/Authors_Primary&gt;&lt;Authors_Primary&gt;Richart,R.M.&lt;/Authors_Primary&gt;&lt;Authors_Primary&gt;Wright,T.C.&lt;/Authors_Primary&gt;&lt;Date_Primary&gt;1996/11&lt;/Date_Primary&gt;&lt;Keywords&gt;Adenocarcinoma&lt;/Keywords&gt;&lt;Keywords&gt;Cervical Intraepithelial Neoplasia&lt;/Keywords&gt;&lt;Keywords&gt;diagnosis&lt;/Keywords&gt;&lt;Keywords&gt;Female&lt;/Keywords&gt;&lt;Keywords&gt;Humans&lt;/Keywords&gt;&lt;Keywords&gt;instrumentation&lt;/Keywords&gt;&lt;Keywords&gt;methods&lt;/Keywords&gt;&lt;Keywords&gt;Neoplasms,Squamous Cell&lt;/Keywords&gt;&lt;Keywords&gt;Predictive Value of Tests&lt;/Keywords&gt;&lt;Keywords&gt;Sensitivity and Specificity&lt;/Keywords&gt;&lt;Keywords&gt;Time Factors&lt;/Keywords&gt;&lt;Keywords&gt;Uterine Cervical Neoplasms&lt;/Keywords&gt;&lt;Keywords&gt;Vaginal Smears&lt;/Keywords&gt;&lt;Reprint&gt;Not in File&lt;/Reprint&gt;&lt;Start_Page&gt;1136&lt;/Start_Page&gt;&lt;End_Page&gt;1142&lt;/End_Page&gt;&lt;Periodical&gt;Acta Cytol.&lt;/Periodical&gt;&lt;Volume&gt;40&lt;/Volume&gt;&lt;Issue&gt;6&lt;/Issue&gt;&lt;ZZ_JournalStdAbbrev&gt;&lt;f name="System"&gt;Acta Cytol.&lt;/f&gt;&lt;/ZZ_JournalStdAbbrev&gt;&lt;ZZ_WorkformID&gt;1&lt;/ZZ_WorkformID&gt;&lt;/MDL&gt;&lt;/Cite&gt;&lt;/Refman&gt;</w:instrText>
      </w:r>
      <w:r w:rsidRPr="00537C3C">
        <w:fldChar w:fldCharType="separate"/>
      </w:r>
      <w:r w:rsidRPr="00537C3C">
        <w:t>(ThinPrep beta, Ferenczy et al. 1996)</w:t>
      </w:r>
      <w:r w:rsidRPr="00537C3C">
        <w:fldChar w:fldCharType="end"/>
      </w:r>
      <w:r w:rsidRPr="00537C3C">
        <w:t>; this study did not demonstrate the lowest relative sensitivity of all included ThinPrep studies.</w:t>
      </w:r>
    </w:p>
    <w:p w:rsidR="00234376" w:rsidRPr="00537C3C" w:rsidRDefault="00234376" w:rsidP="008E03A7">
      <w:r w:rsidRPr="00537C3C">
        <w:t xml:space="preserve">Study design and proprietary name contributed to study heterogeneity for specificity at a </w:t>
      </w:r>
      <w:r w:rsidRPr="00BB76D8">
        <w:t>HSIL</w:t>
      </w:r>
      <w:r w:rsidRPr="00537C3C">
        <w:t xml:space="preserve">+ threshold; there was a higher specificity in studies using independent samples than in paired studies, and a lower specificity for the </w:t>
      </w:r>
      <w:r w:rsidRPr="00BB76D8">
        <w:t>DNA</w:t>
      </w:r>
      <w:r w:rsidRPr="00537C3C">
        <w:t xml:space="preserve"> Citoliq system </w:t>
      </w:r>
      <w:bookmarkStart w:id="347" w:name="OLE_LINK1"/>
      <w:bookmarkStart w:id="348" w:name="OLE_LINK2"/>
      <w:r w:rsidRPr="00537C3C">
        <w:t>(</w:t>
      </w:r>
      <w:r w:rsidRPr="00537C3C">
        <w:fldChar w:fldCharType="begin"/>
      </w:r>
      <w:r w:rsidRPr="00537C3C">
        <w:instrText xml:space="preserve"> REF _Ref191704564 \h </w:instrText>
      </w:r>
      <w:r w:rsidRPr="00537C3C">
        <w:fldChar w:fldCharType="separate"/>
      </w:r>
      <w:r w:rsidR="007D3DFF" w:rsidRPr="00537C3C">
        <w:t xml:space="preserve">Table </w:t>
      </w:r>
      <w:r w:rsidR="007D3DFF">
        <w:rPr>
          <w:noProof/>
        </w:rPr>
        <w:t>15</w:t>
      </w:r>
      <w:r w:rsidRPr="00537C3C">
        <w:fldChar w:fldCharType="end"/>
      </w:r>
      <w:r w:rsidRPr="00537C3C">
        <w:t>)</w:t>
      </w:r>
      <w:bookmarkEnd w:id="347"/>
      <w:bookmarkEnd w:id="348"/>
      <w:r w:rsidRPr="00537C3C">
        <w:t xml:space="preserve">. This heterogeneity was due to a single study in both cases. At a test threshold of </w:t>
      </w:r>
      <w:r w:rsidRPr="00BB76D8">
        <w:t>LSIL</w:t>
      </w:r>
      <w:r w:rsidRPr="00537C3C">
        <w:t xml:space="preserve">+ no significant differences in subgroup analyses were found. At a test threshold of </w:t>
      </w:r>
      <w:r w:rsidRPr="00BB76D8">
        <w:t>ASCUS</w:t>
      </w:r>
      <w:r w:rsidRPr="00537C3C">
        <w:t xml:space="preserve">+, the </w:t>
      </w:r>
      <w:r w:rsidRPr="00BB76D8">
        <w:t>DNA</w:t>
      </w:r>
      <w:r w:rsidRPr="00537C3C">
        <w:t xml:space="preserve"> Citoliq system had a significantly higher relative sensitivity (1.25, 95% </w:t>
      </w:r>
      <w:r w:rsidRPr="00BB76D8">
        <w:t>CI</w:t>
      </w:r>
      <w:r w:rsidRPr="00537C3C">
        <w:t xml:space="preserve"> 1.11–1.42) and lower relative specificity (0.83, 95% </w:t>
      </w:r>
      <w:r w:rsidRPr="00BB76D8">
        <w:t>CI</w:t>
      </w:r>
      <w:r w:rsidRPr="00537C3C">
        <w:t xml:space="preserve"> 0.79–0.87). The authors also report that ‘Summary receiver operating characteristic regression, using ThinPrep as reference, identified a lower DOR for AutoCyte at cutoff </w:t>
      </w:r>
      <w:r w:rsidRPr="00BB76D8">
        <w:t>HSIL</w:t>
      </w:r>
      <w:r w:rsidRPr="00537C3C">
        <w:t>+’, however data were not reported.</w:t>
      </w:r>
    </w:p>
    <w:p w:rsidR="00234376" w:rsidRPr="00537C3C" w:rsidRDefault="00234376" w:rsidP="008E03A7">
      <w:r w:rsidRPr="00537C3C">
        <w:t xml:space="preserve">The inclusion criteria for studies in this systematic review were reference standard validation by colposcopy for all subjects plus biopsy where indicated as a minimum, thus the reported absolute sensitivity and specificity estimates can be considered valid. Subgroup analysis indicated the completeness of histological follow-up did not contribute to study heterogeneity. The major limitation of this review (as a consequence of these inclusion criteria) is that many included studies were conducted in patients at higher than average risk. However, a subgroup analysis demonstrated that studies conducted in screening populations (two studies including the Italian </w:t>
      </w:r>
      <w:r w:rsidRPr="00BB76D8">
        <w:t>RCT</w:t>
      </w:r>
      <w:r w:rsidRPr="00537C3C">
        <w:t>) gave similar estimates of relative sensitivity and specificity compared to studies conducted in high risk or follow-up populations (seven studies) and to the overall pooled values (</w:t>
      </w:r>
      <w:r w:rsidRPr="00537C3C">
        <w:fldChar w:fldCharType="begin"/>
      </w:r>
      <w:r w:rsidRPr="00537C3C">
        <w:instrText xml:space="preserve"> REF _Ref191704564 \h </w:instrText>
      </w:r>
      <w:r w:rsidRPr="00537C3C">
        <w:fldChar w:fldCharType="separate"/>
      </w:r>
      <w:r w:rsidR="007D3DFF" w:rsidRPr="00537C3C">
        <w:t xml:space="preserve">Table </w:t>
      </w:r>
      <w:r w:rsidR="007D3DFF">
        <w:rPr>
          <w:noProof/>
        </w:rPr>
        <w:t>15</w:t>
      </w:r>
      <w:r w:rsidRPr="00537C3C">
        <w:fldChar w:fldCharType="end"/>
      </w:r>
      <w:r w:rsidRPr="00537C3C">
        <w:t xml:space="preserve">). The population setting did not contribute to study heterogeneity, but only one study provided an estimate of relative specificity in a screening population. The clinical question for the </w:t>
      </w:r>
      <w:r w:rsidRPr="00537C3C">
        <w:lastRenderedPageBreak/>
        <w:t>present review is concerned with the accuracy of cervical cytology in a mixed screening and diagnostic population.</w:t>
      </w:r>
    </w:p>
    <w:p w:rsidR="00234376" w:rsidRPr="00537C3C" w:rsidRDefault="00234376" w:rsidP="008E03A7">
      <w:pPr>
        <w:pStyle w:val="Heading2"/>
      </w:pPr>
      <w:bookmarkStart w:id="349" w:name="_Ref208912444"/>
      <w:bookmarkStart w:id="350" w:name="_Toc95971083"/>
      <w:bookmarkStart w:id="351" w:name="_Toc241658182"/>
      <w:bookmarkStart w:id="352" w:name="_Ref190578225"/>
      <w:bookmarkStart w:id="353" w:name="_Ref190578227"/>
      <w:bookmarkEnd w:id="342"/>
      <w:bookmarkEnd w:id="343"/>
      <w:bookmarkEnd w:id="344"/>
      <w:r w:rsidRPr="00537C3C">
        <w:t>Unsatisfactory rate</w:t>
      </w:r>
      <w:bookmarkEnd w:id="349"/>
      <w:bookmarkEnd w:id="350"/>
      <w:bookmarkEnd w:id="351"/>
    </w:p>
    <w:bookmarkEnd w:id="352"/>
    <w:bookmarkEnd w:id="353"/>
    <w:p w:rsidR="00234376" w:rsidRPr="00537C3C" w:rsidRDefault="00234376" w:rsidP="008E03A7">
      <w:pPr>
        <w:keepNext/>
        <w:keepLines/>
      </w:pPr>
      <w:r w:rsidRPr="00537C3C">
        <w:t xml:space="preserve">A systematic review and </w:t>
      </w:r>
      <w:r w:rsidRPr="00BB76D8">
        <w:t>HTA</w:t>
      </w:r>
      <w:r w:rsidRPr="00537C3C">
        <w:t xml:space="preserve"> report by </w:t>
      </w:r>
      <w:r w:rsidRPr="00BB76D8">
        <w:t>CADTH</w:t>
      </w:r>
      <w:r w:rsidRPr="00537C3C">
        <w:t xml:space="preserve">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 xml:space="preserve"> included data on unsatisfactory slide rates from 44 studies of ThinPrep. Overall, 0.95 per cent (6674/704 813) of </w:t>
      </w:r>
      <w:r w:rsidRPr="00BB76D8">
        <w:t>LBC</w:t>
      </w:r>
      <w:r w:rsidRPr="00537C3C">
        <w:t xml:space="preserve"> slides and 1.04 per cent (13 664/1</w:t>
      </w:r>
      <w:r w:rsidRPr="00537C3C" w:rsidDel="00B94BF8">
        <w:t> </w:t>
      </w:r>
      <w:r w:rsidRPr="00537C3C">
        <w:t xml:space="preserve">316 318) of conventional slides were unsatisfactory. A Bayesian meta-analysis gave pooled unsatisfactory estimates of 2.24 per cent (95% </w:t>
      </w:r>
      <w:r w:rsidRPr="00BB76D8">
        <w:t>CI</w:t>
      </w:r>
      <w:r w:rsidRPr="00537C3C">
        <w:t xml:space="preserve"> 1.20%</w:t>
      </w:r>
      <w:r w:rsidRPr="00537C3C" w:rsidDel="0030078D">
        <w:t>–</w:t>
      </w:r>
      <w:r w:rsidRPr="00537C3C">
        <w:t xml:space="preserve">3.29%) for </w:t>
      </w:r>
      <w:r w:rsidRPr="00BB76D8">
        <w:t>LBC</w:t>
      </w:r>
      <w:r w:rsidRPr="00537C3C">
        <w:t xml:space="preserve"> and 3.04 per cent (1.92%–4.16%) for conventional slides, with a difference of –0.81 per cent (–1.87% to 0.24%). statistically significant heterogeneity was observed between studies for this outcome.</w:t>
      </w:r>
    </w:p>
    <w:p w:rsidR="00234376" w:rsidRPr="00537C3C" w:rsidRDefault="00234376" w:rsidP="008E03A7">
      <w:pPr>
        <w:keepNext/>
        <w:keepLines/>
      </w:pPr>
      <w:r w:rsidRPr="00537C3C">
        <w:t xml:space="preserve">Fifteen studies provided data on unsatisfactory slide rates for SurePath </w:t>
      </w:r>
      <w:r w:rsidRPr="00BB76D8">
        <w:t>LBC</w:t>
      </w:r>
      <w:r w:rsidRPr="00537C3C">
        <w:t xml:space="preserve">. Overall, 0.42 per cent (2539/597 565) of </w:t>
      </w:r>
      <w:r w:rsidRPr="00BB76D8">
        <w:t>LBC</w:t>
      </w:r>
      <w:r w:rsidRPr="00537C3C">
        <w:t xml:space="preserve"> slides and 1.39 per cent (9598/692 406) of conventional slides were unsatisfactory. A Bayesian meta-analysis gave pooled unsatisfactory estimates of 0.82 per cent (95% </w:t>
      </w:r>
      <w:r w:rsidRPr="00BB76D8">
        <w:t>CI</w:t>
      </w:r>
      <w:r w:rsidRPr="00537C3C">
        <w:t xml:space="preserve"> 0.14%</w:t>
      </w:r>
      <w:r w:rsidRPr="00537C3C" w:rsidDel="0030078D">
        <w:t>–</w:t>
      </w:r>
      <w:r w:rsidRPr="00537C3C">
        <w:t xml:space="preserve">1.51%) for </w:t>
      </w:r>
      <w:r w:rsidRPr="00BB76D8">
        <w:t>LBC</w:t>
      </w:r>
      <w:r w:rsidRPr="00537C3C">
        <w:t xml:space="preserve"> and 3.31 per cent (0.97%–5.67%) for conventional slides, with a difference of –2.49 per cent (–4.43% to –0.55%). There was also significant between-study heterogeneity in these studies.</w:t>
      </w:r>
    </w:p>
    <w:p w:rsidR="00234376" w:rsidRPr="00537C3C" w:rsidRDefault="00234376" w:rsidP="008E03A7">
      <w:pPr>
        <w:keepNext/>
        <w:keepLines/>
      </w:pPr>
      <w:r w:rsidRPr="00537C3C">
        <w:t xml:space="preserve">No analyses were conducted to investigate whether results varied by study quality, design or population. A </w:t>
      </w:r>
      <w:smartTag w:uri="urn:schemas-microsoft-com:office:smarttags" w:element="place">
        <w:r w:rsidRPr="00537C3C">
          <w:t>Forest</w:t>
        </w:r>
      </w:smartTag>
      <w:r w:rsidRPr="00537C3C">
        <w:t xml:space="preserve"> plot indicated that the difference in unsatisfactory rates between the two techniques was close to zero in larger studies. The authors concluded that, on average, </w:t>
      </w:r>
      <w:r w:rsidRPr="00BB76D8">
        <w:t>LBC</w:t>
      </w:r>
      <w:r w:rsidRPr="00537C3C">
        <w:t xml:space="preserve"> may have a lower unsatisfactory rate, but the estimate from different studies varied.</w:t>
      </w:r>
    </w:p>
    <w:p w:rsidR="00234376" w:rsidRPr="00537C3C" w:rsidRDefault="00234376" w:rsidP="008E03A7">
      <w:r w:rsidRPr="00537C3C">
        <w:t xml:space="preserve">One study identified in the more recent systematic review of accuracy data by Arbyn et al. (2008) was an RCT of 22 708 women receiving </w:t>
      </w:r>
      <w:r w:rsidRPr="00BB76D8">
        <w:t>LBC</w:t>
      </w:r>
      <w:r w:rsidRPr="00537C3C">
        <w:t xml:space="preserve"> (ThinPrep) and 22 466 women receiving conventional Pap testing </w:t>
      </w:r>
      <w:r w:rsidRPr="00537C3C">
        <w:fldChar w:fldCharType="begin"/>
      </w:r>
      <w:r w:rsidRPr="00537C3C">
        <w:instrText xml:space="preserve"> ADDIN REFMGR.CITE &lt;Refman&gt;&lt;Cite&gt;&lt;Author&gt;Ronco&lt;/Author&gt;&lt;Year&gt;2007&lt;/Year&gt;&lt;RecNum&gt;66&lt;/RecNum&gt;&lt;IDText&gt;Accuracy of liquid based versus conventional cytology: Overall results of new technologies for cervical cancer screening: Randomised controlled trial&lt;/IDText&gt;&lt;MDL Ref_Type="Journal"&gt;&lt;Ref_Type&gt;Journal&lt;/Ref_Type&gt;&lt;Ref_ID&gt;66&lt;/Ref_ID&gt;&lt;Title_Primary&gt;Accuracy of liquid based versus conventional cytology: Overall results of new technologies for cervical cancer screening: Randomised controlled trial&lt;/Title_Primary&gt;&lt;Authors_Primary&gt;Ronco,G.&lt;/Authors_Primary&gt;&lt;Authors_Primary&gt;Cuzick,J.&lt;/Authors_Primary&gt;&lt;Authors_Primary&gt;Pierotti,P.&lt;/Authors_Primary&gt;&lt;Authors_Primary&gt;Cariaggi,M.P.&lt;/Authors_Primary&gt;&lt;Authors_Primary&gt;Palma,P.D.&lt;/Authors_Primary&gt;&lt;Authors_Primary&gt;Naldoni,C.&lt;/Authors_Primary&gt;&lt;Authors_Primary&gt;Ghiringhello,B.&lt;/Authors_Primary&gt;&lt;Authors_Primary&gt;Giorgi-Rossi,P.&lt;/Authors_Primary&gt;&lt;Authors_Primary&gt;Minucci,D.&lt;/Authors_Primary&gt;&lt;Authors_Primary&gt;Parisio,F.&lt;/Authors_Primary&gt;&lt;Authors_Primary&gt;Pojer,A.&lt;/Authors_Primary&gt;&lt;Authors_Primary&gt;Schiboni,M.L.&lt;/Authors_Primary&gt;&lt;Authors_Primary&gt;Sintoni,C.&lt;/Authors_Primary&gt;&lt;Authors_Primary&gt;Zorzi,M.&lt;/Authors_Primary&gt;&lt;Authors_Primary&gt;Segnan,N.&lt;/Authors_Primary&gt;&lt;Authors_Primary&gt;Confortini,M.&lt;/Authors_Primary&gt;&lt;Date_Primary&gt;2007&lt;/Date_Primary&gt;&lt;Keywords&gt;adult&lt;/Keywords&gt;&lt;Keywords&gt;article&lt;/Keywords&gt;&lt;Keywords&gt;cancer cytodiagnosis&lt;/Keywords&gt;&lt;Keywords&gt;cancer screening&lt;/Keywords&gt;&lt;Keywords&gt;clinical laboratory&lt;/Keywords&gt;&lt;Keywords&gt;clinical trial&lt;/Keywords&gt;&lt;Keywords&gt;colposcopy&lt;/Keywords&gt;&lt;Keywords&gt;controlled clinical trial&lt;/Keywords&gt;&lt;Keywords&gt;controlled study&lt;/Keywords&gt;&lt;Keywords&gt;diagnostic accuracy&lt;/Keywords&gt;&lt;Keywords&gt;female&lt;/Keywords&gt;&lt;Keywords&gt;health program&lt;/Keywords&gt;&lt;Keywords&gt;human&lt;/Keywords&gt;&lt;Keywords&gt;human cell&lt;/Keywords&gt;&lt;Keywords&gt;intermethod comparison&lt;/Keywords&gt;&lt;Keywords&gt;Italy&lt;/Keywords&gt;&lt;Keywords&gt;liquid based cytology&lt;/Keywords&gt;&lt;Keywords&gt;major clinical study&lt;/Keywords&gt;&lt;Keywords&gt;medical technology&lt;/Keywords&gt;&lt;Keywords&gt;priority journal&lt;/Keywords&gt;&lt;Keywords&gt;randomized controlled trial&lt;/Keywords&gt;&lt;Keywords&gt;ThinPrep&lt;/Keywords&gt;&lt;Keywords&gt;uterine cervix cancer&lt;/Keywords&gt;&lt;Keywords&gt;uterine cervix cytology&lt;/Keywords&gt;&lt;Keywords&gt;Wart virus&lt;/Keywords&gt;&lt;Reprint&gt;In File&lt;/Reprint&gt;&lt;Start_Page&gt;28&lt;/Start_Page&gt;&lt;End_Page&gt;31&lt;/End_Page&gt;&lt;Periodical&gt;British Medical Journal&lt;/Periodical&gt;&lt;Volume&gt;335&lt;/Volume&gt;&lt;Issue&gt;7609&lt;/Issue&gt;&lt;ISSN_ISBN&gt;0959-8146&lt;/ISSN_ISBN&gt;&lt;Address&gt;Ronco, G., Unit of Cancer Epidemiology, Centre for Cancer Prevention, 10123 Turin, Italy&lt;/Address&gt;&lt;ZZ_JournalFull&gt;&lt;f name="System"&gt;British Medical Journal&lt;/f&gt;&lt;/ZZ_JournalFull&gt;&lt;ZZ_JournalStdAbbrev&gt;&lt;f name="System"&gt;Br.Med.J.&lt;/f&gt;&lt;/ZZ_JournalStdAbbrev&gt;&lt;ZZ_WorkformID&gt;1&lt;/ZZ_WorkformID&gt;&lt;/MDL&gt;&lt;/Cite&gt;&lt;/Refman&gt;</w:instrText>
      </w:r>
      <w:r w:rsidRPr="00537C3C">
        <w:fldChar w:fldCharType="separate"/>
      </w:r>
      <w:r w:rsidRPr="00537C3C">
        <w:t>(Ronco et al. 2007a)</w:t>
      </w:r>
      <w:r w:rsidRPr="00537C3C">
        <w:fldChar w:fldCharType="end"/>
      </w:r>
      <w:r w:rsidRPr="00537C3C">
        <w:t xml:space="preserve">. This study reported unsatisfactory rates from a greater number of slides than the earlier publication of preliminary findings </w:t>
      </w:r>
      <w:r w:rsidRPr="00537C3C">
        <w:fldChar w:fldCharType="begin"/>
      </w:r>
      <w:r w:rsidRPr="00537C3C">
        <w:instrText xml:space="preserve"> ADDIN REFMGR.CITE &lt;Refman&gt;&lt;Cite&gt;&lt;Author&gt;Ronco&lt;/Author&gt;&lt;Year&gt;2006&lt;/Year&gt;&lt;RecNum&gt;191&lt;/RecNum&gt;&lt;IDText&gt;Human papillomavirus testing and liquid-based cytology: Results at recruitment from the new technologies for cervical cancer randomized controlled trial&lt;/IDText&gt;&lt;MDL Ref_Type="Journal"&gt;&lt;Ref_Type&gt;Journal&lt;/Ref_Type&gt;&lt;Ref_ID&gt;191&lt;/Ref_ID&gt;&lt;Title_Primary&gt;Human papillomavirus testing and liquid-based cytology: Results at recruitment from the new technologies for cervical cancer randomized controlled trial&lt;/Title_Primary&gt;&lt;Authors_Primary&gt;Ronco,G.&lt;/Authors_Primary&gt;&lt;Authors_Primary&gt;Segnan,N.&lt;/Authors_Primary&gt;&lt;Authors_Primary&gt;Giorgi-Rossi,P.&lt;/Authors_Primary&gt;&lt;Authors_Primary&gt;Zappa,M.&lt;/Authors_Primary&gt;&lt;Authors_Primary&gt;Casadei,G.P.&lt;/Authors_Primary&gt;&lt;Authors_Primary&gt;Carozzi,F.&lt;/Authors_Primary&gt;&lt;Authors_Primary&gt;Palma,P.D.&lt;/Authors_Primary&gt;&lt;Authors_Primary&gt;Del Mistro,A.&lt;/Authors_Primary&gt;&lt;Authors_Primary&gt;Folicaldi,S.&lt;/Authors_Primary&gt;&lt;Authors_Primary&gt;Gillio-Tos,A.&lt;/Authors_Primary&gt;&lt;Authors_Primary&gt;Nardo,G.&lt;/Authors_Primary&gt;&lt;Authors_Primary&gt;Naldoni,C.&lt;/Authors_Primary&gt;&lt;Authors_Primary&gt;Schincaglia,P.&lt;/Authors_Primary&gt;&lt;Authors_Primary&gt;Zorzi,M.&lt;/Authors_Primary&gt;&lt;Authors_Primary&gt;Confortini,M.&lt;/Authors_Primary&gt;&lt;Authors_Primary&gt;Cuzick,J.&lt;/Authors_Primary&gt;&lt;Authors_Primary&gt;Rizzolo,R.&lt;/Authors_Primary&gt;&lt;Authors_Primary&gt;Mari,D.&lt;/Authors_Primary&gt;&lt;Authors_Primary&gt;De Marco,L.&lt;/Authors_Primary&gt;&lt;Authors_Primary&gt;Ghiringhello,B.&lt;/Authors_Primary&gt;&lt;Authors_Primary&gt;Parisio,F.&lt;/Authors_Primary&gt;&lt;Authors_Primary&gt;Volante,R.&lt;/Authors_Primary&gt;&lt;Authors_Primary&gt;Berardengo,E.&lt;/Authors_Primary&gt;&lt;Authors_Primary&gt;Andrion,A.&lt;/Authors_Primary&gt;&lt;Authors_Primary&gt;Coverlizza,S.&lt;/Authors_Primary&gt;&lt;Authors_Primary&gt;Taraglio,S.&lt;/Authors_Primary&gt;&lt;Authors_Primary&gt;Accinellli,M.G.&lt;/Authors_Primary&gt;&lt;Authors_Primary&gt;Polla,E.&lt;/Authors_Primary&gt;&lt;Authors_Primary&gt;Pojer,A.&lt;/Authors_Primary&gt;&lt;Authors_Primary&gt;Girlando,S.&lt;/Authors_Primary&gt;&lt;Authors_Primary&gt;Aldovini,D.&lt;/Authors_Primary&gt;&lt;Authors_Primary&gt;Vettorazzi,M.&lt;/Authors_Primary&gt;&lt;Authors_Primary&gt;Minucci,D.&lt;/Authors_Primary&gt;&lt;Authors_Primary&gt;Matteucci,M.&lt;/Authors_Primary&gt;&lt;Authors_Primary&gt;Onnis,L.&lt;/Authors_Primary&gt;&lt;Authors_Primary&gt;Insacco,E.&lt;/Authors_Primary&gt;&lt;Authors_Primary&gt;Lestani,M.&lt;/Authors_Primary&gt;&lt;Authors_Primary&gt;Vignato,A.&lt;/Authors_Primary&gt;&lt;Authors_Primary&gt;Manfredi,M.&lt;/Authors_Primary&gt;&lt;Authors_Primary&gt;Pierotti,P.&lt;/Authors_Primary&gt;&lt;Authors_Primary&gt;Collina,G.&lt;/Authors_Primary&gt;&lt;Authors_Primary&gt;Serafini,M.&lt;/Authors_Primary&gt;&lt;Authors_Primary&gt;Sintoni,C.&lt;/Authors_Primary&gt;&lt;Authors_Primary&gt;Aldi,M.&lt;/Authors_Primary&gt;&lt;Authors_Primary&gt;Bondi,A.&lt;/Authors_Primary&gt;&lt;Authors_Primary&gt;Galanti,G.&lt;/Authors_Primary&gt;&lt;Authors_Primary&gt;Iossa,A.&lt;/Authors_Primary&gt;&lt;Authors_Primary&gt;Ciatto,S.&lt;/Authors_Primary&gt;&lt;Authors_Primary&gt;Cariaggi,M.P.&lt;/Authors_Primary&gt;&lt;Authors_Primary&gt;Cecchini,S.&lt;/Authors_Primary&gt;&lt;Authors_Primary&gt;Sani,C.&lt;/Authors_Primary&gt;&lt;Authors_Primary&gt;Taddie,G.L.&lt;/Authors_Primary&gt;&lt;Authors_Primary&gt;Brezzi,S.&lt;/Authors_Primary&gt;&lt;Authors_Primary&gt;Raggi,P.&lt;/Authors_Primary&gt;&lt;Authors_Primary&gt;Gomes,E.&lt;/Authors_Primary&gt;&lt;Authors_Primary&gt;Pellegrini,A.&lt;/Authors_Primary&gt;&lt;Authors_Primary&gt;Schiboni,M.L.&lt;/Authors_Primary&gt;&lt;Date_Primary&gt;2006&lt;/Date_Primary&gt;&lt;Keywords&gt;adult&lt;/Keywords&gt;&lt;Keywords&gt;article&lt;/Keywords&gt;&lt;Keywords&gt;cancer grading&lt;/Keywords&gt;&lt;Keywords&gt;cancer screening&lt;/Keywords&gt;&lt;Keywords&gt;clinical trial&lt;/Keywords&gt;&lt;Keywords&gt;colposcopy&lt;/Keywords&gt;&lt;Keywords&gt;controlled study&lt;/Keywords&gt;&lt;Keywords&gt;diagnostic accuracy&lt;/Keywords&gt;&lt;Keywords&gt;diagnostic test&lt;/Keywords&gt;&lt;Keywords&gt;diagnostic value&lt;/Keywords&gt;&lt;Keywords&gt;disease association&lt;/Keywords&gt;&lt;Keywords&gt;female&lt;/Keywords&gt;&lt;Keywords&gt;female genital tract cytology&lt;/Keywords&gt;&lt;Keywords&gt;high risk population&lt;/Keywords&gt;&lt;Keywords&gt;histopathology&lt;/Keywords&gt;&lt;Keywords&gt;human&lt;/Keywords&gt;&lt;Keywords&gt;Hybrid Capture 2 assay&lt;/Keywords&gt;&lt;Keywords&gt;immunohistochemistry&lt;/Keywords&gt;&lt;Keywords&gt;infection risk&lt;/Keywords&gt;&lt;Keywords&gt;intermethod comparison&lt;/Keywords&gt;&lt;Keywords&gt;laboratory diagnosis&lt;/Keywords&gt;&lt;Keywords&gt;liquid based cytology&lt;/Keywords&gt;&lt;Keywords&gt;major clinical study&lt;/Keywords&gt;&lt;Keywords&gt;medical technology&lt;/Keywords&gt;&lt;Keywords&gt;multicenter study&lt;/Keywords&gt;&lt;Keywords&gt;patient referral&lt;/Keywords&gt;&lt;Keywords&gt;priority journal&lt;/Keywords&gt;&lt;Keywords&gt;randomized controlled trial&lt;/Keywords&gt;&lt;Keywords&gt;screening test&lt;/Keywords&gt;&lt;Keywords&gt;sensitivity and specificity&lt;/Keywords&gt;&lt;Keywords&gt;statistical analysis&lt;/Keywords&gt;&lt;Keywords&gt;statistical significance&lt;/Keywords&gt;&lt;Keywords&gt;ThinPrep&lt;/Keywords&gt;&lt;Keywords&gt;uterine cervix cancer&lt;/Keywords&gt;&lt;Keywords&gt;virus infection&lt;/Keywords&gt;&lt;Keywords&gt;Wart virus&lt;/Keywords&gt;&lt;Reprint&gt;In File&lt;/Reprint&gt;&lt;Start_Page&gt;765&lt;/Start_Page&gt;&lt;End_Page&gt;774&lt;/End_Page&gt;&lt;Periodical&gt;Journal of the National Cancer Institute&lt;/Periodical&gt;&lt;Volume&gt;98&lt;/Volume&gt;&lt;Issue&gt;11&lt;/Issue&gt;&lt;ISSN_ISBN&gt;0027-8874&lt;/ISSN_ISBN&gt;&lt;Address&gt;Ronco, G., Unit of Cancer Epidemiology, Centro per la Prevenzione Oncologica Piemonte, 10123 Torino, Italy&lt;/Address&gt;&lt;ZZ_JournalFull&gt;&lt;f name="System"&gt;Journal of the National Cancer Institute&lt;/f&gt;&lt;/ZZ_JournalFull&gt;&lt;ZZ_JournalStdAbbrev&gt;&lt;f name="System"&gt;J.Natl.Cancer Inst.&lt;/f&gt;&lt;/ZZ_JournalStdAbbrev&gt;&lt;ZZ_WorkformID&gt;1&lt;/ZZ_WorkformID&gt;&lt;/MDL&gt;&lt;/Cite&gt;&lt;/Refman&gt;</w:instrText>
      </w:r>
      <w:r w:rsidRPr="00537C3C">
        <w:fldChar w:fldCharType="separate"/>
      </w:r>
      <w:r w:rsidRPr="00537C3C">
        <w:t>(Ronco et al. 2006)</w:t>
      </w:r>
      <w:r w:rsidRPr="00537C3C">
        <w:fldChar w:fldCharType="end"/>
      </w:r>
      <w:r w:rsidRPr="00537C3C">
        <w:t xml:space="preserve"> that was included in the </w:t>
      </w:r>
      <w:r w:rsidRPr="00BB76D8">
        <w:t>CADTH</w:t>
      </w:r>
      <w:r w:rsidRPr="00537C3C">
        <w:t xml:space="preserve"> </w:t>
      </w:r>
      <w:r w:rsidRPr="00BB76D8">
        <w:t>HTA</w:t>
      </w:r>
      <w:r w:rsidRPr="00537C3C">
        <w:t xml:space="preserve"> report. In this study all women with positive cytology were referred for colposcopy. The </w:t>
      </w:r>
      <w:bookmarkStart w:id="354" w:name="OLE_LINK154"/>
      <w:bookmarkStart w:id="355" w:name="OLE_LINK155"/>
      <w:r w:rsidRPr="00537C3C">
        <w:t xml:space="preserve">colposcopists </w:t>
      </w:r>
      <w:bookmarkEnd w:id="354"/>
      <w:bookmarkEnd w:id="355"/>
      <w:r w:rsidRPr="00537C3C">
        <w:t xml:space="preserve">were not blinded to the test result, but the biopsy results from women with a confirmed </w:t>
      </w:r>
      <w:r w:rsidRPr="00BB76D8">
        <w:t>CIN</w:t>
      </w:r>
      <w:r w:rsidRPr="00537C3C">
        <w:t xml:space="preserve"> 2+ lesion were reviewed blind to the cytology test and result. A reference standard of colposcopy ± biopsy was available for 91 per cent of women receiving conventional cytology and 93 per cent receiving </w:t>
      </w:r>
      <w:r w:rsidRPr="00BB76D8">
        <w:t>LBC</w:t>
      </w:r>
      <w:r w:rsidRPr="00537C3C">
        <w:t xml:space="preserve">, with a cytology result of </w:t>
      </w:r>
      <w:r w:rsidRPr="00BB76D8">
        <w:t>pLSIL</w:t>
      </w:r>
      <w:r w:rsidRPr="00537C3C">
        <w:t xml:space="preserve"> (</w:t>
      </w:r>
      <w:r w:rsidRPr="00BB76D8">
        <w:t>ASCUS</w:t>
      </w:r>
      <w:r w:rsidRPr="00537C3C">
        <w:t>) considered as the test positivity threshold. This study is not of ideal quality for determining test accuracy. However, reference standard verification is not required for measurement of unsatisfactory rates.</w:t>
      </w:r>
    </w:p>
    <w:p w:rsidR="00234376" w:rsidRPr="00537C3C" w:rsidRDefault="00234376" w:rsidP="008E03A7">
      <w:r w:rsidRPr="00537C3C">
        <w:t xml:space="preserve">This </w:t>
      </w:r>
      <w:r w:rsidRPr="00BB76D8">
        <w:t>RCT</w:t>
      </w:r>
      <w:r w:rsidRPr="00537C3C">
        <w:t xml:space="preserve"> reported that fewer women in the </w:t>
      </w:r>
      <w:r w:rsidRPr="00BB76D8">
        <w:t>LBC</w:t>
      </w:r>
      <w:r w:rsidRPr="00537C3C">
        <w:t xml:space="preserve"> arm of the study had an unsatisfactory result (2.57% </w:t>
      </w:r>
      <w:r w:rsidRPr="00BB76D8">
        <w:t>LBC</w:t>
      </w:r>
      <w:r w:rsidRPr="00537C3C">
        <w:t xml:space="preserve"> versus 4.11% conventional). The relative frequency for unsatisfactory slides was lower with </w:t>
      </w:r>
      <w:r w:rsidRPr="00BB76D8">
        <w:t>LBC</w:t>
      </w:r>
      <w:r w:rsidRPr="00537C3C">
        <w:t xml:space="preserve"> (0.62, 95% </w:t>
      </w:r>
      <w:r w:rsidRPr="00BB76D8">
        <w:t>CI</w:t>
      </w:r>
      <w:r w:rsidRPr="00537C3C">
        <w:t xml:space="preserve"> 0.56–0.69). The authors reported that this difference was due to a decrease in the proportion of women with unsatisfactory slides due to obscuring inflammation (0.44% </w:t>
      </w:r>
      <w:r w:rsidRPr="00BB76D8">
        <w:t>LBC</w:t>
      </w:r>
      <w:r w:rsidRPr="00537C3C">
        <w:t xml:space="preserve">, 2.15% conventional; relative frequency 0.21, 95% </w:t>
      </w:r>
      <w:r w:rsidRPr="00BB76D8">
        <w:t>CI</w:t>
      </w:r>
      <w:r w:rsidRPr="00537C3C">
        <w:t xml:space="preserve"> 0.17–0.25). The proportion of women with unsatisfactory slides due to other reasons did not differ between cytology preparation methods. The reduction in unsatisfactory slides was larger for women aged 25–34 than women aged 35–60 (relative frequency 0.53, 95% </w:t>
      </w:r>
      <w:r w:rsidRPr="00BB76D8">
        <w:t>CI</w:t>
      </w:r>
      <w:r w:rsidRPr="00537C3C">
        <w:t xml:space="preserve"> 0.44–0.63 and 0.67, 95% </w:t>
      </w:r>
      <w:r w:rsidRPr="00BB76D8">
        <w:t>CI</w:t>
      </w:r>
      <w:r w:rsidRPr="00537C3C">
        <w:t xml:space="preserve"> 0.59–0.76, respectively).</w:t>
      </w:r>
    </w:p>
    <w:p w:rsidR="00234376" w:rsidRPr="00537C3C" w:rsidRDefault="00234376" w:rsidP="008E03A7">
      <w:pPr>
        <w:pStyle w:val="Heading2"/>
      </w:pPr>
      <w:bookmarkStart w:id="356" w:name="_Ref219700563"/>
      <w:bookmarkStart w:id="357" w:name="_Toc95971084"/>
      <w:bookmarkStart w:id="358" w:name="_Toc241658183"/>
      <w:r w:rsidRPr="00537C3C">
        <w:lastRenderedPageBreak/>
        <w:t>Test yield</w:t>
      </w:r>
      <w:bookmarkEnd w:id="356"/>
      <w:bookmarkEnd w:id="357"/>
      <w:bookmarkEnd w:id="358"/>
    </w:p>
    <w:p w:rsidR="00234376" w:rsidRPr="00537C3C" w:rsidRDefault="00234376" w:rsidP="008E03A7">
      <w:pPr>
        <w:keepNext/>
        <w:keepLines/>
      </w:pPr>
      <w:r w:rsidRPr="00537C3C">
        <w:t xml:space="preserve">The </w:t>
      </w:r>
      <w:r w:rsidRPr="00BB76D8">
        <w:t>HTA</w:t>
      </w:r>
      <w:r w:rsidRPr="00537C3C">
        <w:t xml:space="preserve"> by </w:t>
      </w:r>
      <w:r w:rsidRPr="00BB76D8">
        <w:t>CADTH</w:t>
      </w:r>
      <w:r w:rsidRPr="00537C3C">
        <w:t xml:space="preserve">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 xml:space="preserve"> also provided some information on comparative test yields of </w:t>
      </w:r>
      <w:r w:rsidRPr="00BB76D8">
        <w:t>LBC</w:t>
      </w:r>
      <w:r w:rsidRPr="00537C3C">
        <w:t xml:space="preserve"> and conventional cytology, as categories of discordant results. The authors reported that in 33 split-sample studies of ThinPrep in 113 286 women, 3.1 per cent (95% </w:t>
      </w:r>
      <w:r w:rsidRPr="00BB76D8">
        <w:t>CI</w:t>
      </w:r>
      <w:r w:rsidRPr="00537C3C">
        <w:t xml:space="preserve"> 2.0%–4.1%) of slides were classified as </w:t>
      </w:r>
      <w:r w:rsidRPr="00BB76D8">
        <w:t>LSIL</w:t>
      </w:r>
      <w:r w:rsidRPr="00537C3C">
        <w:t xml:space="preserve">+ by </w:t>
      </w:r>
      <w:r w:rsidRPr="00BB76D8">
        <w:t>LBC</w:t>
      </w:r>
      <w:r w:rsidRPr="00537C3C">
        <w:t xml:space="preserve"> but as negative or </w:t>
      </w:r>
      <w:r w:rsidRPr="00BB76D8">
        <w:t>ASCUS</w:t>
      </w:r>
      <w:r w:rsidRPr="00537C3C">
        <w:t xml:space="preserve"> by conventional cytology and 2.2 per cent (95% </w:t>
      </w:r>
      <w:r w:rsidRPr="00BB76D8">
        <w:t>CI</w:t>
      </w:r>
      <w:r w:rsidRPr="00537C3C">
        <w:t xml:space="preserve"> 1.3%–3.1%) were classified as </w:t>
      </w:r>
      <w:r w:rsidRPr="00BB76D8">
        <w:t>LSIL</w:t>
      </w:r>
      <w:r w:rsidRPr="00537C3C">
        <w:t xml:space="preserve">+ </w:t>
      </w:r>
      <w:r w:rsidRPr="00537C3C" w:rsidDel="00B94BF8">
        <w:t>by</w:t>
      </w:r>
      <w:r w:rsidRPr="00537C3C">
        <w:t xml:space="preserve"> </w:t>
      </w:r>
      <w:r w:rsidR="00104199">
        <w:t>c</w:t>
      </w:r>
      <w:r w:rsidRPr="00537C3C">
        <w:t xml:space="preserve">onventional cytology but as negative or </w:t>
      </w:r>
      <w:r w:rsidRPr="00BB76D8">
        <w:t>ASCUS</w:t>
      </w:r>
      <w:r w:rsidRPr="00537C3C">
        <w:t xml:space="preserve"> </w:t>
      </w:r>
      <w:r w:rsidRPr="00537C3C" w:rsidDel="00B94BF8">
        <w:t>by</w:t>
      </w:r>
      <w:r w:rsidRPr="00537C3C">
        <w:t xml:space="preserve"> </w:t>
      </w:r>
      <w:r w:rsidRPr="00BB76D8">
        <w:t>LBC</w:t>
      </w:r>
      <w:r w:rsidRPr="00537C3C">
        <w:t xml:space="preserve">. The pooled values for SurePath, derived from 13 studies (24 633 women), were 4.1 per cent (1.3%–6.8%) </w:t>
      </w:r>
      <w:r w:rsidRPr="00BB76D8">
        <w:t>LSIL</w:t>
      </w:r>
      <w:r w:rsidRPr="00537C3C">
        <w:t xml:space="preserve">+ </w:t>
      </w:r>
      <w:r w:rsidRPr="00537C3C" w:rsidDel="00B94BF8">
        <w:t>by</w:t>
      </w:r>
      <w:r w:rsidRPr="00537C3C">
        <w:t xml:space="preserve"> </w:t>
      </w:r>
      <w:r w:rsidRPr="00BB76D8">
        <w:t>LBC</w:t>
      </w:r>
      <w:r w:rsidRPr="00537C3C">
        <w:t xml:space="preserve"> but &lt;</w:t>
      </w:r>
      <w:r w:rsidRPr="00BB76D8">
        <w:t>LSIL</w:t>
      </w:r>
      <w:r w:rsidRPr="00537C3C">
        <w:t xml:space="preserve"> </w:t>
      </w:r>
      <w:r w:rsidRPr="00537C3C" w:rsidDel="00B94BF8">
        <w:t>by</w:t>
      </w:r>
      <w:r w:rsidRPr="00537C3C">
        <w:t xml:space="preserve"> conventional cytology and 3.1 per cent (0.4%–5.71%) </w:t>
      </w:r>
      <w:r w:rsidRPr="00BB76D8">
        <w:t>LSIL</w:t>
      </w:r>
      <w:r w:rsidRPr="00537C3C">
        <w:t xml:space="preserve">+ </w:t>
      </w:r>
      <w:r w:rsidRPr="00537C3C" w:rsidDel="00B94BF8">
        <w:t>by</w:t>
      </w:r>
      <w:r w:rsidRPr="00537C3C">
        <w:t xml:space="preserve"> conventional cytology, but &lt; </w:t>
      </w:r>
      <w:r w:rsidRPr="00BB76D8">
        <w:t>LSIL</w:t>
      </w:r>
      <w:r w:rsidRPr="00537C3C">
        <w:t xml:space="preserve"> </w:t>
      </w:r>
      <w:r w:rsidRPr="00537C3C" w:rsidDel="00B94BF8">
        <w:t>by</w:t>
      </w:r>
      <w:r w:rsidRPr="00537C3C">
        <w:t xml:space="preserve"> </w:t>
      </w:r>
      <w:r w:rsidRPr="00BB76D8">
        <w:t>LBC</w:t>
      </w:r>
      <w:r w:rsidRPr="00537C3C">
        <w:t>. These values were derived by random-effects Bayesian meta-analysis. There was significant heterogeneity in disease prevalence across the studies.</w:t>
      </w:r>
    </w:p>
    <w:p w:rsidR="00234376" w:rsidRPr="00537C3C" w:rsidRDefault="00234376" w:rsidP="008E03A7">
      <w:r w:rsidRPr="00537C3C">
        <w:t xml:space="preserve">The difference in total slide classifications between </w:t>
      </w:r>
      <w:r w:rsidRPr="00BB76D8">
        <w:t>LBC</w:t>
      </w:r>
      <w:r w:rsidRPr="00537C3C">
        <w:t xml:space="preserve"> and conventional cytology are reported for two-cohort studies. ThinPrep classified 1.3 per cent (95% </w:t>
      </w:r>
      <w:r w:rsidRPr="00BB76D8">
        <w:t>CI</w:t>
      </w:r>
      <w:r w:rsidRPr="00537C3C">
        <w:t xml:space="preserve"> 0.02%–2.6%) more slides as </w:t>
      </w:r>
      <w:r w:rsidRPr="00BB76D8">
        <w:t>LSIL</w:t>
      </w:r>
      <w:r w:rsidRPr="00537C3C">
        <w:t xml:space="preserve">+ than conventional cytology did in 22 studies, and SurePath classified 0.66 per cent more (95% </w:t>
      </w:r>
      <w:r w:rsidRPr="00BB76D8">
        <w:t>CI</w:t>
      </w:r>
      <w:r w:rsidRPr="00537C3C">
        <w:t xml:space="preserve"> 0.23%–1.09%) as </w:t>
      </w:r>
      <w:r w:rsidRPr="00BB76D8">
        <w:t>LSIL</w:t>
      </w:r>
      <w:r w:rsidRPr="00537C3C">
        <w:t xml:space="preserve">+ in 10 studies. There was no significant difference in the classification of slides as </w:t>
      </w:r>
      <w:r w:rsidRPr="00BB76D8">
        <w:t>HSIL</w:t>
      </w:r>
      <w:r w:rsidRPr="00537C3C">
        <w:t xml:space="preserve">+ (ThinPrep – conventional: –0.25%, 95% </w:t>
      </w:r>
      <w:r w:rsidRPr="00BB76D8">
        <w:t>CI</w:t>
      </w:r>
      <w:r w:rsidRPr="00537C3C">
        <w:t xml:space="preserve"> –1.6% to +1.1%, 12 studies; SurePath – conventional: –0.11%, 95% </w:t>
      </w:r>
      <w:r w:rsidRPr="00BB76D8">
        <w:t>CI</w:t>
      </w:r>
      <w:r w:rsidRPr="00537C3C">
        <w:t xml:space="preserve"> –0.72% to +0.51%, 10 studies). There was significant between-study heterogeneity in all outcomes except SurePath classification of </w:t>
      </w:r>
      <w:r w:rsidRPr="00BB76D8">
        <w:t>LSIL</w:t>
      </w:r>
      <w:r w:rsidRPr="00537C3C">
        <w:t>+.</w:t>
      </w:r>
    </w:p>
    <w:p w:rsidR="00234376" w:rsidRPr="00537C3C" w:rsidRDefault="00234376" w:rsidP="008E03A7">
      <w:pPr>
        <w:pStyle w:val="Heading2"/>
        <w:ind w:left="0"/>
        <w:rPr>
          <w:bCs/>
        </w:rPr>
      </w:pPr>
      <w:bookmarkStart w:id="359" w:name="_Toc95971085"/>
      <w:bookmarkStart w:id="360" w:name="_Toc241658184"/>
      <w:bookmarkStart w:id="361" w:name="_Ref200966277"/>
      <w:r w:rsidRPr="00537C3C">
        <w:rPr>
          <w:bCs/>
        </w:rPr>
        <w:t>Automated slide reading</w:t>
      </w:r>
      <w:bookmarkEnd w:id="359"/>
      <w:bookmarkEnd w:id="360"/>
    </w:p>
    <w:p w:rsidR="00234376" w:rsidRDefault="00234376" w:rsidP="00234376">
      <w:pPr>
        <w:pStyle w:val="Heading3"/>
      </w:pPr>
      <w:r w:rsidRPr="00537C3C">
        <w:t>FocalPoint</w:t>
      </w:r>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 xml:space="preserve">No eligible studies of the accuracy of the FocalPoint system for reading </w:t>
      </w:r>
      <w:r w:rsidRPr="00BB76D8">
        <w:t>LBC</w:t>
      </w:r>
      <w:r w:rsidRPr="00537C3C">
        <w:t xml:space="preserve"> slides compared to manual reading of conventional slides were identified.</w:t>
      </w:r>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No evidence for an accuracy advantage, disadvantage or equivalence of the AutoPap system was found in</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two studies comparing AutoPap-assisted reading of conventional slides to manual reading of conventional slides</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 xml:space="preserve">a single study of highly limited applicability comparing the AutoPap-assisted reading of </w:t>
      </w:r>
      <w:r w:rsidRPr="00BB76D8">
        <w:t>LBC</w:t>
      </w:r>
      <w:r w:rsidRPr="00537C3C">
        <w:t xml:space="preserve"> to manual reading of </w:t>
      </w:r>
      <w:r w:rsidRPr="00BB76D8">
        <w:t>LBC</w:t>
      </w:r>
      <w:r w:rsidRPr="00537C3C">
        <w:t>.</w:t>
      </w:r>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The AutoPap-assisted reading of conventional slides reduced unsatisfactory rates (one study) compared to manual reading. However, process advantages are not considered relevant if sufficient evidence of accuracy is not available.</w:t>
      </w:r>
    </w:p>
    <w:p w:rsidR="00234376" w:rsidRDefault="00234376" w:rsidP="00234376">
      <w:pPr>
        <w:pStyle w:val="Heading3"/>
      </w:pPr>
      <w:r w:rsidRPr="00537C3C">
        <w:t>ThinPrep Imager</w:t>
      </w:r>
    </w:p>
    <w:p w:rsidR="00234376" w:rsidRPr="00537C3C" w:rsidRDefault="00234376" w:rsidP="008E03A7">
      <w:pPr>
        <w:pStyle w:val="Heading4"/>
      </w:pPr>
      <w:r w:rsidRPr="00537C3C">
        <w:t>Accuracy</w:t>
      </w:r>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 xml:space="preserve">One fair-quality Australian study </w:t>
      </w:r>
      <w:r w:rsidRPr="00537C3C">
        <w:fldChar w:fldCharType="begin"/>
      </w:r>
      <w:r w:rsidRPr="00537C3C">
        <w:instrText xml:space="preserve"> ADDIN REFMGR.CITE &lt;Refman&gt;&lt;Cite&gt;&lt;Author&gt;Davey&lt;/Author&gt;&lt;Year&gt;2007&lt;/Year&gt;&lt;RecNum&gt;65&lt;/RecNum&gt;&lt;IDText&gt;Accuracy of reading liquid based cytology slides using the ThinPrep Imager compared with conventional cytology: Prospective study&lt;/IDText&gt;&lt;MDL Ref_Type="Journal"&gt;&lt;Ref_Type&gt;Journal&lt;/Ref_Type&gt;&lt;Ref_ID&gt;65&lt;/Ref_ID&gt;&lt;Title_Primary&gt;Accuracy of reading liquid based cytology slides using the ThinPrep Imager compared with conventional cytology: Prospective study&lt;/Title_Primary&gt;&lt;Authors_Primary&gt;Davey,E.&lt;/Authors_Primary&gt;&lt;Authors_Primary&gt;D&amp;apos;Assuncao,J.&lt;/Authors_Primary&gt;&lt;Authors_Primary&gt;Irwig,L.&lt;/Authors_Primary&gt;&lt;Authors_Primary&gt;Macaskill,P.&lt;/Authors_Primary&gt;&lt;Authors_Primary&gt;Chan,S.F.&lt;/Authors_Primary&gt;&lt;Authors_Primary&gt;Richards,A.&lt;/Authors_Primary&gt;&lt;Authors_Primary&gt;Farnsworth,A.&lt;/Authors_Primary&gt;&lt;Date_Primary&gt;2007&lt;/Date_Primary&gt;&lt;Keywords&gt;adult&lt;/Keywords&gt;&lt;Keywords&gt;article&lt;/Keywords&gt;&lt;Keywords&gt;Australia&lt;/Keywords&gt;&lt;Keywords&gt;cancer screening&lt;/Keywords&gt;&lt;Keywords&gt;clinical laboratory&lt;/Keywords&gt;&lt;Keywords&gt;diagnostic accuracy&lt;/Keywords&gt;&lt;Keywords&gt;female&lt;/Keywords&gt;&lt;Keywords&gt;human&lt;/Keywords&gt;&lt;Keywords&gt;human cell&lt;/Keywords&gt;&lt;Keywords&gt;intermethod comparison&lt;/Keywords&gt;&lt;Keywords&gt;liquid based cytology&lt;/Keywords&gt;&lt;Keywords&gt;major clinical study&lt;/Keywords&gt;&lt;Keywords&gt;Papanicolaou test&lt;/Keywords&gt;&lt;Keywords&gt;priority journal&lt;/Keywords&gt;&lt;Keywords&gt;ThinPrep&lt;/Keywords&gt;&lt;Keywords&gt;uterine cervix biopsy&lt;/Keywords&gt;&lt;Keywords&gt;uterine cervix cancer&lt;/Keywords&gt;&lt;Keywords&gt;uterine cervix carcinoma in situ&lt;/Keywords&gt;&lt;Keywords&gt;uterine cervix cytology&lt;/Keywords&gt;&lt;Reprint&gt;In File&lt;/Reprint&gt;&lt;Start_Page&gt;31&lt;/Start_Page&gt;&lt;End_Page&gt;35&lt;/End_Page&gt;&lt;Periodical&gt;British Medical Journal&lt;/Periodical&gt;&lt;Volume&gt;335&lt;/Volume&gt;&lt;Issue&gt;7609&lt;/Issue&gt;&lt;ISSN_ISBN&gt;0959-8146&lt;/ISSN_ISBN&gt;&lt;Address&gt;Davey, E., Screening and Test Evaluation Program, School of Public Health, University of Sydney, Sydney, NSW 2006, Australia&lt;/Address&gt;&lt;ZZ_JournalFull&gt;&lt;f name="System"&gt;British Medical Journal&lt;/f&gt;&lt;/ZZ_JournalFull&gt;&lt;ZZ_JournalStdAbbrev&gt;&lt;f name="System"&gt;Br.Med.J.&lt;/f&gt;&lt;/ZZ_JournalStdAbbrev&gt;&lt;ZZ_WorkformID&gt;1&lt;/ZZ_WorkformID&gt;&lt;/MDL&gt;&lt;/Cite&gt;&lt;/Refman&gt;</w:instrText>
      </w:r>
      <w:r w:rsidRPr="00537C3C">
        <w:fldChar w:fldCharType="separate"/>
      </w:r>
      <w:r w:rsidRPr="00537C3C">
        <w:t>(Davey et al. 2007a)</w:t>
      </w:r>
      <w:r w:rsidRPr="00537C3C">
        <w:fldChar w:fldCharType="end"/>
      </w:r>
      <w:r w:rsidRPr="00537C3C">
        <w:t xml:space="preserve"> of the ThinPrep Imager system compared to manual reading of conventional cytology found</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 xml:space="preserve">a significant increase in the detection of </w:t>
      </w:r>
      <w:r w:rsidRPr="00BB76D8">
        <w:t>CIN</w:t>
      </w:r>
      <w:r w:rsidRPr="00537C3C">
        <w:t xml:space="preserve"> 2+ lesions (</w:t>
      </w:r>
      <w:r w:rsidRPr="00BB76D8">
        <w:t>pHSIL</w:t>
      </w:r>
      <w:r w:rsidRPr="00537C3C">
        <w:t xml:space="preserve"> threshold; additional 0.82 cases per 1000 women screened)</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lastRenderedPageBreak/>
        <w:t>no significant increase in the number of false positive biopsy results (</w:t>
      </w:r>
      <w:r w:rsidRPr="00BB76D8">
        <w:t>pHSIL</w:t>
      </w:r>
      <w:r w:rsidRPr="00537C3C">
        <w:t xml:space="preserve"> threshold)</w:t>
      </w:r>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A second fair-quality Australian study (</w:t>
      </w:r>
      <w:bookmarkStart w:id="362" w:name="OLE_LINK478"/>
      <w:bookmarkStart w:id="363" w:name="OLE_LINK479"/>
      <w:r w:rsidRPr="00537C3C">
        <w:t>Roberts et al. 2007</w:t>
      </w:r>
      <w:bookmarkEnd w:id="362"/>
      <w:bookmarkEnd w:id="363"/>
      <w:r w:rsidRPr="00537C3C">
        <w:t>) of the ThinPrep Imager system, with a higher possibility of verification bias, found</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a non-significant increase in the detection of high-grade lesions (</w:t>
      </w:r>
      <w:r w:rsidRPr="00BB76D8">
        <w:t>pHSIL</w:t>
      </w:r>
      <w:r w:rsidRPr="00537C3C">
        <w:t xml:space="preserve"> threshold, 1.49 additional cases per 1000 women screened)</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a significant increase in the number of false positive biopsy results (</w:t>
      </w:r>
      <w:r w:rsidRPr="00BB76D8">
        <w:t>pHSIL</w:t>
      </w:r>
      <w:r w:rsidRPr="00537C3C">
        <w:t xml:space="preserve"> threshold, 1.93 additional cases per 1000)</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 xml:space="preserve">a significant increase in the detection of high-grade lesions on manual </w:t>
      </w:r>
      <w:r w:rsidRPr="00BB76D8">
        <w:t>LBC</w:t>
      </w:r>
      <w:r w:rsidRPr="00537C3C">
        <w:t xml:space="preserve"> compared to conventional cytology (</w:t>
      </w:r>
      <w:r w:rsidRPr="00BB76D8">
        <w:t>pHSIL</w:t>
      </w:r>
      <w:r w:rsidRPr="00537C3C">
        <w:t xml:space="preserve"> threshold, 2.8 additional cases per 1000)</w:t>
      </w:r>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 xml:space="preserve">Three studies comparing ThinPrep Imager reading of </w:t>
      </w:r>
      <w:r w:rsidRPr="00BB76D8">
        <w:t>LBC</w:t>
      </w:r>
      <w:r w:rsidRPr="00537C3C">
        <w:t xml:space="preserve"> slides to manual reading of </w:t>
      </w:r>
      <w:r w:rsidRPr="00BB76D8">
        <w:t>LBC</w:t>
      </w:r>
      <w:r w:rsidRPr="00537C3C">
        <w:t xml:space="preserve"> slides found</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no significant difference in the number of high-grade cases detected</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 xml:space="preserve">significantly fewer false positive cases for high-grade lesions at a test threshold of </w:t>
      </w:r>
      <w:r w:rsidRPr="00BB76D8">
        <w:t>pHSIL</w:t>
      </w:r>
      <w:r w:rsidRPr="00537C3C">
        <w:t xml:space="preserve"> or </w:t>
      </w:r>
      <w:r w:rsidRPr="00BB76D8">
        <w:t>HSIL</w:t>
      </w:r>
      <w:r w:rsidRPr="00537C3C">
        <w:t>, in two of three studies, respectively. There is a possibility of verification bias in one of these studies.</w:t>
      </w:r>
    </w:p>
    <w:p w:rsidR="00234376" w:rsidRPr="00537C3C" w:rsidRDefault="00234376" w:rsidP="008E03A7">
      <w:pPr>
        <w:pStyle w:val="Heading4"/>
        <w:rPr>
          <w:b w:val="0"/>
          <w:i/>
        </w:rPr>
      </w:pPr>
      <w:r w:rsidRPr="00537C3C">
        <w:t>Unsatisfactory rates</w:t>
      </w:r>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 xml:space="preserve">One Australian study </w:t>
      </w:r>
      <w:r w:rsidRPr="00537C3C">
        <w:fldChar w:fldCharType="begin"/>
      </w:r>
      <w:r w:rsidRPr="00537C3C">
        <w:instrText xml:space="preserve"> ADDIN REFMGR.CITE &lt;Refman&gt;&lt;Cite&gt;&lt;Author&gt;Davey&lt;/Author&gt;&lt;Year&gt;2007&lt;/Year&gt;&lt;RecNum&gt;65&lt;/RecNum&gt;&lt;IDText&gt;Accuracy of reading liquid based cytology slides using the ThinPrep Imager compared with conventional cytology: Prospective study&lt;/IDText&gt;&lt;MDL Ref_Type="Journal"&gt;&lt;Ref_Type&gt;Journal&lt;/Ref_Type&gt;&lt;Ref_ID&gt;65&lt;/Ref_ID&gt;&lt;Title_Primary&gt;Accuracy of reading liquid based cytology slides using the ThinPrep Imager compared with conventional cytology: Prospective study&lt;/Title_Primary&gt;&lt;Authors_Primary&gt;Davey,E.&lt;/Authors_Primary&gt;&lt;Authors_Primary&gt;D&amp;apos;Assuncao,J.&lt;/Authors_Primary&gt;&lt;Authors_Primary&gt;Irwig,L.&lt;/Authors_Primary&gt;&lt;Authors_Primary&gt;Macaskill,P.&lt;/Authors_Primary&gt;&lt;Authors_Primary&gt;Chan,S.F.&lt;/Authors_Primary&gt;&lt;Authors_Primary&gt;Richards,A.&lt;/Authors_Primary&gt;&lt;Authors_Primary&gt;Farnsworth,A.&lt;/Authors_Primary&gt;&lt;Date_Primary&gt;2007&lt;/Date_Primary&gt;&lt;Keywords&gt;adult&lt;/Keywords&gt;&lt;Keywords&gt;article&lt;/Keywords&gt;&lt;Keywords&gt;Australia&lt;/Keywords&gt;&lt;Keywords&gt;cancer screening&lt;/Keywords&gt;&lt;Keywords&gt;clinical laboratory&lt;/Keywords&gt;&lt;Keywords&gt;diagnostic accuracy&lt;/Keywords&gt;&lt;Keywords&gt;female&lt;/Keywords&gt;&lt;Keywords&gt;human&lt;/Keywords&gt;&lt;Keywords&gt;human cell&lt;/Keywords&gt;&lt;Keywords&gt;intermethod comparison&lt;/Keywords&gt;&lt;Keywords&gt;liquid based cytology&lt;/Keywords&gt;&lt;Keywords&gt;major clinical study&lt;/Keywords&gt;&lt;Keywords&gt;Papanicolaou test&lt;/Keywords&gt;&lt;Keywords&gt;priority journal&lt;/Keywords&gt;&lt;Keywords&gt;ThinPrep&lt;/Keywords&gt;&lt;Keywords&gt;uterine cervix biopsy&lt;/Keywords&gt;&lt;Keywords&gt;uterine cervix cancer&lt;/Keywords&gt;&lt;Keywords&gt;uterine cervix carcinoma in situ&lt;/Keywords&gt;&lt;Keywords&gt;uterine cervix cytology&lt;/Keywords&gt;&lt;Reprint&gt;In File&lt;/Reprint&gt;&lt;Start_Page&gt;31&lt;/Start_Page&gt;&lt;End_Page&gt;35&lt;/End_Page&gt;&lt;Periodical&gt;British Medical Journal&lt;/Periodical&gt;&lt;Volume&gt;335&lt;/Volume&gt;&lt;Issue&gt;7609&lt;/Issue&gt;&lt;ISSN_ISBN&gt;0959-8146&lt;/ISSN_ISBN&gt;&lt;Address&gt;Davey, E., Screening and Test Evaluation Program, School of Public Health, University of Sydney, Sydney, NSW 2006, Australia&lt;/Address&gt;&lt;ZZ_JournalFull&gt;&lt;f name="System"&gt;British Medical Journal&lt;/f&gt;&lt;/ZZ_JournalFull&gt;&lt;ZZ_JournalStdAbbrev&gt;&lt;f name="System"&gt;Br.Med.J.&lt;/f&gt;&lt;/ZZ_JournalStdAbbrev&gt;&lt;ZZ_WorkformID&gt;1&lt;/ZZ_WorkformID&gt;&lt;/MDL&gt;&lt;/Cite&gt;&lt;/Refman&gt;</w:instrText>
      </w:r>
      <w:r w:rsidRPr="00537C3C">
        <w:fldChar w:fldCharType="separate"/>
      </w:r>
      <w:r w:rsidRPr="00537C3C">
        <w:t>(Davey et al. 2007a)</w:t>
      </w:r>
      <w:r w:rsidRPr="00537C3C">
        <w:fldChar w:fldCharType="end"/>
      </w:r>
      <w:r w:rsidRPr="00537C3C">
        <w:t xml:space="preserve"> demonstrated a significant decrease in classification of unsatisfactory slides by the ThinPrep Imager system compared to conventional cytology (1.8% vs 3.1%; </w:t>
      </w:r>
      <w:r w:rsidRPr="0030078D">
        <w:rPr>
          <w:i/>
        </w:rPr>
        <w:t>P</w:t>
      </w:r>
      <w:r w:rsidRPr="00537C3C">
        <w:t xml:space="preserve"> &lt; 0.001).</w:t>
      </w:r>
    </w:p>
    <w:p w:rsidR="00234376" w:rsidRPr="00537C3C" w:rsidRDefault="00234376" w:rsidP="008E03A7">
      <w:pPr>
        <w:pStyle w:val="Heading4"/>
      </w:pPr>
      <w:r w:rsidRPr="00537C3C">
        <w:t>Process outcomes</w:t>
      </w:r>
    </w:p>
    <w:p w:rsidR="00234376" w:rsidRPr="00537C3C" w:rsidRDefault="00234376" w:rsidP="008E03A7">
      <w:pPr>
        <w:pBdr>
          <w:top w:val="single" w:sz="4" w:space="1" w:color="auto"/>
          <w:left w:val="single" w:sz="4" w:space="4" w:color="auto"/>
          <w:bottom w:val="single" w:sz="4" w:space="1" w:color="auto"/>
          <w:right w:val="single" w:sz="4" w:space="4" w:color="auto"/>
        </w:pBdr>
      </w:pPr>
      <w:r w:rsidRPr="00537C3C">
        <w:t>Two Australian studies found the ThinPrep Imager compared to conventional cytology</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 xml:space="preserve">decreased slide reading time (mean difference 7.18 slides per hour [95% </w:t>
      </w:r>
      <w:r w:rsidRPr="00BB76D8">
        <w:t>CI</w:t>
      </w:r>
      <w:r w:rsidRPr="00537C3C">
        <w:t xml:space="preserve"> 6.17–8.20]; </w:t>
      </w:r>
      <w:r w:rsidRPr="0030078D">
        <w:rPr>
          <w:i/>
        </w:rPr>
        <w:t>P</w:t>
      </w:r>
      <w:r w:rsidRPr="00537C3C">
        <w:t xml:space="preserve"> &lt; 0.001, Davey et al. 2007b)</w:t>
      </w:r>
    </w:p>
    <w:p w:rsidR="00234376" w:rsidRPr="00537C3C" w:rsidRDefault="00234376" w:rsidP="008E03A7">
      <w:pPr>
        <w:numPr>
          <w:ilvl w:val="0"/>
          <w:numId w:val="13"/>
        </w:numPr>
        <w:pBdr>
          <w:top w:val="single" w:sz="4" w:space="1" w:color="auto"/>
          <w:left w:val="single" w:sz="4" w:space="4" w:color="auto"/>
          <w:bottom w:val="single" w:sz="4" w:space="1" w:color="auto"/>
          <w:right w:val="single" w:sz="4" w:space="4" w:color="auto"/>
        </w:pBdr>
      </w:pPr>
      <w:r w:rsidRPr="00537C3C">
        <w:t>significantly increased the number of slides classified with low-grade abnormalities</w:t>
      </w:r>
    </w:p>
    <w:p w:rsidR="00234376" w:rsidRPr="00537C3C" w:rsidRDefault="00234376" w:rsidP="008E03A7">
      <w:pPr>
        <w:pStyle w:val="Heading2"/>
        <w:ind w:left="0"/>
        <w:rPr>
          <w:bCs/>
        </w:rPr>
      </w:pPr>
      <w:bookmarkStart w:id="364" w:name="_Toc241658185"/>
      <w:r w:rsidRPr="00537C3C">
        <w:rPr>
          <w:bCs/>
        </w:rPr>
        <w:t>Comparison to</w:t>
      </w:r>
      <w:bookmarkStart w:id="365" w:name="_Toc95971086"/>
      <w:r w:rsidRPr="00537C3C">
        <w:rPr>
          <w:bCs/>
        </w:rPr>
        <w:t xml:space="preserve"> conventional cytology</w:t>
      </w:r>
      <w:bookmarkEnd w:id="361"/>
      <w:bookmarkEnd w:id="364"/>
      <w:bookmarkEnd w:id="365"/>
    </w:p>
    <w:p w:rsidR="00234376" w:rsidRDefault="00234376" w:rsidP="00234376">
      <w:pPr>
        <w:pStyle w:val="Heading3"/>
      </w:pPr>
      <w:r w:rsidRPr="00537C3C">
        <w:t>Included studies</w:t>
      </w:r>
    </w:p>
    <w:p w:rsidR="00234376" w:rsidRPr="00537C3C" w:rsidRDefault="00234376" w:rsidP="008E03A7">
      <w:r w:rsidRPr="00537C3C">
        <w:t xml:space="preserve">The search for studies published since the </w:t>
      </w:r>
      <w:r w:rsidRPr="00BB76D8">
        <w:t>MSAC</w:t>
      </w:r>
      <w:r w:rsidRPr="00537C3C">
        <w:t xml:space="preserve"> 2003 review identified five primary studies of automation-assisted slide reading systems that met the inclusion criteria for review.</w:t>
      </w:r>
    </w:p>
    <w:p w:rsidR="00234376" w:rsidRPr="00537C3C" w:rsidRDefault="00234376" w:rsidP="008E03A7">
      <w:r w:rsidRPr="00537C3C">
        <w:t xml:space="preserve">An excluded discussion paper by Wilbur and Norton </w:t>
      </w:r>
      <w:r w:rsidRPr="00537C3C">
        <w:fldChar w:fldCharType="begin"/>
      </w:r>
      <w:r w:rsidRPr="00537C3C">
        <w:instrText xml:space="preserve"> ADDIN REFMGR.CITE &lt;Refman&gt;&lt;Cite ExcludeAuth="1"&gt;&lt;Author&gt;Wilbur&lt;/Author&gt;&lt;Year&gt;2002&lt;/Year&gt;&lt;RecNum&gt;875&lt;/RecNum&gt;&lt;IDText&gt;The primary screening clinical trials of the TriPath AutoPap(registered trademark) System&lt;/IDText&gt;&lt;MDL Ref_Type="Journal"&gt;&lt;Ref_Type&gt;Journal&lt;/Ref_Type&gt;&lt;Ref_ID&gt;875&lt;/Ref_ID&gt;&lt;Title_Primary&gt;The primary screening clinical trials of the TriPath AutoPap(registered trademark) System&lt;/Title_Primary&gt;&lt;Authors_Primary&gt;Wilbur,D.C.&lt;/Authors_Primary&gt;&lt;Authors_Primary&gt;Norton,M.K.&lt;/Authors_Primary&gt;&lt;Date_Primary&gt;2002&lt;/Date_Primary&gt;&lt;Keywords&gt;automation&lt;/Keywords&gt;&lt;Keywords&gt;computer&lt;/Keywords&gt;&lt;Keywords&gt;conference paper&lt;/Keywords&gt;&lt;Keywords&gt;food and drug administration&lt;/Keywords&gt;&lt;Keywords&gt;image analysis&lt;/Keywords&gt;&lt;Keywords&gt;microscopy&lt;/Keywords&gt;&lt;Keywords&gt;Papanicolaou test&lt;/Keywords&gt;&lt;Keywords&gt;priority journal&lt;/Keywords&gt;&lt;Keywords&gt;quality control&lt;/Keywords&gt;&lt;Keywords&gt;sensitivity and specificity&lt;/Keywords&gt;&lt;Keywords&gt;uterine cervix cancer&lt;/Keywords&gt;&lt;Reprint&gt;In File&lt;/Reprint&gt;&lt;Start_Page&gt;S30&lt;/Start_Page&gt;&lt;End_Page&gt;S33&lt;/End_Page&gt;&lt;Periodical&gt;Epidemiology&lt;/Periodical&gt;&lt;Volume&gt;13&lt;/Volume&gt;&lt;Issue&gt;3 SUPPL.&lt;/Issue&gt;&lt;ISSN_ISBN&gt;1044-3983&lt;/ISSN_ISBN&gt;&lt;Address&gt;Norton, M.K., TriPath Inc, Redmond, WA 98052, United States&lt;/Address&gt;&lt;ZZ_JournalFull&gt;&lt;f name="System"&gt;Epidemiology&lt;/f&gt;&lt;/ZZ_JournalFull&gt;&lt;ZZ_WorkformID&gt;1&lt;/ZZ_WorkformID&gt;&lt;/MDL&gt;&lt;/Cite&gt;&lt;/Refman&gt;</w:instrText>
      </w:r>
      <w:r w:rsidRPr="00537C3C">
        <w:fldChar w:fldCharType="separate"/>
      </w:r>
      <w:r w:rsidRPr="00537C3C">
        <w:t>(2002)</w:t>
      </w:r>
      <w:r w:rsidRPr="00537C3C">
        <w:fldChar w:fldCharType="end"/>
      </w:r>
      <w:r w:rsidRPr="00537C3C">
        <w:t xml:space="preserve"> cites evidence comparing AutoPap-assisted reading of conventional slides to conventional cytology from a trial published in 1999. This trial was considered in the previous </w:t>
      </w:r>
      <w:bookmarkStart w:id="366" w:name="OLE_LINK480"/>
      <w:bookmarkStart w:id="367" w:name="OLE_LINK481"/>
      <w:r w:rsidRPr="00BB76D8">
        <w:t>MSAC</w:t>
      </w:r>
      <w:r w:rsidRPr="00537C3C">
        <w:t xml:space="preserve"> (2003</w:t>
      </w:r>
      <w:bookmarkEnd w:id="366"/>
      <w:bookmarkEnd w:id="367"/>
      <w:r w:rsidRPr="00537C3C">
        <w:t xml:space="preserve">) review. Nevertheless, it is noteworthy that this study would not provide high-quality evidence for the primary research question because it does not refer to use of the current FocalPoint </w:t>
      </w:r>
      <w:r w:rsidRPr="00537C3C">
        <w:lastRenderedPageBreak/>
        <w:t>system for SurePath slides and includes the use of consensus cytology as a reference standard.</w:t>
      </w:r>
    </w:p>
    <w:p w:rsidR="00234376" w:rsidRPr="00537C3C" w:rsidRDefault="00234376" w:rsidP="008E03A7">
      <w:pPr>
        <w:pStyle w:val="Heading4"/>
      </w:pPr>
      <w:r w:rsidRPr="00537C3C">
        <w:t>Study characteristics, quality and applicability</w:t>
      </w:r>
    </w:p>
    <w:p w:rsidR="00234376" w:rsidRPr="00537C3C" w:rsidRDefault="00234376" w:rsidP="008E03A7">
      <w:r w:rsidRPr="00537C3C">
        <w:t xml:space="preserve">Two studies comparing the accuracy of ThinPrep Imager reading of ThinPrep </w:t>
      </w:r>
      <w:r w:rsidRPr="00BB76D8">
        <w:t>LBC</w:t>
      </w:r>
      <w:r w:rsidRPr="00537C3C">
        <w:t xml:space="preserve"> slides to manual reading of conventional Pap smear slides were included </w:t>
      </w:r>
      <w:r w:rsidRPr="00537C3C">
        <w:fldChar w:fldCharType="begin"/>
      </w:r>
      <w:r w:rsidRPr="00537C3C">
        <w:instrText xml:space="preserve"> ADDIN REFMGR.CITE &lt;Refman&gt;&lt;Cite&gt;&lt;Author&gt;Davey&lt;/Author&gt;&lt;Year&gt;2007&lt;/Year&gt;&lt;RecNum&gt;65&lt;/RecNum&gt;&lt;IDText&gt;Accuracy of reading liquid based cytology slides using the ThinPrep Imager compared with conventional cytology: Prospective study&lt;/IDText&gt;&lt;MDL Ref_Type="Journal"&gt;&lt;Ref_Type&gt;Journal&lt;/Ref_Type&gt;&lt;Ref_ID&gt;65&lt;/Ref_ID&gt;&lt;Title_Primary&gt;Accuracy of reading liquid based cytology slides using the ThinPrep Imager compared with conventional cytology: Prospective study&lt;/Title_Primary&gt;&lt;Authors_Primary&gt;Davey,E.&lt;/Authors_Primary&gt;&lt;Authors_Primary&gt;D&amp;apos;Assuncao,J.&lt;/Authors_Primary&gt;&lt;Authors_Primary&gt;Irwig,L.&lt;/Authors_Primary&gt;&lt;Authors_Primary&gt;Macaskill,P.&lt;/Authors_Primary&gt;&lt;Authors_Primary&gt;Chan,S.F.&lt;/Authors_Primary&gt;&lt;Authors_Primary&gt;Richards,A.&lt;/Authors_Primary&gt;&lt;Authors_Primary&gt;Farnsworth,A.&lt;/Authors_Primary&gt;&lt;Date_Primary&gt;2007&lt;/Date_Primary&gt;&lt;Keywords&gt;adult&lt;/Keywords&gt;&lt;Keywords&gt;article&lt;/Keywords&gt;&lt;Keywords&gt;Australia&lt;/Keywords&gt;&lt;Keywords&gt;cancer screening&lt;/Keywords&gt;&lt;Keywords&gt;clinical laboratory&lt;/Keywords&gt;&lt;Keywords&gt;diagnostic accuracy&lt;/Keywords&gt;&lt;Keywords&gt;female&lt;/Keywords&gt;&lt;Keywords&gt;human&lt;/Keywords&gt;&lt;Keywords&gt;human cell&lt;/Keywords&gt;&lt;Keywords&gt;intermethod comparison&lt;/Keywords&gt;&lt;Keywords&gt;liquid based cytology&lt;/Keywords&gt;&lt;Keywords&gt;major clinical study&lt;/Keywords&gt;&lt;Keywords&gt;Papanicolaou test&lt;/Keywords&gt;&lt;Keywords&gt;priority journal&lt;/Keywords&gt;&lt;Keywords&gt;ThinPrep&lt;/Keywords&gt;&lt;Keywords&gt;uterine cervix biopsy&lt;/Keywords&gt;&lt;Keywords&gt;uterine cervix cancer&lt;/Keywords&gt;&lt;Keywords&gt;uterine cervix carcinoma in situ&lt;/Keywords&gt;&lt;Keywords&gt;uterine cervix cytology&lt;/Keywords&gt;&lt;Reprint&gt;In File&lt;/Reprint&gt;&lt;Start_Page&gt;31&lt;/Start_Page&gt;&lt;End_Page&gt;35&lt;/End_Page&gt;&lt;Periodical&gt;British Medical Journal&lt;/Periodical&gt;&lt;Volume&gt;335&lt;/Volume&gt;&lt;Issue&gt;7609&lt;/Issue&gt;&lt;ISSN_ISBN&gt;0959-8146&lt;/ISSN_ISBN&gt;&lt;Address&gt;Davey, E., Screening and Test Evaluation Program, School of Public Health, University of Sydney, Sydney, NSW 2006, Australia&lt;/Address&gt;&lt;ZZ_JournalFull&gt;&lt;f name="System"&gt;British Medical Journal&lt;/f&gt;&lt;/ZZ_JournalFull&gt;&lt;ZZ_JournalStdAbbrev&gt;&lt;f name="System"&gt;Br.Med.J.&lt;/f&gt;&lt;/ZZ_JournalStdAbbrev&gt;&lt;ZZ_WorkformID&gt;1&lt;/ZZ_WorkformID&gt;&lt;/MDL&gt;&lt;/Cite&gt;&lt;Cite&gt;&lt;Author&gt;Roberts&lt;/Author&gt;&lt;Year&gt;2007&lt;/Year&gt;&lt;RecNum&gt;107&lt;/RecNum&gt;&lt;IDText&gt;A three-armed trial of the thinprep imaging system&lt;/IDText&gt;&lt;MDL Ref_Type="Journal"&gt;&lt;Ref_Type&gt;Journal&lt;/Ref_Type&gt;&lt;Ref_ID&gt;107&lt;/Ref_ID&gt;&lt;Title_Primary&gt;A three-armed trial of the thinprep imaging system&lt;/Title_Primary&gt;&lt;Authors_Primary&gt;Roberts,J.M.&lt;/Authors_Primary&gt;&lt;Authors_Primary&gt;Thurloe,J.K.&lt;/Authors_Primary&gt;&lt;Authors_Primary&gt;Bowditch,R.C.&lt;/Authors_Primary&gt;&lt;Authors_Primary&gt;Hyne,S.G.&lt;/Authors_Primary&gt;&lt;Authors_Primary&gt;Greenberg,M.&lt;/Authors_Primary&gt;&lt;Authors_Primary&gt;Clarke,J.M.&lt;/Authors_Primary&gt;&lt;Authors_Primary&gt;Biro,C.&lt;/Authors_Primary&gt;&lt;Date_Primary&gt;2007&lt;/Date_Primary&gt;&lt;Keywords&gt;adenocarcinoma&lt;/Keywords&gt;&lt;Keywords&gt;article&lt;/Keywords&gt;&lt;Keywords&gt;cancer cytodiagnosis&lt;/Keywords&gt;&lt;Keywords&gt;controlled study&lt;/Keywords&gt;&lt;Keywords&gt;device&lt;/Keywords&gt;&lt;Keywords&gt;female&lt;/Keywords&gt;&lt;Keywords&gt;human&lt;/Keywords&gt;&lt;Keywords&gt;imaging system&lt;/Keywords&gt;&lt;Keywords&gt;major clinical study&lt;/Keywords&gt;&lt;Keywords&gt;Papanicolaou test&lt;/Keywords&gt;&lt;Keywords&gt;prediction&lt;/Keywords&gt;&lt;Keywords&gt;priority journal&lt;/Keywords&gt;&lt;Keywords&gt;productivity&lt;/Keywords&gt;&lt;Keywords&gt;sensitivity and specificity&lt;/Keywords&gt;&lt;Keywords&gt;ThinPrep Imaging System&lt;/Keywords&gt;&lt;Keywords&gt;uterine cervix carcinoma&lt;/Keywords&gt;&lt;Keywords&gt;uterine cervix carcinoma in situ&lt;/Keywords&gt;&lt;Reprint&gt;In File&lt;/Reprint&gt;&lt;Start_Page&gt;96&lt;/Start_Page&gt;&lt;End_Page&gt;102&lt;/End_Page&gt;&lt;Periodical&gt;Diagnostic Cytopathology&lt;/Periodical&gt;&lt;Volume&gt;35&lt;/Volume&gt;&lt;Issue&gt;2&lt;/Issue&gt;&lt;ISSN_ISBN&gt;8755-1039&lt;/ISSN_ISBN&gt;&lt;Address&gt;Roberts, J.M., Symbion Laverty Pathology, North Ryde, NSW 1670,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(Davey et al. 2007a; Roberts et al. 2007)</w:t>
      </w:r>
      <w:r w:rsidRPr="00537C3C">
        <w:fldChar w:fldCharType="end"/>
      </w:r>
      <w:r w:rsidRPr="00537C3C">
        <w:t xml:space="preserve">. These studies address the primary question for the present review. An additional study provided information on process outcomes of ThinPrep Imager reading of ThinPrep </w:t>
      </w:r>
      <w:r w:rsidRPr="00BB76D8">
        <w:t>LBC</w:t>
      </w:r>
      <w:r w:rsidRPr="00537C3C">
        <w:t xml:space="preserve"> slides compared to manual reading of conventional cytology slides, over the same time period and for the same cytologists as one of these accuracy studies </w:t>
      </w:r>
      <w:r w:rsidRPr="00537C3C">
        <w:fldChar w:fldCharType="begin"/>
      </w:r>
      <w:r w:rsidRPr="00537C3C">
        <w:instrText xml:space="preserve"> ADDIN REFMGR.CITE &lt;Refman&gt;&lt;Cite&gt;&lt;Author&gt;Davey&lt;/Author&gt;&lt;Year&gt;2007&lt;/Year&gt;&lt;RecNum&gt;33&lt;/RecNum&gt;&lt;IDText&gt;Cervical cytology reading times: A comparison between ThinPrep Imager and conventional methods&lt;/IDText&gt;&lt;MDL Ref_Type="Journal"&gt;&lt;Ref_Type&gt;Journal&lt;/Ref_Type&gt;&lt;Ref_ID&gt;33&lt;/Ref_ID&gt;&lt;Title_Primary&gt;Cervical cytology reading times: A comparison between ThinPrep Imager and conventional methods&lt;/Title_Primary&gt;&lt;Authors_Primary&gt;Davey,E.&lt;/Authors_Primary&gt;&lt;Authors_Primary&gt;Irwig,L.&lt;/Authors_Primary&gt;&lt;Authors_Primary&gt;Macaskill,P.&lt;/Authors_Primary&gt;&lt;Authors_Primary&gt;Chan,S.F.&lt;/Authors_Primary&gt;&lt;Authors_Primary&gt;D&amp;apos;Assuncao,J.&lt;/Authors_Primary&gt;&lt;Authors_Primary&gt;Richards,A.&lt;/Authors_Primary&gt;&lt;Authors_Primary&gt;Farnsworth,A.&lt;/Authors_Primary&gt;&lt;Date_Primary&gt;2007&lt;/Date_Primary&gt;&lt;Keywords&gt;article&lt;/Keywords&gt;&lt;Keywords&gt;controlled study&lt;/Keywords&gt;&lt;Keywords&gt;human&lt;/Keywords&gt;&lt;Keywords&gt;intermethod comparison&lt;/Keywords&gt;&lt;Keywords&gt;laboratory diagnosis&lt;/Keywords&gt;&lt;Keywords&gt;medical practice&lt;/Keywords&gt;&lt;Keywords&gt;priority journal&lt;/Keywords&gt;&lt;Keywords&gt;uterine cervix cytology&lt;/Keywords&gt;&lt;Reprint&gt;In File&lt;/Reprint&gt;&lt;Start_Page&gt;550&lt;/Start_Page&gt;&lt;End_Page&gt;554&lt;/End_Page&gt;&lt;Periodical&gt;Diagnostic Cytopathology&lt;/Periodical&gt;&lt;Volume&gt;35&lt;/Volume&gt;&lt;Issue&gt;9&lt;/Issue&gt;&lt;ISSN_ISBN&gt;8755-1039&lt;/ISSN_ISBN&gt;&lt;Address&gt;Davey, E., Screening and Test Evaluation Program, School of Public Health, University of Sydney, Sydney, NSW 2006,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(Davey et al. 2007b)</w:t>
      </w:r>
      <w:r w:rsidRPr="00537C3C">
        <w:fldChar w:fldCharType="end"/>
      </w:r>
      <w:r w:rsidRPr="00537C3C">
        <w:t xml:space="preserve">. Two studies comparing AutoPap reading of conventional cytology slides to manual reading of conventional slides </w:t>
      </w:r>
      <w:r w:rsidRPr="00537C3C">
        <w:fldChar w:fldCharType="begin"/>
      </w:r>
      <w:r w:rsidRPr="00537C3C">
        <w:instrText xml:space="preserve"> ADDIN REFMGR.CITE &lt;Refman&gt;&lt;Cite&gt;&lt;Author&gt;Confortini&lt;/Author&gt;&lt;Year&gt;2003&lt;/Year&gt;&lt;RecNum&gt;716&lt;/RecNum&gt;&lt;IDText&gt;A feasibility study of the use of the AutoPap screening system as a primary screening and location-guided rescreening device&lt;/IDText&gt;&lt;MDL Ref_Type="Journal"&gt;&lt;Ref_Type&gt;Journal&lt;/Ref_Type&gt;&lt;Ref_ID&gt;716&lt;/Ref_ID&gt;&lt;Title_Primary&gt;A feasibility study of the use of the AutoPap screening system as a primary screening and location-guided rescreening device&lt;/Title_Primary&gt;&lt;Authors_Primary&gt;Confortini,M.&lt;/Authors_Primary&gt;&lt;Authors_Primary&gt;Bonardi,L.&lt;/Authors_Primary&gt;&lt;Authors_Primary&gt;Bulgaresi,P.&lt;/Authors_Primary&gt;&lt;Authors_Primary&gt;Cariaggi,M.P.&lt;/Authors_Primary&gt;&lt;Authors_Primary&gt;Cecchini,S.&lt;/Authors_Primary&gt;&lt;Authors_Primary&gt;Ciatto,S.&lt;/Authors_Primary&gt;&lt;Authors_Primary&gt;Cipparrone,I.&lt;/Authors_Primary&gt;&lt;Authors_Primary&gt;Galanti,L.&lt;/Authors_Primary&gt;&lt;Authors_Primary&gt;Maddau,C.&lt;/Authors_Primary&gt;&lt;Authors_Primary&gt;Matucci,M.&lt;/Authors_Primary&gt;&lt;Authors_Primary&gt;Rubeca,T.&lt;/Authors_Primary&gt;&lt;Authors_Primary&gt;Troni,G.M.&lt;/Authors_Primary&gt;&lt;Authors_Primary&gt;Turco,P.&lt;/Authors_Primary&gt;&lt;Authors_Primary&gt;Zappa,M.&lt;/Authors_Primary&gt;&lt;Authors_Primary&gt;Carozzi,F.&lt;/Authors_Primary&gt;&lt;Date_Primary&gt;2003&lt;/Date_Primary&gt;&lt;Keywords&gt;article&lt;/Keywords&gt;&lt;Keywords&gt;automation&lt;/Keywords&gt;&lt;Keywords&gt;AutoPap 300 QC system&lt;/Keywords&gt;&lt;Keywords&gt;colposcopy&lt;/Keywords&gt;&lt;Keywords&gt;controlled study&lt;/Keywords&gt;&lt;Keywords&gt;cytodiagnosis&lt;/Keywords&gt;&lt;Keywords&gt;cytopathology&lt;/Keywords&gt;&lt;Keywords&gt;device&lt;/Keywords&gt;&lt;Keywords&gt;diagnostic accuracy&lt;/Keywords&gt;&lt;Keywords&gt;female&lt;/Keywords&gt;&lt;Keywords&gt;human&lt;/Keywords&gt;&lt;Keywords&gt;human tissue&lt;/Keywords&gt;&lt;Keywords&gt;major clinical study&lt;/Keywords&gt;&lt;Keywords&gt;Papanicolaou test&lt;/Keywords&gt;&lt;Keywords&gt;priority journal&lt;/Keywords&gt;&lt;Keywords&gt;screening test&lt;/Keywords&gt;&lt;Keywords&gt;uterine cervix carcinoma in situ&lt;/Keywords&gt;&lt;Keywords&gt;uterine cervix cytology&lt;/Keywords&gt;&lt;Keywords&gt;validation process&lt;/Keywords&gt;&lt;Reprint&gt;Not in File&lt;/Reprint&gt;&lt;Start_Page&gt;129&lt;/Start_Page&gt;&lt;End_Page&gt;134&lt;/End_Page&gt;&lt;Periodical&gt;Cancer&lt;/Periodical&gt;&lt;Volume&gt;99&lt;/Volume&gt;&lt;Issue&gt;3&lt;/Issue&gt;&lt;ISSN_ISBN&gt;0008-543X&lt;/ISSN_ISBN&gt;&lt;Address&gt;Confortini, M., Cytology Unit, Ctro. Per Lo Stud. E La Prev. Oncol., 50131 Florence, Italy&lt;/Address&gt;&lt;ZZ_JournalFull&gt;&lt;f name="System"&gt;Cancer&lt;/f&gt;&lt;/ZZ_JournalFull&gt;&lt;ZZ_WorkformID&gt;1&lt;/ZZ_WorkformID&gt;&lt;/MDL&gt;&lt;/Cite&gt;&lt;Cite&gt;&lt;Author&gt;Stevens&lt;/Author&gt;&lt;Year&gt;2004&lt;/Year&gt;&lt;RecNum&gt;521&lt;/RecNum&gt;&lt;IDText&gt;Effectiveness of AutoPap system location-guided screening in the evaluation of cervical cytology smears&lt;/IDText&gt;&lt;MDL Ref_Type="Journal"&gt;&lt;Ref_Type&gt;Journal&lt;/Ref_Type&gt;&lt;Ref_ID&gt;521&lt;/Ref_ID&gt;&lt;Title_Primary&gt;Effectiveness of AutoPap system location-guided screening in the evaluation of cervical cytology smears&lt;/Title_Primary&gt;&lt;Authors_Primary&gt;Stevens,M.W.&lt;/Authors_Primary&gt;&lt;Authors_Primary&gt;Milne,A.J.&lt;/Authors_Primary&gt;&lt;Authors_Primary&gt;Parkinson,I.H.&lt;/Authors_Primary&gt;&lt;Authors_Primary&gt;Nespolon,W.W.&lt;/Authors_Primary&gt;&lt;Authors_Primary&gt;Fazzalari,N.L.&lt;/Authors_Primary&gt;&lt;Authors_Primary&gt;Arora,N.&lt;/Authors_Primary&gt;&lt;Authors_Primary&gt;Dodd,T.J.&lt;/Authors_Primary&gt;&lt;Date_Primary&gt;2004&lt;/Date_Primary&gt;&lt;Keywords&gt;automation&lt;/Keywords&gt;&lt;Keywords&gt;AutoPap&lt;/Keywords&gt;&lt;Keywords&gt;cancer grading&lt;/Keywords&gt;&lt;Keywords&gt;cancer screening&lt;/Keywords&gt;&lt;Keywords&gt;computer assisted diagnosis&lt;/Keywords&gt;&lt;Keywords&gt;controlled study&lt;/Keywords&gt;&lt;Keywords&gt;diagnostic accuracy&lt;/Keywords&gt;&lt;Keywords&gt;female&lt;/Keywords&gt;&lt;Keywords&gt;human&lt;/Keywords&gt;&lt;Keywords&gt;human tissue&lt;/Keywords&gt;&lt;Keywords&gt;Papanicolaou test&lt;/Keywords&gt;&lt;Keywords&gt;priority journal&lt;/Keywords&gt;&lt;Keywords&gt;retrospective study&lt;/Keywords&gt;&lt;Keywords&gt;review&lt;/Keywords&gt;&lt;Keywords&gt;scoring system&lt;/Keywords&gt;&lt;Keywords&gt;tumor localization&lt;/Keywords&gt;&lt;Keywords&gt;uterine cervix cytology&lt;/Keywords&gt;&lt;Reprint&gt;Not in File&lt;/Reprint&gt;&lt;Start_Page&gt;94&lt;/Start_Page&gt;&lt;End_Page&gt;99&lt;/End_Page&gt;&lt;Periodical&gt;Diagnostic Cytopathology&lt;/Periodical&gt;&lt;Volume&gt;31&lt;/Volume&gt;&lt;Issue&gt;2&lt;/Issue&gt;&lt;ISSN_ISBN&gt;8755-1039&lt;/ISSN_ISBN&gt;&lt;Address&gt;Stevens, M.W., Division of Tissue Pathology, Inst. of Med. and Veterinary Science, Rundle Mall, Adelaide, SA 5000,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(Confortini et al. 2003; Stevens et al. 2004)</w:t>
      </w:r>
      <w:r w:rsidRPr="00537C3C">
        <w:fldChar w:fldCharType="end"/>
      </w:r>
      <w:r w:rsidRPr="00537C3C">
        <w:t xml:space="preserve"> relevant to a secondary research question were also included for review. The characteristics and quality of these five studies are summarised in </w:t>
      </w:r>
      <w:r>
        <w:fldChar w:fldCharType="begin"/>
      </w:r>
      <w:r>
        <w:instrText xml:space="preserve"> REF _Ref190595297 \h  \* MERGEFORMAT </w:instrText>
      </w:r>
      <w:r>
        <w:fldChar w:fldCharType="separate"/>
      </w:r>
      <w:r w:rsidR="007D3DFF" w:rsidRPr="00537C3C">
        <w:t xml:space="preserve">Table </w:t>
      </w:r>
      <w:r w:rsidR="007D3DFF">
        <w:t>16</w:t>
      </w:r>
      <w:r>
        <w:fldChar w:fldCharType="end"/>
      </w:r>
      <w:r w:rsidRPr="00537C3C">
        <w:t>.</w:t>
      </w:r>
    </w:p>
    <w:p w:rsidR="00234376" w:rsidRPr="00537C3C" w:rsidRDefault="00234376" w:rsidP="008E03A7">
      <w:r w:rsidRPr="00537C3C">
        <w:t xml:space="preserve">The four studies of accuracy were fair-quality, paired diagnostic accuracy studies. Two studies were conducted in applicable populations </w:t>
      </w:r>
      <w:r w:rsidRPr="00537C3C">
        <w:fldChar w:fldCharType="begin"/>
      </w:r>
      <w:r w:rsidRPr="00537C3C">
        <w:instrText xml:space="preserve"> ADDIN REFMGR.CITE &lt;Refman&gt;&lt;Cite&gt;&lt;Author&gt;Davey&lt;/Author&gt;&lt;Year&gt;2007&lt;/Year&gt;&lt;RecNum&gt;65&lt;/RecNum&gt;&lt;IDText&gt;Accuracy of reading liquid based cytology slides using the ThinPrep Imager compared with conventional cytology: Prospective study&lt;/IDText&gt;&lt;MDL Ref_Type="Journal"&gt;&lt;Ref_Type&gt;Journal&lt;/Ref_Type&gt;&lt;Ref_ID&gt;65&lt;/Ref_ID&gt;&lt;Title_Primary&gt;Accuracy of reading liquid based cytology slides using the ThinPrep Imager compared with conventional cytology: Prospective study&lt;/Title_Primary&gt;&lt;Authors_Primary&gt;Davey,E.&lt;/Authors_Primary&gt;&lt;Authors_Primary&gt;D&amp;apos;Assuncao,J.&lt;/Authors_Primary&gt;&lt;Authors_Primary&gt;Irwig,L.&lt;/Authors_Primary&gt;&lt;Authors_Primary&gt;Macaskill,P.&lt;/Authors_Primary&gt;&lt;Authors_Primary&gt;Chan,S.F.&lt;/Authors_Primary&gt;&lt;Authors_Primary&gt;Richards,A.&lt;/Authors_Primary&gt;&lt;Authors_Primary&gt;Farnsworth,A.&lt;/Authors_Primary&gt;&lt;Date_Primary&gt;2007&lt;/Date_Primary&gt;&lt;Keywords&gt;adult&lt;/Keywords&gt;&lt;Keywords&gt;article&lt;/Keywords&gt;&lt;Keywords&gt;Australia&lt;/Keywords&gt;&lt;Keywords&gt;cancer screening&lt;/Keywords&gt;&lt;Keywords&gt;clinical laboratory&lt;/Keywords&gt;&lt;Keywords&gt;diagnostic accuracy&lt;/Keywords&gt;&lt;Keywords&gt;female&lt;/Keywords&gt;&lt;Keywords&gt;human&lt;/Keywords&gt;&lt;Keywords&gt;human cell&lt;/Keywords&gt;&lt;Keywords&gt;intermethod comparison&lt;/Keywords&gt;&lt;Keywords&gt;liquid based cytology&lt;/Keywords&gt;&lt;Keywords&gt;major clinical study&lt;/Keywords&gt;&lt;Keywords&gt;Papanicolaou test&lt;/Keywords&gt;&lt;Keywords&gt;priority journal&lt;/Keywords&gt;&lt;Keywords&gt;ThinPrep&lt;/Keywords&gt;&lt;Keywords&gt;uterine cervix biopsy&lt;/Keywords&gt;&lt;Keywords&gt;uterine cervix cancer&lt;/Keywords&gt;&lt;Keywords&gt;uterine cervix carcinoma in situ&lt;/Keywords&gt;&lt;Keywords&gt;uterine cervix cytology&lt;/Keywords&gt;&lt;Reprint&gt;In File&lt;/Reprint&gt;&lt;Start_Page&gt;31&lt;/Start_Page&gt;&lt;End_Page&gt;35&lt;/End_Page&gt;&lt;Periodical&gt;British Medical Journal&lt;/Periodical&gt;&lt;Volume&gt;335&lt;/Volume&gt;&lt;Issue&gt;7609&lt;/Issue&gt;&lt;ISSN_ISBN&gt;0959-8146&lt;/ISSN_ISBN&gt;&lt;Address&gt;Davey, E., Screening and Test Evaluation Program, School of Public Health, University of Sydney, Sydney, NSW 2006, Australia&lt;/Address&gt;&lt;ZZ_JournalFull&gt;&lt;f name="System"&gt;British Medical Journal&lt;/f&gt;&lt;/ZZ_JournalFull&gt;&lt;ZZ_JournalStdAbbrev&gt;&lt;f name="System"&gt;Br.Med.J.&lt;/f&gt;&lt;/ZZ_JournalStdAbbrev&gt;&lt;ZZ_WorkformID&gt;1&lt;/ZZ_WorkformID&gt;&lt;/MDL&gt;&lt;/Cite&gt;&lt;Cite&gt;&lt;Author&gt;Confortini&lt;/Author&gt;&lt;Year&gt;2003&lt;/Year&gt;&lt;RecNum&gt;716&lt;/RecNum&gt;&lt;IDText&gt;A feasibility study of the use of the AutoPap screening system as a primary screening and location-guided rescreening device&lt;/IDText&gt;&lt;MDL Ref_Type="Journal"&gt;&lt;Ref_Type&gt;Journal&lt;/Ref_Type&gt;&lt;Ref_ID&gt;716&lt;/Ref_ID&gt;&lt;Title_Primary&gt;A feasibility study of the use of the AutoPap screening system as a primary screening and location-guided rescreening device&lt;/Title_Primary&gt;&lt;Authors_Primary&gt;Confortini,M.&lt;/Authors_Primary&gt;&lt;Authors_Primary&gt;Bonardi,L.&lt;/Authors_Primary&gt;&lt;Authors_Primary&gt;Bulgaresi,P.&lt;/Authors_Primary&gt;&lt;Authors_Primary&gt;Cariaggi,M.P.&lt;/Authors_Primary&gt;&lt;Authors_Primary&gt;Cecchini,S.&lt;/Authors_Primary&gt;&lt;Authors_Primary&gt;Ciatto,S.&lt;/Authors_Primary&gt;&lt;Authors_Primary&gt;Cipparrone,I.&lt;/Authors_Primary&gt;&lt;Authors_Primary&gt;Galanti,L.&lt;/Authors_Primary&gt;&lt;Authors_Primary&gt;Maddau,C.&lt;/Authors_Primary&gt;&lt;Authors_Primary&gt;Matucci,M.&lt;/Authors_Primary&gt;&lt;Authors_Primary&gt;Rubeca,T.&lt;/Authors_Primary&gt;&lt;Authors_Primary&gt;Troni,G.M.&lt;/Authors_Primary&gt;&lt;Authors_Primary&gt;Turco,P.&lt;/Authors_Primary&gt;&lt;Authors_Primary&gt;Zappa,M.&lt;/Authors_Primary&gt;&lt;Authors_Primary&gt;Carozzi,F.&lt;/Authors_Primary&gt;&lt;Date_Primary&gt;2003&lt;/Date_Primary&gt;&lt;Keywords&gt;article&lt;/Keywords&gt;&lt;Keywords&gt;automation&lt;/Keywords&gt;&lt;Keywords&gt;AutoPap 300 QC system&lt;/Keywords&gt;&lt;Keywords&gt;colposcopy&lt;/Keywords&gt;&lt;Keywords&gt;controlled study&lt;/Keywords&gt;&lt;Keywords&gt;cytodiagnosis&lt;/Keywords&gt;&lt;Keywords&gt;cytopathology&lt;/Keywords&gt;&lt;Keywords&gt;device&lt;/Keywords&gt;&lt;Keywords&gt;diagnostic accuracy&lt;/Keywords&gt;&lt;Keywords&gt;female&lt;/Keywords&gt;&lt;Keywords&gt;human&lt;/Keywords&gt;&lt;Keywords&gt;human tissue&lt;/Keywords&gt;&lt;Keywords&gt;major clinical study&lt;/Keywords&gt;&lt;Keywords&gt;Papanicolaou test&lt;/Keywords&gt;&lt;Keywords&gt;priority journal&lt;/Keywords&gt;&lt;Keywords&gt;screening test&lt;/Keywords&gt;&lt;Keywords&gt;uterine cervix carcinoma in situ&lt;/Keywords&gt;&lt;Keywords&gt;uterine cervix cytology&lt;/Keywords&gt;&lt;Keywords&gt;validation process&lt;/Keywords&gt;&lt;Reprint&gt;Not in File&lt;/Reprint&gt;&lt;Start_Page&gt;129&lt;/Start_Page&gt;&lt;End_Page&gt;134&lt;/End_Page&gt;&lt;Periodical&gt;Cancer&lt;/Periodical&gt;&lt;Volume&gt;99&lt;/Volume&gt;&lt;Issue&gt;3&lt;/Issue&gt;&lt;ISSN_ISBN&gt;0008-543X&lt;/ISSN_ISBN&gt;&lt;Address&gt;Confortini, M., Cytology Unit, Ctro. Per Lo Stud. E La Prev. Oncol., 50131 Florence, Italy&lt;/Address&gt;&lt;ZZ_JournalFull&gt;&lt;f name="System"&gt;Cancer&lt;/f&gt;&lt;/ZZ_JournalFull&gt;&lt;ZZ_WorkformID&gt;1&lt;/ZZ_WorkformID&gt;&lt;/MDL&gt;&lt;/Cite&gt;&lt;/Refman&gt;</w:instrText>
      </w:r>
      <w:r w:rsidRPr="00537C3C">
        <w:fldChar w:fldCharType="separate"/>
      </w:r>
      <w:r w:rsidRPr="00537C3C">
        <w:t>(Confortini et al. 2003; Davey et al. 2007a)</w:t>
      </w:r>
      <w:r w:rsidRPr="00537C3C">
        <w:fldChar w:fldCharType="end"/>
      </w:r>
      <w:r w:rsidRPr="00537C3C">
        <w:t xml:space="preserve">; in two studies the applicability of the population was unclear </w:t>
      </w:r>
      <w:r w:rsidRPr="00537C3C">
        <w:fldChar w:fldCharType="begin"/>
      </w:r>
      <w:r w:rsidRPr="00537C3C">
        <w:instrText xml:space="preserve"> ADDIN REFMGR.CITE &lt;Refman&gt;&lt;Cite&gt;&lt;Author&gt;Roberts&lt;/Author&gt;&lt;Year&gt;2007&lt;/Year&gt;&lt;RecNum&gt;107&lt;/RecNum&gt;&lt;IDText&gt;A three-armed trial of the thinprep imaging system&lt;/IDText&gt;&lt;MDL Ref_Type="Journal"&gt;&lt;Ref_Type&gt;Journal&lt;/Ref_Type&gt;&lt;Ref_ID&gt;107&lt;/Ref_ID&gt;&lt;Title_Primary&gt;A three-armed trial of the thinprep imaging system&lt;/Title_Primary&gt;&lt;Authors_Primary&gt;Roberts,J.M.&lt;/Authors_Primary&gt;&lt;Authors_Primary&gt;Thurloe,J.K.&lt;/Authors_Primary&gt;&lt;Authors_Primary&gt;Bowditch,R.C.&lt;/Authors_Primary&gt;&lt;Authors_Primary&gt;Hyne,S.G.&lt;/Authors_Primary&gt;&lt;Authors_Primary&gt;Greenberg,M.&lt;/Authors_Primary&gt;&lt;Authors_Primary&gt;Clarke,J.M.&lt;/Authors_Primary&gt;&lt;Authors_Primary&gt;Biro,C.&lt;/Authors_Primary&gt;&lt;Date_Primary&gt;2007&lt;/Date_Primary&gt;&lt;Keywords&gt;adenocarcinoma&lt;/Keywords&gt;&lt;Keywords&gt;article&lt;/Keywords&gt;&lt;Keywords&gt;cancer cytodiagnosis&lt;/Keywords&gt;&lt;Keywords&gt;controlled study&lt;/Keywords&gt;&lt;Keywords&gt;device&lt;/Keywords&gt;&lt;Keywords&gt;female&lt;/Keywords&gt;&lt;Keywords&gt;human&lt;/Keywords&gt;&lt;Keywords&gt;imaging system&lt;/Keywords&gt;&lt;Keywords&gt;major clinical study&lt;/Keywords&gt;&lt;Keywords&gt;Papanicolaou test&lt;/Keywords&gt;&lt;Keywords&gt;prediction&lt;/Keywords&gt;&lt;Keywords&gt;priority journal&lt;/Keywords&gt;&lt;Keywords&gt;productivity&lt;/Keywords&gt;&lt;Keywords&gt;sensitivity and specificity&lt;/Keywords&gt;&lt;Keywords&gt;ThinPrep Imaging System&lt;/Keywords&gt;&lt;Keywords&gt;uterine cervix carcinoma&lt;/Keywords&gt;&lt;Keywords&gt;uterine cervix carcinoma in situ&lt;/Keywords&gt;&lt;Reprint&gt;In File&lt;/Reprint&gt;&lt;Start_Page&gt;96&lt;/Start_Page&gt;&lt;End_Page&gt;102&lt;/End_Page&gt;&lt;Periodical&gt;Diagnostic Cytopathology&lt;/Periodical&gt;&lt;Volume&gt;35&lt;/Volume&gt;&lt;Issue&gt;2&lt;/Issue&gt;&lt;ISSN_ISBN&gt;8755-1039&lt;/ISSN_ISBN&gt;&lt;Address&gt;Roberts, J.M., Symbion Laverty Pathology, North Ryde, NSW 1670, Australia&lt;/Address&gt;&lt;ZZ_JournalFull&gt;&lt;f name="System"&gt;Diagnostic Cytopathology&lt;/f&gt;&lt;/ZZ_JournalFull&gt;&lt;ZZ_JournalStdAbbrev&gt;&lt;f name="System"&gt;Diagn.Cytopathol.&lt;/f&gt;&lt;/ZZ_JournalStdAbbrev&gt;&lt;ZZ_WorkformID&gt;1&lt;/ZZ_WorkformID&gt;&lt;/MDL&gt;&lt;/Cite&gt;&lt;Cite&gt;&lt;Author&gt;Stevens&lt;/Author&gt;&lt;Year&gt;2004&lt;/Year&gt;&lt;RecNum&gt;521&lt;/RecNum&gt;&lt;IDText&gt;Effectiveness of AutoPap system location-guided screening in the evaluation of cervical cytology smears&lt;/IDText&gt;&lt;MDL Ref_Type="Journal"&gt;&lt;Ref_Type&gt;Journal&lt;/Ref_Type&gt;&lt;Ref_ID&gt;521&lt;/Ref_ID&gt;&lt;Title_Primary&gt;Effectiveness of AutoPap system location-guided screening in the evaluation of cervical cytology smears&lt;/Title_Primary&gt;&lt;Authors_Primary&gt;Stevens,M.W.&lt;/Authors_Primary&gt;&lt;Authors_Primary&gt;Milne,A.J.&lt;/Authors_Primary&gt;&lt;Authors_Primary&gt;Parkinson,I.H.&lt;/Authors_Primary&gt;&lt;Authors_Primary&gt;Nespolon,W.W.&lt;/Authors_Primary&gt;&lt;Authors_Primary&gt;Fazzalari,N.L.&lt;/Authors_Primary&gt;&lt;Authors_Primary&gt;Arora,N.&lt;/Authors_Primary&gt;&lt;Authors_Primary&gt;Dodd,T.J.&lt;/Authors_Primary&gt;&lt;Date_Primary&gt;2004&lt;/Date_Primary&gt;&lt;Keywords&gt;automation&lt;/Keywords&gt;&lt;Keywords&gt;AutoPap&lt;/Keywords&gt;&lt;Keywords&gt;cancer grading&lt;/Keywords&gt;&lt;Keywords&gt;cancer screening&lt;/Keywords&gt;&lt;Keywords&gt;computer assisted diagnosis&lt;/Keywords&gt;&lt;Keywords&gt;controlled study&lt;/Keywords&gt;&lt;Keywords&gt;diagnostic accuracy&lt;/Keywords&gt;&lt;Keywords&gt;female&lt;/Keywords&gt;&lt;Keywords&gt;human&lt;/Keywords&gt;&lt;Keywords&gt;human tissue&lt;/Keywords&gt;&lt;Keywords&gt;Papanicolaou test&lt;/Keywords&gt;&lt;Keywords&gt;priority journal&lt;/Keywords&gt;&lt;Keywords&gt;retrospective study&lt;/Keywords&gt;&lt;Keywords&gt;review&lt;/Keywords&gt;&lt;Keywords&gt;scoring system&lt;/Keywords&gt;&lt;Keywords&gt;tumor localization&lt;/Keywords&gt;&lt;Keywords&gt;uterine cervix cytology&lt;/Keywords&gt;&lt;Reprint&gt;Not in File&lt;/Reprint&gt;&lt;Start_Page&gt;94&lt;/Start_Page&gt;&lt;End_Page&gt;99&lt;/End_Page&gt;&lt;Periodical&gt;Diagnostic Cytopathology&lt;/Periodical&gt;&lt;Volume&gt;31&lt;/Volume&gt;&lt;Issue&gt;2&lt;/Issue&gt;&lt;ISSN_ISBN&gt;8755-1039&lt;/ISSN_ISBN&gt;&lt;Address&gt;Stevens, M.W., Division of Tissue Pathology, Inst. of Med. and Veterinary Science, Rundle Mall, Adelaide, SA 5000,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(Roberts et al. 2007; Stevens et al. 2004)</w:t>
      </w:r>
      <w:r w:rsidRPr="00537C3C">
        <w:fldChar w:fldCharType="end"/>
      </w:r>
      <w:r w:rsidRPr="00537C3C">
        <w:t xml:space="preserve">. In three studies using a reference standard of histology, this was not applied to all of the patients with discordant positive results </w:t>
      </w:r>
      <w:r w:rsidRPr="00537C3C">
        <w:fldChar w:fldCharType="begin"/>
      </w:r>
      <w:r w:rsidRPr="00537C3C">
        <w:instrText xml:space="preserve"> ADDIN REFMGR.CITE &lt;Refman&gt;&lt;Cite&gt;&lt;Author&gt;Davey&lt;/Author&gt;&lt;Year&gt;2007&lt;/Year&gt;&lt;RecNum&gt;65&lt;/RecNum&gt;&lt;IDText&gt;Accuracy of reading liquid based cytology slides using the ThinPrep Imager compared with conventional cytology: Prospective study&lt;/IDText&gt;&lt;MDL Ref_Type="Journal"&gt;&lt;Ref_Type&gt;Journal&lt;/Ref_Type&gt;&lt;Ref_ID&gt;65&lt;/Ref_ID&gt;&lt;Title_Primary&gt;Accuracy of reading liquid based cytology slides using the ThinPrep Imager compared with conventional cytology: Prospective study&lt;/Title_Primary&gt;&lt;Authors_Primary&gt;Davey,E.&lt;/Authors_Primary&gt;&lt;Authors_Primary&gt;D&amp;apos;Assuncao,J.&lt;/Authors_Primary&gt;&lt;Authors_Primary&gt;Irwig,L.&lt;/Authors_Primary&gt;&lt;Authors_Primary&gt;Macaskill,P.&lt;/Authors_Primary&gt;&lt;Authors_Primary&gt;Chan,S.F.&lt;/Authors_Primary&gt;&lt;Authors_Primary&gt;Richards,A.&lt;/Authors_Primary&gt;&lt;Authors_Primary&gt;Farnsworth,A.&lt;/Authors_Primary&gt;&lt;Date_Primary&gt;2007&lt;/Date_Primary&gt;&lt;Keywords&gt;adult&lt;/Keywords&gt;&lt;Keywords&gt;article&lt;/Keywords&gt;&lt;Keywords&gt;Australia&lt;/Keywords&gt;&lt;Keywords&gt;cancer screening&lt;/Keywords&gt;&lt;Keywords&gt;clinical laboratory&lt;/Keywords&gt;&lt;Keywords&gt;diagnostic accuracy&lt;/Keywords&gt;&lt;Keywords&gt;female&lt;/Keywords&gt;&lt;Keywords&gt;human&lt;/Keywords&gt;&lt;Keywords&gt;human cell&lt;/Keywords&gt;&lt;Keywords&gt;intermethod comparison&lt;/Keywords&gt;&lt;Keywords&gt;liquid based cytology&lt;/Keywords&gt;&lt;Keywords&gt;major clinical study&lt;/Keywords&gt;&lt;Keywords&gt;Papanicolaou test&lt;/Keywords&gt;&lt;Keywords&gt;priority journal&lt;/Keywords&gt;&lt;Keywords&gt;ThinPrep&lt;/Keywords&gt;&lt;Keywords&gt;uterine cervix biopsy&lt;/Keywords&gt;&lt;Keywords&gt;uterine cervix cancer&lt;/Keywords&gt;&lt;Keywords&gt;uterine cervix carcinoma in situ&lt;/Keywords&gt;&lt;Keywords&gt;uterine cervix cytology&lt;/Keywords&gt;&lt;Reprint&gt;In File&lt;/Reprint&gt;&lt;Start_Page&gt;31&lt;/Start_Page&gt;&lt;End_Page&gt;35&lt;/End_Page&gt;&lt;Periodical&gt;British Medical Journal&lt;/Periodical&gt;&lt;Volume&gt;335&lt;/Volume&gt;&lt;Issue&gt;7609&lt;/Issue&gt;&lt;ISSN_ISBN&gt;0959-8146&lt;/ISSN_ISBN&gt;&lt;Address&gt;Davey, E., Screening and Test Evaluation Program, School of Public Health, University of Sydney, Sydney, NSW 2006, Australia&lt;/Address&gt;&lt;ZZ_JournalFull&gt;&lt;f name="System"&gt;British Medical Journal&lt;/f&gt;&lt;/ZZ_JournalFull&gt;&lt;ZZ_JournalStdAbbrev&gt;&lt;f name="System"&gt;Br.Med.J.&lt;/f&gt;&lt;/ZZ_JournalStdAbbrev&gt;&lt;ZZ_WorkformID&gt;1&lt;/ZZ_WorkformID&gt;&lt;/MDL&gt;&lt;/Cite&gt;&lt;Cite&gt;&lt;Author&gt;Confortini&lt;/Author&gt;&lt;Year&gt;2003&lt;/Year&gt;&lt;RecNum&gt;716&lt;/RecNum&gt;&lt;IDText&gt;A feasibility study of the use of the AutoPap screening system as a primary screening and location-guided rescreening device&lt;/IDText&gt;&lt;MDL Ref_Type="Journal"&gt;&lt;Ref_Type&gt;Journal&lt;/Ref_Type&gt;&lt;Ref_ID&gt;716&lt;/Ref_ID&gt;&lt;Title_Primary&gt;A feasibility study of the use of the AutoPap screening system as a primary screening and location-guided rescreening device&lt;/Title_Primary&gt;&lt;Authors_Primary&gt;Confortini,M.&lt;/Authors_Primary&gt;&lt;Authors_Primary&gt;Bonardi,L.&lt;/Authors_Primary&gt;&lt;Authors_Primary&gt;Bulgaresi,P.&lt;/Authors_Primary&gt;&lt;Authors_Primary&gt;Cariaggi,M.P.&lt;/Authors_Primary&gt;&lt;Authors_Primary&gt;Cecchini,S.&lt;/Authors_Primary&gt;&lt;Authors_Primary&gt;Ciatto,S.&lt;/Authors_Primary&gt;&lt;Authors_Primary&gt;Cipparrone,I.&lt;/Authors_Primary&gt;&lt;Authors_Primary&gt;Galanti,L.&lt;/Authors_Primary&gt;&lt;Authors_Primary&gt;Maddau,C.&lt;/Authors_Primary&gt;&lt;Authors_Primary&gt;Matucci,M.&lt;/Authors_Primary&gt;&lt;Authors_Primary&gt;Rubeca,T.&lt;/Authors_Primary&gt;&lt;Authors_Primary&gt;Troni,G.M.&lt;/Authors_Primary&gt;&lt;Authors_Primary&gt;Turco,P.&lt;/Authors_Primary&gt;&lt;Authors_Primary&gt;Zappa,M.&lt;/Authors_Primary&gt;&lt;Authors_Primary&gt;Carozzi,F.&lt;/Authors_Primary&gt;&lt;Date_Primary&gt;2003&lt;/Date_Primary&gt;&lt;Keywords&gt;article&lt;/Keywords&gt;&lt;Keywords&gt;automation&lt;/Keywords&gt;&lt;Keywords&gt;AutoPap 300 QC system&lt;/Keywords&gt;&lt;Keywords&gt;colposcopy&lt;/Keywords&gt;&lt;Keywords&gt;controlled study&lt;/Keywords&gt;&lt;Keywords&gt;cytodiagnosis&lt;/Keywords&gt;&lt;Keywords&gt;cytopathology&lt;/Keywords&gt;&lt;Keywords&gt;device&lt;/Keywords&gt;&lt;Keywords&gt;diagnostic accuracy&lt;/Keywords&gt;&lt;Keywords&gt;female&lt;/Keywords&gt;&lt;Keywords&gt;human&lt;/Keywords&gt;&lt;Keywords&gt;human tissue&lt;/Keywords&gt;&lt;Keywords&gt;major clinical study&lt;/Keywords&gt;&lt;Keywords&gt;Papanicolaou test&lt;/Keywords&gt;&lt;Keywords&gt;priority journal&lt;/Keywords&gt;&lt;Keywords&gt;screening test&lt;/Keywords&gt;&lt;Keywords&gt;uterine cervix carcinoma in situ&lt;/Keywords&gt;&lt;Keywords&gt;uterine cervix cytology&lt;/Keywords&gt;&lt;Keywords&gt;validation process&lt;/Keywords&gt;&lt;Reprint&gt;Not in File&lt;/Reprint&gt;&lt;Start_Page&gt;129&lt;/Start_Page&gt;&lt;End_Page&gt;134&lt;/End_Page&gt;&lt;Periodical&gt;Cancer&lt;/Periodical&gt;&lt;Volume&gt;99&lt;/Volume&gt;&lt;Issue&gt;3&lt;/Issue&gt;&lt;ISSN_ISBN&gt;0008-543X&lt;/ISSN_ISBN&gt;&lt;Address&gt;Confortini, M., Cytology Unit, Ctro. Per Lo Stud. E La Prev. Oncol., 50131 Florence, Italy&lt;/Address&gt;&lt;ZZ_JournalFull&gt;&lt;f name="System"&gt;Cancer&lt;/f&gt;&lt;/ZZ_JournalFull&gt;&lt;ZZ_WorkformID&gt;1&lt;/ZZ_WorkformID&gt;&lt;/MDL&gt;&lt;/Cite&gt;&lt;Cite&gt;&lt;Author&gt;Roberts&lt;/Author&gt;&lt;Year&gt;2007&lt;/Year&gt;&lt;RecNum&gt;107&lt;/RecNum&gt;&lt;IDText&gt;A three-armed trial of the thinprep imaging system&lt;/IDText&gt;&lt;MDL Ref_Type="Journal"&gt;&lt;Ref_Type&gt;Journal&lt;/Ref_Type&gt;&lt;Ref_ID&gt;107&lt;/Ref_ID&gt;&lt;Title_Primary&gt;A three-armed trial of the thinprep imaging system&lt;/Title_Primary&gt;&lt;Authors_Primary&gt;Roberts,J.M.&lt;/Authors_Primary&gt;&lt;Authors_Primary&gt;Thurloe,J.K.&lt;/Authors_Primary&gt;&lt;Authors_Primary&gt;Bowditch,R.C.&lt;/Authors_Primary&gt;&lt;Authors_Primary&gt;Hyne,S.G.&lt;/Authors_Primary&gt;&lt;Authors_Primary&gt;Greenberg,M.&lt;/Authors_Primary&gt;&lt;Authors_Primary&gt;Clarke,J.M.&lt;/Authors_Primary&gt;&lt;Authors_Primary&gt;Biro,C.&lt;/Authors_Primary&gt;&lt;Date_Primary&gt;2007&lt;/Date_Primary&gt;&lt;Keywords&gt;adenocarcinoma&lt;/Keywords&gt;&lt;Keywords&gt;article&lt;/Keywords&gt;&lt;Keywords&gt;cancer cytodiagnosis&lt;/Keywords&gt;&lt;Keywords&gt;controlled study&lt;/Keywords&gt;&lt;Keywords&gt;device&lt;/Keywords&gt;&lt;Keywords&gt;female&lt;/Keywords&gt;&lt;Keywords&gt;human&lt;/Keywords&gt;&lt;Keywords&gt;imaging system&lt;/Keywords&gt;&lt;Keywords&gt;major clinical study&lt;/Keywords&gt;&lt;Keywords&gt;Papanicolaou test&lt;/Keywords&gt;&lt;Keywords&gt;prediction&lt;/Keywords&gt;&lt;Keywords&gt;priority journal&lt;/Keywords&gt;&lt;Keywords&gt;productivity&lt;/Keywords&gt;&lt;Keywords&gt;sensitivity and specificity&lt;/Keywords&gt;&lt;Keywords&gt;ThinPrep Imaging System&lt;/Keywords&gt;&lt;Keywords&gt;uterine cervix carcinoma&lt;/Keywords&gt;&lt;Keywords&gt;uterine cervix carcinoma in situ&lt;/Keywords&gt;&lt;Reprint&gt;In File&lt;/Reprint&gt;&lt;Start_Page&gt;96&lt;/Start_Page&gt;&lt;End_Page&gt;102&lt;/End_Page&gt;&lt;Periodical&gt;Diagnostic Cytopathology&lt;/Periodical&gt;&lt;Volume&gt;35&lt;/Volume&gt;&lt;Issue&gt;2&lt;/Issue&gt;&lt;ISSN_ISBN&gt;8755-1039&lt;/ISSN_ISBN&gt;&lt;Address&gt;Roberts, J.M., Symbion Laverty Pathology, North Ryde, NSW 1670,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(Confortini et al. 2003; Davey et al. 2007a; Roberts et al. 2007)</w:t>
      </w:r>
      <w:r w:rsidRPr="00537C3C">
        <w:fldChar w:fldCharType="end"/>
      </w:r>
      <w:r w:rsidRPr="00537C3C">
        <w:t xml:space="preserve">. In the fourth study a suboptimal reference standard of adjudicated cytology was used </w:t>
      </w:r>
      <w:r w:rsidRPr="00537C3C">
        <w:fldChar w:fldCharType="begin"/>
      </w:r>
      <w:r w:rsidRPr="00537C3C">
        <w:instrText xml:space="preserve"> ADDIN REFMGR.CITE &lt;Refman&gt;&lt;Cite&gt;&lt;Author&gt;Stevens&lt;/Author&gt;&lt;Year&gt;2004&lt;/Year&gt;&lt;RecNum&gt;521&lt;/RecNum&gt;&lt;IDText&gt;Effectiveness of AutoPap system location-guided screening in the evaluation of cervical cytology smears&lt;/IDText&gt;&lt;MDL Ref_Type="Journal"&gt;&lt;Ref_Type&gt;Journal&lt;/Ref_Type&gt;&lt;Ref_ID&gt;521&lt;/Ref_ID&gt;&lt;Title_Primary&gt;Effectiveness of AutoPap system location-guided screening in the evaluation of cervical cytology smears&lt;/Title_Primary&gt;&lt;Authors_Primary&gt;Stevens,M.W.&lt;/Authors_Primary&gt;&lt;Authors_Primary&gt;Milne,A.J.&lt;/Authors_Primary&gt;&lt;Authors_Primary&gt;Parkinson,I.H.&lt;/Authors_Primary&gt;&lt;Authors_Primary&gt;Nespolon,W.W.&lt;/Authors_Primary&gt;&lt;Authors_Primary&gt;Fazzalari,N.L.&lt;/Authors_Primary&gt;&lt;Authors_Primary&gt;Arora,N.&lt;/Authors_Primary&gt;&lt;Authors_Primary&gt;Dodd,T.J.&lt;/Authors_Primary&gt;&lt;Date_Primary&gt;2004&lt;/Date_Primary&gt;&lt;Keywords&gt;automation&lt;/Keywords&gt;&lt;Keywords&gt;AutoPap&lt;/Keywords&gt;&lt;Keywords&gt;cancer grading&lt;/Keywords&gt;&lt;Keywords&gt;cancer screening&lt;/Keywords&gt;&lt;Keywords&gt;computer assisted diagnosis&lt;/Keywords&gt;&lt;Keywords&gt;controlled study&lt;/Keywords&gt;&lt;Keywords&gt;diagnostic accuracy&lt;/Keywords&gt;&lt;Keywords&gt;female&lt;/Keywords&gt;&lt;Keywords&gt;human&lt;/Keywords&gt;&lt;Keywords&gt;human tissue&lt;/Keywords&gt;&lt;Keywords&gt;Papanicolaou test&lt;/Keywords&gt;&lt;Keywords&gt;priority journal&lt;/Keywords&gt;&lt;Keywords&gt;retrospective study&lt;/Keywords&gt;&lt;Keywords&gt;review&lt;/Keywords&gt;&lt;Keywords&gt;scoring system&lt;/Keywords&gt;&lt;Keywords&gt;tumor localization&lt;/Keywords&gt;&lt;Keywords&gt;uterine cervix cytology&lt;/Keywords&gt;&lt;Reprint&gt;Not in File&lt;/Reprint&gt;&lt;Start_Page&gt;94&lt;/Start_Page&gt;&lt;End_Page&gt;99&lt;/End_Page&gt;&lt;Periodical&gt;Diagnostic Cytopathology&lt;/Periodical&gt;&lt;Volume&gt;31&lt;/Volume&gt;&lt;Issue&gt;2&lt;/Issue&gt;&lt;ISSN_ISBN&gt;8755-1039&lt;/ISSN_ISBN&gt;&lt;Address&gt;Stevens, M.W., Division of Tissue Pathology, Inst. of Med. and Veterinary Science, Rundle Mall, Adelaide, SA 5000,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(Stevens et al. 2004)</w:t>
      </w:r>
      <w:r w:rsidRPr="00537C3C">
        <w:fldChar w:fldCharType="end"/>
      </w:r>
      <w:r w:rsidRPr="00537C3C">
        <w:t xml:space="preserve">. The two studies of the ThinPrep Imager system </w:t>
      </w:r>
      <w:r w:rsidRPr="00537C3C">
        <w:fldChar w:fldCharType="begin"/>
      </w:r>
      <w:r w:rsidRPr="00537C3C">
        <w:instrText xml:space="preserve"> ADDIN REFMGR.CITE &lt;Refman&gt;&lt;Cite&gt;&lt;Author&gt;Davey&lt;/Author&gt;&lt;Year&gt;2007&lt;/Year&gt;&lt;RecNum&gt;65&lt;/RecNum&gt;&lt;IDText&gt;Accuracy of reading liquid based cytology slides using the ThinPrep Imager compared with conventional cytology: Prospective study&lt;/IDText&gt;&lt;MDL Ref_Type="Journal"&gt;&lt;Ref_Type&gt;Journal&lt;/Ref_Type&gt;&lt;Ref_ID&gt;65&lt;/Ref_ID&gt;&lt;Title_Primary&gt;Accuracy of reading liquid based cytology slides using the ThinPrep Imager compared with conventional cytology: Prospective study&lt;/Title_Primary&gt;&lt;Authors_Primary&gt;Davey,E.&lt;/Authors_Primary&gt;&lt;Authors_Primary&gt;D&amp;apos;Assuncao,J.&lt;/Authors_Primary&gt;&lt;Authors_Primary&gt;Irwig,L.&lt;/Authors_Primary&gt;&lt;Authors_Primary&gt;Macaskill,P.&lt;/Authors_Primary&gt;&lt;Authors_Primary&gt;Chan,S.F.&lt;/Authors_Primary&gt;&lt;Authors_Primary&gt;Richards,A.&lt;/Authors_Primary&gt;&lt;Authors_Primary&gt;Farnsworth,A.&lt;/Authors_Primary&gt;&lt;Date_Primary&gt;2007&lt;/Date_Primary&gt;&lt;Keywords&gt;adult&lt;/Keywords&gt;&lt;Keywords&gt;article&lt;/Keywords&gt;&lt;Keywords&gt;Australia&lt;/Keywords&gt;&lt;Keywords&gt;cancer screening&lt;/Keywords&gt;&lt;Keywords&gt;clinical laboratory&lt;/Keywords&gt;&lt;Keywords&gt;diagnostic accuracy&lt;/Keywords&gt;&lt;Keywords&gt;female&lt;/Keywords&gt;&lt;Keywords&gt;human&lt;/Keywords&gt;&lt;Keywords&gt;human cell&lt;/Keywords&gt;&lt;Keywords&gt;intermethod comparison&lt;/Keywords&gt;&lt;Keywords&gt;liquid based cytology&lt;/Keywords&gt;&lt;Keywords&gt;major clinical study&lt;/Keywords&gt;&lt;Keywords&gt;Papanicolaou test&lt;/Keywords&gt;&lt;Keywords&gt;priority journal&lt;/Keywords&gt;&lt;Keywords&gt;ThinPrep&lt;/Keywords&gt;&lt;Keywords&gt;uterine cervix biopsy&lt;/Keywords&gt;&lt;Keywords&gt;uterine cervix cancer&lt;/Keywords&gt;&lt;Keywords&gt;uterine cervix carcinoma in situ&lt;/Keywords&gt;&lt;Keywords&gt;uterine cervix cytology&lt;/Keywords&gt;&lt;Reprint&gt;In File&lt;/Reprint&gt;&lt;Start_Page&gt;31&lt;/Start_Page&gt;&lt;End_Page&gt;35&lt;/End_Page&gt;&lt;Periodical&gt;British Medical Journal&lt;/Periodical&gt;&lt;Volume&gt;335&lt;/Volume&gt;&lt;Issue&gt;7609&lt;/Issue&gt;&lt;ISSN_ISBN&gt;0959-8146&lt;/ISSN_ISBN&gt;&lt;Address&gt;Davey, E., Screening and Test Evaluation Program, School of Public Health, University of Sydney, Sydney, NSW 2006, Australia&lt;/Address&gt;&lt;ZZ_JournalFull&gt;&lt;f name="System"&gt;British Medical Journal&lt;/f&gt;&lt;/ZZ_JournalFull&gt;&lt;ZZ_JournalStdAbbrev&gt;&lt;f name="System"&gt;Br.Med.J.&lt;/f&gt;&lt;/ZZ_JournalStdAbbrev&gt;&lt;ZZ_WorkformID&gt;1&lt;/ZZ_WorkformID&gt;&lt;/MDL&gt;&lt;/Cite&gt;&lt;Cite&gt;&lt;Author&gt;Roberts&lt;/Author&gt;&lt;Year&gt;2007&lt;/Year&gt;&lt;RecNum&gt;107&lt;/RecNum&gt;&lt;IDText&gt;A three-armed trial of the thinprep imaging system&lt;/IDText&gt;&lt;MDL Ref_Type="Journal"&gt;&lt;Ref_Type&gt;Journal&lt;/Ref_Type&gt;&lt;Ref_ID&gt;107&lt;/Ref_ID&gt;&lt;Title_Primary&gt;A three-armed trial of the thinprep imaging system&lt;/Title_Primary&gt;&lt;Authors_Primary&gt;Roberts,J.M.&lt;/Authors_Primary&gt;&lt;Authors_Primary&gt;Thurloe,J.K.&lt;/Authors_Primary&gt;&lt;Authors_Primary&gt;Bowditch,R.C.&lt;/Authors_Primary&gt;&lt;Authors_Primary&gt;Hyne,S.G.&lt;/Authors_Primary&gt;&lt;Authors_Primary&gt;Greenberg,M.&lt;/Authors_Primary&gt;&lt;Authors_Primary&gt;Clarke,J.M.&lt;/Authors_Primary&gt;&lt;Authors_Primary&gt;Biro,C.&lt;/Authors_Primary&gt;&lt;Date_Primary&gt;2007&lt;/Date_Primary&gt;&lt;Keywords&gt;adenocarcinoma&lt;/Keywords&gt;&lt;Keywords&gt;article&lt;/Keywords&gt;&lt;Keywords&gt;cancer cytodiagnosis&lt;/Keywords&gt;&lt;Keywords&gt;controlled study&lt;/Keywords&gt;&lt;Keywords&gt;device&lt;/Keywords&gt;&lt;Keywords&gt;female&lt;/Keywords&gt;&lt;Keywords&gt;human&lt;/Keywords&gt;&lt;Keywords&gt;imaging system&lt;/Keywords&gt;&lt;Keywords&gt;major clinical study&lt;/Keywords&gt;&lt;Keywords&gt;Papanicolaou test&lt;/Keywords&gt;&lt;Keywords&gt;prediction&lt;/Keywords&gt;&lt;Keywords&gt;priority journal&lt;/Keywords&gt;&lt;Keywords&gt;productivity&lt;/Keywords&gt;&lt;Keywords&gt;sensitivity and specificity&lt;/Keywords&gt;&lt;Keywords&gt;ThinPrep Imaging System&lt;/Keywords&gt;&lt;Keywords&gt;uterine cervix carcinoma&lt;/Keywords&gt;&lt;Keywords&gt;uterine cervix carcinoma in situ&lt;/Keywords&gt;&lt;Reprint&gt;In File&lt;/Reprint&gt;&lt;Start_Page&gt;96&lt;/Start_Page&gt;&lt;End_Page&gt;102&lt;/End_Page&gt;&lt;Periodical&gt;Diagnostic Cytopathology&lt;/Periodical&gt;&lt;Volume&gt;35&lt;/Volume&gt;&lt;Issue&gt;2&lt;/Issue&gt;&lt;ISSN_ISBN&gt;8755-1039&lt;/ISSN_ISBN&gt;&lt;Address&gt;Roberts, J.M., Symbion Laverty Pathology, North Ryde, NSW 1670,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(Davey et al. 2007a; Roberts et al. 2007)</w:t>
      </w:r>
      <w:r w:rsidRPr="00537C3C">
        <w:fldChar w:fldCharType="end"/>
      </w:r>
      <w:r w:rsidRPr="00537C3C">
        <w:t xml:space="preserve"> were conducted in an Australian setting.</w:t>
      </w:r>
    </w:p>
    <w:p w:rsidR="00234376" w:rsidRPr="00537C3C" w:rsidRDefault="00234376" w:rsidP="008E03A7">
      <w:r w:rsidRPr="00537C3C">
        <w:t xml:space="preserve">The study of ThinPrep Imager reading by Davey et al. </w:t>
      </w:r>
      <w:r w:rsidRPr="00537C3C">
        <w:fldChar w:fldCharType="begin"/>
      </w:r>
      <w:r w:rsidRPr="00537C3C">
        <w:instrText xml:space="preserve"> ADDIN REFMGR.CITE &lt;Refman&gt;&lt;Cite ExcludeAuth="1"&gt;&lt;Author&gt;Davey&lt;/Author&gt;&lt;Year&gt;2007&lt;/Year&gt;&lt;RecNum&gt;65&lt;/RecNum&gt;&lt;IDText&gt;Accuracy of reading liquid based cytology slides using the ThinPrep Imager compared with conventional cytology: Prospective study&lt;/IDText&gt;&lt;MDL Ref_Type="Journal"&gt;&lt;Ref_Type&gt;Journal&lt;/Ref_Type&gt;&lt;Ref_ID&gt;65&lt;/Ref_ID&gt;&lt;Title_Primary&gt;Accuracy of reading liquid based cytology slides using the ThinPrep Imager compared with conventional cytology: Prospective study&lt;/Title_Primary&gt;&lt;Authors_Primary&gt;Davey,E.&lt;/Authors_Primary&gt;&lt;Authors_Primary&gt;D&amp;apos;Assuncao,J.&lt;/Authors_Primary&gt;&lt;Authors_Primary&gt;Irwig,L.&lt;/Authors_Primary&gt;&lt;Authors_Primary&gt;Macaskill,P.&lt;/Authors_Primary&gt;&lt;Authors_Primary&gt;Chan,S.F.&lt;/Authors_Primary&gt;&lt;Authors_Primary&gt;Richards,A.&lt;/Authors_Primary&gt;&lt;Authors_Primary&gt;Farnsworth,A.&lt;/Authors_Primary&gt;&lt;Date_Primary&gt;2007&lt;/Date_Primary&gt;&lt;Keywords&gt;adult&lt;/Keywords&gt;&lt;Keywords&gt;article&lt;/Keywords&gt;&lt;Keywords&gt;Australia&lt;/Keywords&gt;&lt;Keywords&gt;cancer screening&lt;/Keywords&gt;&lt;Keywords&gt;clinical laboratory&lt;/Keywords&gt;&lt;Keywords&gt;diagnostic accuracy&lt;/Keywords&gt;&lt;Keywords&gt;female&lt;/Keywords&gt;&lt;Keywords&gt;human&lt;/Keywords&gt;&lt;Keywords&gt;human cell&lt;/Keywords&gt;&lt;Keywords&gt;intermethod comparison&lt;/Keywords&gt;&lt;Keywords&gt;liquid based cytology&lt;/Keywords&gt;&lt;Keywords&gt;major clinical study&lt;/Keywords&gt;&lt;Keywords&gt;Papanicolaou test&lt;/Keywords&gt;&lt;Keywords&gt;priority journal&lt;/Keywords&gt;&lt;Keywords&gt;ThinPrep&lt;/Keywords&gt;&lt;Keywords&gt;uterine cervix biopsy&lt;/Keywords&gt;&lt;Keywords&gt;uterine cervix cancer&lt;/Keywords&gt;&lt;Keywords&gt;uterine cervix carcinoma in situ&lt;/Keywords&gt;&lt;Keywords&gt;uterine cervix cytology&lt;/Keywords&gt;&lt;Reprint&gt;In File&lt;/Reprint&gt;&lt;Start_Page&gt;31&lt;/Start_Page&gt;&lt;End_Page&gt;35&lt;/End_Page&gt;&lt;Periodical&gt;British Medical Journal&lt;/Periodical&gt;&lt;Volume&gt;335&lt;/Volume&gt;&lt;Issue&gt;7609&lt;/Issue&gt;&lt;ISSN_ISBN&gt;0959-8146&lt;/ISSN_ISBN&gt;&lt;Address&gt;Davey, E., Screening and Test Evaluation Program, School of Public Health, University of Sydney, Sydney, NSW 2006, Australia&lt;/Address&gt;&lt;ZZ_JournalFull&gt;&lt;f name="System"&gt;British Medical Journal&lt;/f&gt;&lt;/ZZ_JournalFull&gt;&lt;ZZ_JournalStdAbbrev&gt;&lt;f name="System"&gt;Br.Med.J.&lt;/f&gt;&lt;/ZZ_JournalStdAbbrev&gt;&lt;ZZ_WorkformID&gt;1&lt;/ZZ_WorkformID&gt;&lt;/MDL&gt;&lt;/Cite&gt;&lt;/Refman&gt;</w:instrText>
      </w:r>
      <w:r w:rsidRPr="00537C3C">
        <w:fldChar w:fldCharType="separate"/>
      </w:r>
      <w:r w:rsidRPr="00537C3C">
        <w:t>(2007a)</w:t>
      </w:r>
      <w:r w:rsidRPr="00537C3C">
        <w:fldChar w:fldCharType="end"/>
      </w:r>
      <w:r w:rsidRPr="00537C3C">
        <w:t xml:space="preserve"> was conducted in a mixed screening and diagnostic population. The study reported results according to three different reference standards of histology obtained up to 6 months following the test. These were a) the histological result from the Pap test register, b) blinded re-reading of the histology slides, and c) the more severe of these two results. No reference standard was available for 30 per cent of discordant samples. However, the proportion of discordant cases with histology results available did not differ between the two tests (</w:t>
      </w:r>
      <w:r w:rsidRPr="00537C3C">
        <w:rPr>
          <w:szCs w:val="24"/>
        </w:rPr>
        <w:sym w:font="Symbol" w:char="F063"/>
      </w:r>
      <w:r w:rsidRPr="00537C3C">
        <w:rPr>
          <w:vertAlign w:val="superscript"/>
        </w:rPr>
        <w:t>2</w:t>
      </w:r>
      <w:r w:rsidRPr="00537C3C">
        <w:t xml:space="preserve"> = 0.50, 1 df, </w:t>
      </w:r>
      <w:r w:rsidRPr="0030078D">
        <w:rPr>
          <w:i/>
        </w:rPr>
        <w:t>P</w:t>
      </w:r>
      <w:r w:rsidRPr="00537C3C">
        <w:t xml:space="preserve"> = 0.48). The authors also reported no significant association between which test gave the higher result and the odds of verification among discordant test pairs using logistic regression (</w:t>
      </w:r>
      <w:r w:rsidRPr="00F91C6A">
        <w:t>χ2</w:t>
      </w:r>
      <w:r w:rsidRPr="00537C3C">
        <w:t xml:space="preserve"> = 0.34, 1df, </w:t>
      </w:r>
      <w:r w:rsidRPr="00F91C6A">
        <w:t>P</w:t>
      </w:r>
      <w:r w:rsidRPr="00537C3C">
        <w:t xml:space="preserve"> = 0.56). There was no evidence that the odds of verification varied across categories of discordant tests either (</w:t>
      </w:r>
      <w:r w:rsidRPr="00F91C6A">
        <w:sym w:font="Symbol" w:char="F063"/>
      </w:r>
      <w:r w:rsidRPr="00F91C6A">
        <w:t>2</w:t>
      </w:r>
      <w:r w:rsidRPr="00537C3C">
        <w:t xml:space="preserve"> = 3.7, 10df, </w:t>
      </w:r>
      <w:r w:rsidRPr="00F91C6A">
        <w:t>P</w:t>
      </w:r>
      <w:r w:rsidRPr="00537C3C">
        <w:t xml:space="preserve"> = 0.96). A similar analysis for glandular classifications was not reported. The study reported the number of additional cases detected and biopsies conducted using a </w:t>
      </w:r>
      <w:r w:rsidRPr="00BB76D8">
        <w:t>CIN</w:t>
      </w:r>
      <w:r w:rsidRPr="00537C3C">
        <w:t xml:space="preserve"> 1 test threshold. A complete contingency table for results of both tests and the Pap test register biopsy results as the reference standard was also provided as an appendix. The reviewers calculated accuracy outcomes at different test thresholds from the data in this appendix. The authors state that at the time the study was conducted, guidelines recommended referral of women with </w:t>
      </w:r>
      <w:r w:rsidRPr="00BB76D8">
        <w:t>CIN</w:t>
      </w:r>
      <w:r w:rsidRPr="00537C3C">
        <w:t xml:space="preserve"> 1 or higher lesions to colposcopy.</w:t>
      </w:r>
    </w:p>
    <w:p w:rsidR="00234376" w:rsidRPr="00537C3C" w:rsidRDefault="00234376" w:rsidP="008E03A7">
      <w:r w:rsidRPr="00537C3C">
        <w:t xml:space="preserve">A second publication by Davey et al. </w:t>
      </w:r>
      <w:r w:rsidRPr="00537C3C">
        <w:fldChar w:fldCharType="begin"/>
      </w:r>
      <w:r w:rsidRPr="00537C3C">
        <w:instrText xml:space="preserve"> ADDIN REFMGR.CITE &lt;Refman&gt;&lt;Cite ExcludeAuth="1"&gt;&lt;Author&gt;Davey&lt;/Author&gt;&lt;Year&gt;2007&lt;/Year&gt;&lt;RecNum&gt;33&lt;/RecNum&gt;&lt;IDText&gt;Cervical cytology reading times: A comparison between ThinPrep Imager and conventional methods&lt;/IDText&gt;&lt;MDL Ref_Type="Journal"&gt;&lt;Ref_Type&gt;Journal&lt;/Ref_Type&gt;&lt;Ref_ID&gt;33&lt;/Ref_ID&gt;&lt;Title_Primary&gt;Cervical cytology reading times: A comparison between ThinPrep Imager and conventional methods&lt;/Title_Primary&gt;&lt;Authors_Primary&gt;Davey,E.&lt;/Authors_Primary&gt;&lt;Authors_Primary&gt;Irwig,L.&lt;/Authors_Primary&gt;&lt;Authors_Primary&gt;Macaskill,P.&lt;/Authors_Primary&gt;&lt;Authors_Primary&gt;Chan,S.F.&lt;/Authors_Primary&gt;&lt;Authors_Primary&gt;D&amp;apos;Assuncao,J.&lt;/Authors_Primary&gt;&lt;Authors_Primary&gt;Richards,A.&lt;/Authors_Primary&gt;&lt;Authors_Primary&gt;Farnsworth,A.&lt;/Authors_Primary&gt;&lt;Date_Primary&gt;2007&lt;/Date_Primary&gt;&lt;Keywords&gt;article&lt;/Keywords&gt;&lt;Keywords&gt;controlled study&lt;/Keywords&gt;&lt;Keywords&gt;human&lt;/Keywords&gt;&lt;Keywords&gt;intermethod comparison&lt;/Keywords&gt;&lt;Keywords&gt;laboratory diagnosis&lt;/Keywords&gt;&lt;Keywords&gt;medical practice&lt;/Keywords&gt;&lt;Keywords&gt;priority journal&lt;/Keywords&gt;&lt;Keywords&gt;uterine cervix cytology&lt;/Keywords&gt;&lt;Reprint&gt;In File&lt;/Reprint&gt;&lt;Start_Page&gt;550&lt;/Start_Page&gt;&lt;End_Page&gt;554&lt;/End_Page&gt;&lt;Periodical&gt;Diagnostic Cytopathology&lt;/Periodical&gt;&lt;Volume&gt;35&lt;/Volume&gt;&lt;Issue&gt;9&lt;/Issue&gt;&lt;ISSN_ISBN&gt;8755-1039&lt;/ISSN_ISBN&gt;&lt;Address&gt;Davey, E., Screening and Test Evaluation Program, School of Public Health, University of Sydney, Sydney, NSW 2006,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(2007b)</w:t>
      </w:r>
      <w:r w:rsidRPr="00537C3C">
        <w:fldChar w:fldCharType="end"/>
      </w:r>
      <w:r w:rsidRPr="00537C3C">
        <w:t xml:space="preserve"> compared slide reading times for ThinPrep Imager-reading </w:t>
      </w:r>
      <w:r w:rsidRPr="00BB76D8">
        <w:t>LBC</w:t>
      </w:r>
      <w:r w:rsidRPr="00537C3C">
        <w:t xml:space="preserve"> slides versus conventional cytology. This retrospective study considered process outcomes over the time period at the beginning of the data collection for the accuracy study (August 2004 to February 2005, the accuracy study was conducted over August 2004 to June 2005). These data included the same cytologists and slides as in the accuracy study (personal correspondence, Dr Elizabeth Davey, 14th April 2008). The </w:t>
      </w:r>
      <w:r w:rsidRPr="00537C3C">
        <w:lastRenderedPageBreak/>
        <w:t>comparisons of slide reading times for the two approaches are based on paired data for 20 cytologists. In addition, data on conventional cytology reading times for 21 cytologists not trained to use the ThinPrep Imager system were included for comparison. Data from 1645 slide reading sessions were available in total. Sessions where session values were more than 3 standard deviations from the mean for a particular reader, or where non-conventional cytology slide reading took place in conventional cytology sessions, were excluded (2.3% of sessions). The final analysis was based on 581 conventional cytology sessions and 379 ThinPrep Imager sessions (paired data), plus an additional 685 conventional cytology sessions from ThinPrep Imager untrained cytologists. Subgroup analyses investigating the role of experience and cytologist reading speeds were also undertaken.</w:t>
      </w:r>
    </w:p>
    <w:p w:rsidR="00234376" w:rsidRPr="00537C3C" w:rsidRDefault="00234376" w:rsidP="008E03A7">
      <w:r w:rsidRPr="00537C3C">
        <w:t xml:space="preserve">The study of ThinPrep Imager reading by Roberts et al. </w:t>
      </w:r>
      <w:r w:rsidRPr="00537C3C">
        <w:fldChar w:fldCharType="begin"/>
      </w:r>
      <w:r w:rsidRPr="00537C3C">
        <w:instrText xml:space="preserve"> ADDIN REFMGR.CITE &lt;Refman&gt;&lt;Cite ExcludeAuth="1"&gt;&lt;Author&gt;Roberts&lt;/Author&gt;&lt;Year&gt;2007&lt;/Year&gt;&lt;RecNum&gt;107&lt;/RecNum&gt;&lt;IDText&gt;A three-armed trial of the thinprep imaging system&lt;/IDText&gt;&lt;MDL Ref_Type="Journal"&gt;&lt;Ref_Type&gt;Journal&lt;/Ref_Type&gt;&lt;Ref_ID&gt;107&lt;/Ref_ID&gt;&lt;Title_Primary&gt;A three-armed trial of the thinprep imaging system&lt;/Title_Primary&gt;&lt;Authors_Primary&gt;Roberts,J.M.&lt;/Authors_Primary&gt;&lt;Authors_Primary&gt;Thurloe,J.K.&lt;/Authors_Primary&gt;&lt;Authors_Primary&gt;Bowditch,R.C.&lt;/Authors_Primary&gt;&lt;Authors_Primary&gt;Hyne,S.G.&lt;/Authors_Primary&gt;&lt;Authors_Primary&gt;Greenberg,M.&lt;/Authors_Primary&gt;&lt;Authors_Primary&gt;Clarke,J.M.&lt;/Authors_Primary&gt;&lt;Authors_Primary&gt;Biro,C.&lt;/Authors_Primary&gt;&lt;Date_Primary&gt;2007&lt;/Date_Primary&gt;&lt;Keywords&gt;adenocarcinoma&lt;/Keywords&gt;&lt;Keywords&gt;article&lt;/Keywords&gt;&lt;Keywords&gt;cancer cytodiagnosis&lt;/Keywords&gt;&lt;Keywords&gt;controlled study&lt;/Keywords&gt;&lt;Keywords&gt;device&lt;/Keywords&gt;&lt;Keywords&gt;female&lt;/Keywords&gt;&lt;Keywords&gt;human&lt;/Keywords&gt;&lt;Keywords&gt;imaging system&lt;/Keywords&gt;&lt;Keywords&gt;major clinical study&lt;/Keywords&gt;&lt;Keywords&gt;Papanicolaou test&lt;/Keywords&gt;&lt;Keywords&gt;prediction&lt;/Keywords&gt;&lt;Keywords&gt;priority journal&lt;/Keywords&gt;&lt;Keywords&gt;productivity&lt;/Keywords&gt;&lt;Keywords&gt;sensitivity and specificity&lt;/Keywords&gt;&lt;Keywords&gt;ThinPrep Imaging System&lt;/Keywords&gt;&lt;Keywords&gt;uterine cervix carcinoma&lt;/Keywords&gt;&lt;Keywords&gt;uterine cervix carcinoma in situ&lt;/Keywords&gt;&lt;Reprint&gt;In File&lt;/Reprint&gt;&lt;Start_Page&gt;96&lt;/Start_Page&gt;&lt;End_Page&gt;102&lt;/End_Page&gt;&lt;Periodical&gt;Diagnostic Cytopathology&lt;/Periodical&gt;&lt;Volume&gt;35&lt;/Volume&gt;&lt;Issue&gt;2&lt;/Issue&gt;&lt;ISSN_ISBN&gt;8755-1039&lt;/ISSN_ISBN&gt;&lt;Address&gt;Roberts, J.M., Symbion Laverty Pathology, North Ryde, NSW 1670,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(2007)</w:t>
      </w:r>
      <w:r w:rsidRPr="00537C3C">
        <w:fldChar w:fldCharType="end"/>
      </w:r>
      <w:r w:rsidRPr="00537C3C">
        <w:t xml:space="preserve"> included 103 seeded cases in addition to routinely received samples, but true and false positive results are also reported excluding the seeded cases. </w:t>
      </w:r>
      <w:r w:rsidRPr="008E03A7">
        <w:rPr>
          <w:i/>
        </w:rPr>
        <w:t>Only data from routine samples are presented in this assessment report</w:t>
      </w:r>
      <w:r w:rsidRPr="008E03A7">
        <w:t>.</w:t>
      </w:r>
      <w:r w:rsidRPr="00537C3C">
        <w:t xml:space="preserve"> The population included was not clearly described, but most likely includes a mixed screening and diagnostic population. The authors reported sensitivity of ThinPrepImager reading of </w:t>
      </w:r>
      <w:r w:rsidRPr="00BB76D8">
        <w:t>LBC</w:t>
      </w:r>
      <w:r w:rsidRPr="00537C3C">
        <w:t xml:space="preserve"> slides, manual reading of </w:t>
      </w:r>
      <w:r w:rsidRPr="00BB76D8">
        <w:t>LBC</w:t>
      </w:r>
      <w:r w:rsidRPr="00537C3C">
        <w:t xml:space="preserve"> slides and manual reading of conventional slides for the detection of high-grade lesions, however these data are considered invalid as there is incomplete verification and the total number of cases is not known (ie no verification of negative cases and degree of verification of discordant positives not reported). The reported statistical analysis of these accuracy measures is therefore also considered invalid. In lieu, the reviewers have compared the number of cases detected between the arms of the study by </w:t>
      </w:r>
      <w:r w:rsidRPr="00537C3C">
        <w:rPr>
          <w:szCs w:val="24"/>
        </w:rPr>
        <w:sym w:font="Symbol" w:char="F063"/>
      </w:r>
      <w:r w:rsidRPr="00537C3C">
        <w:rPr>
          <w:vertAlign w:val="superscript"/>
        </w:rPr>
        <w:t>2</w:t>
      </w:r>
      <w:r w:rsidRPr="00537C3C">
        <w:t xml:space="preserve">-test (although a </w:t>
      </w:r>
      <w:bookmarkStart w:id="368" w:name="OLE_LINK156"/>
      <w:bookmarkStart w:id="369" w:name="OLE_LINK157"/>
      <w:r w:rsidRPr="00537C3C">
        <w:t xml:space="preserve">McNemar’s </w:t>
      </w:r>
      <w:bookmarkEnd w:id="368"/>
      <w:bookmarkEnd w:id="369"/>
      <w:r w:rsidRPr="00537C3C">
        <w:t xml:space="preserve">test is ideal, this was not possible here due to the lack of information on concordant test results; a </w:t>
      </w:r>
      <w:r w:rsidRPr="00537C3C">
        <w:rPr>
          <w:szCs w:val="24"/>
        </w:rPr>
        <w:sym w:font="Symbol" w:char="F063"/>
      </w:r>
      <w:r w:rsidRPr="00537C3C">
        <w:rPr>
          <w:vertAlign w:val="superscript"/>
        </w:rPr>
        <w:t>2</w:t>
      </w:r>
      <w:r w:rsidRPr="00537C3C">
        <w:t xml:space="preserve">-test will have less power to detect a difference). The authors define histological high-grade disease as </w:t>
      </w:r>
      <w:r w:rsidRPr="00BB76D8">
        <w:t>HSIL</w:t>
      </w:r>
      <w:r w:rsidRPr="00537C3C">
        <w:t xml:space="preserve">, </w:t>
      </w:r>
      <w:r w:rsidRPr="00BB76D8">
        <w:t>AIS</w:t>
      </w:r>
      <w:r w:rsidRPr="00537C3C">
        <w:t xml:space="preserve"> or carcinoma, however this does not clearly relate to histological categories. Slides that could not be read by the imager (3.7% of slides) were excluded from the analysis. Slides suspected of being unsatisfactory underwent full manual screening and were included in the accuracy data for the study as negative test results, however this approach has no impact on the number of true and false positive findings. The total number of slides categorised as unsatisfactory with each screening method was not reported. A reference standard of histology was used for slides with a </w:t>
      </w:r>
      <w:r w:rsidRPr="00BB76D8">
        <w:t>pHSIL</w:t>
      </w:r>
      <w:r w:rsidRPr="00537C3C">
        <w:t xml:space="preserve"> or higher cytology result. No histology was available for 9.0% of positive ThinPrep Imager read slides, 8.3% of positive </w:t>
      </w:r>
      <w:r w:rsidRPr="00BB76D8">
        <w:t>LBC</w:t>
      </w:r>
      <w:r w:rsidRPr="00537C3C">
        <w:t xml:space="preserve"> slides read manually and 10.8% of positive conventional slides (</w:t>
      </w:r>
      <w:r w:rsidRPr="00537C3C">
        <w:rPr>
          <w:szCs w:val="24"/>
        </w:rPr>
        <w:sym w:font="Symbol" w:char="F063"/>
      </w:r>
      <w:r w:rsidRPr="00537C3C">
        <w:rPr>
          <w:vertAlign w:val="superscript"/>
        </w:rPr>
        <w:t>2</w:t>
      </w:r>
      <w:r w:rsidRPr="00537C3C">
        <w:t xml:space="preserve">-test </w:t>
      </w:r>
      <w:r w:rsidRPr="0030078D">
        <w:rPr>
          <w:i/>
        </w:rPr>
        <w:t>P</w:t>
      </w:r>
      <w:r w:rsidRPr="00537C3C">
        <w:t xml:space="preserve"> = 0.834). It is not reported what proportion of these unconfirmed positive results were discordant, thus there may be some verification bias in the data reported. It is also unclear whether or not the referring practitioners were aware of the type of cytology that led to the most serious cytological finding in the final report.</w:t>
      </w:r>
    </w:p>
    <w:p w:rsidR="00234376" w:rsidRPr="00537C3C" w:rsidRDefault="00234376" w:rsidP="008E03A7">
      <w:r w:rsidRPr="00537C3C">
        <w:t xml:space="preserve">The study of AutoPap-assisted reading of conventional slides by Confortini et al. </w:t>
      </w:r>
      <w:r w:rsidRPr="00537C3C">
        <w:fldChar w:fldCharType="begin"/>
      </w:r>
      <w:r w:rsidRPr="00537C3C">
        <w:instrText xml:space="preserve"> ADDIN REFMGR.CITE &lt;Refman&gt;&lt;Cite&gt;&lt;Author&gt;Confortini&lt;/Author&gt;&lt;Year&gt;2003&lt;/Year&gt;&lt;RecNum&gt;716&lt;/RecNum&gt;&lt;IDText&gt;A feasibility study of the use of the AutoPap screening system as a primary screening and location-guided rescreening device&lt;/IDText&gt;&lt;MDL Ref_Type="Journal"&gt;&lt;Ref_Type&gt;Journal&lt;/Ref_Type&gt;&lt;Ref_ID&gt;716&lt;/Ref_ID&gt;&lt;Title_Primary&gt;A feasibility study of the use of the AutoPap screening system as a primary screening and location-guided rescreening device&lt;/Title_Primary&gt;&lt;Authors_Primary&gt;Confortini,M.&lt;/Authors_Primary&gt;&lt;Authors_Primary&gt;Bonardi,L.&lt;/Authors_Primary&gt;&lt;Authors_Primary&gt;Bulgaresi,P.&lt;/Authors_Primary&gt;&lt;Authors_Primary&gt;Cariaggi,M.P.&lt;/Authors_Primary&gt;&lt;Authors_Primary&gt;Cecchini,S.&lt;/Authors_Primary&gt;&lt;Authors_Primary&gt;Ciatto,S.&lt;/Authors_Primary&gt;&lt;Authors_Primary&gt;Cipparrone,I.&lt;/Authors_Primary&gt;&lt;Authors_Primary&gt;Galanti,L.&lt;/Authors_Primary&gt;&lt;Authors_Primary&gt;Maddau,C.&lt;/Authors_Primary&gt;&lt;Authors_Primary&gt;Matucci,M.&lt;/Authors_Primary&gt;&lt;Authors_Primary&gt;Rubeca,T.&lt;/Authors_Primary&gt;&lt;Authors_Primary&gt;Troni,G.M.&lt;/Authors_Primary&gt;&lt;Authors_Primary&gt;Turco,P.&lt;/Authors_Primary&gt;&lt;Authors_Primary&gt;Zappa,M.&lt;/Authors_Primary&gt;&lt;Authors_Primary&gt;Carozzi,F.&lt;/Authors_Primary&gt;&lt;Date_Primary&gt;2003&lt;/Date_Primary&gt;&lt;Keywords&gt;article&lt;/Keywords&gt;&lt;Keywords&gt;automation&lt;/Keywords&gt;&lt;Keywords&gt;AutoPap 300 QC system&lt;/Keywords&gt;&lt;Keywords&gt;colposcopy&lt;/Keywords&gt;&lt;Keywords&gt;controlled study&lt;/Keywords&gt;&lt;Keywords&gt;cytodiagnosis&lt;/Keywords&gt;&lt;Keywords&gt;cytopathology&lt;/Keywords&gt;&lt;Keywords&gt;device&lt;/Keywords&gt;&lt;Keywords&gt;diagnostic accuracy&lt;/Keywords&gt;&lt;Keywords&gt;female&lt;/Keywords&gt;&lt;Keywords&gt;human&lt;/Keywords&gt;&lt;Keywords&gt;human tissue&lt;/Keywords&gt;&lt;Keywords&gt;major clinical study&lt;/Keywords&gt;&lt;Keywords&gt;Papanicolaou test&lt;/Keywords&gt;&lt;Keywords&gt;priority journal&lt;/Keywords&gt;&lt;Keywords&gt;screening test&lt;/Keywords&gt;&lt;Keywords&gt;uterine cervix carcinoma in situ&lt;/Keywords&gt;&lt;Keywords&gt;uterine cervix cytology&lt;/Keywords&gt;&lt;Keywords&gt;validation process&lt;/Keywords&gt;&lt;Reprint&gt;Not in File&lt;/Reprint&gt;&lt;Start_Page&gt;129&lt;/Start_Page&gt;&lt;End_Page&gt;134&lt;/End_Page&gt;&lt;Periodical&gt;Cancer&lt;/Periodical&gt;&lt;Volume&gt;99&lt;/Volume&gt;&lt;Issue&gt;3&lt;/Issue&gt;&lt;ISSN_ISBN&gt;0008-543X&lt;/ISSN_ISBN&gt;&lt;Address&gt;Confortini, M., Cytology Unit, Ctro. Per Lo Stud. E La Prev. Oncol., 50131 Florence, Italy&lt;/Address&gt;&lt;ZZ_JournalFull&gt;&lt;f name="System"&gt;Cancer&lt;/f&gt;&lt;/ZZ_JournalFull&gt;&lt;ZZ_WorkformID&gt;1&lt;/ZZ_WorkformID&gt;&lt;/MDL&gt;&lt;/Cite&gt;&lt;/Refman&gt;</w:instrText>
      </w:r>
      <w:r w:rsidRPr="00537C3C">
        <w:fldChar w:fldCharType="separate"/>
      </w:r>
      <w:r w:rsidRPr="00537C3C">
        <w:t>(Confortini et al. 2003)</w:t>
      </w:r>
      <w:r w:rsidRPr="00537C3C">
        <w:fldChar w:fldCharType="end"/>
      </w:r>
      <w:r w:rsidRPr="00537C3C">
        <w:t xml:space="preserve"> also used histology as a reference standard, but the number of slides without reference standard verification was not reported. Test results of </w:t>
      </w:r>
      <w:r w:rsidRPr="00BB76D8">
        <w:t>ASCUS</w:t>
      </w:r>
      <w:r w:rsidRPr="00537C3C">
        <w:t xml:space="preserve"> favouring </w:t>
      </w:r>
      <w:bookmarkStart w:id="370" w:name="OLE_LINK158"/>
      <w:bookmarkStart w:id="371" w:name="OLE_LINK159"/>
      <w:r w:rsidRPr="006C24DD">
        <w:t>squamous intraepithelial lesion</w:t>
      </w:r>
      <w:r>
        <w:t xml:space="preserve"> (</w:t>
      </w:r>
      <w:r w:rsidRPr="006C24DD">
        <w:t>SIL)</w:t>
      </w:r>
      <w:r w:rsidRPr="00537C3C">
        <w:t xml:space="preserve"> </w:t>
      </w:r>
      <w:bookmarkEnd w:id="370"/>
      <w:bookmarkEnd w:id="371"/>
      <w:r w:rsidRPr="00537C3C">
        <w:t xml:space="preserve">cytology or more severe prompted a colposcopy. Test results of </w:t>
      </w:r>
      <w:r w:rsidRPr="00BB76D8">
        <w:t>ASCUS</w:t>
      </w:r>
      <w:r w:rsidRPr="00537C3C">
        <w:t xml:space="preserve"> favouring a reactive process did not refer to colposcopy (instead patients were recommended for a repeat smear after 6 months). Slides that could not be read by the AutoPap system but were classified as ‘process review’ (12.8%) were included in the study as the manual reading result in the AutoPap and manual arms. This reflects standard practice in the use of automation-assisted reading. This differs </w:t>
      </w:r>
      <w:r w:rsidRPr="00537C3C" w:rsidDel="00B94BF8">
        <w:t>from</w:t>
      </w:r>
      <w:r w:rsidRPr="00537C3C">
        <w:t xml:space="preserve"> the design of the other studies where slides not processed were </w:t>
      </w:r>
      <w:r w:rsidRPr="00537C3C">
        <w:lastRenderedPageBreak/>
        <w:t xml:space="preserve">excluded from the study. The study provided contingency tables of test results for patients with histologically confirmed </w:t>
      </w:r>
      <w:r w:rsidRPr="00BB76D8">
        <w:t>CIN</w:t>
      </w:r>
      <w:r w:rsidRPr="00537C3C">
        <w:t xml:space="preserve"> 2+ lesions, thus the true positive rates for different test thresholds could be calculated. Test findings for glandular lesions were only reported as a combined category of </w:t>
      </w:r>
      <w:r w:rsidRPr="00BB76D8">
        <w:t>ASCUS</w:t>
      </w:r>
      <w:r w:rsidRPr="00537C3C">
        <w:t xml:space="preserve">-favouring </w:t>
      </w:r>
      <w:r w:rsidRPr="00BB76D8">
        <w:t>SIL</w:t>
      </w:r>
      <w:r w:rsidRPr="00537C3C">
        <w:t xml:space="preserve"> lesions or </w:t>
      </w:r>
      <w:bookmarkStart w:id="372" w:name="OLE_LINK160"/>
      <w:bookmarkStart w:id="373" w:name="OLE_LINK161"/>
      <w:r w:rsidRPr="006C24DD">
        <w:t>atypical glandular cells of undetermined significance</w:t>
      </w:r>
      <w:r>
        <w:t xml:space="preserve"> (</w:t>
      </w:r>
      <w:r w:rsidRPr="006C24DD">
        <w:t>AGUS</w:t>
      </w:r>
      <w:bookmarkEnd w:id="372"/>
      <w:bookmarkEnd w:id="373"/>
      <w:r w:rsidRPr="006C24DD">
        <w:t>)</w:t>
      </w:r>
      <w:r w:rsidRPr="00537C3C">
        <w:t>, so glandular test results could not be separated from squamous findings. The study also reported estimated reading time saved in slides allocated by the AutoPap system as ‘</w:t>
      </w:r>
      <w:bookmarkStart w:id="374" w:name="OLE_LINK579"/>
      <w:bookmarkStart w:id="375" w:name="OLE_LINK580"/>
      <w:r w:rsidRPr="006C24DD">
        <w:t xml:space="preserve">not for review’ </w:t>
      </w:r>
      <w:bookmarkEnd w:id="374"/>
      <w:bookmarkEnd w:id="375"/>
      <w:r w:rsidRPr="006C24DD">
        <w:t>(</w:t>
      </w:r>
      <w:bookmarkStart w:id="376" w:name="OLE_LINK162"/>
      <w:bookmarkStart w:id="377" w:name="OLE_LINK163"/>
      <w:r w:rsidRPr="006C24DD">
        <w:t>NFR</w:t>
      </w:r>
      <w:bookmarkEnd w:id="376"/>
      <w:bookmarkEnd w:id="377"/>
      <w:r w:rsidRPr="00537C3C">
        <w:t xml:space="preserve">). As the current standard use of the FocalPoint system does not involve allocating slides as </w:t>
      </w:r>
      <w:r w:rsidRPr="00BB76D8">
        <w:t>NFR</w:t>
      </w:r>
      <w:r w:rsidRPr="00537C3C">
        <w:t xml:space="preserve"> (see </w:t>
      </w:r>
      <w:r>
        <w:fldChar w:fldCharType="begin"/>
      </w:r>
      <w:r>
        <w:instrText xml:space="preserve"> REF _Ref199566181 \h  \* MERGEFORMAT </w:instrText>
      </w:r>
      <w:r w:rsidR="007D3DFF">
        <w:fldChar w:fldCharType="separate"/>
      </w:r>
      <w:r w:rsidR="007D3DFF">
        <w:rPr>
          <w:b/>
          <w:bCs/>
          <w:lang w:val="en-US"/>
        </w:rPr>
        <w:t>Error! Reference source not found.</w:t>
      </w:r>
      <w:r>
        <w:fldChar w:fldCharType="end"/>
      </w:r>
      <w:r w:rsidRPr="00537C3C">
        <w:t>), these data are not relevant to current use of the FocalPoint system.</w:t>
      </w:r>
    </w:p>
    <w:p w:rsidR="00234376" w:rsidRPr="00537C3C" w:rsidRDefault="00234376" w:rsidP="008E03A7">
      <w:r w:rsidRPr="00537C3C">
        <w:t xml:space="preserve">One additional Australian study of AutoPap-assisted reading of conventional slides in comparison to manual reading of conventional slides was identified </w:t>
      </w:r>
      <w:r w:rsidRPr="00537C3C">
        <w:fldChar w:fldCharType="begin"/>
      </w:r>
      <w:r w:rsidRPr="00537C3C">
        <w:instrText xml:space="preserve"> ADDIN REFMGR.CITE &lt;Refman&gt;&lt;Cite&gt;&lt;Author&gt;Stevens&lt;/Author&gt;&lt;Year&gt;2004&lt;/Year&gt;&lt;RecNum&gt;521&lt;/RecNum&gt;&lt;IDText&gt;Effectiveness of AutoPap system location-guided screening in the evaluation of cervical cytology smears&lt;/IDText&gt;&lt;MDL Ref_Type="Journal"&gt;&lt;Ref_Type&gt;Journal&lt;/Ref_Type&gt;&lt;Ref_ID&gt;521&lt;/Ref_ID&gt;&lt;Title_Primary&gt;Effectiveness of AutoPap system location-guided screening in the evaluation of cervical cytology smears&lt;/Title_Primary&gt;&lt;Authors_Primary&gt;Stevens,M.W.&lt;/Authors_Primary&gt;&lt;Authors_Primary&gt;Milne,A.J.&lt;/Authors_Primary&gt;&lt;Authors_Primary&gt;Parkinson,I.H.&lt;/Authors_Primary&gt;&lt;Authors_Primary&gt;Nespolon,W.W.&lt;/Authors_Primary&gt;&lt;Authors_Primary&gt;Fazzalari,N.L.&lt;/Authors_Primary&gt;&lt;Authors_Primary&gt;Arora,N.&lt;/Authors_Primary&gt;&lt;Authors_Primary&gt;Dodd,T.J.&lt;/Authors_Primary&gt;&lt;Date_Primary&gt;2004&lt;/Date_Primary&gt;&lt;Keywords&gt;automation&lt;/Keywords&gt;&lt;Keywords&gt;AutoPap&lt;/Keywords&gt;&lt;Keywords&gt;cancer grading&lt;/Keywords&gt;&lt;Keywords&gt;cancer screening&lt;/Keywords&gt;&lt;Keywords&gt;computer assisted diagnosis&lt;/Keywords&gt;&lt;Keywords&gt;controlled study&lt;/Keywords&gt;&lt;Keywords&gt;diagnostic accuracy&lt;/Keywords&gt;&lt;Keywords&gt;female&lt;/Keywords&gt;&lt;Keywords&gt;human&lt;/Keywords&gt;&lt;Keywords&gt;human tissue&lt;/Keywords&gt;&lt;Keywords&gt;Papanicolaou test&lt;/Keywords&gt;&lt;Keywords&gt;priority journal&lt;/Keywords&gt;&lt;Keywords&gt;retrospective study&lt;/Keywords&gt;&lt;Keywords&gt;review&lt;/Keywords&gt;&lt;Keywords&gt;scoring system&lt;/Keywords&gt;&lt;Keywords&gt;tumor localization&lt;/Keywords&gt;&lt;Keywords&gt;uterine cervix cytology&lt;/Keywords&gt;&lt;Reprint&gt;Not in File&lt;/Reprint&gt;&lt;Start_Page&gt;94&lt;/Start_Page&gt;&lt;End_Page&gt;99&lt;/End_Page&gt;&lt;Periodical&gt;Diagnostic Cytopathology&lt;/Periodical&gt;&lt;Volume&gt;31&lt;/Volume&gt;&lt;Issue&gt;2&lt;/Issue&gt;&lt;ISSN_ISBN&gt;8755-1039&lt;/ISSN_ISBN&gt;&lt;Address&gt;Stevens, M.W., Division of Tissue Pathology, Inst. of Med. and Veterinary Science, Rundle Mall, Adelaide, SA 5000,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(Stevens et al. 2004)</w:t>
      </w:r>
      <w:r w:rsidRPr="00537C3C">
        <w:fldChar w:fldCharType="end"/>
      </w:r>
      <w:r w:rsidRPr="00537C3C">
        <w:t xml:space="preserve">. This study reported the detection of high-grade cytology by each method with a reference standard of adjudicated cytology for discordant results. This study excluded from the analysis 986 slides designated as ‘not for review’ by the AutoPap system, potentially introducing bias into the study findings. The reporting of results in the study is unclear. It is uncertain whether data in contingency tables is for concordance between screening approaches or accuracy data. Despite these shortcomings, the study is included in the present review as it was conducted in an </w:t>
      </w:r>
      <w:smartTag w:uri="urn:schemas-microsoft-com:office:smarttags" w:element="country-region">
        <w:smartTag w:uri="urn:schemas-microsoft-com:office:smarttags" w:element="place">
          <w:r w:rsidRPr="00537C3C">
            <w:t>Australia</w:t>
          </w:r>
        </w:smartTag>
      </w:smartTag>
      <w:r w:rsidRPr="00537C3C">
        <w:t>n setting.</w:t>
      </w:r>
    </w:p>
    <w:p w:rsidR="00234376" w:rsidRPr="00537C3C" w:rsidRDefault="00234376" w:rsidP="008E03A7">
      <w:pPr>
        <w:sectPr w:rsidR="00234376" w:rsidRPr="00537C3C" w:rsidSect="008E03A7">
          <w:pgSz w:w="11906" w:h="16838"/>
          <w:pgMar w:top="1440" w:right="1440" w:bottom="1440" w:left="1440" w:header="720" w:footer="720" w:gutter="0"/>
          <w:cols w:space="720"/>
        </w:sectPr>
      </w:pPr>
    </w:p>
    <w:p w:rsidR="00234376" w:rsidRPr="00537C3C" w:rsidRDefault="00234376" w:rsidP="008E03A7">
      <w:pPr>
        <w:pStyle w:val="TableNamea"/>
      </w:pPr>
      <w:bookmarkStart w:id="378" w:name="_Ref190595297"/>
      <w:bookmarkStart w:id="379" w:name="_Toc190744102"/>
      <w:bookmarkStart w:id="380" w:name="_Toc190744373"/>
      <w:bookmarkStart w:id="381" w:name="_Toc95971252"/>
      <w:r w:rsidRPr="00537C3C">
        <w:lastRenderedPageBreak/>
        <w:t xml:space="preserve">Table </w:t>
      </w:r>
      <w:fldSimple w:instr=" SEQ Table \* ARABIC ">
        <w:r w:rsidR="007D3DFF">
          <w:rPr>
            <w:noProof/>
          </w:rPr>
          <w:t>16</w:t>
        </w:r>
      </w:fldSimple>
      <w:bookmarkEnd w:id="378"/>
      <w:r w:rsidRPr="00537C3C">
        <w:tab/>
        <w:t>Characteristics and quality of studies reporting on the relative accuracy of automated slide reading and conventional Pap smear cytology with manual slide reading</w:t>
      </w:r>
      <w:bookmarkEnd w:id="379"/>
      <w:bookmarkEnd w:id="380"/>
      <w:r w:rsidRPr="00537C3C">
        <w:t>.</w:t>
      </w:r>
      <w:bookmarkEnd w:id="381"/>
    </w:p>
    <w:tbl>
      <w:tblPr>
        <w:tblW w:w="13314" w:type="dxa"/>
        <w:tblInd w:w="567"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637"/>
        <w:gridCol w:w="2038"/>
        <w:gridCol w:w="1962"/>
        <w:gridCol w:w="23"/>
        <w:gridCol w:w="4677"/>
        <w:gridCol w:w="52"/>
        <w:gridCol w:w="2925"/>
      </w:tblGrid>
      <w:tr w:rsidR="00234376" w:rsidRPr="00537C3C">
        <w:trPr>
          <w:trHeight w:val="670"/>
          <w:tblHeader/>
        </w:trPr>
        <w:tc>
          <w:tcPr>
            <w:tcW w:w="1637" w:type="dxa"/>
            <w:tcBorders>
              <w:top w:val="single" w:sz="4" w:space="0" w:color="auto"/>
              <w:bottom w:val="single" w:sz="4" w:space="0" w:color="auto"/>
            </w:tcBorders>
          </w:tcPr>
          <w:p w:rsidR="00234376" w:rsidRPr="00537C3C" w:rsidRDefault="00234376" w:rsidP="008E03A7">
            <w:pPr>
              <w:pStyle w:val="TableHeading10pt"/>
              <w:ind w:left="142" w:hanging="142"/>
            </w:pPr>
            <w:r w:rsidRPr="00537C3C">
              <w:t>Author, year</w:t>
            </w:r>
          </w:p>
          <w:p w:rsidR="00234376" w:rsidRPr="00537C3C" w:rsidRDefault="00234376" w:rsidP="008E03A7">
            <w:pPr>
              <w:pStyle w:val="TableHeading10pt"/>
              <w:ind w:left="142" w:hanging="142"/>
            </w:pPr>
            <w:r w:rsidRPr="00537C3C">
              <w:t>Setting</w:t>
            </w:r>
          </w:p>
        </w:tc>
        <w:tc>
          <w:tcPr>
            <w:tcW w:w="2038" w:type="dxa"/>
            <w:tcBorders>
              <w:top w:val="single" w:sz="4" w:space="0" w:color="auto"/>
              <w:bottom w:val="single" w:sz="4" w:space="0" w:color="auto"/>
            </w:tcBorders>
          </w:tcPr>
          <w:p w:rsidR="00234376" w:rsidRPr="00537C3C" w:rsidRDefault="00234376" w:rsidP="008E03A7">
            <w:pPr>
              <w:pStyle w:val="TableHeading10pt"/>
              <w:rPr>
                <w:i/>
              </w:rPr>
            </w:pPr>
            <w:r w:rsidRPr="00537C3C">
              <w:t>Population (</w:t>
            </w:r>
            <w:r w:rsidRPr="0030078D">
              <w:rPr>
                <w:i/>
              </w:rPr>
              <w:t>N</w:t>
            </w:r>
            <w:r w:rsidRPr="00537C3C">
              <w:t>, inclusion criteria)</w:t>
            </w:r>
          </w:p>
        </w:tc>
        <w:tc>
          <w:tcPr>
            <w:tcW w:w="1985" w:type="dxa"/>
            <w:gridSpan w:val="2"/>
            <w:tcBorders>
              <w:top w:val="single" w:sz="4" w:space="0" w:color="auto"/>
              <w:bottom w:val="single" w:sz="4" w:space="0" w:color="auto"/>
            </w:tcBorders>
          </w:tcPr>
          <w:p w:rsidR="00234376" w:rsidRPr="00537C3C" w:rsidRDefault="00234376" w:rsidP="008E03A7">
            <w:pPr>
              <w:pStyle w:val="TableHeading10pt"/>
            </w:pPr>
            <w:r w:rsidRPr="00537C3C">
              <w:t>Test compariso</w:t>
            </w:r>
            <w:r w:rsidRPr="00A316F5">
              <w:t>n/</w:t>
            </w:r>
            <w:r w:rsidRPr="00537C3C">
              <w:t>s</w:t>
            </w:r>
          </w:p>
        </w:tc>
        <w:tc>
          <w:tcPr>
            <w:tcW w:w="4677" w:type="dxa"/>
            <w:tcBorders>
              <w:top w:val="single" w:sz="4" w:space="0" w:color="auto"/>
              <w:bottom w:val="single" w:sz="4" w:space="0" w:color="auto"/>
            </w:tcBorders>
          </w:tcPr>
          <w:p w:rsidR="00234376" w:rsidRPr="00537C3C" w:rsidRDefault="00234376" w:rsidP="008E03A7">
            <w:pPr>
              <w:pStyle w:val="TableHeading10pt"/>
            </w:pPr>
            <w:r w:rsidRPr="00537C3C">
              <w:t>Study design</w:t>
            </w:r>
          </w:p>
        </w:tc>
        <w:tc>
          <w:tcPr>
            <w:tcW w:w="2977" w:type="dxa"/>
            <w:gridSpan w:val="2"/>
            <w:tcBorders>
              <w:top w:val="single" w:sz="4" w:space="0" w:color="auto"/>
              <w:bottom w:val="single" w:sz="4" w:space="0" w:color="auto"/>
            </w:tcBorders>
          </w:tcPr>
          <w:p w:rsidR="00234376" w:rsidRPr="00537C3C" w:rsidRDefault="00234376" w:rsidP="008E03A7">
            <w:pPr>
              <w:pStyle w:val="TableHeading10pt"/>
            </w:pPr>
            <w:r w:rsidRPr="00537C3C">
              <w:t>Quality &amp; applicability</w:t>
            </w:r>
          </w:p>
        </w:tc>
      </w:tr>
      <w:tr w:rsidR="00234376" w:rsidRPr="00537C3C">
        <w:trPr>
          <w:trHeight w:val="3508"/>
        </w:trPr>
        <w:tc>
          <w:tcPr>
            <w:tcW w:w="1637" w:type="dxa"/>
            <w:tcBorders>
              <w:top w:val="single" w:sz="4" w:space="0" w:color="auto"/>
              <w:bottom w:val="single" w:sz="4" w:space="0" w:color="auto"/>
            </w:tcBorders>
          </w:tcPr>
          <w:p w:rsidR="00234376" w:rsidRPr="00537C3C" w:rsidRDefault="00234376" w:rsidP="008E03A7">
            <w:pPr>
              <w:pStyle w:val="TableTextLessSpaceCharCharCharCharCharCharCharChar"/>
            </w:pPr>
            <w:r w:rsidRPr="00537C3C">
              <w:rPr>
                <w:rFonts w:cs="Arial"/>
                <w:b/>
                <w:szCs w:val="18"/>
              </w:rPr>
              <w:t xml:space="preserve">Davey et al. </w:t>
            </w:r>
            <w:r w:rsidRPr="00537C3C">
              <w:rPr>
                <w:rFonts w:cs="Arial"/>
                <w:b/>
                <w:szCs w:val="18"/>
              </w:rPr>
              <w:fldChar w:fldCharType="begin"/>
            </w:r>
            <w:r w:rsidRPr="00537C3C">
              <w:rPr>
                <w:rFonts w:cs="Arial"/>
                <w:b/>
                <w:szCs w:val="18"/>
              </w:rPr>
              <w:instrText xml:space="preserve"> ADDIN REFMGR.CITE &lt;Refman&gt;&lt;Cite ExcludeAuth="1"&gt;&lt;Author&gt;Davey&lt;/Author&gt;&lt;Year&gt;2007&lt;/Year&gt;&lt;RecNum&gt;65&lt;/RecNum&gt;&lt;IDText&gt;Accuracy of reading liquid based cytology slides using the ThinPrep Imager compared with conventional cytology: Prospective study&lt;/IDText&gt;&lt;MDL Ref_Type="Journal"&gt;&lt;Ref_Type&gt;Journal&lt;/Ref_Type&gt;&lt;Ref_ID&gt;65&lt;/Ref_ID&gt;&lt;Title_Primary&gt;Accuracy of reading liquid based cytology slides using the ThinPrep Imager compared with conventional cytology: Prospective study&lt;/Title_Primary&gt;&lt;Authors_Primary&gt;Davey,E.&lt;/Authors_Primary&gt;&lt;Authors_Primary&gt;D&amp;apos;Assuncao,J.&lt;/Authors_Primary&gt;&lt;Authors_Primary&gt;Irwig,L.&lt;/Authors_Primary&gt;&lt;Authors_Primary&gt;Macaskill,P.&lt;/Authors_Primary&gt;&lt;Authors_Primary&gt;Chan,S.F.&lt;/Authors_Primary&gt;&lt;Authors_Primary&gt;Richards,A.&lt;/Authors_Primary&gt;&lt;Authors_Primary&gt;Farnsworth,A.&lt;/Authors_Primary&gt;&lt;Date_Primary&gt;2007&lt;/Date_Primary&gt;&lt;Keywords&gt;adult&lt;/Keywords&gt;&lt;Keywords&gt;article&lt;/Keywords&gt;&lt;Keywords&gt;Australia&lt;/Keywords&gt;&lt;Keywords&gt;cancer screening&lt;/Keywords&gt;&lt;Keywords&gt;clinical laboratory&lt;/Keywords&gt;&lt;Keywords&gt;diagnostic accuracy&lt;/Keywords&gt;&lt;Keywords&gt;female&lt;/Keywords&gt;&lt;Keywords&gt;human&lt;/Keywords&gt;&lt;Keywords&gt;human cell&lt;/Keywords&gt;&lt;Keywords&gt;intermethod comparison&lt;/Keywords&gt;&lt;Keywords&gt;liquid based cytology&lt;/Keywords&gt;&lt;Keywords&gt;major clinical study&lt;/Keywords&gt;&lt;Keywords&gt;Papanicolaou test&lt;/Keywords&gt;&lt;Keywords&gt;priority journal&lt;/Keywords&gt;&lt;Keywords&gt;ThinPrep&lt;/Keywords&gt;&lt;Keywords&gt;uterine cervix biopsy&lt;/Keywords&gt;&lt;Keywords&gt;uterine cervix cancer&lt;/Keywords&gt;&lt;Keywords&gt;uterine cervix carcinoma in situ&lt;/Keywords&gt;&lt;Keywords&gt;uterine cervix cytology&lt;/Keywords&gt;&lt;Reprint&gt;In File&lt;/Reprint&gt;&lt;Start_Page&gt;31&lt;/Start_Page&gt;&lt;End_Page&gt;35&lt;/End_Page&gt;&lt;Periodical&gt;British Medical Journal&lt;/Periodical&gt;&lt;Volume&gt;335&lt;/Volume&gt;&lt;Issue&gt;7609&lt;/Issue&gt;&lt;ISSN_ISBN&gt;0959-8146&lt;/ISSN_ISBN&gt;&lt;Address&gt;Davey, E., Screening and Test Evaluation Program, School of Public Health, University of Sydney, Sydney, NSW 2006, Australia&lt;/Address&gt;&lt;ZZ_JournalFull&gt;&lt;f name="System"&gt;British Medical Journal&lt;/f&gt;&lt;/ZZ_JournalFull&gt;&lt;ZZ_JournalStdAbbrev&gt;&lt;f name="System"&gt;Br.Med.J.&lt;/f&gt;&lt;/ZZ_JournalStdAbbrev&gt;&lt;ZZ_WorkformID&gt;1&lt;/ZZ_WorkformID&gt;&lt;/MDL&gt;&lt;/Cite&gt;&lt;/Refman&gt;</w:instrText>
            </w:r>
            <w:r w:rsidRPr="00537C3C">
              <w:rPr>
                <w:rFonts w:cs="Arial"/>
                <w:b/>
                <w:szCs w:val="18"/>
              </w:rPr>
              <w:fldChar w:fldCharType="separate"/>
            </w:r>
            <w:r w:rsidRPr="00537C3C">
              <w:rPr>
                <w:rFonts w:cs="Arial"/>
                <w:b/>
                <w:szCs w:val="18"/>
              </w:rPr>
              <w:t>(2007a)</w:t>
            </w:r>
            <w:r w:rsidRPr="00537C3C">
              <w:rPr>
                <w:rFonts w:cs="Arial"/>
                <w:b/>
                <w:szCs w:val="18"/>
              </w:rPr>
              <w:fldChar w:fldCharType="end"/>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pPr>
            <w:smartTag w:uri="urn:schemas-microsoft-com:office:smarttags" w:element="place">
              <w:smartTag w:uri="urn:schemas-microsoft-com:office:smarttags" w:element="country-region">
                <w:r w:rsidRPr="00537C3C">
                  <w:t>Australia</w:t>
                </w:r>
              </w:smartTag>
            </w:smartTag>
          </w:p>
          <w:p w:rsidR="00234376" w:rsidRPr="00537C3C" w:rsidRDefault="00234376" w:rsidP="008E03A7">
            <w:pPr>
              <w:pStyle w:val="TableTextLessSpaceCharCharCharCharCharCharCharChar"/>
            </w:pPr>
          </w:p>
          <w:p w:rsidR="00234376" w:rsidRPr="00537C3C" w:rsidRDefault="00234376" w:rsidP="008E03A7">
            <w:pPr>
              <w:keepNext/>
              <w:spacing w:before="40"/>
              <w:ind w:left="0"/>
              <w:rPr>
                <w:rFonts w:ascii="Arial Narrow" w:hAnsi="Arial Narrow" w:cs="Arial"/>
                <w:sz w:val="18"/>
                <w:szCs w:val="18"/>
              </w:rPr>
            </w:pPr>
            <w:r w:rsidRPr="00537C3C">
              <w:rPr>
                <w:rFonts w:ascii="Arial Narrow" w:hAnsi="Arial Narrow" w:cs="Arial"/>
                <w:sz w:val="18"/>
                <w:szCs w:val="18"/>
              </w:rPr>
              <w:t>One pathology laboratory</w:t>
            </w:r>
          </w:p>
          <w:p w:rsidR="00234376" w:rsidRPr="00537C3C" w:rsidRDefault="00234376" w:rsidP="008E03A7">
            <w:pPr>
              <w:pStyle w:val="TableTextLessSpaceCharCharCharCharCharCharCharChar"/>
            </w:pPr>
            <w:r w:rsidRPr="00537C3C">
              <w:rPr>
                <w:rFonts w:cs="Arial"/>
                <w:szCs w:val="18"/>
              </w:rPr>
              <w:t>Aug 2004 – June 2005</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pPr>
          </w:p>
        </w:tc>
        <w:tc>
          <w:tcPr>
            <w:tcW w:w="2038" w:type="dxa"/>
            <w:tcBorders>
              <w:top w:val="single" w:sz="4" w:space="0" w:color="auto"/>
              <w:bottom w:val="single" w:sz="4" w:space="0" w:color="auto"/>
            </w:tcBorders>
          </w:tcPr>
          <w:p w:rsidR="00234376" w:rsidRPr="00537C3C" w:rsidRDefault="00234376" w:rsidP="008E03A7">
            <w:pPr>
              <w:pStyle w:val="TableTextLessSpaceCharCharCharCharCharCharCharChar"/>
              <w:spacing w:before="40" w:after="40"/>
              <w:ind w:right="34"/>
              <w:rPr>
                <w:rFonts w:cs="Arial"/>
                <w:b/>
                <w:szCs w:val="18"/>
              </w:rPr>
            </w:pPr>
            <w:r w:rsidRPr="0030078D">
              <w:rPr>
                <w:rFonts w:cs="Arial"/>
                <w:b/>
                <w:i/>
                <w:szCs w:val="18"/>
              </w:rPr>
              <w:t>N</w:t>
            </w:r>
            <w:r w:rsidRPr="00537C3C">
              <w:rPr>
                <w:rFonts w:cs="Arial"/>
                <w:b/>
                <w:szCs w:val="18"/>
              </w:rPr>
              <w:t xml:space="preserve"> = 55164</w:t>
            </w:r>
          </w:p>
          <w:p w:rsidR="00234376" w:rsidRPr="00537C3C" w:rsidRDefault="00234376" w:rsidP="008E03A7">
            <w:pPr>
              <w:pStyle w:val="TableTextLessSpaceCharCharCharCharCharCharCharChar"/>
              <w:spacing w:before="0"/>
            </w:pPr>
          </w:p>
          <w:p w:rsidR="00234376" w:rsidRPr="00537C3C" w:rsidRDefault="00234376" w:rsidP="008E03A7">
            <w:pPr>
              <w:pStyle w:val="TableTextLessSpaceCharCharCharCharCharCharCharChar"/>
              <w:spacing w:before="0"/>
              <w:rPr>
                <w:b/>
              </w:rPr>
            </w:pPr>
            <w:r w:rsidRPr="00537C3C">
              <w:rPr>
                <w:b/>
              </w:rPr>
              <w:t>Inclusion criteria</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Any age</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 xml:space="preserve">Electing </w:t>
            </w:r>
            <w:r w:rsidRPr="00BB76D8">
              <w:t>LBC</w:t>
            </w:r>
            <w:r w:rsidRPr="00537C3C">
              <w:t xml:space="preserve"> sample</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Screening and diagnostic population</w:t>
            </w:r>
          </w:p>
          <w:p w:rsidR="00234376" w:rsidRPr="00537C3C" w:rsidRDefault="00234376" w:rsidP="008E03A7">
            <w:pPr>
              <w:pStyle w:val="TableTextLessSpaceCharCharCharCharCharCharCharChar"/>
              <w:spacing w:before="0"/>
            </w:pPr>
          </w:p>
          <w:p w:rsidR="00234376" w:rsidRPr="00537C3C" w:rsidRDefault="00234376" w:rsidP="008E03A7">
            <w:pPr>
              <w:pStyle w:val="TableTextLessSpaceCharCharCharCharCharCharCharChar"/>
              <w:spacing w:before="0"/>
              <w:ind w:right="317"/>
            </w:pPr>
          </w:p>
          <w:p w:rsidR="00234376" w:rsidRPr="00537C3C" w:rsidRDefault="00234376" w:rsidP="008E03A7">
            <w:pPr>
              <w:pStyle w:val="TableTextLessSpaceCharCharCharCharCharCharCharChar"/>
              <w:spacing w:before="0"/>
              <w:ind w:right="317"/>
            </w:pPr>
          </w:p>
        </w:tc>
        <w:tc>
          <w:tcPr>
            <w:tcW w:w="1985" w:type="dxa"/>
            <w:gridSpan w:val="2"/>
            <w:tcBorders>
              <w:top w:val="single" w:sz="4" w:space="0" w:color="auto"/>
              <w:bottom w:val="single" w:sz="4" w:space="0" w:color="auto"/>
            </w:tcBorders>
          </w:tcPr>
          <w:p w:rsidR="00234376" w:rsidRPr="00537C3C" w:rsidRDefault="00234376" w:rsidP="008E03A7">
            <w:pPr>
              <w:pStyle w:val="TableTextLessSpaceCharCharCharCharCharCharCharChar"/>
              <w:ind w:right="34"/>
              <w:rPr>
                <w:b/>
              </w:rPr>
            </w:pPr>
            <w:r w:rsidRPr="00537C3C">
              <w:t xml:space="preserve"> </w:t>
            </w:r>
            <w:r w:rsidRPr="00537C3C">
              <w:rPr>
                <w:b/>
              </w:rPr>
              <w:t>Index test</w:t>
            </w:r>
          </w:p>
          <w:p w:rsidR="00234376" w:rsidRPr="00537C3C" w:rsidRDefault="00234376" w:rsidP="008E03A7">
            <w:pPr>
              <w:keepNext/>
              <w:spacing w:before="40" w:after="120"/>
              <w:ind w:left="0"/>
              <w:rPr>
                <w:rFonts w:ascii="Arial Narrow" w:hAnsi="Arial Narrow"/>
                <w:sz w:val="18"/>
              </w:rPr>
            </w:pPr>
            <w:r w:rsidRPr="00537C3C">
              <w:rPr>
                <w:rFonts w:ascii="Arial Narrow" w:hAnsi="Arial Narrow"/>
                <w:sz w:val="18"/>
              </w:rPr>
              <w:t xml:space="preserve">ThinPrep </w:t>
            </w:r>
            <w:r w:rsidRPr="00BB76D8">
              <w:rPr>
                <w:rFonts w:ascii="Arial Narrow" w:hAnsi="Arial Narrow"/>
                <w:sz w:val="18"/>
              </w:rPr>
              <w:t>LBC</w:t>
            </w:r>
            <w:r w:rsidRPr="00537C3C">
              <w:rPr>
                <w:rFonts w:ascii="Arial Narrow" w:hAnsi="Arial Narrow"/>
                <w:sz w:val="18"/>
              </w:rPr>
              <w:t xml:space="preserve"> with ThinPrep Imager reading</w:t>
            </w:r>
          </w:p>
          <w:p w:rsidR="00234376" w:rsidRPr="00537C3C" w:rsidRDefault="00234376" w:rsidP="008E03A7">
            <w:pPr>
              <w:pStyle w:val="TableTextLessSpaceCharCharCharCharCharCharCharChar"/>
              <w:ind w:right="34"/>
            </w:pPr>
            <w:r w:rsidRPr="00537C3C">
              <w:rPr>
                <w:b/>
              </w:rPr>
              <w:t>Comparator test</w:t>
            </w:r>
          </w:p>
          <w:p w:rsidR="00234376" w:rsidRPr="008E03A7" w:rsidRDefault="00234376" w:rsidP="008E03A7">
            <w:pPr>
              <w:pStyle w:val="TableTextLessSpaceCharCharCharCharCharCharCharChar"/>
              <w:ind w:right="34"/>
            </w:pPr>
            <w:r w:rsidRPr="00537C3C">
              <w:rPr>
                <w:rFonts w:cs="Arial"/>
                <w:szCs w:val="18"/>
              </w:rPr>
              <w:t>Conventional cytology with manual reading</w:t>
            </w:r>
          </w:p>
          <w:p w:rsidR="00234376" w:rsidRPr="00537C3C" w:rsidRDefault="00234376" w:rsidP="008E03A7">
            <w:pPr>
              <w:pStyle w:val="TableTextLessSpaceCharCharCharCharCharCharCharChar"/>
              <w:ind w:right="34"/>
              <w:rPr>
                <w:highlight w:val="lightGray"/>
              </w:rPr>
            </w:pPr>
          </w:p>
          <w:p w:rsidR="00234376" w:rsidRPr="00537C3C" w:rsidRDefault="00234376" w:rsidP="008E03A7">
            <w:pPr>
              <w:pStyle w:val="TableTextLessSpaceCharCharCharCharCharCharCharChar"/>
              <w:ind w:right="34"/>
              <w:rPr>
                <w:highlight w:val="lightGray"/>
              </w:rPr>
            </w:pPr>
          </w:p>
        </w:tc>
        <w:tc>
          <w:tcPr>
            <w:tcW w:w="4677" w:type="dxa"/>
            <w:tcBorders>
              <w:top w:val="single" w:sz="4" w:space="0" w:color="auto"/>
              <w:bottom w:val="single" w:sz="4" w:space="0" w:color="auto"/>
            </w:tcBorders>
          </w:tcPr>
          <w:p w:rsidR="00234376" w:rsidRPr="00537C3C" w:rsidRDefault="00234376" w:rsidP="008E03A7">
            <w:pPr>
              <w:pStyle w:val="TableTextLessSpaceCharCharCharCharCharCharCharChar"/>
              <w:spacing w:before="40" w:after="40"/>
              <w:ind w:right="34"/>
            </w:pPr>
            <w:r w:rsidRPr="00537C3C">
              <w:rPr>
                <w:b/>
              </w:rPr>
              <w:t xml:space="preserve">Study design: </w:t>
            </w:r>
            <w:r w:rsidRPr="00537C3C">
              <w:t>Diagnostic accuracy study with split-sample pairs</w:t>
            </w:r>
          </w:p>
          <w:p w:rsidR="00234376" w:rsidRPr="00537C3C" w:rsidRDefault="00234376" w:rsidP="008E03A7">
            <w:pPr>
              <w:pStyle w:val="TableTextLessSpaceCharCharCharCharCharCharCharChar"/>
              <w:spacing w:before="40" w:after="40"/>
              <w:ind w:right="34"/>
            </w:pPr>
            <w:r w:rsidRPr="00537C3C">
              <w:rPr>
                <w:b/>
              </w:rPr>
              <w:t>Test threshold:</w:t>
            </w:r>
            <w:r w:rsidRPr="00537C3C">
              <w:t xml:space="preserve"> </w:t>
            </w:r>
            <w:r w:rsidRPr="00537C3C">
              <w:rPr>
                <w:rFonts w:cs="Arial"/>
                <w:szCs w:val="18"/>
              </w:rPr>
              <w:t xml:space="preserve">Test: </w:t>
            </w:r>
            <w:r w:rsidRPr="00BB76D8">
              <w:t>CIN</w:t>
            </w:r>
            <w:r w:rsidRPr="00537C3C">
              <w:t xml:space="preserve"> 1+, Reference standard: </w:t>
            </w:r>
            <w:r w:rsidRPr="00BB76D8">
              <w:t>CIN</w:t>
            </w:r>
            <w:r w:rsidRPr="00537C3C">
              <w:t xml:space="preserve"> 2+</w:t>
            </w:r>
          </w:p>
          <w:p w:rsidR="00234376" w:rsidRPr="00537C3C" w:rsidRDefault="00234376" w:rsidP="008E03A7">
            <w:pPr>
              <w:pStyle w:val="TableTextLessSpaceCharCharCharCharCharCharCharChar"/>
              <w:ind w:right="34"/>
              <w:rPr>
                <w:rFonts w:cs="Arial"/>
                <w:b/>
                <w:szCs w:val="18"/>
              </w:rPr>
            </w:pPr>
            <w:r w:rsidRPr="00537C3C">
              <w:rPr>
                <w:rFonts w:cs="Arial"/>
                <w:szCs w:val="18"/>
              </w:rPr>
              <w:t>Contingency data provided enabling re-calculation of accuracy data for alternat</w:t>
            </w:r>
            <w:r w:rsidR="006E4528">
              <w:rPr>
                <w:rFonts w:cs="Arial"/>
                <w:szCs w:val="18"/>
              </w:rPr>
              <w:t>ive</w:t>
            </w:r>
            <w:r w:rsidRPr="00537C3C">
              <w:rPr>
                <w:rFonts w:cs="Arial"/>
                <w:szCs w:val="18"/>
              </w:rPr>
              <w:t xml:space="preserve"> test thresholds.</w:t>
            </w:r>
          </w:p>
          <w:p w:rsidR="00234376" w:rsidRPr="00A316F5" w:rsidRDefault="00234376" w:rsidP="00104199">
            <w:pPr>
              <w:pStyle w:val="TableTextLessSpaceCharCharCharCharCharCharCharChar"/>
              <w:spacing w:before="40" w:after="120"/>
            </w:pPr>
            <w:r w:rsidRPr="00537C3C">
              <w:rPr>
                <w:b/>
              </w:rPr>
              <w:t>Reference standard:</w:t>
            </w:r>
          </w:p>
          <w:p w:rsidR="00234376" w:rsidRDefault="00234376" w:rsidP="00104199">
            <w:pPr>
              <w:pStyle w:val="TableTextLessSpaceCharCharCharCharCharCharCharChar"/>
              <w:spacing w:before="40" w:after="120"/>
              <w:rPr>
                <w:rFonts w:cs="Arial"/>
                <w:szCs w:val="18"/>
              </w:rPr>
            </w:pPr>
            <w:r w:rsidRPr="00537C3C">
              <w:t>Histology (within 6 months) for discordant cytology, using 1) register results; 2) blinded re-reading of histology slides; and 3) more</w:t>
            </w:r>
            <w:r w:rsidRPr="00537C3C">
              <w:rPr>
                <w:rFonts w:cs="Arial"/>
                <w:szCs w:val="18"/>
              </w:rPr>
              <w:t xml:space="preserve"> severe result from 1) or 2).</w:t>
            </w:r>
          </w:p>
          <w:p w:rsidR="00234376" w:rsidRPr="00537C3C" w:rsidRDefault="00234376" w:rsidP="008E03A7">
            <w:pPr>
              <w:keepNext/>
              <w:spacing w:before="40" w:after="120"/>
              <w:ind w:left="0"/>
              <w:rPr>
                <w:sz w:val="18"/>
              </w:rPr>
            </w:pPr>
            <w:r w:rsidRPr="00537C3C">
              <w:rPr>
                <w:rFonts w:ascii="Arial Narrow" w:hAnsi="Arial Narrow" w:cs="Arial"/>
                <w:sz w:val="18"/>
                <w:szCs w:val="18"/>
              </w:rPr>
              <w:t>No reference standard for 254/844 (30%) discordant samples. Logistic modelling indicated no association between test and whether verified (</w:t>
            </w:r>
            <w:r w:rsidRPr="00537C3C">
              <w:rPr>
                <w:rFonts w:ascii="Arial Narrow" w:hAnsi="Arial Narrow" w:cs="Arial"/>
                <w:sz w:val="18"/>
                <w:szCs w:val="18"/>
              </w:rPr>
              <w:sym w:font="Symbol" w:char="F063"/>
            </w:r>
            <w:r w:rsidRPr="00537C3C">
              <w:rPr>
                <w:rFonts w:ascii="Arial Narrow" w:hAnsi="Arial Narrow" w:cs="Arial"/>
                <w:sz w:val="18"/>
                <w:szCs w:val="18"/>
                <w:vertAlign w:val="superscript"/>
              </w:rPr>
              <w:t>2</w:t>
            </w:r>
            <w:r w:rsidRPr="00537C3C">
              <w:rPr>
                <w:rFonts w:ascii="Arial Narrow" w:hAnsi="Arial Narrow" w:cs="Arial"/>
                <w:sz w:val="18"/>
                <w:szCs w:val="18"/>
              </w:rPr>
              <w:t xml:space="preserve"> = 0.50, 1df, </w:t>
            </w:r>
            <w:r w:rsidRPr="0030078D">
              <w:rPr>
                <w:rFonts w:ascii="Arial Narrow" w:hAnsi="Arial Narrow" w:cs="Arial"/>
                <w:i/>
                <w:sz w:val="18"/>
                <w:szCs w:val="18"/>
              </w:rPr>
              <w:t>P</w:t>
            </w:r>
            <w:r w:rsidRPr="00537C3C">
              <w:rPr>
                <w:rFonts w:ascii="Arial Narrow" w:hAnsi="Arial Narrow" w:cs="Arial"/>
                <w:sz w:val="18"/>
                <w:szCs w:val="18"/>
              </w:rPr>
              <w:t xml:space="preserve"> = 0.48).</w:t>
            </w:r>
          </w:p>
          <w:p w:rsidR="00234376" w:rsidRPr="00537C3C" w:rsidRDefault="00234376" w:rsidP="008E03A7">
            <w:pPr>
              <w:pStyle w:val="TableTextLessSpaceCharCharCharCharCharCharCharChar"/>
              <w:spacing w:before="40" w:after="40"/>
              <w:ind w:right="34"/>
              <w:rPr>
                <w:b/>
              </w:rPr>
            </w:pPr>
            <w:r w:rsidRPr="00537C3C">
              <w:rPr>
                <w:b/>
              </w:rPr>
              <w:t>Outcomes</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t>Accuracy</w:t>
            </w:r>
            <w:r w:rsidRPr="00537C3C">
              <w:rPr>
                <w:rFonts w:cs="Arial"/>
                <w:szCs w:val="18"/>
              </w:rPr>
              <w:t xml:space="preserve"> for squamous lesions: incremental </w:t>
            </w:r>
            <w:r w:rsidRPr="00BB76D8">
              <w:rPr>
                <w:rFonts w:cs="Arial"/>
                <w:szCs w:val="18"/>
              </w:rPr>
              <w:t>TP</w:t>
            </w:r>
            <w:r w:rsidRPr="00537C3C">
              <w:rPr>
                <w:rFonts w:cs="Arial"/>
                <w:szCs w:val="18"/>
              </w:rPr>
              <w:t xml:space="preserve">, </w:t>
            </w:r>
            <w:bookmarkStart w:id="382" w:name="OLE_LINK166"/>
            <w:bookmarkStart w:id="383" w:name="OLE_LINK167"/>
            <w:r w:rsidRPr="00BB76D8">
              <w:rPr>
                <w:rFonts w:cs="Arial"/>
                <w:szCs w:val="18"/>
              </w:rPr>
              <w:t>TP</w:t>
            </w:r>
            <w:r w:rsidRPr="00537C3C">
              <w:rPr>
                <w:rFonts w:cs="Arial"/>
                <w:szCs w:val="18"/>
              </w:rPr>
              <w:t>:</w:t>
            </w:r>
            <w:r w:rsidRPr="00BB76D8">
              <w:rPr>
                <w:rFonts w:cs="Arial"/>
                <w:szCs w:val="18"/>
              </w:rPr>
              <w:t>FP</w:t>
            </w:r>
            <w:bookmarkEnd w:id="382"/>
            <w:bookmarkEnd w:id="383"/>
            <w:r w:rsidRPr="00537C3C">
              <w:rPr>
                <w:rFonts w:cs="Arial"/>
                <w:szCs w:val="18"/>
              </w:rPr>
              <w:t>, accuracy for glandular lesions</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Unsatisfactory rate</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Test yield</w:t>
            </w:r>
          </w:p>
        </w:tc>
        <w:tc>
          <w:tcPr>
            <w:tcW w:w="2977" w:type="dxa"/>
            <w:gridSpan w:val="2"/>
            <w:tcBorders>
              <w:top w:val="single" w:sz="4" w:space="0" w:color="auto"/>
              <w:bottom w:val="single" w:sz="4" w:space="0" w:color="auto"/>
            </w:tcBorders>
          </w:tcPr>
          <w:p w:rsidR="00234376" w:rsidRPr="00537C3C" w:rsidRDefault="00234376" w:rsidP="008E03A7">
            <w:pPr>
              <w:pStyle w:val="TableTextLessSpaceCharCharCharCharCharCharCharChar"/>
              <w:rPr>
                <w:b/>
              </w:rPr>
            </w:pPr>
            <w:r w:rsidRPr="00537C3C">
              <w:rPr>
                <w:b/>
              </w:rPr>
              <w:t>C1 P1 Q2</w:t>
            </w:r>
          </w:p>
          <w:p w:rsidR="00234376" w:rsidRPr="00537C3C" w:rsidRDefault="00234376" w:rsidP="008E03A7">
            <w:pPr>
              <w:pStyle w:val="TableTextLessSpaceCharCharCharCharCharCharCharChar"/>
              <w:rPr>
                <w:b/>
              </w:rPr>
            </w:pPr>
            <w:r w:rsidRPr="00537C3C">
              <w:rPr>
                <w:b/>
              </w:rPr>
              <w:t xml:space="preserve">Accuracy study </w:t>
            </w:r>
            <w:r w:rsidRPr="00BB76D8">
              <w:rPr>
                <w:b/>
              </w:rPr>
              <w:t>NHMRC</w:t>
            </w:r>
            <w:r w:rsidRPr="00537C3C">
              <w:rPr>
                <w:b/>
              </w:rPr>
              <w:t xml:space="preserve"> level </w:t>
            </w:r>
            <w:r w:rsidRPr="00BB76D8">
              <w:rPr>
                <w:b/>
              </w:rPr>
              <w:t>III</w:t>
            </w:r>
            <w:r w:rsidRPr="00537C3C">
              <w:rPr>
                <w:b/>
              </w:rPr>
              <w:t>-2</w:t>
            </w:r>
          </w:p>
          <w:p w:rsidR="00234376" w:rsidRPr="00537C3C" w:rsidRDefault="00234376" w:rsidP="008E03A7">
            <w:pPr>
              <w:pStyle w:val="TableTextLessSpaceCharCharCharCharCharCharCharChar"/>
              <w:rPr>
                <w:b/>
              </w:rPr>
            </w:pPr>
            <w:r w:rsidRPr="00537C3C">
              <w:rPr>
                <w:b/>
              </w:rPr>
              <w:t>Quality: fair</w:t>
            </w:r>
          </w:p>
          <w:p w:rsidR="00234376" w:rsidRPr="00537C3C" w:rsidRDefault="00234376" w:rsidP="008E03A7">
            <w:pPr>
              <w:pStyle w:val="TableTextLessSpaceCharCharCharCharCharCharCharChar"/>
            </w:pPr>
            <w:r w:rsidRPr="00537C3C">
              <w:t>Prospective, consecutive, reference standard valid but not applied to all discordant participants</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rPr>
                <w:b/>
              </w:rPr>
            </w:pPr>
            <w:r w:rsidRPr="00537C3C">
              <w:rPr>
                <w:b/>
              </w:rPr>
              <w:t>Applicable</w:t>
            </w:r>
          </w:p>
          <w:p w:rsidR="00234376" w:rsidRPr="00537C3C" w:rsidRDefault="00234376" w:rsidP="008E03A7">
            <w:pPr>
              <w:pStyle w:val="TableTextLessSpaceCharCharCharCharCharCharCharChar"/>
            </w:pPr>
            <w:r w:rsidRPr="00537C3C">
              <w:t>Applicable population (mixed screening &amp; diagnostic), index test &amp; comparator</w:t>
            </w:r>
          </w:p>
          <w:p w:rsidR="00234376" w:rsidRPr="00537C3C" w:rsidRDefault="00234376" w:rsidP="008E03A7">
            <w:pPr>
              <w:pStyle w:val="TableTextLessSpaceCharCharCharCharCharCharCharChar"/>
            </w:pPr>
          </w:p>
        </w:tc>
      </w:tr>
      <w:tr w:rsidR="00234376" w:rsidRPr="00537C3C">
        <w:tblPrEx>
          <w:tblBorders>
            <w:top w:val="none" w:sz="0" w:space="0" w:color="auto"/>
            <w:bottom w:val="none" w:sz="0" w:space="0" w:color="auto"/>
            <w:insideH w:val="none" w:sz="0" w:space="0" w:color="auto"/>
          </w:tblBorders>
        </w:tblPrEx>
        <w:trPr>
          <w:trHeight w:val="180"/>
        </w:trPr>
        <w:tc>
          <w:tcPr>
            <w:tcW w:w="1637" w:type="dxa"/>
            <w:tcBorders>
              <w:top w:val="single" w:sz="4" w:space="0" w:color="auto"/>
            </w:tcBorders>
          </w:tcPr>
          <w:p w:rsidR="00234376" w:rsidRPr="00537C3C" w:rsidRDefault="00234376" w:rsidP="008E03A7">
            <w:pPr>
              <w:pStyle w:val="TableTextLessSpaceCharCharCharCharCharCharCharChar"/>
              <w:keepNext w:val="0"/>
            </w:pPr>
            <w:r w:rsidRPr="00537C3C">
              <w:rPr>
                <w:rFonts w:cs="Arial"/>
                <w:b/>
                <w:szCs w:val="18"/>
              </w:rPr>
              <w:t xml:space="preserve">Davey et al. </w:t>
            </w:r>
            <w:r w:rsidRPr="00537C3C">
              <w:rPr>
                <w:rFonts w:cs="Arial"/>
                <w:b/>
                <w:szCs w:val="18"/>
              </w:rPr>
              <w:fldChar w:fldCharType="begin"/>
            </w:r>
            <w:r w:rsidRPr="00537C3C">
              <w:rPr>
                <w:rFonts w:cs="Arial"/>
                <w:b/>
                <w:szCs w:val="18"/>
              </w:rPr>
              <w:instrText xml:space="preserve"> ADDIN REFMGR.CITE &lt;Refman&gt;&lt;Cite ExcludeAuth="1"&gt;&lt;Author&gt;Davey&lt;/Author&gt;&lt;Year&gt;2007&lt;/Year&gt;&lt;RecNum&gt;33&lt;/RecNum&gt;&lt;IDText&gt;Cervical cytology reading times: A comparison between ThinPrep Imager and conventional methods&lt;/IDText&gt;&lt;MDL Ref_Type="Journal"&gt;&lt;Ref_Type&gt;Journal&lt;/Ref_Type&gt;&lt;Ref_ID&gt;33&lt;/Ref_ID&gt;&lt;Title_Primary&gt;Cervical cytology reading times: A comparison between ThinPrep Imager and conventional methods&lt;/Title_Primary&gt;&lt;Authors_Primary&gt;Davey,E.&lt;/Authors_Primary&gt;&lt;Authors_Primary&gt;Irwig,L.&lt;/Authors_Primary&gt;&lt;Authors_Primary&gt;Macaskill,P.&lt;/Authors_Primary&gt;&lt;Authors_Primary&gt;Chan,S.F.&lt;/Authors_Primary&gt;&lt;Authors_Primary&gt;D&amp;apos;Assuncao,J.&lt;/Authors_Primary&gt;&lt;Authors_Primary&gt;Richards,A.&lt;/Authors_Primary&gt;&lt;Authors_Primary&gt;Farnsworth,A.&lt;/Authors_Primary&gt;&lt;Date_Primary&gt;2007&lt;/Date_Primary&gt;&lt;Keywords&gt;article&lt;/Keywords&gt;&lt;Keywords&gt;controlled study&lt;/Keywords&gt;&lt;Keywords&gt;human&lt;/Keywords&gt;&lt;Keywords&gt;intermethod comparison&lt;/Keywords&gt;&lt;Keywords&gt;laboratory diagnosis&lt;/Keywords&gt;&lt;Keywords&gt;medical practice&lt;/Keywords&gt;&lt;Keywords&gt;priority journal&lt;/Keywords&gt;&lt;Keywords&gt;uterine cervix cytology&lt;/Keywords&gt;&lt;Reprint&gt;In File&lt;/Reprint&gt;&lt;Start_Page&gt;550&lt;/Start_Page&gt;&lt;End_Page&gt;554&lt;/End_Page&gt;&lt;Periodical&gt;Diagnostic Cytopathology&lt;/Periodical&gt;&lt;Volume&gt;35&lt;/Volume&gt;&lt;Issue&gt;9&lt;/Issue&gt;&lt;ISSN_ISBN&gt;8755-1039&lt;/ISSN_ISBN&gt;&lt;Address&gt;Davey, E., Screening and Test Evaluation Program, School of Public Health, University of Sydney, Sydney, NSW 2006, Australia&lt;/Address&gt;&lt;ZZ_JournalFull&gt;&lt;f name="System"&gt;Diagnostic Cytopathology&lt;/f&gt;&lt;/ZZ_JournalFull&gt;&lt;ZZ_JournalStdAbbrev&gt;&lt;f name="System"&gt;Diagn.Cytopathol.&lt;/f&gt;&lt;/ZZ_JournalStdAbbrev&gt;&lt;ZZ_WorkformID&gt;1&lt;/ZZ_WorkformID&gt;&lt;/MDL&gt;&lt;/Cite&gt;&lt;/Refman&gt;</w:instrText>
            </w:r>
            <w:r w:rsidRPr="00537C3C">
              <w:rPr>
                <w:rFonts w:cs="Arial"/>
                <w:b/>
                <w:szCs w:val="18"/>
              </w:rPr>
              <w:fldChar w:fldCharType="separate"/>
            </w:r>
            <w:r w:rsidRPr="00537C3C">
              <w:rPr>
                <w:rFonts w:cs="Arial"/>
                <w:b/>
                <w:szCs w:val="18"/>
              </w:rPr>
              <w:t>(2007b)</w:t>
            </w:r>
            <w:r w:rsidRPr="00537C3C">
              <w:rPr>
                <w:rFonts w:cs="Arial"/>
                <w:b/>
                <w:szCs w:val="18"/>
              </w:rPr>
              <w:fldChar w:fldCharType="end"/>
            </w:r>
          </w:p>
          <w:p w:rsidR="00234376" w:rsidRPr="00537C3C" w:rsidRDefault="00234376" w:rsidP="008E03A7">
            <w:pPr>
              <w:pStyle w:val="TableTextLessSpaceCharCharCharCharCharCharCharChar"/>
              <w:keepNext w:val="0"/>
              <w:rPr>
                <w:rFonts w:cs="Arial"/>
                <w:b/>
                <w:szCs w:val="18"/>
              </w:rPr>
            </w:pPr>
          </w:p>
          <w:p w:rsidR="00234376" w:rsidRPr="00537C3C" w:rsidRDefault="00234376" w:rsidP="008E03A7">
            <w:pPr>
              <w:pStyle w:val="TableTextLessSpaceCharCharCharCharCharCharCharChar"/>
              <w:keepNext w:val="0"/>
              <w:rPr>
                <w:rFonts w:cs="Arial"/>
                <w:b/>
                <w:szCs w:val="18"/>
              </w:rPr>
            </w:pPr>
            <w:r w:rsidRPr="00537C3C">
              <w:rPr>
                <w:rFonts w:cs="Arial"/>
                <w:szCs w:val="18"/>
              </w:rPr>
              <w:t>Aug 2004 – Feb 2005</w:t>
            </w:r>
          </w:p>
        </w:tc>
        <w:tc>
          <w:tcPr>
            <w:tcW w:w="2038" w:type="dxa"/>
            <w:tcBorders>
              <w:top w:val="single" w:sz="4" w:space="0" w:color="auto"/>
            </w:tcBorders>
          </w:tcPr>
          <w:p w:rsidR="00234376" w:rsidRPr="00537C3C" w:rsidRDefault="00234376" w:rsidP="008E03A7">
            <w:pPr>
              <w:pStyle w:val="TableTextLessSpaceCharCharCharCharCharCharCharChar"/>
              <w:keepNext w:val="0"/>
              <w:spacing w:before="40" w:after="40"/>
              <w:ind w:right="34"/>
              <w:rPr>
                <w:rFonts w:cs="Arial"/>
                <w:b/>
                <w:szCs w:val="18"/>
              </w:rPr>
            </w:pPr>
            <w:r w:rsidRPr="00537C3C">
              <w:rPr>
                <w:rFonts w:cs="Arial"/>
                <w:b/>
                <w:szCs w:val="18"/>
              </w:rPr>
              <w:t>Slide reading sessions</w:t>
            </w:r>
          </w:p>
          <w:p w:rsidR="00234376" w:rsidRPr="00537C3C" w:rsidRDefault="00234376" w:rsidP="008E03A7">
            <w:pPr>
              <w:pStyle w:val="TableTextLessSpaceCharCharCharCharCharCharCharChar"/>
              <w:keepNext w:val="0"/>
              <w:spacing w:before="40" w:after="40"/>
              <w:ind w:right="34"/>
              <w:rPr>
                <w:rFonts w:cs="Arial"/>
                <w:b/>
                <w:szCs w:val="18"/>
              </w:rPr>
            </w:pPr>
            <w:bookmarkStart w:id="384" w:name="OLE_LINK164"/>
            <w:bookmarkStart w:id="385" w:name="OLE_LINK165"/>
            <w:r w:rsidRPr="00BB76D8">
              <w:rPr>
                <w:rFonts w:cs="Arial"/>
                <w:szCs w:val="18"/>
              </w:rPr>
              <w:t>TPI</w:t>
            </w:r>
            <w:r w:rsidRPr="00537C3C">
              <w:rPr>
                <w:rFonts w:cs="Arial"/>
                <w:szCs w:val="18"/>
              </w:rPr>
              <w:t xml:space="preserve"> </w:t>
            </w:r>
            <w:bookmarkEnd w:id="384"/>
            <w:bookmarkEnd w:id="385"/>
            <w:r w:rsidRPr="00537C3C">
              <w:rPr>
                <w:rFonts w:cs="Arial"/>
                <w:szCs w:val="18"/>
              </w:rPr>
              <w:t xml:space="preserve">trained readers: </w:t>
            </w:r>
            <w:r w:rsidRPr="0030078D">
              <w:rPr>
                <w:rFonts w:cs="Arial"/>
                <w:b/>
                <w:i/>
                <w:szCs w:val="18"/>
              </w:rPr>
              <w:t>N</w:t>
            </w:r>
            <w:r w:rsidRPr="00537C3C">
              <w:rPr>
                <w:rFonts w:cs="Arial"/>
                <w:b/>
                <w:szCs w:val="18"/>
              </w:rPr>
              <w:t xml:space="preserve"> = 581 </w:t>
            </w:r>
            <w:r w:rsidRPr="00A316F5">
              <w:rPr>
                <w:rFonts w:cs="Arial"/>
                <w:b/>
                <w:szCs w:val="18"/>
              </w:rPr>
              <w:t>CC</w:t>
            </w:r>
            <w:r w:rsidRPr="00537C3C">
              <w:rPr>
                <w:rFonts w:cs="Arial"/>
                <w:b/>
                <w:szCs w:val="18"/>
              </w:rPr>
              <w:t xml:space="preserve">, 379 </w:t>
            </w:r>
            <w:r w:rsidRPr="00BB76D8">
              <w:rPr>
                <w:rFonts w:cs="Arial"/>
                <w:b/>
                <w:szCs w:val="18"/>
              </w:rPr>
              <w:t>TPI</w:t>
            </w:r>
          </w:p>
          <w:p w:rsidR="00234376" w:rsidRPr="00537C3C" w:rsidRDefault="00234376" w:rsidP="008E03A7">
            <w:pPr>
              <w:pStyle w:val="TableTextLessSpaceCharCharCharCharCharCharCharChar"/>
              <w:keepNext w:val="0"/>
              <w:spacing w:before="40" w:after="40"/>
              <w:ind w:right="34"/>
              <w:rPr>
                <w:rFonts w:cs="Arial"/>
                <w:b/>
                <w:szCs w:val="18"/>
              </w:rPr>
            </w:pPr>
            <w:r w:rsidRPr="00537C3C">
              <w:rPr>
                <w:rFonts w:cs="Arial"/>
                <w:szCs w:val="18"/>
              </w:rPr>
              <w:t>Non-</w:t>
            </w:r>
            <w:r w:rsidRPr="00BB76D8">
              <w:rPr>
                <w:rFonts w:cs="Arial"/>
                <w:szCs w:val="18"/>
              </w:rPr>
              <w:t>TPI</w:t>
            </w:r>
            <w:r w:rsidRPr="00537C3C">
              <w:rPr>
                <w:rFonts w:cs="Arial"/>
                <w:szCs w:val="18"/>
              </w:rPr>
              <w:t xml:space="preserve"> readers: </w:t>
            </w:r>
            <w:r w:rsidRPr="0030078D">
              <w:rPr>
                <w:rFonts w:cs="Arial"/>
                <w:b/>
                <w:i/>
                <w:szCs w:val="18"/>
              </w:rPr>
              <w:t>N</w:t>
            </w:r>
            <w:r w:rsidRPr="00537C3C">
              <w:rPr>
                <w:rFonts w:cs="Arial"/>
                <w:b/>
                <w:szCs w:val="18"/>
              </w:rPr>
              <w:t xml:space="preserve"> = 685 </w:t>
            </w:r>
            <w:r w:rsidRPr="00BB76D8">
              <w:rPr>
                <w:rFonts w:cs="Arial"/>
                <w:b/>
                <w:szCs w:val="18"/>
              </w:rPr>
              <w:t>CC</w:t>
            </w:r>
          </w:p>
          <w:p w:rsidR="00234376" w:rsidRPr="00537C3C" w:rsidRDefault="00234376" w:rsidP="008E03A7">
            <w:pPr>
              <w:pStyle w:val="TableTextLessSpaceCharCharCharCharCharCharCharChar"/>
              <w:keepNext w:val="0"/>
              <w:spacing w:before="40" w:after="40"/>
              <w:ind w:right="34"/>
              <w:rPr>
                <w:rFonts w:cs="Arial"/>
                <w:b/>
                <w:szCs w:val="18"/>
              </w:rPr>
            </w:pPr>
          </w:p>
          <w:p w:rsidR="00234376" w:rsidRPr="00537C3C" w:rsidRDefault="00234376" w:rsidP="008E03A7">
            <w:pPr>
              <w:pStyle w:val="TableTextLessSpaceCharCharCharCharCharCharCharChar"/>
              <w:keepNext w:val="0"/>
              <w:spacing w:before="0"/>
              <w:rPr>
                <w:b/>
              </w:rPr>
            </w:pPr>
            <w:r w:rsidRPr="00537C3C">
              <w:rPr>
                <w:b/>
              </w:rPr>
              <w:t>Exclusion criteria</w:t>
            </w:r>
          </w:p>
          <w:p w:rsidR="00234376" w:rsidRPr="00537C3C" w:rsidRDefault="00234376" w:rsidP="00600AC0">
            <w:pPr>
              <w:pStyle w:val="TableTextLessSpaceCharCharCharCharCharCharCharChar"/>
              <w:keepNext w:val="0"/>
              <w:numPr>
                <w:ilvl w:val="0"/>
                <w:numId w:val="6"/>
              </w:numPr>
              <w:tabs>
                <w:tab w:val="clear" w:pos="360"/>
                <w:tab w:val="num" w:pos="152"/>
              </w:tabs>
              <w:ind w:left="152" w:hanging="152"/>
            </w:pPr>
            <w:r w:rsidRPr="00BB76D8">
              <w:t>CC</w:t>
            </w:r>
            <w:r w:rsidRPr="00537C3C">
              <w:t xml:space="preserve"> sessions: any including non-</w:t>
            </w:r>
            <w:r w:rsidRPr="00BB76D8">
              <w:t>CC</w:t>
            </w:r>
          </w:p>
          <w:p w:rsidR="00234376" w:rsidRPr="00537C3C" w:rsidRDefault="00234376" w:rsidP="00600AC0">
            <w:pPr>
              <w:pStyle w:val="TableTextLessSpaceCharCharCharCharCharCharCharChar"/>
              <w:keepNext w:val="0"/>
              <w:numPr>
                <w:ilvl w:val="0"/>
                <w:numId w:val="6"/>
              </w:numPr>
              <w:tabs>
                <w:tab w:val="clear" w:pos="360"/>
                <w:tab w:val="num" w:pos="152"/>
              </w:tabs>
              <w:ind w:left="152" w:hanging="152"/>
            </w:pPr>
            <w:r w:rsidRPr="00537C3C">
              <w:t>Sessions &gt; 3SDs from mean for reader</w:t>
            </w:r>
          </w:p>
          <w:p w:rsidR="00234376" w:rsidRPr="00537C3C" w:rsidRDefault="00234376" w:rsidP="00600AC0">
            <w:pPr>
              <w:pStyle w:val="TableTextLessSpaceCharCharCharCharCharCharCharChar"/>
              <w:keepNext w:val="0"/>
              <w:numPr>
                <w:ilvl w:val="0"/>
                <w:numId w:val="6"/>
              </w:numPr>
              <w:tabs>
                <w:tab w:val="clear" w:pos="360"/>
                <w:tab w:val="num" w:pos="152"/>
              </w:tabs>
              <w:ind w:left="152" w:hanging="152"/>
              <w:rPr>
                <w:rFonts w:cs="Arial"/>
                <w:b/>
                <w:szCs w:val="18"/>
              </w:rPr>
            </w:pPr>
            <w:r w:rsidRPr="00537C3C">
              <w:t xml:space="preserve">38/1645 (2.3%) </w:t>
            </w:r>
            <w:r w:rsidRPr="00537C3C">
              <w:rPr>
                <w:rFonts w:cs="Arial"/>
                <w:szCs w:val="18"/>
              </w:rPr>
              <w:t>excluded</w:t>
            </w:r>
            <w:r w:rsidRPr="00537C3C">
              <w:rPr>
                <w:rFonts w:cs="Arial"/>
                <w:b/>
                <w:szCs w:val="18"/>
              </w:rPr>
              <w:t xml:space="preserve"> </w:t>
            </w:r>
          </w:p>
        </w:tc>
        <w:tc>
          <w:tcPr>
            <w:tcW w:w="1985" w:type="dxa"/>
            <w:gridSpan w:val="2"/>
            <w:tcBorders>
              <w:top w:val="single" w:sz="4" w:space="0" w:color="auto"/>
            </w:tcBorders>
          </w:tcPr>
          <w:p w:rsidR="00234376" w:rsidRPr="00537C3C" w:rsidRDefault="00234376" w:rsidP="008E03A7">
            <w:pPr>
              <w:pStyle w:val="TableTextLessSpaceCharCharCharCharCharCharCharChar"/>
              <w:keepNext w:val="0"/>
              <w:ind w:right="34"/>
            </w:pPr>
          </w:p>
        </w:tc>
        <w:tc>
          <w:tcPr>
            <w:tcW w:w="4677" w:type="dxa"/>
            <w:tcBorders>
              <w:top w:val="single" w:sz="4" w:space="0" w:color="auto"/>
            </w:tcBorders>
          </w:tcPr>
          <w:p w:rsidR="00234376" w:rsidRPr="00537C3C" w:rsidRDefault="00234376" w:rsidP="008E03A7">
            <w:pPr>
              <w:pStyle w:val="TableTextLessSpaceCharCharCharCharCharCharCharChar"/>
              <w:keepNext w:val="0"/>
              <w:spacing w:before="40" w:after="40"/>
              <w:ind w:right="34"/>
              <w:rPr>
                <w:rFonts w:cs="Arial"/>
                <w:szCs w:val="18"/>
              </w:rPr>
            </w:pPr>
            <w:r w:rsidRPr="00537C3C">
              <w:rPr>
                <w:b/>
              </w:rPr>
              <w:t xml:space="preserve">Study design: </w:t>
            </w:r>
            <w:r w:rsidRPr="00537C3C">
              <w:rPr>
                <w:rFonts w:cs="Arial"/>
                <w:szCs w:val="18"/>
              </w:rPr>
              <w:t>Retrospective, cross-sectional study. Substudy of diagnostic accuracy study.</w:t>
            </w:r>
          </w:p>
          <w:p w:rsidR="00234376" w:rsidRPr="00537C3C" w:rsidRDefault="00234376" w:rsidP="008E03A7">
            <w:pPr>
              <w:pStyle w:val="TableTextLessSpaceCharCharCharCharCharCharCharChar"/>
              <w:keepNext w:val="0"/>
              <w:spacing w:before="40" w:after="40"/>
              <w:ind w:right="34"/>
              <w:rPr>
                <w:rFonts w:cs="Arial"/>
                <w:szCs w:val="18"/>
              </w:rPr>
            </w:pPr>
          </w:p>
          <w:p w:rsidR="00234376" w:rsidRPr="00537C3C" w:rsidRDefault="00234376" w:rsidP="008E03A7">
            <w:pPr>
              <w:pStyle w:val="TableTextLessSpaceCharCharCharCharCharCharCharChar"/>
              <w:keepNext w:val="0"/>
              <w:spacing w:before="40" w:after="40"/>
              <w:ind w:right="34"/>
              <w:rPr>
                <w:b/>
              </w:rPr>
            </w:pPr>
            <w:r w:rsidRPr="00537C3C">
              <w:rPr>
                <w:b/>
              </w:rPr>
              <w:t>Outcomes</w:t>
            </w:r>
          </w:p>
          <w:p w:rsidR="00234376" w:rsidRPr="00537C3C" w:rsidRDefault="00234376" w:rsidP="00600AC0">
            <w:pPr>
              <w:pStyle w:val="TableTextLessSpaceCharCharCharCharCharCharCharChar"/>
              <w:keepNext w:val="0"/>
              <w:numPr>
                <w:ilvl w:val="0"/>
                <w:numId w:val="6"/>
              </w:numPr>
              <w:tabs>
                <w:tab w:val="clear" w:pos="360"/>
                <w:tab w:val="num" w:pos="152"/>
              </w:tabs>
              <w:ind w:left="152" w:hanging="152"/>
              <w:rPr>
                <w:b/>
              </w:rPr>
            </w:pPr>
            <w:r w:rsidRPr="00537C3C">
              <w:rPr>
                <w:rFonts w:cs="Arial"/>
                <w:szCs w:val="18"/>
              </w:rPr>
              <w:t>Screening time: mi</w:t>
            </w:r>
            <w:r w:rsidRPr="00A316F5">
              <w:rPr>
                <w:rFonts w:cs="Arial"/>
                <w:szCs w:val="18"/>
              </w:rPr>
              <w:t>n/</w:t>
            </w:r>
            <w:r w:rsidRPr="00537C3C">
              <w:rPr>
                <w:rFonts w:cs="Arial"/>
                <w:szCs w:val="18"/>
              </w:rPr>
              <w:t>slide, slides/h</w:t>
            </w:r>
          </w:p>
          <w:p w:rsidR="00234376" w:rsidRPr="00537C3C" w:rsidRDefault="00234376" w:rsidP="008E03A7">
            <w:pPr>
              <w:pStyle w:val="TableTextLessSpaceCharCharCharCharCharCharCharChar"/>
              <w:keepNext w:val="0"/>
              <w:rPr>
                <w:rFonts w:cs="Arial"/>
                <w:szCs w:val="18"/>
              </w:rPr>
            </w:pPr>
          </w:p>
          <w:p w:rsidR="00234376" w:rsidRPr="00537C3C" w:rsidRDefault="00234376" w:rsidP="008E03A7">
            <w:pPr>
              <w:pStyle w:val="TableTextLessSpaceCharCharCharCharCharCharCharChar"/>
              <w:keepNext w:val="0"/>
              <w:rPr>
                <w:rFonts w:cs="Arial"/>
                <w:szCs w:val="18"/>
              </w:rPr>
            </w:pPr>
            <w:r w:rsidRPr="00537C3C">
              <w:rPr>
                <w:rFonts w:cs="Arial"/>
                <w:b/>
                <w:szCs w:val="18"/>
              </w:rPr>
              <w:t>Subgroups</w:t>
            </w:r>
          </w:p>
          <w:p w:rsidR="00234376" w:rsidRPr="00537C3C" w:rsidRDefault="00234376" w:rsidP="00600AC0">
            <w:pPr>
              <w:pStyle w:val="TableTextLessSpaceCharCharCharCharCharCharCharChar"/>
              <w:keepNext w:val="0"/>
              <w:numPr>
                <w:ilvl w:val="0"/>
                <w:numId w:val="6"/>
              </w:numPr>
              <w:tabs>
                <w:tab w:val="clear" w:pos="360"/>
                <w:tab w:val="num" w:pos="152"/>
              </w:tabs>
              <w:ind w:left="152" w:hanging="152"/>
            </w:pPr>
            <w:r w:rsidRPr="00537C3C">
              <w:t xml:space="preserve">Trained on </w:t>
            </w:r>
            <w:r w:rsidRPr="00BB76D8">
              <w:t>TPI</w:t>
            </w:r>
            <w:r w:rsidRPr="00537C3C">
              <w:t xml:space="preserve"> vs not trained on </w:t>
            </w:r>
            <w:r w:rsidRPr="00BB76D8">
              <w:t>TPI</w:t>
            </w:r>
          </w:p>
          <w:p w:rsidR="00234376" w:rsidRPr="00537C3C" w:rsidRDefault="00234376" w:rsidP="00600AC0">
            <w:pPr>
              <w:pStyle w:val="TableTextLessSpaceCharCharCharCharCharCharCharChar"/>
              <w:keepNext w:val="0"/>
              <w:numPr>
                <w:ilvl w:val="0"/>
                <w:numId w:val="6"/>
              </w:numPr>
              <w:tabs>
                <w:tab w:val="clear" w:pos="360"/>
                <w:tab w:val="num" w:pos="152"/>
              </w:tabs>
              <w:ind w:left="152" w:hanging="152"/>
            </w:pPr>
            <w:r w:rsidRPr="00537C3C">
              <w:t>Years experience</w:t>
            </w:r>
          </w:p>
          <w:p w:rsidR="00234376" w:rsidRPr="00537C3C" w:rsidRDefault="00234376" w:rsidP="00600AC0">
            <w:pPr>
              <w:pStyle w:val="TableTextLessSpaceCharCharCharCharCharCharCharChar"/>
              <w:keepNext w:val="0"/>
              <w:numPr>
                <w:ilvl w:val="0"/>
                <w:numId w:val="6"/>
              </w:numPr>
              <w:tabs>
                <w:tab w:val="clear" w:pos="360"/>
                <w:tab w:val="num" w:pos="152"/>
              </w:tabs>
              <w:ind w:left="152" w:hanging="152"/>
            </w:pPr>
            <w:r w:rsidRPr="00537C3C">
              <w:t>Speed reading conventional cytology</w:t>
            </w:r>
          </w:p>
        </w:tc>
        <w:tc>
          <w:tcPr>
            <w:tcW w:w="2977" w:type="dxa"/>
            <w:gridSpan w:val="2"/>
            <w:tcBorders>
              <w:top w:val="single" w:sz="4" w:space="0" w:color="auto"/>
            </w:tcBorders>
          </w:tcPr>
          <w:p w:rsidR="00234376" w:rsidRPr="00537C3C" w:rsidRDefault="00234376" w:rsidP="008E03A7">
            <w:pPr>
              <w:pStyle w:val="TableTextLessSpaceCharCharCharCharCharCharCharChar"/>
              <w:keepNext w:val="0"/>
              <w:rPr>
                <w:b/>
              </w:rPr>
            </w:pPr>
          </w:p>
        </w:tc>
      </w:tr>
      <w:tr w:rsidR="00234376" w:rsidRPr="00537C3C">
        <w:tc>
          <w:tcPr>
            <w:tcW w:w="1637" w:type="dxa"/>
          </w:tcPr>
          <w:p w:rsidR="00234376" w:rsidRPr="00537C3C" w:rsidRDefault="00234376" w:rsidP="008E03A7">
            <w:pPr>
              <w:pStyle w:val="TableTextLessSpaceCharCharCharCharCharCharCharChar"/>
              <w:rPr>
                <w:b/>
              </w:rPr>
            </w:pPr>
            <w:r w:rsidRPr="00537C3C">
              <w:rPr>
                <w:b/>
              </w:rPr>
              <w:lastRenderedPageBreak/>
              <w:t>Roberts et al. 2007</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pPr>
            <w:smartTag w:uri="urn:schemas-microsoft-com:office:smarttags" w:element="place">
              <w:smartTag w:uri="urn:schemas-microsoft-com:office:smarttags" w:element="country-region">
                <w:r w:rsidRPr="00537C3C">
                  <w:t>Australia</w:t>
                </w:r>
              </w:smartTag>
            </w:smartTag>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pPr>
            <w:r w:rsidRPr="00537C3C">
              <w:t>One pathology laboratory</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pPr>
            <w:r w:rsidRPr="00537C3C">
              <w:t>Feb 2005 – April 2005</w:t>
            </w:r>
          </w:p>
        </w:tc>
        <w:tc>
          <w:tcPr>
            <w:tcW w:w="2038" w:type="dxa"/>
          </w:tcPr>
          <w:p w:rsidR="00234376" w:rsidRPr="00537C3C" w:rsidRDefault="00234376" w:rsidP="008E03A7">
            <w:pPr>
              <w:pStyle w:val="TableTextLessSpaceCharCharCharCharCharCharCharChar"/>
              <w:spacing w:before="40" w:after="40"/>
              <w:ind w:right="34"/>
              <w:rPr>
                <w:rFonts w:cs="Arial"/>
                <w:szCs w:val="18"/>
              </w:rPr>
            </w:pPr>
            <w:r w:rsidRPr="0030078D">
              <w:rPr>
                <w:rFonts w:cs="Arial"/>
                <w:b/>
                <w:i/>
                <w:szCs w:val="18"/>
              </w:rPr>
              <w:t>N</w:t>
            </w:r>
            <w:r w:rsidRPr="00537C3C">
              <w:rPr>
                <w:rFonts w:cs="Arial"/>
                <w:b/>
                <w:szCs w:val="18"/>
              </w:rPr>
              <w:t xml:space="preserve"> = 11 416 + 103</w:t>
            </w:r>
            <w:r w:rsidRPr="00537C3C">
              <w:rPr>
                <w:rFonts w:cs="Arial"/>
                <w:szCs w:val="18"/>
              </w:rPr>
              <w:t xml:space="preserve"> seeded </w:t>
            </w:r>
            <w:r w:rsidRPr="00BB76D8">
              <w:rPr>
                <w:rFonts w:cs="Arial"/>
                <w:szCs w:val="18"/>
              </w:rPr>
              <w:t>LBC</w:t>
            </w:r>
            <w:r w:rsidRPr="00537C3C">
              <w:rPr>
                <w:rFonts w:cs="Arial"/>
                <w:szCs w:val="18"/>
              </w:rPr>
              <w:t xml:space="preserve"> cases</w:t>
            </w:r>
          </w:p>
          <w:p w:rsidR="00234376" w:rsidRPr="00537C3C" w:rsidRDefault="00234376" w:rsidP="008E03A7">
            <w:pPr>
              <w:pStyle w:val="TableTextLessSpaceCharCharCharCharCharCharCharChar"/>
              <w:spacing w:before="40" w:after="40"/>
              <w:ind w:right="34"/>
              <w:rPr>
                <w:rFonts w:cs="Arial"/>
                <w:szCs w:val="18"/>
              </w:rPr>
            </w:pPr>
          </w:p>
          <w:p w:rsidR="00234376" w:rsidRPr="00537C3C" w:rsidRDefault="00234376" w:rsidP="008E03A7">
            <w:pPr>
              <w:pStyle w:val="TableTextLessSpaceCharCharCharCharCharCharCharChar"/>
              <w:spacing w:before="0"/>
              <w:rPr>
                <w:b/>
              </w:rPr>
            </w:pPr>
            <w:r w:rsidRPr="00537C3C">
              <w:rPr>
                <w:b/>
              </w:rPr>
              <w:t>Inclusion criteria</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Routinely received samples ((</w:t>
            </w:r>
            <w:r w:rsidRPr="0030078D">
              <w:rPr>
                <w:i/>
              </w:rPr>
              <w:t>N</w:t>
            </w:r>
            <w:r w:rsidRPr="00537C3C">
              <w:t xml:space="preserve"> = 11 416)</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 xml:space="preserve">Cases </w:t>
            </w:r>
            <w:r w:rsidRPr="00BB76D8">
              <w:t>HSIL</w:t>
            </w:r>
            <w:r w:rsidRPr="00537C3C">
              <w:t xml:space="preserve">, </w:t>
            </w:r>
            <w:r w:rsidRPr="00BB76D8">
              <w:t>AIS</w:t>
            </w:r>
            <w:r w:rsidRPr="00537C3C">
              <w:t xml:space="preserve"> or carcinoma (</w:t>
            </w:r>
            <w:r w:rsidRPr="0030078D">
              <w:rPr>
                <w:i/>
              </w:rPr>
              <w:t>N</w:t>
            </w:r>
            <w:r w:rsidRPr="00537C3C">
              <w:t xml:space="preserve"> = 103), these cases excluded from data reported here</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spacing w:before="0"/>
              <w:rPr>
                <w:b/>
              </w:rPr>
            </w:pPr>
            <w:r w:rsidRPr="00537C3C">
              <w:rPr>
                <w:b/>
              </w:rPr>
              <w:t>Exclusion criteria</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Slides not read by imager (3.7%)</w:t>
            </w:r>
          </w:p>
          <w:p w:rsidR="00234376" w:rsidRPr="00537C3C" w:rsidRDefault="00234376" w:rsidP="008E03A7">
            <w:pPr>
              <w:pStyle w:val="TableTextLessSpaceCharCharCharCharCharCharCharChar"/>
            </w:pPr>
          </w:p>
        </w:tc>
        <w:tc>
          <w:tcPr>
            <w:tcW w:w="1962" w:type="dxa"/>
          </w:tcPr>
          <w:p w:rsidR="00234376" w:rsidRPr="00537C3C" w:rsidRDefault="00234376" w:rsidP="008E03A7">
            <w:pPr>
              <w:pStyle w:val="TableTextLessSpaceCharCharCharCharCharCharCharChar"/>
              <w:ind w:right="34"/>
              <w:rPr>
                <w:b/>
              </w:rPr>
            </w:pPr>
            <w:r w:rsidRPr="00537C3C">
              <w:rPr>
                <w:b/>
              </w:rPr>
              <w:t>Index test</w:t>
            </w:r>
          </w:p>
          <w:p w:rsidR="00234376" w:rsidRPr="00537C3C" w:rsidRDefault="00234376" w:rsidP="008E03A7">
            <w:pPr>
              <w:keepNext/>
              <w:spacing w:before="40" w:after="120"/>
              <w:ind w:left="0"/>
              <w:rPr>
                <w:rFonts w:ascii="Arial Narrow" w:hAnsi="Arial Narrow"/>
                <w:sz w:val="18"/>
              </w:rPr>
            </w:pPr>
            <w:r w:rsidRPr="00537C3C">
              <w:rPr>
                <w:rFonts w:ascii="Arial Narrow" w:hAnsi="Arial Narrow"/>
                <w:sz w:val="18"/>
              </w:rPr>
              <w:t xml:space="preserve">ThinPrep </w:t>
            </w:r>
            <w:r w:rsidRPr="00BB76D8">
              <w:rPr>
                <w:rFonts w:ascii="Arial Narrow" w:hAnsi="Arial Narrow"/>
                <w:sz w:val="18"/>
              </w:rPr>
              <w:t>LBC</w:t>
            </w:r>
            <w:r w:rsidRPr="00537C3C">
              <w:rPr>
                <w:rFonts w:ascii="Arial Narrow" w:hAnsi="Arial Narrow"/>
                <w:sz w:val="18"/>
              </w:rPr>
              <w:t xml:space="preserve"> with ThinPrep Imager reading</w:t>
            </w:r>
          </w:p>
          <w:p w:rsidR="00234376" w:rsidRPr="00537C3C" w:rsidRDefault="00234376" w:rsidP="008E03A7">
            <w:pPr>
              <w:pStyle w:val="TableTextLessSpaceCharCharCharCharCharCharCharChar"/>
              <w:ind w:right="34"/>
            </w:pPr>
            <w:r w:rsidRPr="00537C3C">
              <w:rPr>
                <w:b/>
              </w:rPr>
              <w:t>Comparator test</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Conventional cytology with manual reading</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 xml:space="preserve">Manual reading of </w:t>
            </w:r>
            <w:r w:rsidRPr="00BB76D8">
              <w:t>LBC</w:t>
            </w:r>
            <w:r w:rsidRPr="00537C3C">
              <w:t xml:space="preserve"> samples</w:t>
            </w:r>
          </w:p>
        </w:tc>
        <w:tc>
          <w:tcPr>
            <w:tcW w:w="4752" w:type="dxa"/>
            <w:gridSpan w:val="3"/>
          </w:tcPr>
          <w:p w:rsidR="00234376" w:rsidRPr="00537C3C" w:rsidRDefault="00234376" w:rsidP="008E03A7">
            <w:pPr>
              <w:pStyle w:val="TableTextLessSpaceCharCharCharCharCharCharCharChar"/>
              <w:spacing w:before="40" w:after="40"/>
              <w:ind w:right="34"/>
            </w:pPr>
            <w:r w:rsidRPr="00537C3C">
              <w:rPr>
                <w:b/>
              </w:rPr>
              <w:t xml:space="preserve">Study design: </w:t>
            </w:r>
            <w:r w:rsidRPr="00537C3C">
              <w:t>Three-arm diagnostic accuracy study with split-sample pairs and seeded cases. Data reported separately for routine and seeded cases.</w:t>
            </w:r>
          </w:p>
          <w:p w:rsidR="00234376" w:rsidRPr="00537C3C" w:rsidRDefault="00234376" w:rsidP="008E03A7">
            <w:pPr>
              <w:pStyle w:val="TableTextLessSpaceCharCharCharCharCharCharCharChar"/>
              <w:spacing w:before="40" w:after="40"/>
              <w:ind w:right="34"/>
              <w:rPr>
                <w:rFonts w:cs="Arial"/>
                <w:b/>
                <w:szCs w:val="18"/>
              </w:rPr>
            </w:pPr>
            <w:r w:rsidRPr="00537C3C">
              <w:rPr>
                <w:b/>
              </w:rPr>
              <w:t>Test threshold:</w:t>
            </w:r>
            <w:r w:rsidRPr="00537C3C">
              <w:t xml:space="preserve"> </w:t>
            </w:r>
            <w:r w:rsidRPr="00537C3C">
              <w:rPr>
                <w:rFonts w:cs="Arial"/>
                <w:szCs w:val="18"/>
              </w:rPr>
              <w:t xml:space="preserve">Test: </w:t>
            </w:r>
            <w:r w:rsidRPr="00BB76D8">
              <w:rPr>
                <w:rFonts w:cs="Arial"/>
                <w:szCs w:val="18"/>
              </w:rPr>
              <w:t>HSIL</w:t>
            </w:r>
            <w:r w:rsidRPr="00537C3C">
              <w:rPr>
                <w:rFonts w:cs="Arial"/>
                <w:szCs w:val="18"/>
              </w:rPr>
              <w:t>/</w:t>
            </w:r>
            <w:r w:rsidRPr="00BB76D8">
              <w:rPr>
                <w:rFonts w:cs="Arial"/>
                <w:szCs w:val="18"/>
              </w:rPr>
              <w:t>pHSIL</w:t>
            </w:r>
            <w:r w:rsidRPr="00537C3C">
              <w:rPr>
                <w:rFonts w:cs="Arial"/>
                <w:szCs w:val="18"/>
              </w:rPr>
              <w:t xml:space="preserve"> (including possible glandular high grade), Reference standard: high grade</w:t>
            </w:r>
          </w:p>
          <w:p w:rsidR="00234376" w:rsidRPr="00A316F5" w:rsidRDefault="00234376" w:rsidP="00104199">
            <w:pPr>
              <w:pStyle w:val="TableTextLessSpaceCharCharCharCharCharCharCharChar"/>
              <w:spacing w:before="40" w:after="120"/>
            </w:pPr>
            <w:r w:rsidRPr="00537C3C">
              <w:rPr>
                <w:b/>
              </w:rPr>
              <w:t>Reference standard:</w:t>
            </w:r>
          </w:p>
          <w:p w:rsidR="00234376" w:rsidRDefault="00234376" w:rsidP="00104199">
            <w:pPr>
              <w:pStyle w:val="TableTextLessSpaceCharCharCharCharCharCharCharChar"/>
              <w:spacing w:before="40" w:after="120"/>
            </w:pPr>
            <w:r w:rsidRPr="00537C3C">
              <w:t xml:space="preserve">Histopathology (within 9 months) for high-grade and possible high-grade lesions, no reference standard for 12/134 </w:t>
            </w:r>
            <w:r w:rsidRPr="00BB76D8">
              <w:t>TPI</w:t>
            </w:r>
            <w:r w:rsidRPr="00537C3C">
              <w:t xml:space="preserve"> (9.0%), 15/180</w:t>
            </w:r>
            <w:bookmarkStart w:id="386" w:name="OLE_LINK168"/>
            <w:bookmarkStart w:id="387" w:name="OLE_LINK169"/>
            <w:r w:rsidRPr="00B94BF8">
              <w:t>TPM</w:t>
            </w:r>
            <w:r w:rsidRPr="00537C3C">
              <w:t xml:space="preserve"> </w:t>
            </w:r>
            <w:bookmarkEnd w:id="386"/>
            <w:bookmarkEnd w:id="387"/>
            <w:r w:rsidRPr="00537C3C">
              <w:t>(8.3%), 10/93 conventional (10.8%) slides (</w:t>
            </w:r>
            <w:r w:rsidRPr="00537C3C">
              <w:rPr>
                <w:rFonts w:cs="Arial"/>
                <w:szCs w:val="18"/>
              </w:rPr>
              <w:sym w:font="Symbol" w:char="F063"/>
            </w:r>
            <w:r w:rsidRPr="00537C3C">
              <w:rPr>
                <w:rFonts w:cs="Arial Narrow"/>
                <w:vertAlign w:val="superscript"/>
              </w:rPr>
              <w:t>2</w:t>
            </w:r>
            <w:r w:rsidRPr="0030078D">
              <w:rPr>
                <w:rFonts w:cs="Arial Narrow"/>
              </w:rPr>
              <w:t>-</w:t>
            </w:r>
            <w:r w:rsidRPr="00537C3C">
              <w:rPr>
                <w:rFonts w:cs="Arial Narrow"/>
              </w:rPr>
              <w:t xml:space="preserve">test </w:t>
            </w:r>
            <w:r w:rsidRPr="0030078D">
              <w:rPr>
                <w:rFonts w:cs="Arial Narrow"/>
                <w:i/>
              </w:rPr>
              <w:t>P</w:t>
            </w:r>
            <w:r w:rsidRPr="00537C3C">
              <w:rPr>
                <w:rFonts w:cs="Arial Narrow"/>
              </w:rPr>
              <w:t xml:space="preserve"> = 0.834)</w:t>
            </w:r>
          </w:p>
          <w:p w:rsidR="00234376" w:rsidRPr="00537C3C" w:rsidRDefault="00234376" w:rsidP="008E03A7">
            <w:pPr>
              <w:keepNext/>
              <w:spacing w:before="40" w:after="120"/>
              <w:ind w:left="0"/>
              <w:rPr>
                <w:rFonts w:ascii="Arial Narrow" w:eastAsia="Arial Unicode MS" w:hAnsi="Arial Narrow"/>
                <w:sz w:val="18"/>
                <w:lang w:eastAsia="en-AU"/>
              </w:rPr>
            </w:pPr>
            <w:r w:rsidRPr="00537C3C">
              <w:rPr>
                <w:rFonts w:ascii="Arial Narrow" w:eastAsia="Arial Unicode MS" w:hAnsi="Arial Narrow"/>
                <w:sz w:val="18"/>
                <w:lang w:eastAsia="en-AU"/>
              </w:rPr>
              <w:t>None for low-grade positive, negatives.</w:t>
            </w:r>
          </w:p>
          <w:p w:rsidR="00234376" w:rsidRPr="00537C3C" w:rsidRDefault="00234376" w:rsidP="008E03A7">
            <w:pPr>
              <w:pStyle w:val="TableTextLessSpaceCharCharCharCharCharCharCharChar"/>
              <w:spacing w:before="40" w:after="40"/>
              <w:ind w:right="34"/>
              <w:rPr>
                <w:b/>
              </w:rPr>
            </w:pPr>
            <w:r w:rsidRPr="00537C3C">
              <w:rPr>
                <w:b/>
              </w:rPr>
              <w:t>Outcomes</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t>Accuracy</w:t>
            </w:r>
            <w:r w:rsidRPr="00537C3C">
              <w:rPr>
                <w:rFonts w:cs="Arial"/>
                <w:szCs w:val="18"/>
              </w:rPr>
              <w:t xml:space="preserve"> for squamous lesions: sensitivity</w:t>
            </w:r>
            <w:r w:rsidRPr="00537C3C">
              <w:rPr>
                <w:rFonts w:cs="Arial"/>
                <w:szCs w:val="18"/>
                <w:vertAlign w:val="superscript"/>
              </w:rPr>
              <w:t>a</w:t>
            </w:r>
            <w:r w:rsidRPr="00537C3C">
              <w:rPr>
                <w:rFonts w:cs="Arial"/>
                <w:szCs w:val="18"/>
              </w:rPr>
              <w:t xml:space="preserve">, incremental </w:t>
            </w:r>
            <w:r w:rsidRPr="00BB76D8">
              <w:rPr>
                <w:rFonts w:cs="Arial"/>
                <w:szCs w:val="18"/>
              </w:rPr>
              <w:t>TP</w:t>
            </w:r>
            <w:r w:rsidRPr="00537C3C">
              <w:rPr>
                <w:rFonts w:cs="Arial"/>
                <w:szCs w:val="18"/>
              </w:rPr>
              <w:t xml:space="preserve"> (with and without seeded cases)</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Test yield</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Screening time</w:t>
            </w:r>
          </w:p>
        </w:tc>
        <w:tc>
          <w:tcPr>
            <w:tcW w:w="2925" w:type="dxa"/>
          </w:tcPr>
          <w:p w:rsidR="00234376" w:rsidRPr="00537C3C" w:rsidRDefault="00234376" w:rsidP="008E03A7">
            <w:pPr>
              <w:pStyle w:val="TableTextLessSpaceCharCharCharCharCharCharCharChar"/>
              <w:rPr>
                <w:b/>
              </w:rPr>
            </w:pPr>
            <w:r w:rsidRPr="00537C3C">
              <w:rPr>
                <w:b/>
              </w:rPr>
              <w:t>C1 P2 Q2</w:t>
            </w:r>
          </w:p>
          <w:p w:rsidR="00234376" w:rsidRPr="00537C3C" w:rsidRDefault="00234376" w:rsidP="008E03A7">
            <w:pPr>
              <w:pStyle w:val="TableTextLessSpaceCharCharCharCharCharCharCharChar"/>
              <w:rPr>
                <w:b/>
              </w:rPr>
            </w:pPr>
            <w:r w:rsidRPr="00537C3C">
              <w:rPr>
                <w:b/>
              </w:rPr>
              <w:t xml:space="preserve">Accuracy study </w:t>
            </w:r>
            <w:r w:rsidRPr="00BB76D8">
              <w:rPr>
                <w:b/>
              </w:rPr>
              <w:t>NHMRC</w:t>
            </w:r>
            <w:r w:rsidRPr="00537C3C">
              <w:rPr>
                <w:b/>
              </w:rPr>
              <w:t xml:space="preserve"> level </w:t>
            </w:r>
            <w:r w:rsidRPr="00BB76D8">
              <w:rPr>
                <w:b/>
              </w:rPr>
              <w:t>III</w:t>
            </w:r>
            <w:r w:rsidRPr="00537C3C">
              <w:rPr>
                <w:b/>
              </w:rPr>
              <w:t>-2</w:t>
            </w:r>
          </w:p>
          <w:p w:rsidR="00234376" w:rsidRPr="00537C3C" w:rsidRDefault="00234376" w:rsidP="008E03A7">
            <w:pPr>
              <w:pStyle w:val="TableTextLessSpaceCharCharCharCharCharCharCharChar"/>
              <w:rPr>
                <w:b/>
              </w:rPr>
            </w:pPr>
          </w:p>
          <w:p w:rsidR="00234376" w:rsidRPr="00537C3C" w:rsidRDefault="00234376" w:rsidP="008E03A7">
            <w:pPr>
              <w:pStyle w:val="TableTextLessSpaceCharCharCharCharCharCharCharChar"/>
              <w:rPr>
                <w:b/>
              </w:rPr>
            </w:pPr>
            <w:r w:rsidRPr="00537C3C">
              <w:rPr>
                <w:b/>
              </w:rPr>
              <w:t>Quality: fair</w:t>
            </w:r>
          </w:p>
          <w:p w:rsidR="00234376" w:rsidRPr="00537C3C" w:rsidRDefault="00234376" w:rsidP="008E03A7">
            <w:pPr>
              <w:pStyle w:val="TableTextLessSpaceCharCharCharCharCharCharCharChar"/>
            </w:pPr>
            <w:r w:rsidRPr="00537C3C">
              <w:t>Prospective, not consecutive, reference standard valid but not applied to all discordant participants. Excluded slides not read by imager.</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rPr>
                <w:b/>
              </w:rPr>
            </w:pPr>
            <w:r w:rsidRPr="00537C3C">
              <w:rPr>
                <w:b/>
              </w:rPr>
              <w:t>Applicability unclear</w:t>
            </w:r>
          </w:p>
          <w:p w:rsidR="00234376" w:rsidRPr="00537C3C" w:rsidRDefault="00234376" w:rsidP="008E03A7">
            <w:pPr>
              <w:pStyle w:val="TableTextLessSpaceCharCharCharCharCharCharCharChar"/>
            </w:pPr>
            <w:r w:rsidRPr="00537C3C">
              <w:t>Applicable index test &amp; comparator, population applicability unclear</w:t>
            </w:r>
          </w:p>
          <w:p w:rsidR="00234376" w:rsidRPr="00537C3C" w:rsidRDefault="00234376" w:rsidP="008E03A7">
            <w:pPr>
              <w:pStyle w:val="TableTextLessSpaceCharCharCharCharCharCharCharChar"/>
            </w:pPr>
          </w:p>
        </w:tc>
      </w:tr>
      <w:tr w:rsidR="00234376" w:rsidRPr="00537C3C">
        <w:tc>
          <w:tcPr>
            <w:tcW w:w="1637" w:type="dxa"/>
          </w:tcPr>
          <w:p w:rsidR="00234376" w:rsidRPr="00537C3C" w:rsidRDefault="00234376" w:rsidP="008E03A7">
            <w:pPr>
              <w:keepNext/>
              <w:spacing w:before="40"/>
              <w:ind w:left="34"/>
              <w:rPr>
                <w:rFonts w:ascii="Arial Narrow" w:hAnsi="Arial Narrow" w:cs="Arial"/>
                <w:b/>
                <w:sz w:val="18"/>
                <w:szCs w:val="18"/>
              </w:rPr>
            </w:pPr>
            <w:r w:rsidRPr="00537C3C">
              <w:rPr>
                <w:rFonts w:ascii="Arial Narrow" w:hAnsi="Arial Narrow" w:cs="Arial"/>
                <w:b/>
                <w:sz w:val="18"/>
                <w:szCs w:val="18"/>
              </w:rPr>
              <w:t>Confortini et al. 2003</w:t>
            </w:r>
          </w:p>
          <w:p w:rsidR="00234376" w:rsidRPr="00537C3C" w:rsidRDefault="00234376" w:rsidP="008E03A7">
            <w:pPr>
              <w:keepNext/>
              <w:spacing w:before="40"/>
              <w:ind w:left="34"/>
              <w:rPr>
                <w:rFonts w:ascii="Arial Narrow" w:hAnsi="Arial Narrow" w:cs="Arial"/>
                <w:sz w:val="18"/>
                <w:szCs w:val="18"/>
              </w:rPr>
            </w:pPr>
            <w:smartTag w:uri="urn:schemas-microsoft-com:office:smarttags" w:element="place">
              <w:smartTag w:uri="urn:schemas-microsoft-com:office:smarttags" w:element="country-region">
                <w:r w:rsidRPr="00537C3C">
                  <w:rPr>
                    <w:rFonts w:ascii="Arial Narrow" w:hAnsi="Arial Narrow" w:cs="Arial"/>
                    <w:sz w:val="18"/>
                    <w:szCs w:val="18"/>
                  </w:rPr>
                  <w:t>Italy</w:t>
                </w:r>
              </w:smartTag>
            </w:smartTag>
          </w:p>
          <w:p w:rsidR="00234376" w:rsidRPr="00537C3C" w:rsidRDefault="00234376" w:rsidP="008E03A7">
            <w:pPr>
              <w:pStyle w:val="TableTextLessSpaceCharCharCharCharCharCharCharChar"/>
              <w:rPr>
                <w:b/>
              </w:rPr>
            </w:pPr>
            <w:r w:rsidRPr="00537C3C">
              <w:rPr>
                <w:rFonts w:cs="Arial"/>
                <w:szCs w:val="18"/>
              </w:rPr>
              <w:t xml:space="preserve">April 2000 – </w:t>
            </w:r>
            <w:r w:rsidRPr="00BB76D8">
              <w:rPr>
                <w:rFonts w:cs="Arial"/>
                <w:szCs w:val="18"/>
              </w:rPr>
              <w:t>NR</w:t>
            </w:r>
          </w:p>
        </w:tc>
        <w:tc>
          <w:tcPr>
            <w:tcW w:w="2038" w:type="dxa"/>
          </w:tcPr>
          <w:p w:rsidR="00234376" w:rsidRPr="00537C3C" w:rsidRDefault="00234376" w:rsidP="008E03A7">
            <w:pPr>
              <w:pStyle w:val="TableTextLessSpaceCharCharCharCharCharCharCharChar"/>
              <w:spacing w:before="40" w:after="40"/>
              <w:ind w:right="34"/>
              <w:rPr>
                <w:rFonts w:cs="Arial"/>
                <w:b/>
                <w:szCs w:val="18"/>
              </w:rPr>
            </w:pPr>
            <w:r w:rsidRPr="0030078D">
              <w:rPr>
                <w:rFonts w:cs="Arial"/>
                <w:b/>
                <w:i/>
                <w:szCs w:val="18"/>
              </w:rPr>
              <w:t>N</w:t>
            </w:r>
            <w:r w:rsidRPr="00537C3C">
              <w:rPr>
                <w:rFonts w:cs="Arial"/>
                <w:b/>
                <w:szCs w:val="18"/>
              </w:rPr>
              <w:t xml:space="preserve"> = 14 145</w:t>
            </w:r>
          </w:p>
          <w:p w:rsidR="00234376" w:rsidRPr="00537C3C" w:rsidRDefault="00234376" w:rsidP="008E03A7">
            <w:pPr>
              <w:pStyle w:val="TableTextLessSpaceCharCharCharCharCharCharCharChar"/>
              <w:spacing w:before="40" w:after="40"/>
              <w:ind w:right="34"/>
              <w:rPr>
                <w:rFonts w:cs="Arial"/>
                <w:szCs w:val="18"/>
              </w:rPr>
            </w:pPr>
          </w:p>
          <w:p w:rsidR="00234376" w:rsidRPr="00537C3C" w:rsidRDefault="00234376" w:rsidP="008E03A7">
            <w:pPr>
              <w:pStyle w:val="TableTextLessSpaceCharCharCharCharCharCharCharChar"/>
              <w:spacing w:before="0"/>
              <w:rPr>
                <w:b/>
              </w:rPr>
            </w:pPr>
            <w:r w:rsidRPr="00537C3C">
              <w:rPr>
                <w:b/>
              </w:rPr>
              <w:t>Inclusion criteria</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 xml:space="preserve">Smear samples from </w:t>
            </w:r>
            <w:smartTag w:uri="urn:schemas-microsoft-com:office:smarttags" w:element="place">
              <w:smartTag w:uri="urn:schemas-microsoft-com:office:smarttags" w:element="City">
                <w:r w:rsidRPr="00537C3C">
                  <w:rPr>
                    <w:rFonts w:cs="Arial"/>
                    <w:szCs w:val="18"/>
                  </w:rPr>
                  <w:t>Florence</w:t>
                </w:r>
              </w:smartTag>
            </w:smartTag>
            <w:r w:rsidRPr="00537C3C">
              <w:rPr>
                <w:rFonts w:cs="Arial"/>
                <w:szCs w:val="18"/>
              </w:rPr>
              <w:t xml:space="preserve"> screening program</w:t>
            </w:r>
          </w:p>
          <w:p w:rsidR="00234376" w:rsidRPr="00537C3C" w:rsidRDefault="00234376" w:rsidP="008E03A7">
            <w:pPr>
              <w:pStyle w:val="TableTextLessSpaceCharCharCharCharCharCharCharChar"/>
              <w:spacing w:before="40" w:after="40"/>
              <w:ind w:right="34"/>
              <w:rPr>
                <w:rFonts w:cs="Arial"/>
                <w:szCs w:val="18"/>
              </w:rPr>
            </w:pPr>
          </w:p>
        </w:tc>
        <w:tc>
          <w:tcPr>
            <w:tcW w:w="1962" w:type="dxa"/>
          </w:tcPr>
          <w:p w:rsidR="00234376" w:rsidRPr="00537C3C" w:rsidRDefault="00234376" w:rsidP="008E03A7">
            <w:pPr>
              <w:pStyle w:val="TableTextLessSpaceCharCharCharCharCharCharCharChar"/>
              <w:ind w:right="34"/>
              <w:rPr>
                <w:b/>
              </w:rPr>
            </w:pPr>
            <w:r w:rsidRPr="00537C3C">
              <w:rPr>
                <w:b/>
              </w:rPr>
              <w:t>Index test</w:t>
            </w:r>
          </w:p>
          <w:p w:rsidR="00234376" w:rsidRPr="00537C3C" w:rsidRDefault="00234376" w:rsidP="008E03A7">
            <w:pPr>
              <w:pStyle w:val="TableTextLessSpaceCharCharCharCharCharCharCharChar"/>
              <w:ind w:right="34"/>
              <w:rPr>
                <w:rFonts w:cs="Arial"/>
                <w:szCs w:val="18"/>
              </w:rPr>
            </w:pPr>
            <w:r w:rsidRPr="00537C3C">
              <w:rPr>
                <w:rFonts w:cs="Arial"/>
                <w:szCs w:val="18"/>
              </w:rPr>
              <w:t>AutoPap 300</w:t>
            </w:r>
            <w:r w:rsidRPr="00BB76D8">
              <w:rPr>
                <w:rFonts w:cs="Arial"/>
                <w:szCs w:val="18"/>
              </w:rPr>
              <w:t>QC</w:t>
            </w:r>
            <w:r w:rsidRPr="00537C3C">
              <w:rPr>
                <w:rFonts w:cs="Arial"/>
                <w:szCs w:val="18"/>
              </w:rPr>
              <w:t>—assisted reading of conventional smears</w:t>
            </w:r>
          </w:p>
          <w:p w:rsidR="00234376" w:rsidRPr="00537C3C" w:rsidRDefault="00234376" w:rsidP="008E03A7">
            <w:pPr>
              <w:pStyle w:val="TableTextLessSpaceCharCharCharCharCharCharCharChar"/>
              <w:ind w:right="34"/>
              <w:rPr>
                <w:rFonts w:cs="Arial"/>
                <w:szCs w:val="18"/>
              </w:rPr>
            </w:pPr>
          </w:p>
          <w:p w:rsidR="00234376" w:rsidRPr="00537C3C" w:rsidRDefault="00234376" w:rsidP="008E03A7">
            <w:pPr>
              <w:pStyle w:val="TableTextLessSpaceCharCharCharCharCharCharCharChar"/>
              <w:ind w:right="34"/>
            </w:pPr>
            <w:r w:rsidRPr="00537C3C">
              <w:rPr>
                <w:b/>
              </w:rPr>
              <w:t>Comparator test</w:t>
            </w:r>
          </w:p>
          <w:p w:rsidR="00234376" w:rsidRPr="00537C3C" w:rsidRDefault="00234376" w:rsidP="008E03A7">
            <w:pPr>
              <w:pStyle w:val="TableTextLessSpaceCharCharCharCharCharCharCharChar"/>
              <w:ind w:right="34"/>
              <w:rPr>
                <w:b/>
              </w:rPr>
            </w:pPr>
            <w:r w:rsidRPr="00537C3C">
              <w:rPr>
                <w:rFonts w:cs="Arial"/>
                <w:szCs w:val="18"/>
              </w:rPr>
              <w:t>Manual reading of conventional smears</w:t>
            </w:r>
          </w:p>
        </w:tc>
        <w:tc>
          <w:tcPr>
            <w:tcW w:w="4752" w:type="dxa"/>
            <w:gridSpan w:val="3"/>
          </w:tcPr>
          <w:p w:rsidR="00234376" w:rsidRPr="00537C3C" w:rsidRDefault="00234376" w:rsidP="008E03A7">
            <w:pPr>
              <w:pStyle w:val="TableTextLessSpaceCharCharCharCharCharCharCharChar"/>
              <w:spacing w:before="40" w:after="40"/>
              <w:ind w:right="34"/>
            </w:pPr>
            <w:r w:rsidRPr="00537C3C">
              <w:rPr>
                <w:b/>
              </w:rPr>
              <w:t xml:space="preserve">Study design: </w:t>
            </w:r>
            <w:r w:rsidRPr="00537C3C">
              <w:t>Diagnostic accuracy study</w:t>
            </w:r>
          </w:p>
          <w:p w:rsidR="00234376" w:rsidRPr="00537C3C" w:rsidRDefault="00234376" w:rsidP="008E03A7">
            <w:pPr>
              <w:pStyle w:val="TableTextLessSpaceCharCharCharCharCharCharCharChar"/>
              <w:spacing w:before="40" w:after="40"/>
              <w:ind w:right="34"/>
              <w:rPr>
                <w:rFonts w:cs="Arial"/>
                <w:szCs w:val="18"/>
              </w:rPr>
            </w:pPr>
            <w:r w:rsidRPr="00537C3C">
              <w:rPr>
                <w:b/>
              </w:rPr>
              <w:t xml:space="preserve">Test threshold: </w:t>
            </w:r>
            <w:r w:rsidRPr="00537C3C">
              <w:rPr>
                <w:rFonts w:cs="Arial"/>
                <w:szCs w:val="18"/>
              </w:rPr>
              <w:t xml:space="preserve">Test: </w:t>
            </w:r>
            <w:r w:rsidRPr="00BB76D8">
              <w:rPr>
                <w:rFonts w:cs="Arial"/>
                <w:szCs w:val="18"/>
              </w:rPr>
              <w:t>HSIL</w:t>
            </w:r>
            <w:r w:rsidRPr="00537C3C">
              <w:rPr>
                <w:rFonts w:cs="Arial"/>
                <w:szCs w:val="18"/>
              </w:rPr>
              <w:t xml:space="preserve">; </w:t>
            </w:r>
            <w:r w:rsidRPr="00BB76D8">
              <w:rPr>
                <w:rFonts w:cs="Arial"/>
                <w:szCs w:val="18"/>
              </w:rPr>
              <w:t>pLSIL</w:t>
            </w:r>
            <w:r w:rsidRPr="00537C3C">
              <w:rPr>
                <w:rFonts w:cs="Arial"/>
                <w:szCs w:val="18"/>
              </w:rPr>
              <w:t xml:space="preserve"> (</w:t>
            </w:r>
            <w:r w:rsidRPr="00BB76D8">
              <w:rPr>
                <w:rFonts w:cs="Arial"/>
                <w:szCs w:val="18"/>
              </w:rPr>
              <w:t>ASCUS</w:t>
            </w:r>
            <w:r w:rsidRPr="00537C3C">
              <w:rPr>
                <w:rFonts w:cs="Arial"/>
                <w:szCs w:val="18"/>
              </w:rPr>
              <w:t xml:space="preserve">-R), Reference standard: </w:t>
            </w:r>
            <w:r w:rsidRPr="00BB76D8">
              <w:rPr>
                <w:rFonts w:cs="Arial"/>
                <w:szCs w:val="18"/>
              </w:rPr>
              <w:t>CIN</w:t>
            </w:r>
            <w:r w:rsidRPr="00537C3C">
              <w:rPr>
                <w:rFonts w:cs="Arial"/>
                <w:szCs w:val="18"/>
              </w:rPr>
              <w:t xml:space="preserve"> 2+</w:t>
            </w:r>
          </w:p>
          <w:p w:rsidR="00234376" w:rsidRPr="00A316F5" w:rsidRDefault="00234376" w:rsidP="00104199">
            <w:pPr>
              <w:pStyle w:val="TableTextLessSpaceCharCharCharCharCharCharCharChar"/>
              <w:spacing w:before="40" w:after="120"/>
            </w:pPr>
            <w:r w:rsidRPr="00537C3C">
              <w:rPr>
                <w:b/>
              </w:rPr>
              <w:t>Reference standard:</w:t>
            </w:r>
          </w:p>
          <w:p w:rsidR="00234376" w:rsidRDefault="00234376" w:rsidP="00104199">
            <w:pPr>
              <w:pStyle w:val="TableTextLessSpaceCharCharCharCharCharCharCharChar"/>
              <w:spacing w:before="40" w:after="120"/>
            </w:pPr>
            <w:r w:rsidRPr="00537C3C">
              <w:t xml:space="preserve">Histology (biopsy or loop excision); </w:t>
            </w:r>
            <w:r w:rsidRPr="00BB76D8">
              <w:t>ASCUS</w:t>
            </w:r>
            <w:r w:rsidRPr="00537C3C">
              <w:t xml:space="preserve"> favouring reactive process: repeat smear 6mo then colposcopy if necessary; </w:t>
            </w:r>
            <w:r w:rsidRPr="00BB76D8">
              <w:t>ASCUS</w:t>
            </w:r>
            <w:r w:rsidRPr="00537C3C">
              <w:t xml:space="preserve"> favouring </w:t>
            </w:r>
            <w:r w:rsidRPr="00BB76D8">
              <w:t>SIL</w:t>
            </w:r>
            <w:r w:rsidRPr="00537C3C">
              <w:t xml:space="preserve"> +: colposcopy; </w:t>
            </w:r>
            <w:r w:rsidRPr="00BB76D8">
              <w:t>HSIL</w:t>
            </w:r>
            <w:r w:rsidRPr="00537C3C">
              <w:t>, colposcopy neg: repeat cytology 6mo.</w:t>
            </w:r>
          </w:p>
          <w:p w:rsidR="00234376" w:rsidRPr="00537C3C" w:rsidRDefault="00234376" w:rsidP="008E03A7">
            <w:pPr>
              <w:keepNext/>
              <w:spacing w:before="40" w:after="120"/>
              <w:ind w:left="0"/>
              <w:rPr>
                <w:rFonts w:ascii="Arial Narrow" w:eastAsia="Arial Unicode MS" w:hAnsi="Arial Narrow"/>
                <w:sz w:val="18"/>
                <w:lang w:eastAsia="en-AU"/>
              </w:rPr>
            </w:pPr>
            <w:r w:rsidRPr="00537C3C">
              <w:rPr>
                <w:rFonts w:ascii="Arial Narrow" w:eastAsia="Arial Unicode MS" w:hAnsi="Arial Narrow"/>
                <w:sz w:val="18"/>
                <w:lang w:eastAsia="en-AU"/>
              </w:rPr>
              <w:t xml:space="preserve">Proportion reference standard unavailable </w:t>
            </w:r>
            <w:r w:rsidRPr="00BB76D8">
              <w:rPr>
                <w:rFonts w:ascii="Arial Narrow" w:eastAsia="Arial Unicode MS" w:hAnsi="Arial Narrow"/>
                <w:sz w:val="18"/>
                <w:lang w:eastAsia="en-AU"/>
              </w:rPr>
              <w:t>NR</w:t>
            </w:r>
          </w:p>
          <w:p w:rsidR="00234376" w:rsidRPr="00537C3C" w:rsidRDefault="00234376" w:rsidP="008E03A7">
            <w:pPr>
              <w:pStyle w:val="TableTextLessSpaceCharCharCharCharCharCharCharChar"/>
              <w:spacing w:before="40" w:after="40"/>
              <w:ind w:right="34"/>
              <w:rPr>
                <w:b/>
              </w:rPr>
            </w:pPr>
            <w:r w:rsidRPr="00537C3C">
              <w:rPr>
                <w:b/>
              </w:rPr>
              <w:t>Outcomes</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t>Accuracy</w:t>
            </w:r>
            <w:r w:rsidRPr="00537C3C">
              <w:rPr>
                <w:rFonts w:cs="Arial"/>
                <w:szCs w:val="18"/>
              </w:rPr>
              <w:t xml:space="preserve">: </w:t>
            </w:r>
            <w:r w:rsidRPr="00BB76D8">
              <w:rPr>
                <w:rFonts w:cs="Arial"/>
                <w:szCs w:val="18"/>
              </w:rPr>
              <w:t>TP</w:t>
            </w:r>
            <w:r w:rsidRPr="00537C3C">
              <w:rPr>
                <w:rFonts w:cs="Arial"/>
                <w:szCs w:val="18"/>
              </w:rPr>
              <w:t xml:space="preserve">, not </w:t>
            </w:r>
            <w:r w:rsidRPr="00BB76D8">
              <w:rPr>
                <w:rFonts w:cs="Arial"/>
                <w:szCs w:val="18"/>
              </w:rPr>
              <w:t>FP</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Unsatisfactory</w:t>
            </w:r>
          </w:p>
          <w:p w:rsidR="00234376" w:rsidRPr="00537C3C" w:rsidRDefault="00234376" w:rsidP="00600AC0">
            <w:pPr>
              <w:pStyle w:val="TableTextLessSpaceCharCharCharCharCharCharCharChar"/>
              <w:numPr>
                <w:ilvl w:val="0"/>
                <w:numId w:val="6"/>
              </w:numPr>
              <w:tabs>
                <w:tab w:val="clear" w:pos="360"/>
                <w:tab w:val="num" w:pos="152"/>
              </w:tabs>
              <w:ind w:left="152" w:hanging="152"/>
              <w:rPr>
                <w:b/>
              </w:rPr>
            </w:pPr>
            <w:r w:rsidRPr="00537C3C">
              <w:t>Test</w:t>
            </w:r>
            <w:r w:rsidRPr="00537C3C">
              <w:rPr>
                <w:rFonts w:cs="Arial"/>
                <w:szCs w:val="18"/>
              </w:rPr>
              <w:t xml:space="preserve"> yield</w:t>
            </w:r>
          </w:p>
          <w:p w:rsidR="00234376" w:rsidRPr="00537C3C" w:rsidRDefault="00234376" w:rsidP="00600AC0">
            <w:pPr>
              <w:pStyle w:val="TableTextLessSpaceCharCharCharCharCharCharCharChar"/>
              <w:numPr>
                <w:ilvl w:val="0"/>
                <w:numId w:val="6"/>
              </w:numPr>
              <w:tabs>
                <w:tab w:val="clear" w:pos="360"/>
                <w:tab w:val="num" w:pos="152"/>
              </w:tabs>
              <w:ind w:left="152" w:hanging="152"/>
              <w:rPr>
                <w:b/>
              </w:rPr>
            </w:pPr>
            <w:r w:rsidRPr="00537C3C">
              <w:rPr>
                <w:rFonts w:cs="Arial"/>
                <w:szCs w:val="18"/>
              </w:rPr>
              <w:t xml:space="preserve">Costs &amp; cost-effectiveness (cost per </w:t>
            </w:r>
            <w:r w:rsidRPr="00BB76D8">
              <w:rPr>
                <w:rFonts w:cs="Arial"/>
                <w:szCs w:val="18"/>
              </w:rPr>
              <w:t>CIN</w:t>
            </w:r>
            <w:r w:rsidRPr="00537C3C">
              <w:rPr>
                <w:rFonts w:cs="Arial"/>
                <w:szCs w:val="18"/>
              </w:rPr>
              <w:t xml:space="preserve"> 2+ detected)</w:t>
            </w:r>
          </w:p>
        </w:tc>
        <w:tc>
          <w:tcPr>
            <w:tcW w:w="2925" w:type="dxa"/>
          </w:tcPr>
          <w:p w:rsidR="00234376" w:rsidRPr="00537C3C" w:rsidRDefault="00234376" w:rsidP="008E03A7">
            <w:pPr>
              <w:pStyle w:val="TableTextLessSpaceCharCharCharCharCharCharCharChar"/>
              <w:rPr>
                <w:b/>
              </w:rPr>
            </w:pPr>
            <w:r w:rsidRPr="00537C3C">
              <w:rPr>
                <w:b/>
              </w:rPr>
              <w:t>C1 P1 Q2</w:t>
            </w:r>
          </w:p>
          <w:p w:rsidR="00234376" w:rsidRPr="00537C3C" w:rsidRDefault="00234376" w:rsidP="008E03A7">
            <w:pPr>
              <w:pStyle w:val="TableTextLessSpaceCharCharCharCharCharCharCharChar"/>
              <w:rPr>
                <w:b/>
              </w:rPr>
            </w:pPr>
            <w:r w:rsidRPr="00537C3C">
              <w:rPr>
                <w:b/>
              </w:rPr>
              <w:t xml:space="preserve">Accuracy study </w:t>
            </w:r>
            <w:r w:rsidRPr="00BB76D8">
              <w:rPr>
                <w:b/>
              </w:rPr>
              <w:t>NHMRC</w:t>
            </w:r>
            <w:r w:rsidRPr="00537C3C">
              <w:rPr>
                <w:b/>
              </w:rPr>
              <w:t xml:space="preserve"> level </w:t>
            </w:r>
            <w:r w:rsidRPr="00BB76D8">
              <w:rPr>
                <w:b/>
              </w:rPr>
              <w:t>III</w:t>
            </w:r>
            <w:r w:rsidRPr="00537C3C">
              <w:rPr>
                <w:b/>
              </w:rPr>
              <w:t>-2</w:t>
            </w:r>
          </w:p>
          <w:p w:rsidR="00234376" w:rsidRPr="00537C3C" w:rsidRDefault="00234376" w:rsidP="008E03A7">
            <w:pPr>
              <w:pStyle w:val="TableTextLessSpaceCharCharCharCharCharCharCharChar"/>
              <w:rPr>
                <w:b/>
              </w:rPr>
            </w:pPr>
          </w:p>
          <w:p w:rsidR="00234376" w:rsidRPr="00537C3C" w:rsidRDefault="00234376" w:rsidP="008E03A7">
            <w:pPr>
              <w:pStyle w:val="TableTextLessSpaceCharCharCharCharCharCharCharChar"/>
              <w:rPr>
                <w:b/>
              </w:rPr>
            </w:pPr>
            <w:r w:rsidRPr="00537C3C">
              <w:rPr>
                <w:b/>
              </w:rPr>
              <w:t>Quality: fair</w:t>
            </w:r>
          </w:p>
          <w:p w:rsidR="00234376" w:rsidRPr="00537C3C" w:rsidRDefault="00234376" w:rsidP="008E03A7">
            <w:pPr>
              <w:pStyle w:val="TableTextLessSpaceCharCharCharCharCharCharCharChar"/>
            </w:pPr>
            <w:r w:rsidRPr="00537C3C">
              <w:t>Prospective, consecutive, reference standard valid but not applied to all discordant participants</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rPr>
                <w:b/>
              </w:rPr>
            </w:pPr>
            <w:r w:rsidRPr="00537C3C">
              <w:rPr>
                <w:b/>
              </w:rPr>
              <w:t>Applicable</w:t>
            </w:r>
          </w:p>
          <w:p w:rsidR="00234376" w:rsidRPr="00537C3C" w:rsidRDefault="00234376" w:rsidP="008E03A7">
            <w:pPr>
              <w:pStyle w:val="TableTextLessSpaceCharCharCharCharCharCharCharChar"/>
            </w:pPr>
            <w:r w:rsidRPr="00537C3C">
              <w:t>Applicable population, index test &amp; comparator</w:t>
            </w:r>
          </w:p>
          <w:p w:rsidR="00234376" w:rsidRPr="00537C3C" w:rsidRDefault="00234376" w:rsidP="008E03A7">
            <w:pPr>
              <w:pStyle w:val="TableTextLessSpaceCharCharCharCharCharCharCharChar"/>
            </w:pPr>
          </w:p>
        </w:tc>
      </w:tr>
      <w:tr w:rsidR="00234376" w:rsidRPr="00537C3C">
        <w:trPr>
          <w:cantSplit/>
        </w:trPr>
        <w:tc>
          <w:tcPr>
            <w:tcW w:w="1637" w:type="dxa"/>
          </w:tcPr>
          <w:p w:rsidR="00234376" w:rsidRPr="00537C3C" w:rsidRDefault="00234376" w:rsidP="008E03A7">
            <w:pPr>
              <w:keepNext/>
              <w:spacing w:before="40"/>
              <w:ind w:left="34"/>
              <w:rPr>
                <w:rFonts w:ascii="Arial Narrow" w:hAnsi="Arial Narrow" w:cs="Arial"/>
                <w:b/>
                <w:sz w:val="18"/>
                <w:szCs w:val="18"/>
              </w:rPr>
            </w:pPr>
            <w:r w:rsidRPr="00537C3C">
              <w:rPr>
                <w:rFonts w:ascii="Arial Narrow" w:hAnsi="Arial Narrow" w:cs="Arial"/>
                <w:b/>
                <w:sz w:val="18"/>
                <w:szCs w:val="18"/>
              </w:rPr>
              <w:lastRenderedPageBreak/>
              <w:t>Stevens et al. 2004</w:t>
            </w:r>
          </w:p>
          <w:p w:rsidR="00234376" w:rsidRPr="00537C3C" w:rsidRDefault="00234376" w:rsidP="008E03A7">
            <w:pPr>
              <w:keepNext/>
              <w:spacing w:before="40"/>
              <w:ind w:left="34"/>
              <w:rPr>
                <w:rFonts w:ascii="Arial Narrow" w:hAnsi="Arial Narrow" w:cs="Arial"/>
                <w:sz w:val="18"/>
                <w:szCs w:val="18"/>
              </w:rPr>
            </w:pPr>
          </w:p>
          <w:p w:rsidR="00234376" w:rsidRPr="00537C3C" w:rsidRDefault="00234376" w:rsidP="008E03A7">
            <w:pPr>
              <w:keepNext/>
              <w:spacing w:before="40"/>
              <w:ind w:left="34"/>
              <w:rPr>
                <w:rFonts w:ascii="Arial Narrow" w:hAnsi="Arial Narrow" w:cs="Arial"/>
                <w:sz w:val="18"/>
                <w:szCs w:val="18"/>
              </w:rPr>
            </w:pPr>
            <w:smartTag w:uri="urn:schemas-microsoft-com:office:smarttags" w:element="place">
              <w:smartTag w:uri="urn:schemas-microsoft-com:office:smarttags" w:element="country-region">
                <w:r w:rsidRPr="00537C3C">
                  <w:rPr>
                    <w:rFonts w:ascii="Arial Narrow" w:hAnsi="Arial Narrow" w:cs="Arial"/>
                    <w:sz w:val="18"/>
                    <w:szCs w:val="18"/>
                  </w:rPr>
                  <w:t>Australia</w:t>
                </w:r>
              </w:smartTag>
            </w:smartTag>
          </w:p>
          <w:p w:rsidR="00234376" w:rsidRPr="00537C3C" w:rsidRDefault="00234376" w:rsidP="008E03A7">
            <w:pPr>
              <w:keepNext/>
              <w:spacing w:before="40"/>
              <w:ind w:left="34"/>
              <w:rPr>
                <w:rFonts w:ascii="Arial Narrow" w:hAnsi="Arial Narrow" w:cs="Arial"/>
                <w:b/>
                <w:sz w:val="18"/>
                <w:szCs w:val="18"/>
              </w:rPr>
            </w:pPr>
            <w:r w:rsidRPr="00537C3C">
              <w:rPr>
                <w:rFonts w:ascii="Arial Narrow" w:hAnsi="Arial Narrow" w:cs="Arial"/>
                <w:sz w:val="18"/>
                <w:szCs w:val="18"/>
              </w:rPr>
              <w:t>Jan 2000 – Feb 2000</w:t>
            </w:r>
          </w:p>
        </w:tc>
        <w:tc>
          <w:tcPr>
            <w:tcW w:w="2038" w:type="dxa"/>
          </w:tcPr>
          <w:p w:rsidR="00234376" w:rsidRPr="00537C3C" w:rsidRDefault="00234376" w:rsidP="008E03A7">
            <w:pPr>
              <w:keepNext/>
              <w:spacing w:before="40"/>
              <w:ind w:left="34"/>
              <w:rPr>
                <w:rFonts w:ascii="Arial Narrow" w:hAnsi="Arial Narrow" w:cs="Arial"/>
                <w:b/>
                <w:sz w:val="18"/>
                <w:szCs w:val="18"/>
              </w:rPr>
            </w:pPr>
            <w:r w:rsidRPr="0030078D">
              <w:rPr>
                <w:rFonts w:ascii="Arial Narrow" w:hAnsi="Arial Narrow" w:cs="Arial"/>
                <w:b/>
                <w:i/>
                <w:sz w:val="18"/>
                <w:szCs w:val="18"/>
              </w:rPr>
              <w:t>N</w:t>
            </w:r>
            <w:r w:rsidRPr="00537C3C">
              <w:rPr>
                <w:rFonts w:ascii="Arial Narrow" w:hAnsi="Arial Narrow" w:cs="Arial"/>
                <w:b/>
                <w:sz w:val="18"/>
                <w:szCs w:val="18"/>
              </w:rPr>
              <w:t xml:space="preserve"> = 5583</w:t>
            </w:r>
          </w:p>
          <w:p w:rsidR="00234376" w:rsidRPr="00537C3C" w:rsidRDefault="00234376" w:rsidP="008E03A7">
            <w:pPr>
              <w:pStyle w:val="TableTextLessSpaceCharCharCharCharCharCharCharChar"/>
              <w:spacing w:before="0"/>
              <w:rPr>
                <w:b/>
              </w:rPr>
            </w:pPr>
            <w:r w:rsidRPr="00537C3C">
              <w:rPr>
                <w:b/>
              </w:rPr>
              <w:t>Inclusion criteria</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Consecutive 6000</w:t>
            </w:r>
            <w:r w:rsidR="000F7617">
              <w:rPr>
                <w:rFonts w:cs="Arial"/>
                <w:szCs w:val="18"/>
              </w:rPr>
              <w:t xml:space="preserve"> slides</w:t>
            </w:r>
          </w:p>
          <w:p w:rsidR="00234376" w:rsidRPr="00537C3C" w:rsidRDefault="00234376" w:rsidP="008E03A7">
            <w:pPr>
              <w:pStyle w:val="TableTextLessSpaceCharCharCharCharCharCharCharChar"/>
              <w:spacing w:before="40" w:after="40"/>
              <w:ind w:right="34"/>
              <w:rPr>
                <w:rFonts w:cs="Arial"/>
                <w:szCs w:val="18"/>
              </w:rPr>
            </w:pPr>
          </w:p>
          <w:p w:rsidR="00234376" w:rsidRPr="00537C3C" w:rsidRDefault="00234376" w:rsidP="008E03A7">
            <w:pPr>
              <w:pStyle w:val="TableTextLessSpaceCharCharCharCharCharCharCharChar"/>
              <w:spacing w:before="0"/>
              <w:rPr>
                <w:b/>
              </w:rPr>
            </w:pPr>
            <w:r w:rsidRPr="00537C3C">
              <w:rPr>
                <w:b/>
              </w:rPr>
              <w:t>Exclusion criteria</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 xml:space="preserve">Broken, cracked, 2 coverslips, vaginal smears, </w:t>
            </w:r>
            <w:r w:rsidRPr="00BB76D8">
              <w:rPr>
                <w:rFonts w:cs="Arial"/>
                <w:szCs w:val="18"/>
              </w:rPr>
              <w:t>LBC</w:t>
            </w:r>
            <w:r w:rsidRPr="00537C3C">
              <w:rPr>
                <w:rFonts w:cs="Arial"/>
                <w:szCs w:val="18"/>
              </w:rPr>
              <w:t xml:space="preserve"> (422, 7.0%)</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b/>
                <w:szCs w:val="18"/>
              </w:rPr>
            </w:pPr>
            <w:r w:rsidRPr="00537C3C">
              <w:rPr>
                <w:rFonts w:cs="Arial"/>
                <w:szCs w:val="18"/>
              </w:rPr>
              <w:t xml:space="preserve">AutoPap </w:t>
            </w:r>
            <w:r w:rsidRPr="00BB76D8">
              <w:rPr>
                <w:rFonts w:cs="Arial"/>
                <w:szCs w:val="18"/>
              </w:rPr>
              <w:t>NFR</w:t>
            </w:r>
            <w:r w:rsidRPr="00537C3C">
              <w:rPr>
                <w:rFonts w:cs="Arial"/>
                <w:szCs w:val="18"/>
              </w:rPr>
              <w:t xml:space="preserve"> (986, 16.4%)</w:t>
            </w:r>
          </w:p>
        </w:tc>
        <w:tc>
          <w:tcPr>
            <w:tcW w:w="1962" w:type="dxa"/>
          </w:tcPr>
          <w:p w:rsidR="00234376" w:rsidRPr="00537C3C" w:rsidRDefault="00234376" w:rsidP="008E03A7">
            <w:pPr>
              <w:pStyle w:val="TableTextLessSpaceCharCharCharCharCharCharCharChar"/>
              <w:ind w:right="34"/>
              <w:rPr>
                <w:b/>
              </w:rPr>
            </w:pPr>
            <w:r w:rsidRPr="00537C3C">
              <w:rPr>
                <w:b/>
              </w:rPr>
              <w:t>Index test</w:t>
            </w:r>
          </w:p>
          <w:p w:rsidR="00234376" w:rsidRPr="00537C3C" w:rsidRDefault="00234376" w:rsidP="008E03A7">
            <w:pPr>
              <w:pStyle w:val="TableTextLessSpaceCharCharCharCharCharCharCharChar"/>
              <w:ind w:right="34"/>
              <w:rPr>
                <w:rFonts w:cs="Arial"/>
                <w:szCs w:val="18"/>
              </w:rPr>
            </w:pPr>
            <w:r w:rsidRPr="00537C3C">
              <w:rPr>
                <w:rFonts w:cs="Arial"/>
                <w:szCs w:val="18"/>
              </w:rPr>
              <w:t>AutoPap location guided screening (</w:t>
            </w:r>
            <w:bookmarkStart w:id="388" w:name="OLE_LINK170"/>
            <w:bookmarkStart w:id="389" w:name="OLE_LINK171"/>
            <w:r w:rsidRPr="00537C3C">
              <w:rPr>
                <w:rFonts w:cs="Arial"/>
                <w:szCs w:val="18"/>
              </w:rPr>
              <w:t>LGS</w:t>
            </w:r>
            <w:bookmarkEnd w:id="388"/>
            <w:bookmarkEnd w:id="389"/>
            <w:r w:rsidRPr="00537C3C">
              <w:rPr>
                <w:rFonts w:cs="Arial"/>
                <w:szCs w:val="18"/>
              </w:rPr>
              <w:t xml:space="preserve">)-assisted screening of conventional smears, including archiving </w:t>
            </w:r>
            <w:r w:rsidRPr="00BB76D8">
              <w:rPr>
                <w:rFonts w:cs="Arial"/>
                <w:szCs w:val="18"/>
              </w:rPr>
              <w:t>NFR</w:t>
            </w:r>
          </w:p>
          <w:p w:rsidR="00234376" w:rsidRPr="00537C3C" w:rsidRDefault="00234376" w:rsidP="008E03A7">
            <w:pPr>
              <w:pStyle w:val="TableTextLessSpaceCharCharCharCharCharCharCharChar"/>
              <w:ind w:right="34"/>
              <w:rPr>
                <w:rFonts w:cs="Arial"/>
                <w:szCs w:val="18"/>
              </w:rPr>
            </w:pPr>
          </w:p>
          <w:p w:rsidR="00234376" w:rsidRPr="00537C3C" w:rsidRDefault="00234376" w:rsidP="008E03A7">
            <w:pPr>
              <w:pStyle w:val="TableTextLessSpaceCharCharCharCharCharCharCharChar"/>
              <w:ind w:right="34"/>
            </w:pPr>
            <w:r w:rsidRPr="00537C3C">
              <w:rPr>
                <w:b/>
              </w:rPr>
              <w:t>Comparator test</w:t>
            </w:r>
          </w:p>
          <w:p w:rsidR="00234376" w:rsidRPr="00537C3C" w:rsidRDefault="00234376" w:rsidP="008E03A7">
            <w:pPr>
              <w:pStyle w:val="TableTextLessSpaceCharCharCharCharCharCharCharChar"/>
              <w:ind w:right="34"/>
              <w:rPr>
                <w:b/>
              </w:rPr>
            </w:pPr>
            <w:r w:rsidRPr="00537C3C">
              <w:rPr>
                <w:rFonts w:cs="Arial"/>
                <w:szCs w:val="18"/>
              </w:rPr>
              <w:t>Manual reading of conventional smears</w:t>
            </w:r>
          </w:p>
        </w:tc>
        <w:tc>
          <w:tcPr>
            <w:tcW w:w="4752" w:type="dxa"/>
            <w:gridSpan w:val="3"/>
          </w:tcPr>
          <w:p w:rsidR="00234376" w:rsidRPr="00537C3C" w:rsidRDefault="00234376" w:rsidP="008E03A7">
            <w:pPr>
              <w:pStyle w:val="TableTextLessSpaceCharCharCharCharCharCharCharChar"/>
              <w:spacing w:before="40" w:after="40"/>
              <w:ind w:right="34"/>
              <w:rPr>
                <w:rFonts w:cs="Arial"/>
                <w:szCs w:val="18"/>
              </w:rPr>
            </w:pPr>
            <w:r w:rsidRPr="00537C3C">
              <w:rPr>
                <w:b/>
              </w:rPr>
              <w:t>Study design:</w:t>
            </w:r>
            <w:r w:rsidRPr="00537C3C">
              <w:t xml:space="preserve"> D</w:t>
            </w:r>
            <w:r w:rsidRPr="00537C3C">
              <w:rPr>
                <w:rFonts w:cs="Arial"/>
                <w:szCs w:val="18"/>
              </w:rPr>
              <w:t xml:space="preserve">iagnostic accuracy study with split-sample pairs and seeded </w:t>
            </w:r>
            <w:r w:rsidRPr="00BB76D8">
              <w:rPr>
                <w:rFonts w:cs="Arial"/>
                <w:szCs w:val="18"/>
              </w:rPr>
              <w:t>LBC</w:t>
            </w:r>
            <w:r w:rsidRPr="00537C3C">
              <w:rPr>
                <w:rFonts w:cs="Arial"/>
                <w:szCs w:val="18"/>
              </w:rPr>
              <w:t xml:space="preserve"> cases</w:t>
            </w:r>
          </w:p>
          <w:p w:rsidR="00234376" w:rsidRPr="00537C3C" w:rsidRDefault="00234376" w:rsidP="008E03A7">
            <w:pPr>
              <w:pStyle w:val="TableTextLessSpaceCharCharCharCharCharCharCharChar"/>
              <w:spacing w:before="40" w:after="40"/>
              <w:ind w:right="34"/>
              <w:rPr>
                <w:rFonts w:cs="Arial"/>
                <w:szCs w:val="18"/>
              </w:rPr>
            </w:pPr>
            <w:r w:rsidRPr="00537C3C">
              <w:rPr>
                <w:b/>
              </w:rPr>
              <w:t xml:space="preserve">Test threshold: </w:t>
            </w:r>
            <w:bookmarkStart w:id="390" w:name="OLE_LINK587"/>
            <w:bookmarkStart w:id="391" w:name="OLE_LINK588"/>
            <w:r w:rsidRPr="00537C3C">
              <w:rPr>
                <w:rFonts w:cs="Arial"/>
                <w:szCs w:val="18"/>
              </w:rPr>
              <w:t>Low-grade abnormality (</w:t>
            </w:r>
            <w:bookmarkStart w:id="392" w:name="OLE_LINK172"/>
            <w:bookmarkStart w:id="393" w:name="OLE_LINK173"/>
            <w:r w:rsidRPr="00537C3C">
              <w:rPr>
                <w:rFonts w:cs="Arial"/>
                <w:szCs w:val="18"/>
              </w:rPr>
              <w:t>LGEA</w:t>
            </w:r>
            <w:bookmarkEnd w:id="390"/>
            <w:bookmarkEnd w:id="391"/>
            <w:bookmarkEnd w:id="392"/>
            <w:bookmarkEnd w:id="393"/>
            <w:r w:rsidRPr="00537C3C">
              <w:rPr>
                <w:rFonts w:cs="Arial"/>
                <w:szCs w:val="18"/>
              </w:rPr>
              <w:t>+)</w:t>
            </w:r>
          </w:p>
          <w:p w:rsidR="00234376" w:rsidRPr="00A316F5" w:rsidRDefault="00234376" w:rsidP="00104199">
            <w:pPr>
              <w:pStyle w:val="TableTextLessSpaceCharCharCharCharCharCharCharChar"/>
              <w:spacing w:before="40" w:after="40"/>
              <w:ind w:right="34"/>
            </w:pPr>
            <w:r w:rsidRPr="00537C3C">
              <w:rPr>
                <w:b/>
              </w:rPr>
              <w:t>Reference standard:</w:t>
            </w:r>
          </w:p>
          <w:p w:rsidR="00234376" w:rsidRDefault="00234376" w:rsidP="00104199">
            <w:pPr>
              <w:pStyle w:val="TableTextLessSpaceCharCharCharCharCharCharCharChar"/>
              <w:spacing w:before="40" w:after="40"/>
              <w:ind w:right="34"/>
              <w:rPr>
                <w:rFonts w:cs="Arial"/>
                <w:szCs w:val="18"/>
              </w:rPr>
            </w:pPr>
            <w:r w:rsidRPr="00537C3C">
              <w:rPr>
                <w:rFonts w:cs="Arial"/>
                <w:szCs w:val="18"/>
              </w:rPr>
              <w:t>Concordant positives and negatives: nil.</w:t>
            </w:r>
          </w:p>
          <w:p w:rsidR="00234376" w:rsidRPr="00537C3C" w:rsidRDefault="00234376" w:rsidP="008E03A7">
            <w:pPr>
              <w:pStyle w:val="TableTextLessSpaceCharCharCharCharCharCharCharChar"/>
              <w:spacing w:before="40" w:after="40"/>
              <w:ind w:right="34"/>
              <w:rPr>
                <w:rFonts w:cs="Arial"/>
                <w:szCs w:val="18"/>
              </w:rPr>
            </w:pPr>
            <w:r w:rsidRPr="00537C3C">
              <w:rPr>
                <w:rFonts w:cs="Arial"/>
                <w:szCs w:val="18"/>
              </w:rPr>
              <w:t>Discordant positives: adjudicated cytology, majority agreement of 3 experienced cytology professionals</w:t>
            </w:r>
          </w:p>
          <w:p w:rsidR="00234376" w:rsidRPr="00537C3C" w:rsidRDefault="00234376" w:rsidP="008E03A7">
            <w:pPr>
              <w:pStyle w:val="TableTextLessSpaceCharCharCharCharCharCharCharChar"/>
              <w:spacing w:before="40" w:after="40"/>
              <w:ind w:right="34"/>
              <w:rPr>
                <w:b/>
              </w:rPr>
            </w:pPr>
            <w:r w:rsidRPr="00537C3C">
              <w:rPr>
                <w:b/>
              </w:rPr>
              <w:t>Outcomes</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Accuracy</w:t>
            </w:r>
            <w:r w:rsidRPr="00537C3C">
              <w:rPr>
                <w:rFonts w:cs="Arial"/>
                <w:szCs w:val="18"/>
              </w:rPr>
              <w:t>: cases detected, not clearly reported</w:t>
            </w:r>
          </w:p>
        </w:tc>
        <w:tc>
          <w:tcPr>
            <w:tcW w:w="2925" w:type="dxa"/>
          </w:tcPr>
          <w:p w:rsidR="00234376" w:rsidRPr="00537C3C" w:rsidRDefault="00234376" w:rsidP="008E03A7">
            <w:pPr>
              <w:pStyle w:val="TableTextLessSpaceCharCharCharCharCharCharCharChar"/>
              <w:rPr>
                <w:b/>
              </w:rPr>
            </w:pPr>
            <w:r w:rsidRPr="00537C3C">
              <w:rPr>
                <w:b/>
              </w:rPr>
              <w:t>C1 P2 Q2</w:t>
            </w:r>
          </w:p>
          <w:p w:rsidR="00234376" w:rsidRPr="00537C3C" w:rsidRDefault="00234376" w:rsidP="008E03A7">
            <w:pPr>
              <w:pStyle w:val="TableTextLessSpaceCharCharCharCharCharCharCharChar"/>
              <w:rPr>
                <w:b/>
              </w:rPr>
            </w:pPr>
            <w:r w:rsidRPr="00537C3C">
              <w:rPr>
                <w:b/>
              </w:rPr>
              <w:t xml:space="preserve">Accuracy study </w:t>
            </w:r>
            <w:r w:rsidRPr="00BB76D8">
              <w:rPr>
                <w:b/>
              </w:rPr>
              <w:t>NHMRC</w:t>
            </w:r>
            <w:r w:rsidRPr="00537C3C">
              <w:rPr>
                <w:b/>
              </w:rPr>
              <w:t xml:space="preserve"> level </w:t>
            </w:r>
            <w:r w:rsidRPr="00BB76D8">
              <w:rPr>
                <w:b/>
              </w:rPr>
              <w:t>III</w:t>
            </w:r>
            <w:r w:rsidRPr="00537C3C">
              <w:rPr>
                <w:b/>
              </w:rPr>
              <w:t>-2</w:t>
            </w:r>
          </w:p>
          <w:p w:rsidR="00234376" w:rsidRPr="00537C3C" w:rsidRDefault="00234376" w:rsidP="008E03A7">
            <w:pPr>
              <w:pStyle w:val="TableTextLessSpaceCharCharCharCharCharCharCharChar"/>
              <w:rPr>
                <w:b/>
              </w:rPr>
            </w:pPr>
          </w:p>
          <w:p w:rsidR="00234376" w:rsidRPr="00537C3C" w:rsidRDefault="00234376" w:rsidP="008E03A7">
            <w:pPr>
              <w:pStyle w:val="TableTextLessSpaceCharCharCharCharCharCharCharChar"/>
              <w:rPr>
                <w:b/>
              </w:rPr>
            </w:pPr>
            <w:r w:rsidRPr="00537C3C">
              <w:rPr>
                <w:b/>
              </w:rPr>
              <w:t>Quality: fair</w:t>
            </w:r>
          </w:p>
          <w:p w:rsidR="00234376" w:rsidRPr="00537C3C" w:rsidRDefault="00234376" w:rsidP="008E03A7">
            <w:pPr>
              <w:pStyle w:val="TableTextLessSpaceCharCharCharCharCharCharCharChar"/>
            </w:pPr>
            <w:r w:rsidRPr="00537C3C">
              <w:t>Retrospective, not consecutive (</w:t>
            </w:r>
            <w:r w:rsidRPr="00BB76D8">
              <w:t>NFR</w:t>
            </w:r>
            <w:r w:rsidRPr="00537C3C">
              <w:t xml:space="preserve"> excluded), reference standard valid but suboptimal</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rPr>
                <w:b/>
              </w:rPr>
            </w:pPr>
            <w:r w:rsidRPr="00537C3C">
              <w:rPr>
                <w:b/>
              </w:rPr>
              <w:t>Limited applicability</w:t>
            </w:r>
          </w:p>
          <w:p w:rsidR="00234376" w:rsidRPr="00537C3C" w:rsidRDefault="00234376" w:rsidP="008E03A7">
            <w:pPr>
              <w:pStyle w:val="TableTextLessSpaceCharCharCharCharCharCharCharChar"/>
            </w:pPr>
            <w:r w:rsidRPr="00537C3C">
              <w:t>Applicable population &amp; comparator</w:t>
            </w:r>
          </w:p>
          <w:p w:rsidR="00234376" w:rsidRPr="00537C3C" w:rsidRDefault="00234376" w:rsidP="008E03A7">
            <w:pPr>
              <w:pStyle w:val="TableTextLessSpaceCharCharCharCharCharCharCharChar"/>
            </w:pPr>
            <w:r w:rsidRPr="00537C3C">
              <w:t>Index test limited applicability (</w:t>
            </w:r>
            <w:r w:rsidRPr="00BB76D8">
              <w:t>NFR</w:t>
            </w:r>
            <w:r w:rsidRPr="00537C3C">
              <w:t xml:space="preserve"> slides)</w:t>
            </w:r>
          </w:p>
          <w:p w:rsidR="00234376" w:rsidRPr="00537C3C" w:rsidRDefault="00234376" w:rsidP="008E03A7">
            <w:pPr>
              <w:pStyle w:val="TableTextLessSpaceCharCharCharCharCharCharCharChar"/>
            </w:pPr>
          </w:p>
        </w:tc>
      </w:tr>
    </w:tbl>
    <w:p w:rsidR="00234376" w:rsidRPr="00537C3C" w:rsidRDefault="00234376" w:rsidP="008E03A7">
      <w:pPr>
        <w:pStyle w:val="TableNotes"/>
        <w:spacing w:after="0"/>
        <w:ind w:left="513" w:firstLine="207"/>
      </w:pPr>
      <w:r w:rsidRPr="00537C3C">
        <w:rPr>
          <w:i/>
        </w:rPr>
        <w:t>Abbreviations:</w:t>
      </w:r>
      <w:r w:rsidRPr="00234376">
        <w:t xml:space="preserve"> </w:t>
      </w:r>
      <w:r w:rsidRPr="00BB76D8">
        <w:t>CC = conventional cytology, LBC</w:t>
      </w:r>
      <w:r w:rsidRPr="00537C3C">
        <w:t xml:space="preserve"> = liquid-based cytology, </w:t>
      </w:r>
      <w:r w:rsidRPr="00BB76D8">
        <w:t>NFR</w:t>
      </w:r>
      <w:r w:rsidRPr="00537C3C">
        <w:t xml:space="preserve"> = not for review, </w:t>
      </w:r>
      <w:r w:rsidRPr="00BB76D8">
        <w:t>NR</w:t>
      </w:r>
      <w:r w:rsidRPr="00537C3C">
        <w:t xml:space="preserve"> = not reported, </w:t>
      </w:r>
      <w:r w:rsidRPr="00BB76D8">
        <w:t>TPI</w:t>
      </w:r>
      <w:r w:rsidRPr="00537C3C">
        <w:t xml:space="preserve"> = </w:t>
      </w:r>
      <w:bookmarkStart w:id="394" w:name="OLE_LINK581"/>
      <w:bookmarkStart w:id="395" w:name="OLE_LINK582"/>
      <w:r w:rsidRPr="00537C3C">
        <w:t>ThinPrep Imager</w:t>
      </w:r>
      <w:bookmarkEnd w:id="394"/>
      <w:bookmarkEnd w:id="395"/>
      <w:r w:rsidRPr="00537C3C">
        <w:t xml:space="preserve">, </w:t>
      </w:r>
      <w:r w:rsidRPr="00BB76D8">
        <w:t>TPM</w:t>
      </w:r>
      <w:r w:rsidRPr="00537C3C">
        <w:t xml:space="preserve"> = ThinPrep manual.</w:t>
      </w:r>
    </w:p>
    <w:p w:rsidR="00234376" w:rsidRPr="00537C3C" w:rsidRDefault="00234376" w:rsidP="008E03A7">
      <w:pPr>
        <w:pStyle w:val="TableNotes"/>
        <w:spacing w:after="0"/>
        <w:ind w:left="513" w:firstLine="207"/>
      </w:pPr>
      <w:r w:rsidRPr="00537C3C">
        <w:rPr>
          <w:vertAlign w:val="superscript"/>
        </w:rPr>
        <w:t xml:space="preserve">a </w:t>
      </w:r>
      <w:r w:rsidRPr="00537C3C">
        <w:t>Reported sensitivity invalid as not based on full reference standard.</w:t>
      </w:r>
    </w:p>
    <w:p w:rsidR="00234376" w:rsidRPr="00537C3C" w:rsidRDefault="00234376" w:rsidP="008E03A7"/>
    <w:p w:rsidR="00234376" w:rsidRPr="00537C3C" w:rsidRDefault="00234376">
      <w:pPr>
        <w:sectPr w:rsidR="00234376" w:rsidRPr="00537C3C" w:rsidSect="008E03A7">
          <w:pgSz w:w="16838" w:h="11906" w:orient="landscape" w:code="9"/>
          <w:pgMar w:top="1440" w:right="1440" w:bottom="1440" w:left="1440" w:header="720" w:footer="720" w:gutter="0"/>
          <w:paperSrc w:first="15" w:other="15"/>
          <w:cols w:space="720"/>
        </w:sectPr>
      </w:pPr>
    </w:p>
    <w:p w:rsidR="00234376" w:rsidRDefault="00234376" w:rsidP="00234376">
      <w:pPr>
        <w:pStyle w:val="Heading3"/>
      </w:pPr>
      <w:r w:rsidRPr="00537C3C">
        <w:lastRenderedPageBreak/>
        <w:t>Test accuracy</w:t>
      </w:r>
    </w:p>
    <w:p w:rsidR="00234376" w:rsidRPr="00537C3C" w:rsidRDefault="00234376" w:rsidP="008E03A7">
      <w:r>
        <w:fldChar w:fldCharType="begin"/>
      </w:r>
      <w:r>
        <w:instrText xml:space="preserve"> REF _Ref190499190 \h  \* MERGEFORMAT </w:instrText>
      </w:r>
      <w:r>
        <w:fldChar w:fldCharType="separate"/>
      </w:r>
      <w:r w:rsidR="007D3DFF" w:rsidRPr="00537C3C">
        <w:t xml:space="preserve">Table </w:t>
      </w:r>
      <w:r w:rsidR="007D3DFF">
        <w:rPr>
          <w:noProof/>
        </w:rPr>
        <w:t>17</w:t>
      </w:r>
      <w:r>
        <w:fldChar w:fldCharType="end"/>
      </w:r>
      <w:r w:rsidRPr="00537C3C">
        <w:t xml:space="preserve"> summarises the relative accuracy data from the included studies comparing automation-assisted slide reading to manual reading of conventional slides. As none of the studies included verification of negative results, nor fully verified positive results, a valid estimate of absolute test sensitivity and specificity cannot be determined. In lieu of this, </w:t>
      </w:r>
      <w:r>
        <w:fldChar w:fldCharType="begin"/>
      </w:r>
      <w:r>
        <w:instrText xml:space="preserve"> REF _Ref190499190 \h  \* MERGEFORMAT </w:instrText>
      </w:r>
      <w:r>
        <w:fldChar w:fldCharType="separate"/>
      </w:r>
      <w:r w:rsidR="007D3DFF" w:rsidRPr="00537C3C">
        <w:t xml:space="preserve">Table </w:t>
      </w:r>
      <w:r w:rsidR="007D3DFF">
        <w:rPr>
          <w:noProof/>
        </w:rPr>
        <w:t>17</w:t>
      </w:r>
      <w:r>
        <w:fldChar w:fldCharType="end"/>
      </w:r>
      <w:r w:rsidRPr="00537C3C">
        <w:t xml:space="preserve"> presents the number of additional or absolute true and false positive findings detected by each screening method.</w:t>
      </w:r>
    </w:p>
    <w:p w:rsidR="00234376" w:rsidRPr="00CA3C8D" w:rsidRDefault="00234376" w:rsidP="008E03A7">
      <w:r w:rsidRPr="00537C3C">
        <w:t xml:space="preserve">Data from a recent large Australian split-sample study of ThinPrepImager reading of ThinPrep slides indicated </w:t>
      </w:r>
      <w:r w:rsidRPr="00CA3C8D">
        <w:t xml:space="preserve">that this screening method detected an additional 0.82 true cases of CIN 2 or higher lesions per 1000 women screened than manual reading of conventional slides, when </w:t>
      </w:r>
      <w:r w:rsidRPr="007F615E">
        <w:rPr>
          <w:b/>
        </w:rPr>
        <w:t xml:space="preserve">pHSIL </w:t>
      </w:r>
      <w:r w:rsidRPr="00CA3C8D">
        <w:t>was used as the test threshold (</w:t>
      </w:r>
      <w:bookmarkStart w:id="396" w:name="OLE_LINK482"/>
      <w:bookmarkStart w:id="397" w:name="OLE_LINK483"/>
      <w:r w:rsidRPr="00CA3C8D">
        <w:t>Davey et al. 2007</w:t>
      </w:r>
      <w:bookmarkEnd w:id="396"/>
      <w:bookmarkEnd w:id="397"/>
      <w:r w:rsidR="000F7617" w:rsidRPr="00CA3C8D">
        <w:t>a</w:t>
      </w:r>
      <w:r w:rsidRPr="00CA3C8D">
        <w:t>). This was a significantly greater number of cases detected than by manual reading (</w:t>
      </w:r>
      <w:r w:rsidRPr="00CA3C8D">
        <w:rPr>
          <w:i/>
        </w:rPr>
        <w:t>P</w:t>
      </w:r>
      <w:r w:rsidRPr="00CA3C8D">
        <w:t xml:space="preserve"> = 0.003 </w:t>
      </w:r>
      <w:r w:rsidRPr="00CA3C8D">
        <w:rPr>
          <w:szCs w:val="24"/>
        </w:rPr>
        <w:sym w:font="Symbol" w:char="F063"/>
      </w:r>
      <w:r w:rsidRPr="00CA3C8D">
        <w:rPr>
          <w:vertAlign w:val="superscript"/>
        </w:rPr>
        <w:t>2</w:t>
      </w:r>
      <w:r w:rsidRPr="00CA3C8D">
        <w:t>-test). This increased detection rate was associated with an additional 0.74 biopsies per 1000 women (</w:t>
      </w:r>
      <w:r w:rsidRPr="00CA3C8D">
        <w:rPr>
          <w:i/>
        </w:rPr>
        <w:t>P</w:t>
      </w:r>
      <w:r w:rsidRPr="00CA3C8D">
        <w:t xml:space="preserve"> = 0.06, </w:t>
      </w:r>
      <w:bookmarkStart w:id="398" w:name="OLE_LINK5"/>
      <w:bookmarkStart w:id="399" w:name="OLE_LINK6"/>
      <w:r w:rsidRPr="00CA3C8D">
        <w:rPr>
          <w:szCs w:val="24"/>
        </w:rPr>
        <w:sym w:font="Symbol" w:char="F063"/>
      </w:r>
      <w:r w:rsidRPr="00CA3C8D">
        <w:rPr>
          <w:vertAlign w:val="superscript"/>
        </w:rPr>
        <w:t>2</w:t>
      </w:r>
      <w:r w:rsidRPr="00CA3C8D">
        <w:t>-test</w:t>
      </w:r>
      <w:bookmarkEnd w:id="398"/>
      <w:bookmarkEnd w:id="399"/>
      <w:r w:rsidRPr="00CA3C8D">
        <w:t xml:space="preserve">). Fewer colposcopies and biopsies per 1000 women were conducted that had a negative finding (0.07 fewer per 1000 women, </w:t>
      </w:r>
      <w:r w:rsidRPr="00CA3C8D">
        <w:rPr>
          <w:i/>
        </w:rPr>
        <w:t>P</w:t>
      </w:r>
      <w:r w:rsidRPr="00CA3C8D">
        <w:t xml:space="preserve"> = 0.80), considering this threshold for referral to colposcopy.</w:t>
      </w:r>
    </w:p>
    <w:p w:rsidR="00234376" w:rsidRPr="00537C3C" w:rsidRDefault="00234376" w:rsidP="008E03A7">
      <w:r w:rsidRPr="00CA3C8D">
        <w:t xml:space="preserve">When </w:t>
      </w:r>
      <w:r w:rsidRPr="00CA3C8D">
        <w:rPr>
          <w:b/>
        </w:rPr>
        <w:t>CIN 1</w:t>
      </w:r>
      <w:r w:rsidRPr="00CA3C8D">
        <w:t xml:space="preserve"> (LSIL excluding HPV effect) was used as the test threshold, and the three alternative histological reference standard approaches were considered (see </w:t>
      </w:r>
      <w:r w:rsidRPr="00CA3C8D">
        <w:fldChar w:fldCharType="begin"/>
      </w:r>
      <w:r w:rsidRPr="00CA3C8D">
        <w:instrText xml:space="preserve"> REF _Ref190595297 \h  \* MERGEFORMAT </w:instrText>
      </w:r>
      <w:r w:rsidRPr="00CA3C8D">
        <w:fldChar w:fldCharType="separate"/>
      </w:r>
      <w:r w:rsidR="007D3DFF" w:rsidRPr="00537C3C">
        <w:t xml:space="preserve">Table </w:t>
      </w:r>
      <w:r w:rsidR="007D3DFF">
        <w:t>16</w:t>
      </w:r>
      <w:r w:rsidRPr="00CA3C8D">
        <w:fldChar w:fldCharType="end"/>
      </w:r>
      <w:r w:rsidRPr="00CA3C8D">
        <w:t>), ThinPrep Imager reading of ThinPrep slides detected 1.29 to 1.92 additional true cases of CIN 2 or greater lesions per 1000 women screened</w:t>
      </w:r>
      <w:r w:rsidRPr="00537C3C">
        <w:t xml:space="preserve"> than manual reading of conventional slides (</w:t>
      </w:r>
      <w:r w:rsidRPr="0030078D">
        <w:rPr>
          <w:i/>
        </w:rPr>
        <w:t>P</w:t>
      </w:r>
      <w:r w:rsidRPr="00537C3C">
        <w:t xml:space="preserve"> &lt; 0.001 </w:t>
      </w:r>
      <w:r w:rsidRPr="00537C3C">
        <w:rPr>
          <w:szCs w:val="24"/>
        </w:rPr>
        <w:sym w:font="Symbol" w:char="F063"/>
      </w:r>
      <w:r w:rsidRPr="00537C3C">
        <w:rPr>
          <w:vertAlign w:val="superscript"/>
        </w:rPr>
        <w:t>2</w:t>
      </w:r>
      <w:r w:rsidRPr="00537C3C">
        <w:t>-test for all 3 cases) (Davey et al. 2007</w:t>
      </w:r>
      <w:r w:rsidR="000F7617">
        <w:t>a</w:t>
      </w:r>
      <w:r w:rsidRPr="00537C3C">
        <w:t>). This was associated with 2.28 to 3.08 additional biopsies per 1000 women, significantly more than in the conventional arm (</w:t>
      </w:r>
      <w:r w:rsidRPr="0030078D">
        <w:rPr>
          <w:i/>
        </w:rPr>
        <w:t>P</w:t>
      </w:r>
      <w:r w:rsidRPr="00537C3C">
        <w:t xml:space="preserve"> &lt; 0.001, </w:t>
      </w:r>
      <w:r w:rsidRPr="00537C3C">
        <w:rPr>
          <w:szCs w:val="24"/>
        </w:rPr>
        <w:sym w:font="Symbol" w:char="F063"/>
      </w:r>
      <w:r w:rsidRPr="00537C3C">
        <w:rPr>
          <w:vertAlign w:val="superscript"/>
        </w:rPr>
        <w:t>2</w:t>
      </w:r>
      <w:r w:rsidRPr="00537C3C">
        <w:t xml:space="preserve">-test). These data represent the actual number of cases detected and biopsies performed in a standard clinical setting, based on recommendations for referral for biopsy for </w:t>
      </w:r>
      <w:r w:rsidRPr="00BB76D8">
        <w:t>CIN</w:t>
      </w:r>
      <w:r w:rsidRPr="00537C3C">
        <w:t xml:space="preserve"> 1+ lesions and incomplete follow-up. The authors state that this test threshold for referral </w:t>
      </w:r>
      <w:r w:rsidRPr="00537C3C" w:rsidDel="00B94BF8">
        <w:t>for</w:t>
      </w:r>
      <w:r w:rsidRPr="00537C3C">
        <w:t xml:space="preserve"> biopsy was recommended practice at the time, but current guidelines recommend referral </w:t>
      </w:r>
      <w:r w:rsidRPr="00537C3C" w:rsidDel="00B94BF8">
        <w:t>for</w:t>
      </w:r>
      <w:r w:rsidRPr="00537C3C">
        <w:t xml:space="preserve"> biopsy for </w:t>
      </w:r>
      <w:r w:rsidRPr="00BB76D8">
        <w:t>pHSIL</w:t>
      </w:r>
      <w:r w:rsidRPr="00537C3C">
        <w:t xml:space="preserve"> and higher lesions.</w:t>
      </w:r>
    </w:p>
    <w:p w:rsidR="00234376" w:rsidRPr="00537C3C" w:rsidRDefault="00234376" w:rsidP="008E03A7">
      <w:r w:rsidRPr="00537C3C">
        <w:t xml:space="preserve">Data are also presented in </w:t>
      </w:r>
      <w:r>
        <w:fldChar w:fldCharType="begin"/>
      </w:r>
      <w:r>
        <w:instrText xml:space="preserve"> REF _Ref190499190 \h  \* MERGEFORMAT </w:instrText>
      </w:r>
      <w:r>
        <w:fldChar w:fldCharType="separate"/>
      </w:r>
      <w:r w:rsidR="007D3DFF" w:rsidRPr="00537C3C">
        <w:t xml:space="preserve">Table </w:t>
      </w:r>
      <w:r w:rsidR="007D3DFF">
        <w:rPr>
          <w:noProof/>
        </w:rPr>
        <w:t>17</w:t>
      </w:r>
      <w:r>
        <w:fldChar w:fldCharType="end"/>
      </w:r>
      <w:r w:rsidRPr="00537C3C">
        <w:t xml:space="preserve"> for a test threshold of </w:t>
      </w:r>
      <w:r w:rsidRPr="00BB76D8">
        <w:t>LSIL</w:t>
      </w:r>
      <w:r w:rsidRPr="00537C3C">
        <w:t xml:space="preserve"> (atypia with </w:t>
      </w:r>
      <w:r w:rsidRPr="00BB76D8">
        <w:t>HPV</w:t>
      </w:r>
      <w:r w:rsidRPr="00537C3C">
        <w:t xml:space="preserve"> effect or higher). Although a cytological threshold of </w:t>
      </w:r>
      <w:r w:rsidRPr="00BB76D8">
        <w:t>CIN</w:t>
      </w:r>
      <w:r w:rsidRPr="00537C3C">
        <w:t xml:space="preserve"> 1+ was recommended for referral for biopsy at the time, 15 per cent (99/656) of women with discordant lesions indicative of atypia with </w:t>
      </w:r>
      <w:r w:rsidRPr="00BB76D8">
        <w:t>HPV</w:t>
      </w:r>
      <w:r w:rsidRPr="00537C3C">
        <w:t xml:space="preserve"> effect were also biopsied. At this test threshold, with the Pap test register result as the reference standard, the ThinPrep system detected an additional 1.40 true cases of </w:t>
      </w:r>
      <w:r w:rsidRPr="00BB76D8">
        <w:t>CIN</w:t>
      </w:r>
      <w:r w:rsidRPr="00537C3C">
        <w:t xml:space="preserve"> 2+, with 3.77 additional biopsies per 1000 women.</w:t>
      </w:r>
    </w:p>
    <w:p w:rsidR="00234376" w:rsidRPr="00537C3C" w:rsidRDefault="00234376" w:rsidP="008E03A7">
      <w:r w:rsidRPr="00537C3C">
        <w:t xml:space="preserve">Another Australian split-sample study of TPI reading of ThinPrep slides showed a similar trend, with 1.58 more cases of high-grade histology per 1000 women detected by the ThinPrep system than by </w:t>
      </w:r>
      <w:r w:rsidRPr="00537C3C">
        <w:rPr>
          <w:rFonts w:cs="Arial"/>
        </w:rPr>
        <w:t>CC</w:t>
      </w:r>
      <w:r w:rsidRPr="00537C3C">
        <w:t xml:space="preserve">, at a threshold of </w:t>
      </w:r>
      <w:r w:rsidRPr="00BB76D8">
        <w:t>pHSIL</w:t>
      </w:r>
      <w:r w:rsidRPr="00537C3C">
        <w:t>/</w:t>
      </w:r>
      <w:r w:rsidRPr="00BB76D8">
        <w:t>HSIL</w:t>
      </w:r>
      <w:r w:rsidRPr="00537C3C">
        <w:t xml:space="preserve"> (</w:t>
      </w:r>
      <w:bookmarkStart w:id="400" w:name="OLE_LINK484"/>
      <w:bookmarkStart w:id="401" w:name="OLE_LINK485"/>
      <w:r w:rsidRPr="00537C3C">
        <w:t>Roberts et al. 2007</w:t>
      </w:r>
      <w:bookmarkEnd w:id="400"/>
      <w:bookmarkEnd w:id="401"/>
      <w:r w:rsidRPr="00537C3C">
        <w:t>) (</w:t>
      </w:r>
      <w:r>
        <w:fldChar w:fldCharType="begin"/>
      </w:r>
      <w:r>
        <w:instrText xml:space="preserve"> REF _Ref190499190 \h  \* MERGEFORMAT </w:instrText>
      </w:r>
      <w:r>
        <w:fldChar w:fldCharType="separate"/>
      </w:r>
      <w:r w:rsidR="007D3DFF" w:rsidRPr="00537C3C">
        <w:t xml:space="preserve">Table </w:t>
      </w:r>
      <w:r w:rsidR="007D3DFF">
        <w:rPr>
          <w:noProof/>
        </w:rPr>
        <w:t>17</w:t>
      </w:r>
      <w:r>
        <w:fldChar w:fldCharType="end"/>
      </w:r>
      <w:r w:rsidRPr="00537C3C">
        <w:t xml:space="preserve">). Where cytology findings of possible high-grade glandular lesions are also included as a positive cytological result, the ThinPrep system detected 1.49 more cases per 1000 than </w:t>
      </w:r>
      <w:r w:rsidRPr="00537C3C">
        <w:rPr>
          <w:rFonts w:cs="Arial"/>
        </w:rPr>
        <w:t>CC</w:t>
      </w:r>
      <w:r w:rsidRPr="00537C3C">
        <w:t>. But the number of cases detected did not differ statistically between these two screening approaches (</w:t>
      </w:r>
      <w:r w:rsidRPr="00537C3C">
        <w:rPr>
          <w:szCs w:val="24"/>
        </w:rPr>
        <w:sym w:font="Symbol" w:char="F063"/>
      </w:r>
      <w:r w:rsidRPr="00537C3C">
        <w:rPr>
          <w:vertAlign w:val="superscript"/>
        </w:rPr>
        <w:t>2</w:t>
      </w:r>
      <w:r w:rsidRPr="00537C3C">
        <w:t xml:space="preserve">-test). The number of biopsies with negative results for high-grade disease was significantly greater with TPI than with </w:t>
      </w:r>
      <w:r w:rsidRPr="00537C3C">
        <w:rPr>
          <w:rFonts w:cs="Arial"/>
        </w:rPr>
        <w:t>CC</w:t>
      </w:r>
      <w:r w:rsidRPr="00537C3C">
        <w:t xml:space="preserve"> (1.93 additional cases, </w:t>
      </w:r>
      <w:r w:rsidRPr="0030078D">
        <w:rPr>
          <w:i/>
        </w:rPr>
        <w:t>P</w:t>
      </w:r>
      <w:r w:rsidRPr="00537C3C">
        <w:t xml:space="preserve"> &lt; 0.01). The number of cases detected at a </w:t>
      </w:r>
      <w:r w:rsidRPr="00BB76D8">
        <w:t>pLSIL</w:t>
      </w:r>
      <w:r w:rsidRPr="00537C3C">
        <w:t xml:space="preserve"> test threshold is also presented in </w:t>
      </w:r>
      <w:r>
        <w:fldChar w:fldCharType="begin"/>
      </w:r>
      <w:r>
        <w:instrText xml:space="preserve"> REF _Ref190499190 \h  \* MERGEFORMAT </w:instrText>
      </w:r>
      <w:r>
        <w:fldChar w:fldCharType="separate"/>
      </w:r>
      <w:r w:rsidR="007D3DFF" w:rsidRPr="00537C3C">
        <w:t xml:space="preserve">Table </w:t>
      </w:r>
      <w:r w:rsidR="007D3DFF">
        <w:rPr>
          <w:noProof/>
        </w:rPr>
        <w:t>17</w:t>
      </w:r>
      <w:r>
        <w:fldChar w:fldCharType="end"/>
      </w:r>
      <w:r w:rsidRPr="00537C3C">
        <w:t xml:space="preserve">, but during the time period when this study was conducted, the test threshold for referral for biopsy was </w:t>
      </w:r>
      <w:r w:rsidRPr="00BB76D8">
        <w:t>pHSIL</w:t>
      </w:r>
      <w:r w:rsidRPr="00537C3C">
        <w:t xml:space="preserve"> and higher lesions.</w:t>
      </w:r>
    </w:p>
    <w:p w:rsidR="00234376" w:rsidRPr="00537C3C" w:rsidRDefault="00234376" w:rsidP="008E03A7">
      <w:r w:rsidRPr="00537C3C">
        <w:lastRenderedPageBreak/>
        <w:t>There is inconsistency in the number of additional false positive findings due to ThinPrep Imager reading between the Davey et al. (2007</w:t>
      </w:r>
      <w:r w:rsidR="00F91C6A">
        <w:t>a</w:t>
      </w:r>
      <w:r w:rsidRPr="00537C3C">
        <w:t xml:space="preserve">) and Roberts et al. (2007) studies at a </w:t>
      </w:r>
      <w:r w:rsidRPr="00BB76D8">
        <w:t>pHSIL</w:t>
      </w:r>
      <w:r w:rsidRPr="00537C3C">
        <w:t xml:space="preserve"> threshold. The reason for this is not apparent, however differences in terminology and classification may be contributing factors. In the Davey et al. (2007</w:t>
      </w:r>
      <w:r w:rsidR="00F91C6A">
        <w:t>a</w:t>
      </w:r>
      <w:r w:rsidRPr="00537C3C">
        <w:t xml:space="preserve">) study, a test threshold of ‘inconclusive high-grade disease’ was used to detect histological </w:t>
      </w:r>
      <w:r w:rsidRPr="00BB76D8">
        <w:t>CIN</w:t>
      </w:r>
      <w:r w:rsidRPr="00537C3C">
        <w:t xml:space="preserve"> 2+. In the Roberts et al. (2007) study, a test threshold of ‘possible high-grade disease’ was used for a reference standard threshold of ‘high-grade disease’ defined as </w:t>
      </w:r>
      <w:r w:rsidRPr="00BB76D8">
        <w:t>HSIL</w:t>
      </w:r>
      <w:r w:rsidRPr="00537C3C">
        <w:t xml:space="preserve">, </w:t>
      </w:r>
      <w:r w:rsidRPr="00BB76D8">
        <w:t>AIS</w:t>
      </w:r>
      <w:r w:rsidRPr="00537C3C">
        <w:t xml:space="preserve"> or carcinoma.</w:t>
      </w:r>
    </w:p>
    <w:p w:rsidR="00234376" w:rsidRPr="00537C3C" w:rsidRDefault="00234376" w:rsidP="008E03A7">
      <w:r w:rsidRPr="00537C3C">
        <w:t>Interpretation of the findings of the Roberts et al. (2007) study must also be considered in light of the three-way paired comparison of these tests to manual reading of ThinPrep slides as discussed below (‘</w:t>
      </w:r>
      <w:r>
        <w:fldChar w:fldCharType="begin"/>
      </w:r>
      <w:r>
        <w:instrText xml:space="preserve"> REF _Ref200943996 \h  \* MERGEFORMAT </w:instrText>
      </w:r>
      <w:r>
        <w:fldChar w:fldCharType="separate"/>
      </w:r>
      <w:r w:rsidR="007D3DFF" w:rsidRPr="00537C3C">
        <w:rPr>
          <w:bCs/>
        </w:rPr>
        <w:t xml:space="preserve">Direct comparison of </w:t>
      </w:r>
      <w:r w:rsidR="007D3DFF" w:rsidRPr="00BB76D8">
        <w:rPr>
          <w:bCs/>
        </w:rPr>
        <w:t>LBC</w:t>
      </w:r>
      <w:r w:rsidR="007D3DFF" w:rsidRPr="00537C3C">
        <w:rPr>
          <w:bCs/>
        </w:rPr>
        <w:t xml:space="preserve">, automated </w:t>
      </w:r>
      <w:r w:rsidR="007D3DFF" w:rsidRPr="00BB76D8">
        <w:rPr>
          <w:bCs/>
        </w:rPr>
        <w:t>LBC</w:t>
      </w:r>
      <w:r w:rsidR="007D3DFF" w:rsidRPr="00537C3C">
        <w:rPr>
          <w:bCs/>
        </w:rPr>
        <w:t xml:space="preserve"> reading and conventional Pap cytology</w:t>
      </w:r>
      <w:r>
        <w:fldChar w:fldCharType="end"/>
      </w:r>
      <w:r w:rsidRPr="00537C3C">
        <w:t xml:space="preserve">‘, page </w:t>
      </w:r>
      <w:r w:rsidRPr="00537C3C">
        <w:fldChar w:fldCharType="begin"/>
      </w:r>
      <w:r w:rsidRPr="00537C3C">
        <w:instrText xml:space="preserve"> PAGEREF _Ref200943996 \h </w:instrText>
      </w:r>
      <w:r w:rsidRPr="00537C3C">
        <w:fldChar w:fldCharType="separate"/>
      </w:r>
      <w:r w:rsidR="007D3DFF">
        <w:rPr>
          <w:noProof/>
        </w:rPr>
        <w:t>58</w:t>
      </w:r>
      <w:r w:rsidRPr="00537C3C">
        <w:fldChar w:fldCharType="end"/>
      </w:r>
      <w:r w:rsidRPr="00537C3C">
        <w:t>).</w:t>
      </w:r>
    </w:p>
    <w:p w:rsidR="00234376" w:rsidRPr="00537C3C" w:rsidRDefault="00234376" w:rsidP="008E03A7">
      <w:r w:rsidRPr="00537C3C">
        <w:t xml:space="preserve">Two studies did not find an accuracy advantage of using AutoPap-assisted reading of </w:t>
      </w:r>
      <w:r w:rsidRPr="006E4528">
        <w:rPr>
          <w:i/>
        </w:rPr>
        <w:t>conventional</w:t>
      </w:r>
      <w:r w:rsidRPr="006E4528">
        <w:t xml:space="preserve"> slides</w:t>
      </w:r>
      <w:r w:rsidRPr="00537C3C">
        <w:t xml:space="preserve"> over manual reading of conventional slides (</w:t>
      </w:r>
      <w:bookmarkStart w:id="402" w:name="OLE_LINK486"/>
      <w:bookmarkStart w:id="403" w:name="OLE_LINK487"/>
      <w:r w:rsidRPr="00537C3C">
        <w:t>Confortini et al. 2003, Stevens et al. 2004</w:t>
      </w:r>
      <w:bookmarkEnd w:id="402"/>
      <w:bookmarkEnd w:id="403"/>
      <w:r w:rsidRPr="00537C3C">
        <w:t>; secondary research question). The data from Confortini et al. (2003) include manual reading of 3 slides that were not read by the AutoPap system and were processed manually (</w:t>
      </w:r>
      <w:r>
        <w:fldChar w:fldCharType="begin"/>
      </w:r>
      <w:r>
        <w:instrText xml:space="preserve"> REF _Ref190499190 \h  \* MERGEFORMAT </w:instrText>
      </w:r>
      <w:r>
        <w:fldChar w:fldCharType="separate"/>
      </w:r>
      <w:r w:rsidR="007D3DFF" w:rsidRPr="00537C3C">
        <w:t xml:space="preserve">Table </w:t>
      </w:r>
      <w:r w:rsidR="007D3DFF">
        <w:t>17</w:t>
      </w:r>
      <w:r>
        <w:fldChar w:fldCharType="end"/>
      </w:r>
      <w:r w:rsidRPr="00537C3C">
        <w:t xml:space="preserve">). An Australian study </w:t>
      </w:r>
      <w:r w:rsidRPr="00537C3C">
        <w:fldChar w:fldCharType="begin"/>
      </w:r>
      <w:r w:rsidRPr="00537C3C">
        <w:instrText xml:space="preserve"> ADDIN REFMGR.CITE &lt;Refman&gt;&lt;Cite&gt;&lt;Author&gt;Stevens&lt;/Author&gt;&lt;Year&gt;2004&lt;/Year&gt;&lt;RecNum&gt;521&lt;/RecNum&gt;&lt;IDText&gt;Effectiveness of AutoPap system location-guided screening in the evaluation of cervical cytology smears&lt;/IDText&gt;&lt;MDL Ref_Type="Journal"&gt;&lt;Ref_Type&gt;Journal&lt;/Ref_Type&gt;&lt;Ref_ID&gt;521&lt;/Ref_ID&gt;&lt;Title_Primary&gt;Effectiveness of AutoPap system location-guided screening in the evaluation of cervical cytology smears&lt;/Title_Primary&gt;&lt;Authors_Primary&gt;Stevens,M.W.&lt;/Authors_Primary&gt;&lt;Authors_Primary&gt;Milne,A.J.&lt;/Authors_Primary&gt;&lt;Authors_Primary&gt;Parkinson,I.H.&lt;/Authors_Primary&gt;&lt;Authors_Primary&gt;Nespolon,W.W.&lt;/Authors_Primary&gt;&lt;Authors_Primary&gt;Fazzalari,N.L.&lt;/Authors_Primary&gt;&lt;Authors_Primary&gt;Arora,N.&lt;/Authors_Primary&gt;&lt;Authors_Primary&gt;Dodd,T.J.&lt;/Authors_Primary&gt;&lt;Date_Primary&gt;2004&lt;/Date_Primary&gt;&lt;Keywords&gt;automation&lt;/Keywords&gt;&lt;Keywords&gt;AutoPap&lt;/Keywords&gt;&lt;Keywords&gt;cancer grading&lt;/Keywords&gt;&lt;Keywords&gt;cancer screening&lt;/Keywords&gt;&lt;Keywords&gt;computer assisted diagnosis&lt;/Keywords&gt;&lt;Keywords&gt;controlled study&lt;/Keywords&gt;&lt;Keywords&gt;diagnostic accuracy&lt;/Keywords&gt;&lt;Keywords&gt;female&lt;/Keywords&gt;&lt;Keywords&gt;human&lt;/Keywords&gt;&lt;Keywords&gt;human tissue&lt;/Keywords&gt;&lt;Keywords&gt;Papanicolaou test&lt;/Keywords&gt;&lt;Keywords&gt;priority journal&lt;/Keywords&gt;&lt;Keywords&gt;retrospective study&lt;/Keywords&gt;&lt;Keywords&gt;review&lt;/Keywords&gt;&lt;Keywords&gt;scoring system&lt;/Keywords&gt;&lt;Keywords&gt;tumor localization&lt;/Keywords&gt;&lt;Keywords&gt;uterine cervix cytology&lt;/Keywords&gt;&lt;Reprint&gt;Not in File&lt;/Reprint&gt;&lt;Start_Page&gt;94&lt;/Start_Page&gt;&lt;End_Page&gt;99&lt;/End_Page&gt;&lt;Periodical&gt;Diagnostic Cytopathology&lt;/Periodical&gt;&lt;Volume&gt;31&lt;/Volume&gt;&lt;Issue&gt;2&lt;/Issue&gt;&lt;ISSN_ISBN&gt;8755-1039&lt;/ISSN_ISBN&gt;&lt;Address&gt;Stevens, M.W., Division of Tissue Pathology, Inst. of Med. and Veterinary Science, Rundle Mall, Adelaide, SA 5000,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(Stevens et al. 2004)</w:t>
      </w:r>
      <w:r w:rsidRPr="00537C3C">
        <w:fldChar w:fldCharType="end"/>
      </w:r>
      <w:r w:rsidRPr="00537C3C">
        <w:t xml:space="preserve"> stated that AutoPap reading of conventional slides detected four cases of high-grade or suspected high-grade (</w:t>
      </w:r>
      <w:r w:rsidRPr="00BB76D8">
        <w:t>pHSIL</w:t>
      </w:r>
      <w:r w:rsidRPr="00537C3C">
        <w:t>+) disease that were classified as normal by conventional cytology, and five cases were detected by conventional reading that were classified as normal by AutoPap. The contingency data for this study were not clearly reported and it is assumed that these were true positive cases. These data excluded 18 smears diagnosed as low-grade positive by conventional reading but high-grade positive by AutoPap-assisted reading. This study also excludes data from slides designated as ‘not for review’ by the AutoPap system. These studies did not report power calculations, but it is unlikely that they were powered to demonstrate true equivalence of the two approaches.</w:t>
      </w:r>
    </w:p>
    <w:p w:rsidR="00234376" w:rsidRPr="00537C3C" w:rsidRDefault="00234376" w:rsidP="008E03A7">
      <w:pPr>
        <w:sectPr w:rsidR="00234376" w:rsidRPr="00537C3C" w:rsidSect="008E03A7">
          <w:headerReference w:type="even" r:id="rId27"/>
          <w:headerReference w:type="default" r:id="rId28"/>
          <w:footerReference w:type="even" r:id="rId29"/>
          <w:headerReference w:type="first" r:id="rId30"/>
          <w:pgSz w:w="11906" w:h="16838"/>
          <w:pgMar w:top="1440" w:right="1440" w:bottom="1440" w:left="1440" w:header="720" w:footer="720" w:gutter="0"/>
          <w:paperSrc w:first="2" w:other="2"/>
          <w:cols w:space="720"/>
        </w:sectPr>
      </w:pPr>
    </w:p>
    <w:p w:rsidR="00234376" w:rsidRDefault="00234376" w:rsidP="008E03A7">
      <w:pPr>
        <w:pStyle w:val="TableNamea"/>
        <w:spacing w:before="0" w:after="60"/>
        <w:ind w:left="1644"/>
      </w:pPr>
      <w:bookmarkStart w:id="404" w:name="_Ref190499190"/>
      <w:bookmarkStart w:id="405" w:name="_Toc190744103"/>
      <w:bookmarkStart w:id="406" w:name="_Toc190744374"/>
      <w:bookmarkStart w:id="407" w:name="_Ref219605662"/>
      <w:bookmarkStart w:id="408" w:name="_Toc95971253"/>
      <w:bookmarkStart w:id="409" w:name="_Ref222541225"/>
      <w:r w:rsidRPr="00537C3C">
        <w:lastRenderedPageBreak/>
        <w:t xml:space="preserve">Table </w:t>
      </w:r>
      <w:fldSimple w:instr=" SEQ Table \* ARABIC ">
        <w:r w:rsidR="007D3DFF">
          <w:rPr>
            <w:noProof/>
          </w:rPr>
          <w:t>17</w:t>
        </w:r>
      </w:fldSimple>
      <w:bookmarkEnd w:id="404"/>
      <w:r w:rsidRPr="00537C3C">
        <w:tab/>
        <w:t xml:space="preserve">Estimates of the relative accuracy of automation-assisted versus conventional reading of cervical cytology for </w:t>
      </w:r>
      <w:r w:rsidRPr="00BB76D8">
        <w:t>CIN</w:t>
      </w:r>
      <w:r w:rsidRPr="00537C3C">
        <w:t xml:space="preserve"> 2+</w:t>
      </w:r>
      <w:bookmarkEnd w:id="405"/>
      <w:bookmarkEnd w:id="406"/>
      <w:bookmarkEnd w:id="407"/>
      <w:r w:rsidRPr="00537C3C">
        <w:t>.</w:t>
      </w:r>
      <w:bookmarkEnd w:id="408"/>
      <w:bookmarkEnd w:id="409"/>
    </w:p>
    <w:p w:rsidR="00104199" w:rsidRPr="00537C3C" w:rsidRDefault="00104199" w:rsidP="008E03A7">
      <w:pPr>
        <w:pStyle w:val="TableNamea"/>
        <w:spacing w:before="0" w:after="60"/>
        <w:ind w:left="1644"/>
      </w:pPr>
    </w:p>
    <w:tbl>
      <w:tblPr>
        <w:tblW w:w="4969" w:type="pct"/>
        <w:tblInd w:w="647" w:type="dxa"/>
        <w:tblLayout w:type="fixed"/>
        <w:tblCellMar>
          <w:left w:w="57" w:type="dxa"/>
          <w:right w:w="57" w:type="dxa"/>
        </w:tblCellMar>
        <w:tblLook w:val="0000" w:firstRow="0" w:lastRow="0" w:firstColumn="0" w:lastColumn="0" w:noHBand="0" w:noVBand="0"/>
      </w:tblPr>
      <w:tblGrid>
        <w:gridCol w:w="1038"/>
        <w:gridCol w:w="70"/>
        <w:gridCol w:w="638"/>
        <w:gridCol w:w="2089"/>
        <w:gridCol w:w="859"/>
        <w:gridCol w:w="34"/>
        <w:gridCol w:w="1035"/>
        <w:gridCol w:w="1013"/>
        <w:gridCol w:w="56"/>
        <w:gridCol w:w="973"/>
        <w:gridCol w:w="783"/>
        <w:gridCol w:w="22"/>
        <w:gridCol w:w="699"/>
        <w:gridCol w:w="1038"/>
        <w:gridCol w:w="814"/>
        <w:gridCol w:w="847"/>
        <w:gridCol w:w="909"/>
        <w:gridCol w:w="1068"/>
      </w:tblGrid>
      <w:tr w:rsidR="00234376" w:rsidRPr="00537C3C">
        <w:trPr>
          <w:trHeight w:val="270"/>
        </w:trPr>
        <w:tc>
          <w:tcPr>
            <w:tcW w:w="371" w:type="pct"/>
            <w:vMerge w:val="restart"/>
            <w:tcBorders>
              <w:top w:val="single" w:sz="4" w:space="0" w:color="auto"/>
              <w:bottom w:val="single" w:sz="4" w:space="0" w:color="auto"/>
            </w:tcBorders>
          </w:tcPr>
          <w:p w:rsidR="00234376" w:rsidRPr="00537C3C" w:rsidRDefault="00234376" w:rsidP="008E03A7">
            <w:pPr>
              <w:pStyle w:val="TableHeading"/>
            </w:pPr>
            <w:r w:rsidRPr="00537C3C">
              <w:t>Study</w:t>
            </w:r>
          </w:p>
          <w:p w:rsidR="00234376" w:rsidRPr="00537C3C" w:rsidRDefault="00234376" w:rsidP="008E03A7">
            <w:pPr>
              <w:pStyle w:val="TableHeading"/>
            </w:pPr>
            <w:r w:rsidRPr="0030078D">
              <w:rPr>
                <w:i/>
              </w:rPr>
              <w:t>N</w:t>
            </w:r>
            <w:r w:rsidRPr="00537C3C">
              <w:t xml:space="preserve"> </w:t>
            </w:r>
          </w:p>
        </w:tc>
        <w:tc>
          <w:tcPr>
            <w:tcW w:w="253" w:type="pct"/>
            <w:gridSpan w:val="2"/>
            <w:vMerge w:val="restart"/>
            <w:tcBorders>
              <w:top w:val="single" w:sz="4" w:space="0" w:color="auto"/>
              <w:bottom w:val="single" w:sz="4" w:space="0" w:color="auto"/>
            </w:tcBorders>
          </w:tcPr>
          <w:p w:rsidR="00234376" w:rsidRPr="00537C3C" w:rsidRDefault="00234376" w:rsidP="008E03A7">
            <w:pPr>
              <w:pStyle w:val="TableTextCharChar"/>
              <w:rPr>
                <w:b/>
              </w:rPr>
            </w:pPr>
            <w:r w:rsidRPr="00537C3C">
              <w:rPr>
                <w:b/>
              </w:rPr>
              <w:t>Test</w:t>
            </w:r>
          </w:p>
        </w:tc>
        <w:tc>
          <w:tcPr>
            <w:tcW w:w="747" w:type="pct"/>
            <w:vMerge w:val="restart"/>
            <w:tcBorders>
              <w:top w:val="single" w:sz="4" w:space="0" w:color="auto"/>
              <w:bottom w:val="single" w:sz="4" w:space="0" w:color="auto"/>
            </w:tcBorders>
          </w:tcPr>
          <w:p w:rsidR="00234376" w:rsidRDefault="00234376" w:rsidP="00234376">
            <w:pPr>
              <w:pStyle w:val="TableHeading"/>
            </w:pPr>
            <w:r w:rsidRPr="00537C3C">
              <w:t>Test threshold</w:t>
            </w:r>
          </w:p>
        </w:tc>
        <w:tc>
          <w:tcPr>
            <w:tcW w:w="1418" w:type="pct"/>
            <w:gridSpan w:val="6"/>
            <w:vMerge w:val="restart"/>
            <w:tcBorders>
              <w:top w:val="single" w:sz="4" w:space="0" w:color="auto"/>
            </w:tcBorders>
          </w:tcPr>
          <w:p w:rsidR="00234376" w:rsidRPr="00537C3C" w:rsidRDefault="00234376" w:rsidP="008E03A7">
            <w:pPr>
              <w:pStyle w:val="TableHeading"/>
              <w:spacing w:after="0"/>
              <w:jc w:val="center"/>
            </w:pPr>
            <w:r w:rsidRPr="00537C3C">
              <w:t xml:space="preserve">Automation-assisted reading, additional positives per 1000 screened </w:t>
            </w:r>
          </w:p>
        </w:tc>
        <w:tc>
          <w:tcPr>
            <w:tcW w:w="1828" w:type="pct"/>
            <w:gridSpan w:val="7"/>
            <w:tcBorders>
              <w:top w:val="single" w:sz="4" w:space="0" w:color="auto"/>
              <w:bottom w:val="single" w:sz="4" w:space="0" w:color="auto"/>
            </w:tcBorders>
          </w:tcPr>
          <w:p w:rsidR="00234376" w:rsidRPr="00537C3C" w:rsidRDefault="00234376" w:rsidP="008E03A7">
            <w:pPr>
              <w:pStyle w:val="TableHeading"/>
              <w:spacing w:after="0"/>
              <w:jc w:val="center"/>
            </w:pPr>
            <w:r w:rsidRPr="00537C3C">
              <w:t>Positives</w:t>
            </w:r>
          </w:p>
        </w:tc>
        <w:tc>
          <w:tcPr>
            <w:tcW w:w="384" w:type="pct"/>
            <w:vMerge w:val="restart"/>
            <w:tcBorders>
              <w:top w:val="single" w:sz="4" w:space="0" w:color="auto"/>
            </w:tcBorders>
          </w:tcPr>
          <w:p w:rsidR="00234376" w:rsidRPr="00537C3C" w:rsidRDefault="00234376" w:rsidP="008E03A7">
            <w:pPr>
              <w:pStyle w:val="TableHeading"/>
              <w:jc w:val="center"/>
            </w:pPr>
            <w:r w:rsidRPr="00BB76D8">
              <w:t>TP</w:t>
            </w:r>
            <w:r w:rsidRPr="00537C3C">
              <w:t xml:space="preserve"> cases detected</w:t>
            </w:r>
          </w:p>
          <w:p w:rsidR="00234376" w:rsidRPr="00537C3C" w:rsidRDefault="00234376" w:rsidP="008E03A7">
            <w:pPr>
              <w:pStyle w:val="TableHeading"/>
              <w:spacing w:after="0"/>
              <w:jc w:val="center"/>
            </w:pPr>
            <w:r w:rsidRPr="0030078D">
              <w:rPr>
                <w:i/>
              </w:rPr>
              <w:t>P</w:t>
            </w:r>
            <w:r w:rsidRPr="00537C3C">
              <w:rPr>
                <w:szCs w:val="18"/>
              </w:rPr>
              <w:t xml:space="preserve"> (</w:t>
            </w:r>
            <w:r w:rsidRPr="00537C3C">
              <w:rPr>
                <w:szCs w:val="18"/>
              </w:rPr>
              <w:sym w:font="Symbol" w:char="F063"/>
            </w:r>
            <w:r w:rsidRPr="00537C3C">
              <w:rPr>
                <w:szCs w:val="18"/>
                <w:vertAlign w:val="superscript"/>
              </w:rPr>
              <w:t>2-</w:t>
            </w:r>
            <w:r w:rsidRPr="00537C3C">
              <w:rPr>
                <w:szCs w:val="18"/>
              </w:rPr>
              <w:t>test</w:t>
            </w:r>
            <w:r w:rsidRPr="00537C3C">
              <w:t>)</w:t>
            </w:r>
          </w:p>
        </w:tc>
      </w:tr>
      <w:tr w:rsidR="00234376" w:rsidRPr="00537C3C">
        <w:trPr>
          <w:trHeight w:val="285"/>
        </w:trPr>
        <w:tc>
          <w:tcPr>
            <w:tcW w:w="371" w:type="pct"/>
            <w:vMerge/>
            <w:tcBorders>
              <w:bottom w:val="single" w:sz="4" w:space="0" w:color="auto"/>
            </w:tcBorders>
          </w:tcPr>
          <w:p w:rsidR="00234376" w:rsidRPr="00537C3C" w:rsidRDefault="00234376" w:rsidP="008E03A7">
            <w:pPr>
              <w:pStyle w:val="TableHeading"/>
            </w:pPr>
          </w:p>
        </w:tc>
        <w:tc>
          <w:tcPr>
            <w:tcW w:w="253" w:type="pct"/>
            <w:gridSpan w:val="2"/>
            <w:vMerge/>
            <w:tcBorders>
              <w:bottom w:val="single" w:sz="4" w:space="0" w:color="auto"/>
            </w:tcBorders>
          </w:tcPr>
          <w:p w:rsidR="00234376" w:rsidRPr="00537C3C" w:rsidRDefault="00234376" w:rsidP="008E03A7">
            <w:pPr>
              <w:pStyle w:val="TableTextCharChar"/>
              <w:rPr>
                <w:b/>
              </w:rPr>
            </w:pPr>
          </w:p>
        </w:tc>
        <w:tc>
          <w:tcPr>
            <w:tcW w:w="747" w:type="pct"/>
            <w:vMerge/>
            <w:tcBorders>
              <w:bottom w:val="single" w:sz="4" w:space="0" w:color="auto"/>
            </w:tcBorders>
          </w:tcPr>
          <w:p w:rsidR="00234376" w:rsidRPr="00537C3C" w:rsidRDefault="00234376" w:rsidP="008E03A7">
            <w:pPr>
              <w:pStyle w:val="TableHeading"/>
              <w:jc w:val="center"/>
            </w:pPr>
          </w:p>
        </w:tc>
        <w:tc>
          <w:tcPr>
            <w:tcW w:w="1418" w:type="pct"/>
            <w:gridSpan w:val="6"/>
            <w:vMerge/>
            <w:tcBorders>
              <w:bottom w:val="single" w:sz="4" w:space="0" w:color="auto"/>
            </w:tcBorders>
          </w:tcPr>
          <w:p w:rsidR="00234376" w:rsidRPr="00537C3C" w:rsidRDefault="00234376" w:rsidP="008E03A7">
            <w:pPr>
              <w:pStyle w:val="TableHeading"/>
              <w:spacing w:after="0"/>
              <w:jc w:val="center"/>
            </w:pPr>
          </w:p>
        </w:tc>
        <w:tc>
          <w:tcPr>
            <w:tcW w:w="909" w:type="pct"/>
            <w:gridSpan w:val="4"/>
            <w:tcBorders>
              <w:top w:val="single" w:sz="4" w:space="0" w:color="auto"/>
              <w:bottom w:val="single" w:sz="4" w:space="0" w:color="auto"/>
            </w:tcBorders>
          </w:tcPr>
          <w:p w:rsidR="00234376" w:rsidRPr="00537C3C" w:rsidRDefault="00234376" w:rsidP="008E03A7">
            <w:pPr>
              <w:pStyle w:val="TableHeading"/>
              <w:spacing w:after="0"/>
              <w:jc w:val="center"/>
            </w:pPr>
            <w:r w:rsidRPr="00537C3C">
              <w:t>Automation-assisted reading</w:t>
            </w:r>
          </w:p>
        </w:tc>
        <w:tc>
          <w:tcPr>
            <w:tcW w:w="919" w:type="pct"/>
            <w:gridSpan w:val="3"/>
            <w:tcBorders>
              <w:top w:val="single" w:sz="4" w:space="0" w:color="auto"/>
              <w:bottom w:val="single" w:sz="4" w:space="0" w:color="auto"/>
            </w:tcBorders>
          </w:tcPr>
          <w:p w:rsidR="00234376" w:rsidRPr="00537C3C" w:rsidRDefault="00234376" w:rsidP="008E03A7">
            <w:pPr>
              <w:pStyle w:val="TableHeading"/>
              <w:spacing w:after="0"/>
              <w:jc w:val="center"/>
            </w:pPr>
            <w:r w:rsidRPr="00537C3C">
              <w:t>Conventional cytology</w:t>
            </w:r>
          </w:p>
        </w:tc>
        <w:tc>
          <w:tcPr>
            <w:tcW w:w="384" w:type="pct"/>
            <w:vMerge/>
          </w:tcPr>
          <w:p w:rsidR="00234376" w:rsidRPr="00537C3C" w:rsidRDefault="00234376" w:rsidP="008E03A7">
            <w:pPr>
              <w:pStyle w:val="TableHeading"/>
              <w:jc w:val="center"/>
            </w:pPr>
          </w:p>
        </w:tc>
      </w:tr>
      <w:tr w:rsidR="00234376" w:rsidRPr="00537C3C">
        <w:trPr>
          <w:trHeight w:val="316"/>
        </w:trPr>
        <w:tc>
          <w:tcPr>
            <w:tcW w:w="371" w:type="pct"/>
            <w:vMerge/>
          </w:tcPr>
          <w:p w:rsidR="00234376" w:rsidRPr="00537C3C" w:rsidRDefault="00234376" w:rsidP="008E03A7">
            <w:pPr>
              <w:pStyle w:val="TableHeading"/>
            </w:pPr>
          </w:p>
        </w:tc>
        <w:tc>
          <w:tcPr>
            <w:tcW w:w="253" w:type="pct"/>
            <w:gridSpan w:val="2"/>
            <w:vMerge/>
          </w:tcPr>
          <w:p w:rsidR="00234376" w:rsidRPr="00537C3C" w:rsidRDefault="00234376" w:rsidP="008E03A7">
            <w:pPr>
              <w:pStyle w:val="TableHeading"/>
              <w:spacing w:after="0"/>
            </w:pPr>
          </w:p>
        </w:tc>
        <w:tc>
          <w:tcPr>
            <w:tcW w:w="747" w:type="pct"/>
            <w:vMerge/>
          </w:tcPr>
          <w:p w:rsidR="00234376" w:rsidRPr="00537C3C" w:rsidRDefault="00234376" w:rsidP="008E03A7">
            <w:pPr>
              <w:pStyle w:val="TableTextCharChar"/>
            </w:pPr>
          </w:p>
        </w:tc>
        <w:tc>
          <w:tcPr>
            <w:tcW w:w="307" w:type="pct"/>
            <w:tcBorders>
              <w:top w:val="single" w:sz="4" w:space="0" w:color="auto"/>
            </w:tcBorders>
          </w:tcPr>
          <w:p w:rsidR="00234376" w:rsidRDefault="00234376" w:rsidP="00234376">
            <w:pPr>
              <w:pStyle w:val="TableHeading"/>
              <w:spacing w:after="0"/>
              <w:jc w:val="center"/>
            </w:pPr>
            <w:r w:rsidRPr="00BB76D8">
              <w:t>TP</w:t>
            </w:r>
          </w:p>
        </w:tc>
        <w:tc>
          <w:tcPr>
            <w:tcW w:w="382" w:type="pct"/>
            <w:gridSpan w:val="2"/>
            <w:tcBorders>
              <w:top w:val="single" w:sz="4" w:space="0" w:color="auto"/>
            </w:tcBorders>
          </w:tcPr>
          <w:p w:rsidR="00234376" w:rsidRPr="00537C3C" w:rsidRDefault="00234376" w:rsidP="008E03A7">
            <w:pPr>
              <w:pStyle w:val="TableHeading"/>
              <w:spacing w:after="0"/>
              <w:jc w:val="center"/>
            </w:pPr>
            <w:r w:rsidRPr="00BB76D8">
              <w:t>FP</w:t>
            </w:r>
          </w:p>
        </w:tc>
        <w:tc>
          <w:tcPr>
            <w:tcW w:w="362" w:type="pct"/>
            <w:tcBorders>
              <w:top w:val="single" w:sz="4" w:space="0" w:color="auto"/>
            </w:tcBorders>
          </w:tcPr>
          <w:p w:rsidR="00234376" w:rsidRPr="00537C3C" w:rsidRDefault="00234376" w:rsidP="008E03A7">
            <w:pPr>
              <w:pStyle w:val="TableTextCharChar"/>
              <w:spacing w:after="0"/>
              <w:jc w:val="center"/>
              <w:rPr>
                <w:b/>
              </w:rPr>
            </w:pPr>
            <w:r w:rsidRPr="00BB76D8">
              <w:rPr>
                <w:b/>
              </w:rPr>
              <w:t>TP</w:t>
            </w:r>
            <w:r w:rsidRPr="00537C3C">
              <w:rPr>
                <w:b/>
              </w:rPr>
              <w:t>:</w:t>
            </w:r>
            <w:r w:rsidRPr="00BB76D8">
              <w:rPr>
                <w:b/>
              </w:rPr>
              <w:t>FP</w:t>
            </w:r>
          </w:p>
        </w:tc>
        <w:tc>
          <w:tcPr>
            <w:tcW w:w="367" w:type="pct"/>
            <w:gridSpan w:val="2"/>
            <w:tcBorders>
              <w:top w:val="single" w:sz="4" w:space="0" w:color="auto"/>
            </w:tcBorders>
          </w:tcPr>
          <w:p w:rsidR="00234376" w:rsidRPr="00537C3C" w:rsidRDefault="00234376" w:rsidP="008E03A7">
            <w:pPr>
              <w:pStyle w:val="TableTextCharChar"/>
              <w:spacing w:after="0"/>
              <w:jc w:val="center"/>
              <w:rPr>
                <w:b/>
              </w:rPr>
            </w:pPr>
            <w:r w:rsidRPr="00537C3C">
              <w:rPr>
                <w:b/>
              </w:rPr>
              <w:t xml:space="preserve">Extra </w:t>
            </w:r>
            <w:bookmarkStart w:id="410" w:name="OLE_LINK174"/>
            <w:bookmarkStart w:id="411" w:name="OLE_LINK175"/>
            <w:r w:rsidRPr="00537C3C">
              <w:rPr>
                <w:b/>
              </w:rPr>
              <w:t>bx</w:t>
            </w:r>
            <w:bookmarkEnd w:id="410"/>
            <w:bookmarkEnd w:id="411"/>
          </w:p>
        </w:tc>
        <w:tc>
          <w:tcPr>
            <w:tcW w:w="288" w:type="pct"/>
            <w:gridSpan w:val="2"/>
            <w:tcBorders>
              <w:top w:val="single" w:sz="4" w:space="0" w:color="auto"/>
            </w:tcBorders>
          </w:tcPr>
          <w:p w:rsidR="00234376" w:rsidRPr="00537C3C" w:rsidRDefault="00234376" w:rsidP="008E03A7">
            <w:pPr>
              <w:pStyle w:val="TableTextCharChar"/>
              <w:spacing w:after="0"/>
              <w:jc w:val="center"/>
            </w:pPr>
            <w:r w:rsidRPr="00BB76D8">
              <w:t>TP</w:t>
            </w:r>
          </w:p>
        </w:tc>
        <w:tc>
          <w:tcPr>
            <w:tcW w:w="250" w:type="pct"/>
            <w:tcBorders>
              <w:top w:val="single" w:sz="4" w:space="0" w:color="auto"/>
            </w:tcBorders>
          </w:tcPr>
          <w:p w:rsidR="00234376" w:rsidRPr="00537C3C" w:rsidRDefault="00234376" w:rsidP="008E03A7">
            <w:pPr>
              <w:pStyle w:val="TableTextCharChar"/>
              <w:spacing w:after="0"/>
              <w:jc w:val="center"/>
            </w:pPr>
            <w:r w:rsidRPr="00BB76D8">
              <w:t>FP</w:t>
            </w:r>
          </w:p>
        </w:tc>
        <w:tc>
          <w:tcPr>
            <w:tcW w:w="370" w:type="pct"/>
            <w:tcBorders>
              <w:top w:val="single" w:sz="4" w:space="0" w:color="auto"/>
            </w:tcBorders>
          </w:tcPr>
          <w:p w:rsidR="00234376" w:rsidRPr="00537C3C" w:rsidRDefault="00234376" w:rsidP="008E03A7">
            <w:pPr>
              <w:pStyle w:val="TableTextCharChar"/>
              <w:spacing w:after="0"/>
              <w:jc w:val="center"/>
            </w:pPr>
            <w:r w:rsidRPr="00BB76D8">
              <w:t>TP</w:t>
            </w:r>
            <w:r w:rsidRPr="00537C3C">
              <w:t>:</w:t>
            </w:r>
            <w:r w:rsidRPr="00BB76D8">
              <w:t>FP</w:t>
            </w:r>
          </w:p>
        </w:tc>
        <w:tc>
          <w:tcPr>
            <w:tcW w:w="291" w:type="pct"/>
            <w:tcBorders>
              <w:top w:val="single" w:sz="4" w:space="0" w:color="auto"/>
            </w:tcBorders>
          </w:tcPr>
          <w:p w:rsidR="00234376" w:rsidRPr="00537C3C" w:rsidRDefault="00234376" w:rsidP="008E03A7">
            <w:pPr>
              <w:pStyle w:val="TableTextCharChar"/>
              <w:spacing w:after="0"/>
              <w:jc w:val="center"/>
            </w:pPr>
            <w:r w:rsidRPr="00BB76D8">
              <w:t>TP</w:t>
            </w:r>
          </w:p>
        </w:tc>
        <w:tc>
          <w:tcPr>
            <w:tcW w:w="303" w:type="pct"/>
            <w:tcBorders>
              <w:top w:val="single" w:sz="4" w:space="0" w:color="auto"/>
            </w:tcBorders>
          </w:tcPr>
          <w:p w:rsidR="00234376" w:rsidRPr="00537C3C" w:rsidRDefault="00234376" w:rsidP="008E03A7">
            <w:pPr>
              <w:pStyle w:val="TableTextCharChar"/>
              <w:spacing w:after="0"/>
              <w:jc w:val="center"/>
            </w:pPr>
            <w:r w:rsidRPr="00BB76D8">
              <w:t>FP</w:t>
            </w:r>
          </w:p>
        </w:tc>
        <w:tc>
          <w:tcPr>
            <w:tcW w:w="325" w:type="pct"/>
            <w:tcBorders>
              <w:top w:val="single" w:sz="4" w:space="0" w:color="auto"/>
            </w:tcBorders>
          </w:tcPr>
          <w:p w:rsidR="00234376" w:rsidRPr="00537C3C" w:rsidRDefault="00234376" w:rsidP="008E03A7">
            <w:pPr>
              <w:pStyle w:val="TableTextCharChar"/>
              <w:spacing w:after="0"/>
              <w:jc w:val="center"/>
            </w:pPr>
            <w:r w:rsidRPr="00BB76D8">
              <w:t>TP</w:t>
            </w:r>
            <w:r w:rsidRPr="00537C3C">
              <w:t>:</w:t>
            </w:r>
            <w:r w:rsidRPr="00BB76D8">
              <w:t>FP</w:t>
            </w:r>
          </w:p>
        </w:tc>
        <w:tc>
          <w:tcPr>
            <w:tcW w:w="384" w:type="pct"/>
            <w:vMerge/>
          </w:tcPr>
          <w:p w:rsidR="00234376" w:rsidRPr="00537C3C" w:rsidRDefault="00234376">
            <w:pPr>
              <w:spacing w:after="0"/>
              <w:ind w:left="0"/>
              <w:rPr>
                <w:b/>
              </w:rPr>
            </w:pPr>
          </w:p>
        </w:tc>
      </w:tr>
      <w:tr w:rsidR="00234376" w:rsidRPr="00537C3C">
        <w:tc>
          <w:tcPr>
            <w:tcW w:w="2789" w:type="pct"/>
            <w:gridSpan w:val="10"/>
            <w:tcBorders>
              <w:bottom w:val="single" w:sz="4" w:space="0" w:color="auto"/>
            </w:tcBorders>
          </w:tcPr>
          <w:p w:rsidR="00234376" w:rsidRPr="00537C3C" w:rsidRDefault="00234376" w:rsidP="008E03A7">
            <w:pPr>
              <w:pStyle w:val="TableTextLessSpaceCharCharCharCharCharCharCharChar"/>
              <w:rPr>
                <w:b/>
              </w:rPr>
            </w:pPr>
            <w:r w:rsidRPr="00537C3C">
              <w:rPr>
                <w:b/>
              </w:rPr>
              <w:t xml:space="preserve">Automation-assisted reading of </w:t>
            </w:r>
            <w:r w:rsidRPr="00BB76D8">
              <w:rPr>
                <w:b/>
              </w:rPr>
              <w:t>LBC</w:t>
            </w:r>
          </w:p>
        </w:tc>
        <w:tc>
          <w:tcPr>
            <w:tcW w:w="909" w:type="pct"/>
            <w:gridSpan w:val="4"/>
            <w:tcBorders>
              <w:bottom w:val="single" w:sz="4" w:space="0" w:color="auto"/>
            </w:tcBorders>
          </w:tcPr>
          <w:p w:rsidR="00234376" w:rsidRPr="00537C3C" w:rsidRDefault="00234376" w:rsidP="008E03A7">
            <w:pPr>
              <w:pStyle w:val="TableTextLessSpaceCharCharCharCharCharCharCharChar"/>
              <w:rPr>
                <w:b/>
              </w:rPr>
            </w:pPr>
          </w:p>
        </w:tc>
        <w:tc>
          <w:tcPr>
            <w:tcW w:w="919" w:type="pct"/>
            <w:gridSpan w:val="3"/>
            <w:tcBorders>
              <w:bottom w:val="single" w:sz="4" w:space="0" w:color="auto"/>
            </w:tcBorders>
          </w:tcPr>
          <w:p w:rsidR="00234376" w:rsidRPr="00537C3C" w:rsidRDefault="00234376" w:rsidP="008E03A7">
            <w:pPr>
              <w:pStyle w:val="TableTextLessSpaceCharCharCharCharCharCharCharChar"/>
              <w:rPr>
                <w:b/>
              </w:rPr>
            </w:pPr>
          </w:p>
        </w:tc>
        <w:tc>
          <w:tcPr>
            <w:tcW w:w="384" w:type="pct"/>
            <w:tcBorders>
              <w:bottom w:val="single" w:sz="4" w:space="0" w:color="auto"/>
            </w:tcBorders>
          </w:tcPr>
          <w:p w:rsidR="00234376" w:rsidRPr="00537C3C" w:rsidRDefault="00234376" w:rsidP="008E03A7">
            <w:pPr>
              <w:pStyle w:val="TableTextLessSpaceCharCharCharCharCharCharCharChar"/>
              <w:rPr>
                <w:b/>
              </w:rPr>
            </w:pPr>
          </w:p>
        </w:tc>
      </w:tr>
      <w:tr w:rsidR="00234376" w:rsidRPr="00537C3C">
        <w:tc>
          <w:tcPr>
            <w:tcW w:w="2789" w:type="pct"/>
            <w:gridSpan w:val="10"/>
            <w:tcBorders>
              <w:top w:val="single" w:sz="4" w:space="0" w:color="auto"/>
            </w:tcBorders>
          </w:tcPr>
          <w:p w:rsidR="00234376" w:rsidRPr="00537C3C" w:rsidRDefault="00234376" w:rsidP="008E03A7">
            <w:pPr>
              <w:pStyle w:val="TableTextLessSpaceCharCharCharCharCharCharCharChar"/>
              <w:rPr>
                <w:sz w:val="16"/>
                <w:szCs w:val="16"/>
                <w:vertAlign w:val="superscript"/>
              </w:rPr>
            </w:pPr>
            <w:r w:rsidRPr="00537C3C">
              <w:t>Davey</w:t>
            </w:r>
            <w:r w:rsidRPr="00537C3C">
              <w:rPr>
                <w:sz w:val="16"/>
                <w:szCs w:val="16"/>
              </w:rPr>
              <w:t xml:space="preserve"> et al. </w:t>
            </w:r>
            <w:smartTag w:uri="urn:schemas-microsoft-com:office:smarttags" w:element="metricconverter">
              <w:smartTagPr>
                <w:attr w:name="ProductID" w:val="2007f"/>
              </w:smartTagPr>
              <w:r w:rsidRPr="00537C3C">
                <w:rPr>
                  <w:sz w:val="16"/>
                  <w:szCs w:val="16"/>
                </w:rPr>
                <w:t>2007</w:t>
              </w:r>
              <w:r w:rsidRPr="00537C3C">
                <w:rPr>
                  <w:sz w:val="16"/>
                  <w:szCs w:val="16"/>
                  <w:vertAlign w:val="superscript"/>
                </w:rPr>
                <w:t>f</w:t>
              </w:r>
            </w:smartTag>
          </w:p>
        </w:tc>
        <w:tc>
          <w:tcPr>
            <w:tcW w:w="909" w:type="pct"/>
            <w:gridSpan w:val="4"/>
          </w:tcPr>
          <w:p w:rsidR="00234376" w:rsidRPr="00537C3C" w:rsidRDefault="00234376" w:rsidP="008E03A7">
            <w:pPr>
              <w:pStyle w:val="TableTextLessSpaceCharCharCharCharCharCharCharChar"/>
              <w:jc w:val="center"/>
              <w:rPr>
                <w:b/>
                <w:i/>
                <w:sz w:val="16"/>
                <w:szCs w:val="16"/>
              </w:rPr>
            </w:pPr>
            <w:r w:rsidRPr="00537C3C">
              <w:rPr>
                <w:b/>
                <w:i/>
                <w:sz w:val="16"/>
                <w:szCs w:val="16"/>
              </w:rPr>
              <w:t>discordant</w:t>
            </w:r>
          </w:p>
        </w:tc>
        <w:tc>
          <w:tcPr>
            <w:tcW w:w="919" w:type="pct"/>
            <w:gridSpan w:val="3"/>
          </w:tcPr>
          <w:p w:rsidR="00234376" w:rsidRPr="00537C3C" w:rsidRDefault="00234376" w:rsidP="008E03A7">
            <w:pPr>
              <w:pStyle w:val="TableTextLessSpaceCharCharCharCharCharCharCharChar"/>
              <w:jc w:val="center"/>
              <w:rPr>
                <w:b/>
                <w:i/>
                <w:sz w:val="16"/>
                <w:szCs w:val="16"/>
              </w:rPr>
            </w:pPr>
            <w:r w:rsidRPr="00537C3C">
              <w:rPr>
                <w:b/>
                <w:i/>
                <w:sz w:val="16"/>
                <w:szCs w:val="16"/>
              </w:rPr>
              <w:t>discordant</w:t>
            </w:r>
          </w:p>
        </w:tc>
        <w:tc>
          <w:tcPr>
            <w:tcW w:w="384" w:type="pct"/>
          </w:tcPr>
          <w:p w:rsidR="00234376" w:rsidRPr="00537C3C" w:rsidRDefault="00234376" w:rsidP="008E03A7">
            <w:pPr>
              <w:spacing w:before="20" w:after="20"/>
              <w:ind w:left="0"/>
              <w:rPr>
                <w:i/>
              </w:rPr>
            </w:pPr>
          </w:p>
        </w:tc>
      </w:tr>
      <w:tr w:rsidR="00234376" w:rsidRPr="00537C3C">
        <w:tc>
          <w:tcPr>
            <w:tcW w:w="396" w:type="pct"/>
            <w:gridSpan w:val="2"/>
            <w:vMerge w:val="restart"/>
          </w:tcPr>
          <w:p w:rsidR="00234376" w:rsidRPr="00537C3C" w:rsidRDefault="00234376" w:rsidP="008E03A7">
            <w:pPr>
              <w:pStyle w:val="TableTextLessSpaceCharCharCharCharCharCharCharChar"/>
            </w:pPr>
            <w:r w:rsidRPr="00537C3C">
              <w:rPr>
                <w:rFonts w:cs="Arial"/>
                <w:szCs w:val="18"/>
              </w:rPr>
              <w:t>55 164</w:t>
            </w:r>
          </w:p>
        </w:tc>
        <w:tc>
          <w:tcPr>
            <w:tcW w:w="228" w:type="pct"/>
          </w:tcPr>
          <w:p w:rsidR="00234376" w:rsidRPr="00537C3C" w:rsidRDefault="00234376" w:rsidP="008E03A7">
            <w:pPr>
              <w:pStyle w:val="TableTextLessSpaceCharCharCharCharCharCharCharChar"/>
              <w:rPr>
                <w:sz w:val="16"/>
                <w:szCs w:val="16"/>
              </w:rPr>
            </w:pPr>
            <w:r w:rsidRPr="00BB76D8">
              <w:rPr>
                <w:sz w:val="16"/>
                <w:szCs w:val="16"/>
              </w:rPr>
              <w:t>TPI</w:t>
            </w:r>
          </w:p>
        </w:tc>
        <w:tc>
          <w:tcPr>
            <w:tcW w:w="747" w:type="pct"/>
          </w:tcPr>
          <w:p w:rsidR="00234376" w:rsidRPr="00537C3C" w:rsidRDefault="00234376" w:rsidP="008E03A7">
            <w:pPr>
              <w:pStyle w:val="TableTextLessSpaceCharCharCharCharCharCharCharChar"/>
              <w:rPr>
                <w:rFonts w:cs="Garamond"/>
                <w:szCs w:val="18"/>
              </w:rPr>
            </w:pPr>
            <w:r w:rsidRPr="00BB76D8">
              <w:rPr>
                <w:rFonts w:cs="Garamond"/>
                <w:szCs w:val="18"/>
              </w:rPr>
              <w:t>pHSIL</w:t>
            </w:r>
            <w:r w:rsidRPr="00537C3C">
              <w:rPr>
                <w:rFonts w:cs="Garamond"/>
                <w:szCs w:val="18"/>
              </w:rPr>
              <w:t>+, register ref std</w:t>
            </w:r>
          </w:p>
        </w:tc>
        <w:tc>
          <w:tcPr>
            <w:tcW w:w="307" w:type="pct"/>
          </w:tcPr>
          <w:p w:rsidR="00234376" w:rsidRPr="00537C3C" w:rsidRDefault="00234376" w:rsidP="008E03A7">
            <w:pPr>
              <w:pStyle w:val="TableTextLessSpaceCharCharCharCharCharCharCharChar"/>
              <w:spacing w:before="40"/>
              <w:jc w:val="center"/>
              <w:rPr>
                <w:rFonts w:cs="Garamond"/>
                <w:szCs w:val="18"/>
              </w:rPr>
            </w:pPr>
            <w:r w:rsidRPr="00537C3C">
              <w:rPr>
                <w:rFonts w:cs="Garamond"/>
                <w:b/>
                <w:szCs w:val="18"/>
              </w:rPr>
              <w:t>0.82</w:t>
            </w:r>
          </w:p>
        </w:tc>
        <w:tc>
          <w:tcPr>
            <w:tcW w:w="382" w:type="pct"/>
            <w:gridSpan w:val="2"/>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b/>
                <w:color w:val="000000"/>
                <w:szCs w:val="18"/>
              </w:rPr>
              <w:t>–0.07</w:t>
            </w:r>
          </w:p>
        </w:tc>
        <w:tc>
          <w:tcPr>
            <w:tcW w:w="362" w:type="pct"/>
          </w:tcPr>
          <w:p w:rsidR="00234376" w:rsidRPr="00537C3C" w:rsidRDefault="00234376" w:rsidP="008E03A7">
            <w:pPr>
              <w:pStyle w:val="TableTextLessSpaceCharCharCharCharCharCharCharChar"/>
              <w:spacing w:before="40"/>
              <w:jc w:val="center"/>
              <w:rPr>
                <w:color w:val="000000"/>
                <w:szCs w:val="18"/>
              </w:rPr>
            </w:pPr>
            <w:r w:rsidRPr="00537C3C">
              <w:rPr>
                <w:color w:val="000000"/>
                <w:szCs w:val="18"/>
              </w:rPr>
              <w:t>1:–0.09</w:t>
            </w:r>
          </w:p>
        </w:tc>
        <w:tc>
          <w:tcPr>
            <w:tcW w:w="367" w:type="pct"/>
            <w:gridSpan w:val="2"/>
          </w:tcPr>
          <w:p w:rsidR="00234376" w:rsidRPr="00537C3C" w:rsidRDefault="00234376" w:rsidP="008E03A7">
            <w:pPr>
              <w:pStyle w:val="TableTextLessSpaceCharCharCharCharCharCharCharChar"/>
              <w:spacing w:before="40"/>
              <w:jc w:val="center"/>
              <w:rPr>
                <w:color w:val="000000"/>
                <w:szCs w:val="18"/>
              </w:rPr>
            </w:pPr>
            <w:r w:rsidRPr="00537C3C">
              <w:rPr>
                <w:color w:val="000000"/>
                <w:szCs w:val="18"/>
              </w:rPr>
              <w:t>0.74</w:t>
            </w:r>
          </w:p>
        </w:tc>
        <w:tc>
          <w:tcPr>
            <w:tcW w:w="280" w:type="pct"/>
          </w:tcPr>
          <w:p w:rsidR="00234376" w:rsidRPr="00537C3C" w:rsidRDefault="00234376" w:rsidP="008E03A7">
            <w:pPr>
              <w:pStyle w:val="TableTextLessSpaceCharCharCharCharCharCharCharChar"/>
              <w:spacing w:before="60"/>
              <w:jc w:val="center"/>
              <w:rPr>
                <w:szCs w:val="18"/>
              </w:rPr>
            </w:pPr>
            <w:r w:rsidRPr="00537C3C">
              <w:rPr>
                <w:szCs w:val="18"/>
              </w:rPr>
              <w:t>141</w:t>
            </w:r>
          </w:p>
        </w:tc>
        <w:tc>
          <w:tcPr>
            <w:tcW w:w="258" w:type="pct"/>
            <w:gridSpan w:val="2"/>
          </w:tcPr>
          <w:p w:rsidR="00234376" w:rsidRDefault="00234376" w:rsidP="00234376">
            <w:pPr>
              <w:pStyle w:val="TableTextLessSpaceCharCharCharCharCharCharCharChar"/>
              <w:spacing w:before="60"/>
              <w:jc w:val="center"/>
              <w:rPr>
                <w:szCs w:val="18"/>
              </w:rPr>
            </w:pPr>
            <w:r w:rsidRPr="00537C3C">
              <w:rPr>
                <w:szCs w:val="18"/>
              </w:rPr>
              <w:t>121</w:t>
            </w:r>
          </w:p>
        </w:tc>
        <w:tc>
          <w:tcPr>
            <w:tcW w:w="370" w:type="pct"/>
          </w:tcPr>
          <w:p w:rsidR="00234376" w:rsidRPr="00537C3C" w:rsidRDefault="00234376" w:rsidP="008E03A7">
            <w:pPr>
              <w:pStyle w:val="TableTextLessSpaceCharCharCharCharCharCharCharChar"/>
              <w:spacing w:before="60"/>
              <w:jc w:val="center"/>
              <w:rPr>
                <w:szCs w:val="18"/>
              </w:rPr>
            </w:pPr>
            <w:r w:rsidRPr="00537C3C">
              <w:rPr>
                <w:rFonts w:cs="Arial"/>
                <w:szCs w:val="18"/>
              </w:rPr>
              <w:t>1:0.86</w:t>
            </w:r>
          </w:p>
        </w:tc>
        <w:tc>
          <w:tcPr>
            <w:tcW w:w="291" w:type="pct"/>
          </w:tcPr>
          <w:p w:rsidR="00234376" w:rsidRPr="00537C3C" w:rsidRDefault="00234376" w:rsidP="008E03A7">
            <w:pPr>
              <w:pStyle w:val="TableTextLessSpaceCharCharCharCharCharCharCharChar"/>
              <w:spacing w:before="60"/>
              <w:jc w:val="center"/>
              <w:rPr>
                <w:szCs w:val="18"/>
              </w:rPr>
            </w:pPr>
            <w:r w:rsidRPr="00537C3C">
              <w:rPr>
                <w:szCs w:val="18"/>
              </w:rPr>
              <w:t>96</w:t>
            </w:r>
          </w:p>
        </w:tc>
        <w:tc>
          <w:tcPr>
            <w:tcW w:w="303" w:type="pct"/>
          </w:tcPr>
          <w:p w:rsidR="00234376" w:rsidRPr="00537C3C" w:rsidRDefault="00234376" w:rsidP="008E03A7">
            <w:pPr>
              <w:pStyle w:val="TableTextLessSpaceCharCharCharCharCharCharCharChar"/>
              <w:spacing w:before="60"/>
              <w:jc w:val="center"/>
              <w:rPr>
                <w:szCs w:val="18"/>
              </w:rPr>
            </w:pPr>
            <w:r w:rsidRPr="00537C3C">
              <w:rPr>
                <w:szCs w:val="18"/>
              </w:rPr>
              <w:t>125</w:t>
            </w:r>
          </w:p>
        </w:tc>
        <w:tc>
          <w:tcPr>
            <w:tcW w:w="325" w:type="pct"/>
          </w:tcPr>
          <w:p w:rsidR="00234376" w:rsidRPr="00537C3C" w:rsidRDefault="00234376" w:rsidP="008E03A7">
            <w:pPr>
              <w:pStyle w:val="TableTextLessSpaceCharCharCharCharCharCharCharChar"/>
              <w:spacing w:before="60"/>
              <w:jc w:val="center"/>
              <w:rPr>
                <w:szCs w:val="18"/>
              </w:rPr>
            </w:pPr>
            <w:r w:rsidRPr="00537C3C">
              <w:rPr>
                <w:rFonts w:cs="Arial"/>
                <w:szCs w:val="18"/>
              </w:rPr>
              <w:t>1:1.30</w:t>
            </w:r>
          </w:p>
        </w:tc>
        <w:tc>
          <w:tcPr>
            <w:tcW w:w="384" w:type="pct"/>
          </w:tcPr>
          <w:p w:rsidR="00234376" w:rsidRPr="00537C3C" w:rsidRDefault="00234376" w:rsidP="008E03A7">
            <w:pPr>
              <w:pStyle w:val="TableTextLessSpaceCharCharCharCharCharCharCharChar"/>
              <w:spacing w:before="60"/>
              <w:jc w:val="center"/>
              <w:rPr>
                <w:szCs w:val="18"/>
              </w:rPr>
            </w:pPr>
            <w:r w:rsidRPr="00537C3C">
              <w:rPr>
                <w:szCs w:val="18"/>
              </w:rPr>
              <w:t>0.003</w:t>
            </w:r>
          </w:p>
        </w:tc>
      </w:tr>
      <w:tr w:rsidR="00234376" w:rsidRPr="00537C3C">
        <w:tc>
          <w:tcPr>
            <w:tcW w:w="396" w:type="pct"/>
            <w:gridSpan w:val="2"/>
            <w:vMerge/>
          </w:tcPr>
          <w:p w:rsidR="00234376" w:rsidRPr="00537C3C" w:rsidRDefault="00234376" w:rsidP="008E03A7">
            <w:pPr>
              <w:pStyle w:val="TableTextLessSpaceCharCharCharCharCharCharCharChar"/>
              <w:rPr>
                <w:rFonts w:cs="Arial"/>
                <w:szCs w:val="18"/>
              </w:rPr>
            </w:pPr>
          </w:p>
        </w:tc>
        <w:tc>
          <w:tcPr>
            <w:tcW w:w="228" w:type="pct"/>
          </w:tcPr>
          <w:p w:rsidR="00234376" w:rsidRPr="00537C3C" w:rsidRDefault="00234376" w:rsidP="008E03A7">
            <w:pPr>
              <w:pStyle w:val="TableTextLessSpaceCharCharCharCharCharCharCharChar"/>
              <w:rPr>
                <w:sz w:val="16"/>
                <w:szCs w:val="16"/>
              </w:rPr>
            </w:pPr>
          </w:p>
        </w:tc>
        <w:tc>
          <w:tcPr>
            <w:tcW w:w="747" w:type="pct"/>
          </w:tcPr>
          <w:p w:rsidR="00234376" w:rsidRPr="00537C3C" w:rsidRDefault="00234376" w:rsidP="008E03A7">
            <w:pPr>
              <w:pStyle w:val="TableTextLessSpaceCharCharCharCharCharCharCharChar"/>
              <w:rPr>
                <w:rFonts w:cs="Garamond"/>
                <w:szCs w:val="18"/>
              </w:rPr>
            </w:pPr>
            <w:r w:rsidRPr="00BB76D8">
              <w:rPr>
                <w:rFonts w:cs="Garamond"/>
                <w:szCs w:val="18"/>
              </w:rPr>
              <w:t>LSIL</w:t>
            </w:r>
            <w:r w:rsidRPr="00537C3C">
              <w:rPr>
                <w:rFonts w:cs="Garamond"/>
                <w:szCs w:val="18"/>
              </w:rPr>
              <w:t xml:space="preserve">+ </w:t>
            </w:r>
            <w:r w:rsidRPr="00537C3C">
              <w:rPr>
                <w:rFonts w:cs="Garamond"/>
                <w:szCs w:val="18"/>
                <w:vertAlign w:val="superscript"/>
              </w:rPr>
              <w:t>b</w:t>
            </w:r>
            <w:r w:rsidRPr="00537C3C">
              <w:rPr>
                <w:rFonts w:cs="Garamond"/>
                <w:szCs w:val="18"/>
              </w:rPr>
              <w:t>, register ref std</w:t>
            </w:r>
          </w:p>
        </w:tc>
        <w:tc>
          <w:tcPr>
            <w:tcW w:w="307" w:type="pct"/>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1.40</w:t>
            </w:r>
          </w:p>
        </w:tc>
        <w:tc>
          <w:tcPr>
            <w:tcW w:w="382" w:type="pct"/>
            <w:gridSpan w:val="2"/>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color w:val="000000"/>
                <w:szCs w:val="18"/>
              </w:rPr>
              <w:t>2.37</w:t>
            </w:r>
          </w:p>
        </w:tc>
        <w:tc>
          <w:tcPr>
            <w:tcW w:w="362" w:type="pct"/>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color w:val="000000"/>
                <w:szCs w:val="18"/>
              </w:rPr>
              <w:t>1:1.70</w:t>
            </w:r>
          </w:p>
        </w:tc>
        <w:tc>
          <w:tcPr>
            <w:tcW w:w="367" w:type="pct"/>
            <w:gridSpan w:val="2"/>
          </w:tcPr>
          <w:p w:rsidR="00234376" w:rsidRPr="00537C3C" w:rsidRDefault="00234376" w:rsidP="008E03A7">
            <w:pPr>
              <w:pStyle w:val="TableTextLessSpaceCharCharCharCharCharCharCharChar"/>
              <w:spacing w:before="40"/>
              <w:jc w:val="center"/>
              <w:rPr>
                <w:color w:val="000000"/>
                <w:szCs w:val="18"/>
              </w:rPr>
            </w:pPr>
            <w:r w:rsidRPr="00537C3C">
              <w:rPr>
                <w:color w:val="000000"/>
                <w:szCs w:val="18"/>
              </w:rPr>
              <w:t>3.77</w:t>
            </w:r>
          </w:p>
        </w:tc>
        <w:tc>
          <w:tcPr>
            <w:tcW w:w="280" w:type="pct"/>
          </w:tcPr>
          <w:p w:rsidR="00234376" w:rsidRPr="00537C3C" w:rsidRDefault="00234376" w:rsidP="008E03A7">
            <w:pPr>
              <w:pStyle w:val="TableTextLessSpaceCharCharCharCharCharCharCharChar"/>
              <w:spacing w:before="60"/>
              <w:jc w:val="center"/>
              <w:rPr>
                <w:szCs w:val="18"/>
              </w:rPr>
            </w:pPr>
            <w:r w:rsidRPr="00537C3C">
              <w:rPr>
                <w:szCs w:val="18"/>
              </w:rPr>
              <w:t>132</w:t>
            </w:r>
          </w:p>
        </w:tc>
        <w:tc>
          <w:tcPr>
            <w:tcW w:w="258" w:type="pct"/>
            <w:gridSpan w:val="2"/>
          </w:tcPr>
          <w:p w:rsidR="00234376" w:rsidRPr="00537C3C" w:rsidRDefault="00234376" w:rsidP="008E03A7">
            <w:pPr>
              <w:pStyle w:val="TableTextLessSpaceCharCharCharCharCharCharCharChar"/>
              <w:spacing w:before="60"/>
              <w:jc w:val="center"/>
              <w:rPr>
                <w:szCs w:val="18"/>
              </w:rPr>
            </w:pPr>
            <w:r w:rsidRPr="00537C3C">
              <w:rPr>
                <w:szCs w:val="18"/>
              </w:rPr>
              <w:t>297</w:t>
            </w:r>
          </w:p>
        </w:tc>
        <w:tc>
          <w:tcPr>
            <w:tcW w:w="370" w:type="pct"/>
          </w:tcPr>
          <w:p w:rsidR="00234376" w:rsidRPr="00537C3C" w:rsidRDefault="00234376" w:rsidP="008E03A7">
            <w:pPr>
              <w:pStyle w:val="TableTextLessSpaceCharCharCharCharCharCharCharChar"/>
              <w:spacing w:before="60"/>
              <w:jc w:val="center"/>
              <w:rPr>
                <w:szCs w:val="18"/>
              </w:rPr>
            </w:pPr>
            <w:r w:rsidRPr="00537C3C">
              <w:rPr>
                <w:szCs w:val="18"/>
              </w:rPr>
              <w:t>1:2.25</w:t>
            </w:r>
          </w:p>
        </w:tc>
        <w:tc>
          <w:tcPr>
            <w:tcW w:w="291" w:type="pct"/>
          </w:tcPr>
          <w:p w:rsidR="00234376" w:rsidRPr="00537C3C" w:rsidRDefault="00234376" w:rsidP="008E03A7">
            <w:pPr>
              <w:pStyle w:val="TableTextLessSpaceCharCharCharCharCharCharCharChar"/>
              <w:spacing w:before="60"/>
              <w:jc w:val="center"/>
              <w:rPr>
                <w:szCs w:val="18"/>
              </w:rPr>
            </w:pPr>
            <w:r w:rsidRPr="00537C3C">
              <w:rPr>
                <w:szCs w:val="18"/>
              </w:rPr>
              <w:t>55</w:t>
            </w:r>
          </w:p>
        </w:tc>
        <w:tc>
          <w:tcPr>
            <w:tcW w:w="303" w:type="pct"/>
          </w:tcPr>
          <w:p w:rsidR="00234376" w:rsidRPr="00537C3C" w:rsidRDefault="00234376" w:rsidP="008E03A7">
            <w:pPr>
              <w:pStyle w:val="TableTextLessSpaceCharCharCharCharCharCharCharChar"/>
              <w:spacing w:before="60"/>
              <w:jc w:val="center"/>
              <w:rPr>
                <w:szCs w:val="18"/>
              </w:rPr>
            </w:pPr>
            <w:r w:rsidRPr="00537C3C">
              <w:rPr>
                <w:szCs w:val="18"/>
              </w:rPr>
              <w:t>166</w:t>
            </w:r>
          </w:p>
        </w:tc>
        <w:tc>
          <w:tcPr>
            <w:tcW w:w="325" w:type="pct"/>
          </w:tcPr>
          <w:p w:rsidR="00234376" w:rsidRPr="00537C3C" w:rsidRDefault="00234376" w:rsidP="008E03A7">
            <w:pPr>
              <w:pStyle w:val="TableTextLessSpaceCharCharCharCharCharCharCharChar"/>
              <w:spacing w:before="60"/>
              <w:jc w:val="center"/>
              <w:rPr>
                <w:szCs w:val="18"/>
              </w:rPr>
            </w:pPr>
            <w:r w:rsidRPr="00537C3C">
              <w:rPr>
                <w:szCs w:val="18"/>
              </w:rPr>
              <w:t>1:3.02</w:t>
            </w:r>
          </w:p>
        </w:tc>
        <w:tc>
          <w:tcPr>
            <w:tcW w:w="384" w:type="pct"/>
          </w:tcPr>
          <w:p w:rsidR="00234376" w:rsidRPr="00537C3C" w:rsidRDefault="00234376" w:rsidP="008E03A7">
            <w:pPr>
              <w:pStyle w:val="TableTextLessSpaceCharCharCharCharCharCharCharChar"/>
              <w:spacing w:before="60"/>
              <w:jc w:val="center"/>
              <w:rPr>
                <w:szCs w:val="18"/>
              </w:rPr>
            </w:pPr>
          </w:p>
        </w:tc>
      </w:tr>
      <w:tr w:rsidR="00234376" w:rsidRPr="00537C3C">
        <w:trPr>
          <w:trHeight w:val="387"/>
        </w:trPr>
        <w:tc>
          <w:tcPr>
            <w:tcW w:w="396" w:type="pct"/>
            <w:gridSpan w:val="2"/>
            <w:vMerge/>
          </w:tcPr>
          <w:p w:rsidR="00234376" w:rsidRPr="00537C3C" w:rsidRDefault="00234376" w:rsidP="008E03A7">
            <w:pPr>
              <w:pStyle w:val="TableTextLessSpaceCharCharCharCharCharCharCharChar"/>
              <w:rPr>
                <w:rFonts w:cs="Arial"/>
                <w:szCs w:val="18"/>
              </w:rPr>
            </w:pPr>
          </w:p>
        </w:tc>
        <w:tc>
          <w:tcPr>
            <w:tcW w:w="228" w:type="pct"/>
          </w:tcPr>
          <w:p w:rsidR="00234376" w:rsidRPr="00537C3C" w:rsidRDefault="00234376" w:rsidP="008E03A7">
            <w:pPr>
              <w:pStyle w:val="TableTextLessSpaceCharCharCharCharCharCharCharChar"/>
              <w:rPr>
                <w:sz w:val="16"/>
                <w:szCs w:val="16"/>
              </w:rPr>
            </w:pPr>
          </w:p>
        </w:tc>
        <w:tc>
          <w:tcPr>
            <w:tcW w:w="747" w:type="pct"/>
          </w:tcPr>
          <w:p w:rsidR="00234376" w:rsidRPr="00537C3C" w:rsidRDefault="00234376" w:rsidP="008E03A7">
            <w:pPr>
              <w:pStyle w:val="TableTextLessSpaceCharCharCharCharCharCharCharChar"/>
              <w:rPr>
                <w:rFonts w:cs="Garamond"/>
                <w:szCs w:val="18"/>
              </w:rPr>
            </w:pPr>
            <w:bookmarkStart w:id="412" w:name="OLE_LINK3"/>
            <w:bookmarkStart w:id="413" w:name="OLE_LINK4"/>
            <w:r w:rsidRPr="00BB76D8">
              <w:rPr>
                <w:rFonts w:cs="Garamond"/>
                <w:szCs w:val="18"/>
              </w:rPr>
              <w:t>CIN</w:t>
            </w:r>
            <w:r w:rsidRPr="00537C3C">
              <w:rPr>
                <w:rFonts w:cs="Garamond"/>
                <w:szCs w:val="18"/>
              </w:rPr>
              <w:t xml:space="preserve"> 1+</w:t>
            </w:r>
            <w:r w:rsidRPr="00537C3C">
              <w:rPr>
                <w:rFonts w:cs="Garamond"/>
                <w:szCs w:val="18"/>
                <w:vertAlign w:val="superscript"/>
              </w:rPr>
              <w:t>a</w:t>
            </w:r>
            <w:bookmarkEnd w:id="412"/>
            <w:bookmarkEnd w:id="413"/>
            <w:r w:rsidRPr="00537C3C">
              <w:rPr>
                <w:rFonts w:cs="Garamond"/>
                <w:szCs w:val="18"/>
              </w:rPr>
              <w:t>, register ref std</w:t>
            </w:r>
          </w:p>
        </w:tc>
        <w:tc>
          <w:tcPr>
            <w:tcW w:w="307" w:type="pct"/>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1.29</w:t>
            </w:r>
          </w:p>
        </w:tc>
        <w:tc>
          <w:tcPr>
            <w:tcW w:w="382" w:type="pct"/>
            <w:gridSpan w:val="2"/>
          </w:tcPr>
          <w:p w:rsidR="00234376" w:rsidRPr="00537C3C" w:rsidRDefault="00234376" w:rsidP="008E03A7">
            <w:pPr>
              <w:pStyle w:val="TableTextLessSpaceCharCharCharCharCharCharCharChar"/>
              <w:spacing w:before="40"/>
              <w:jc w:val="center"/>
              <w:rPr>
                <w:color w:val="000000"/>
                <w:szCs w:val="18"/>
              </w:rPr>
            </w:pPr>
            <w:r w:rsidRPr="00537C3C">
              <w:rPr>
                <w:color w:val="000000"/>
                <w:szCs w:val="18"/>
              </w:rPr>
              <w:t>1.79</w:t>
            </w:r>
          </w:p>
        </w:tc>
        <w:tc>
          <w:tcPr>
            <w:tcW w:w="362" w:type="pct"/>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color w:val="000000"/>
                <w:szCs w:val="18"/>
              </w:rPr>
              <w:t>1:1.39</w:t>
            </w:r>
          </w:p>
        </w:tc>
        <w:tc>
          <w:tcPr>
            <w:tcW w:w="367" w:type="pct"/>
            <w:gridSpan w:val="2"/>
          </w:tcPr>
          <w:p w:rsidR="00234376" w:rsidRPr="00537C3C" w:rsidRDefault="00234376" w:rsidP="008E03A7">
            <w:pPr>
              <w:pStyle w:val="TableTextLessSpaceCharCharCharCharCharCharCharChar"/>
              <w:spacing w:before="40"/>
              <w:jc w:val="center"/>
              <w:rPr>
                <w:color w:val="000000"/>
                <w:szCs w:val="18"/>
              </w:rPr>
            </w:pPr>
            <w:r w:rsidRPr="00537C3C">
              <w:rPr>
                <w:color w:val="000000"/>
                <w:szCs w:val="18"/>
              </w:rPr>
              <w:t>3.08</w:t>
            </w:r>
          </w:p>
        </w:tc>
        <w:tc>
          <w:tcPr>
            <w:tcW w:w="280" w:type="pct"/>
          </w:tcPr>
          <w:p w:rsidR="00234376" w:rsidRPr="00537C3C" w:rsidRDefault="00234376" w:rsidP="008E03A7">
            <w:pPr>
              <w:pStyle w:val="TableTextLessSpaceCharCharCharCharCharCharCharChar"/>
              <w:spacing w:before="60"/>
              <w:jc w:val="center"/>
              <w:rPr>
                <w:szCs w:val="18"/>
              </w:rPr>
            </w:pPr>
            <w:r w:rsidRPr="00537C3C">
              <w:rPr>
                <w:szCs w:val="18"/>
              </w:rPr>
              <w:t>133</w:t>
            </w:r>
          </w:p>
        </w:tc>
        <w:tc>
          <w:tcPr>
            <w:tcW w:w="258" w:type="pct"/>
            <w:gridSpan w:val="2"/>
          </w:tcPr>
          <w:p w:rsidR="00234376" w:rsidRPr="00537C3C" w:rsidRDefault="00234376" w:rsidP="008E03A7">
            <w:pPr>
              <w:pStyle w:val="TableTextLessSpaceCharCharCharCharCharCharCharChar"/>
              <w:spacing w:before="60"/>
              <w:jc w:val="center"/>
              <w:rPr>
                <w:szCs w:val="18"/>
              </w:rPr>
            </w:pPr>
            <w:r w:rsidRPr="00537C3C">
              <w:rPr>
                <w:szCs w:val="18"/>
              </w:rPr>
              <w:t>247</w:t>
            </w:r>
          </w:p>
        </w:tc>
        <w:tc>
          <w:tcPr>
            <w:tcW w:w="370" w:type="pct"/>
          </w:tcPr>
          <w:p w:rsidR="00234376" w:rsidRPr="00537C3C" w:rsidRDefault="00234376" w:rsidP="008E03A7">
            <w:pPr>
              <w:pStyle w:val="TableTextLessSpaceCharCharCharCharCharCharCharChar"/>
              <w:spacing w:before="60"/>
              <w:jc w:val="center"/>
              <w:rPr>
                <w:szCs w:val="18"/>
              </w:rPr>
            </w:pPr>
            <w:r w:rsidRPr="00537C3C">
              <w:rPr>
                <w:szCs w:val="18"/>
              </w:rPr>
              <w:t>1:1.85</w:t>
            </w:r>
          </w:p>
        </w:tc>
        <w:tc>
          <w:tcPr>
            <w:tcW w:w="291" w:type="pct"/>
          </w:tcPr>
          <w:p w:rsidR="00234376" w:rsidRPr="00537C3C" w:rsidRDefault="00234376" w:rsidP="008E03A7">
            <w:pPr>
              <w:pStyle w:val="TableTextLessSpaceCharCharCharCharCharCharCharChar"/>
              <w:spacing w:before="60"/>
              <w:jc w:val="center"/>
              <w:rPr>
                <w:szCs w:val="18"/>
              </w:rPr>
            </w:pPr>
            <w:r w:rsidRPr="00537C3C">
              <w:rPr>
                <w:szCs w:val="18"/>
              </w:rPr>
              <w:t>62</w:t>
            </w:r>
          </w:p>
        </w:tc>
        <w:tc>
          <w:tcPr>
            <w:tcW w:w="303" w:type="pct"/>
          </w:tcPr>
          <w:p w:rsidR="00234376" w:rsidRPr="00537C3C" w:rsidRDefault="00234376" w:rsidP="008E03A7">
            <w:pPr>
              <w:pStyle w:val="TableTextLessSpaceCharCharCharCharCharCharCharChar"/>
              <w:spacing w:before="60"/>
              <w:jc w:val="center"/>
              <w:rPr>
                <w:szCs w:val="18"/>
              </w:rPr>
            </w:pPr>
            <w:r w:rsidRPr="00537C3C">
              <w:rPr>
                <w:szCs w:val="18"/>
              </w:rPr>
              <w:t>148</w:t>
            </w:r>
          </w:p>
        </w:tc>
        <w:tc>
          <w:tcPr>
            <w:tcW w:w="325" w:type="pct"/>
          </w:tcPr>
          <w:p w:rsidR="00234376" w:rsidRPr="00537C3C" w:rsidRDefault="00234376" w:rsidP="008E03A7">
            <w:pPr>
              <w:pStyle w:val="TableTextLessSpaceCharCharCharCharCharCharCharChar"/>
              <w:spacing w:before="60"/>
              <w:jc w:val="center"/>
              <w:rPr>
                <w:szCs w:val="18"/>
              </w:rPr>
            </w:pPr>
            <w:r w:rsidRPr="00537C3C">
              <w:rPr>
                <w:szCs w:val="18"/>
              </w:rPr>
              <w:t>1:2.37</w:t>
            </w:r>
          </w:p>
        </w:tc>
        <w:tc>
          <w:tcPr>
            <w:tcW w:w="384" w:type="pct"/>
          </w:tcPr>
          <w:p w:rsidR="00234376" w:rsidRPr="00537C3C" w:rsidRDefault="00234376" w:rsidP="008E03A7">
            <w:pPr>
              <w:pStyle w:val="TableTextLessSpaceCharCharCharCharCharCharCharChar"/>
              <w:spacing w:before="60"/>
              <w:jc w:val="center"/>
              <w:rPr>
                <w:szCs w:val="18"/>
              </w:rPr>
            </w:pPr>
            <w:r w:rsidRPr="00537C3C">
              <w:rPr>
                <w:szCs w:val="18"/>
              </w:rPr>
              <w:t xml:space="preserve"> &lt; 0.001</w:t>
            </w:r>
          </w:p>
        </w:tc>
      </w:tr>
      <w:tr w:rsidR="00234376" w:rsidRPr="00537C3C">
        <w:trPr>
          <w:trHeight w:val="495"/>
        </w:trPr>
        <w:tc>
          <w:tcPr>
            <w:tcW w:w="396" w:type="pct"/>
            <w:gridSpan w:val="2"/>
            <w:vMerge/>
          </w:tcPr>
          <w:p w:rsidR="00234376" w:rsidRPr="00537C3C" w:rsidRDefault="00234376" w:rsidP="008E03A7">
            <w:pPr>
              <w:pStyle w:val="TableTextLessSpaceCharCharCharCharCharCharCharChar"/>
            </w:pPr>
          </w:p>
        </w:tc>
        <w:tc>
          <w:tcPr>
            <w:tcW w:w="228" w:type="pct"/>
          </w:tcPr>
          <w:p w:rsidR="00234376" w:rsidRPr="00537C3C" w:rsidRDefault="00234376" w:rsidP="008E03A7">
            <w:pPr>
              <w:pStyle w:val="TableTextLessSpaceCharCharCharCharCharCharCharChar"/>
              <w:rPr>
                <w:sz w:val="16"/>
                <w:szCs w:val="16"/>
              </w:rPr>
            </w:pPr>
          </w:p>
        </w:tc>
        <w:tc>
          <w:tcPr>
            <w:tcW w:w="747" w:type="pct"/>
          </w:tcPr>
          <w:p w:rsidR="00234376" w:rsidRPr="00537C3C" w:rsidRDefault="00234376" w:rsidP="008E03A7">
            <w:pPr>
              <w:pStyle w:val="TableTextLessSpaceCharCharCharCharCharCharCharChar"/>
              <w:rPr>
                <w:rFonts w:cs="Garamond"/>
                <w:szCs w:val="18"/>
              </w:rPr>
            </w:pPr>
            <w:r w:rsidRPr="00BB76D8">
              <w:rPr>
                <w:rFonts w:cs="Garamond"/>
                <w:szCs w:val="18"/>
              </w:rPr>
              <w:t>CIN</w:t>
            </w:r>
            <w:r w:rsidRPr="00537C3C">
              <w:rPr>
                <w:rFonts w:cs="Garamond"/>
                <w:szCs w:val="18"/>
              </w:rPr>
              <w:t xml:space="preserve"> 1+</w:t>
            </w:r>
            <w:r w:rsidRPr="00537C3C">
              <w:rPr>
                <w:rFonts w:cs="Garamond"/>
                <w:szCs w:val="18"/>
                <w:vertAlign w:val="superscript"/>
              </w:rPr>
              <w:t>a</w:t>
            </w:r>
            <w:r w:rsidRPr="00537C3C">
              <w:rPr>
                <w:rFonts w:cs="Garamond"/>
                <w:szCs w:val="18"/>
              </w:rPr>
              <w:t>, most severe histology as ref std</w:t>
            </w:r>
          </w:p>
        </w:tc>
        <w:tc>
          <w:tcPr>
            <w:tcW w:w="307" w:type="pct"/>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color w:val="000000"/>
                <w:szCs w:val="18"/>
              </w:rPr>
              <w:t>1.92</w:t>
            </w:r>
          </w:p>
        </w:tc>
        <w:tc>
          <w:tcPr>
            <w:tcW w:w="382" w:type="pct"/>
            <w:gridSpan w:val="2"/>
          </w:tcPr>
          <w:p w:rsidR="00234376" w:rsidRPr="00537C3C" w:rsidRDefault="00234376" w:rsidP="008E03A7">
            <w:pPr>
              <w:pStyle w:val="TableTextLessSpaceCharCharCharCharCharCharCharChar"/>
              <w:spacing w:before="40"/>
              <w:jc w:val="center"/>
              <w:rPr>
                <w:color w:val="000000"/>
                <w:szCs w:val="18"/>
              </w:rPr>
            </w:pPr>
            <w:r w:rsidRPr="00537C3C">
              <w:rPr>
                <w:color w:val="000000"/>
                <w:szCs w:val="18"/>
              </w:rPr>
              <w:t>1.16</w:t>
            </w:r>
          </w:p>
        </w:tc>
        <w:tc>
          <w:tcPr>
            <w:tcW w:w="362" w:type="pct"/>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color w:val="000000"/>
                <w:szCs w:val="18"/>
              </w:rPr>
              <w:t>1:0.60</w:t>
            </w:r>
          </w:p>
        </w:tc>
        <w:tc>
          <w:tcPr>
            <w:tcW w:w="367" w:type="pct"/>
            <w:gridSpan w:val="2"/>
          </w:tcPr>
          <w:p w:rsidR="00234376" w:rsidRPr="00537C3C" w:rsidRDefault="00234376" w:rsidP="008E03A7">
            <w:pPr>
              <w:pStyle w:val="TableTextLessSpaceCharCharCharCharCharCharCharChar"/>
              <w:spacing w:before="40"/>
              <w:jc w:val="center"/>
              <w:rPr>
                <w:color w:val="000000"/>
                <w:szCs w:val="18"/>
              </w:rPr>
            </w:pPr>
            <w:r w:rsidRPr="00537C3C">
              <w:rPr>
                <w:color w:val="000000"/>
                <w:szCs w:val="18"/>
              </w:rPr>
              <w:t>3.08</w:t>
            </w:r>
          </w:p>
        </w:tc>
        <w:tc>
          <w:tcPr>
            <w:tcW w:w="280" w:type="pct"/>
          </w:tcPr>
          <w:p w:rsidR="00234376" w:rsidRPr="00537C3C" w:rsidRDefault="00234376" w:rsidP="008E03A7">
            <w:pPr>
              <w:pStyle w:val="TableTextLessSpaceCharCharCharCharCharCharCharChar"/>
              <w:spacing w:before="60"/>
              <w:jc w:val="center"/>
              <w:rPr>
                <w:szCs w:val="18"/>
              </w:rPr>
            </w:pPr>
            <w:r w:rsidRPr="00537C3C">
              <w:rPr>
                <w:szCs w:val="18"/>
              </w:rPr>
              <w:t>196</w:t>
            </w:r>
          </w:p>
        </w:tc>
        <w:tc>
          <w:tcPr>
            <w:tcW w:w="258" w:type="pct"/>
            <w:gridSpan w:val="2"/>
          </w:tcPr>
          <w:p w:rsidR="00234376" w:rsidRPr="00537C3C" w:rsidRDefault="00234376" w:rsidP="008E03A7">
            <w:pPr>
              <w:pStyle w:val="TableTextLessSpaceCharCharCharCharCharCharCharChar"/>
              <w:spacing w:before="60"/>
              <w:jc w:val="center"/>
              <w:rPr>
                <w:szCs w:val="18"/>
              </w:rPr>
            </w:pPr>
            <w:r w:rsidRPr="00537C3C">
              <w:rPr>
                <w:szCs w:val="18"/>
              </w:rPr>
              <w:t>184</w:t>
            </w:r>
          </w:p>
        </w:tc>
        <w:tc>
          <w:tcPr>
            <w:tcW w:w="370" w:type="pct"/>
          </w:tcPr>
          <w:p w:rsidR="00234376" w:rsidRPr="00537C3C" w:rsidRDefault="00234376" w:rsidP="008E03A7">
            <w:pPr>
              <w:pStyle w:val="TableTextLessSpaceCharCharCharCharCharCharCharChar"/>
              <w:spacing w:before="60"/>
              <w:jc w:val="center"/>
              <w:rPr>
                <w:szCs w:val="18"/>
              </w:rPr>
            </w:pPr>
            <w:r w:rsidRPr="00537C3C">
              <w:rPr>
                <w:szCs w:val="18"/>
              </w:rPr>
              <w:t>1:0.94</w:t>
            </w:r>
          </w:p>
        </w:tc>
        <w:tc>
          <w:tcPr>
            <w:tcW w:w="291" w:type="pct"/>
          </w:tcPr>
          <w:p w:rsidR="00234376" w:rsidRPr="00537C3C" w:rsidRDefault="00234376" w:rsidP="008E03A7">
            <w:pPr>
              <w:pStyle w:val="TableTextLessSpaceCharCharCharCharCharCharCharChar"/>
              <w:spacing w:before="60"/>
              <w:jc w:val="center"/>
              <w:rPr>
                <w:szCs w:val="18"/>
              </w:rPr>
            </w:pPr>
            <w:r w:rsidRPr="00537C3C">
              <w:rPr>
                <w:szCs w:val="18"/>
              </w:rPr>
              <w:t>90</w:t>
            </w:r>
          </w:p>
        </w:tc>
        <w:tc>
          <w:tcPr>
            <w:tcW w:w="303" w:type="pct"/>
          </w:tcPr>
          <w:p w:rsidR="00234376" w:rsidRPr="00537C3C" w:rsidRDefault="00234376" w:rsidP="008E03A7">
            <w:pPr>
              <w:pStyle w:val="TableTextLessSpaceCharCharCharCharCharCharCharChar"/>
              <w:spacing w:before="60"/>
              <w:jc w:val="center"/>
              <w:rPr>
                <w:szCs w:val="18"/>
              </w:rPr>
            </w:pPr>
            <w:r w:rsidRPr="00537C3C">
              <w:rPr>
                <w:szCs w:val="18"/>
              </w:rPr>
              <w:t>120</w:t>
            </w:r>
          </w:p>
        </w:tc>
        <w:tc>
          <w:tcPr>
            <w:tcW w:w="325" w:type="pct"/>
          </w:tcPr>
          <w:p w:rsidR="00234376" w:rsidRPr="00537C3C" w:rsidRDefault="00234376" w:rsidP="008E03A7">
            <w:pPr>
              <w:pStyle w:val="TableTextLessSpaceCharCharCharCharCharCharCharChar"/>
              <w:spacing w:before="60"/>
              <w:jc w:val="center"/>
              <w:rPr>
                <w:szCs w:val="18"/>
              </w:rPr>
            </w:pPr>
            <w:r w:rsidRPr="00537C3C">
              <w:rPr>
                <w:szCs w:val="18"/>
              </w:rPr>
              <w:t>1:1.33</w:t>
            </w:r>
          </w:p>
        </w:tc>
        <w:tc>
          <w:tcPr>
            <w:tcW w:w="384" w:type="pct"/>
          </w:tcPr>
          <w:p w:rsidR="00234376" w:rsidRPr="00537C3C" w:rsidRDefault="00234376">
            <w:pPr>
              <w:spacing w:after="0"/>
              <w:ind w:left="0"/>
            </w:pPr>
          </w:p>
        </w:tc>
      </w:tr>
      <w:tr w:rsidR="00234376" w:rsidRPr="00537C3C">
        <w:trPr>
          <w:trHeight w:val="485"/>
        </w:trPr>
        <w:tc>
          <w:tcPr>
            <w:tcW w:w="396" w:type="pct"/>
            <w:gridSpan w:val="2"/>
            <w:vMerge/>
            <w:tcBorders>
              <w:bottom w:val="single" w:sz="4" w:space="0" w:color="auto"/>
            </w:tcBorders>
          </w:tcPr>
          <w:p w:rsidR="00234376" w:rsidRPr="00537C3C" w:rsidRDefault="00234376" w:rsidP="008E03A7">
            <w:pPr>
              <w:pStyle w:val="TableTextLessSpaceCharCharCharCharCharCharCharChar"/>
            </w:pPr>
          </w:p>
        </w:tc>
        <w:tc>
          <w:tcPr>
            <w:tcW w:w="228" w:type="pct"/>
            <w:tcBorders>
              <w:bottom w:val="single" w:sz="4" w:space="0" w:color="auto"/>
            </w:tcBorders>
          </w:tcPr>
          <w:p w:rsidR="00234376" w:rsidRPr="00537C3C" w:rsidRDefault="00234376" w:rsidP="008E03A7">
            <w:pPr>
              <w:pStyle w:val="TableTextLessSpaceCharCharCharCharCharCharCharChar"/>
              <w:rPr>
                <w:sz w:val="16"/>
                <w:szCs w:val="16"/>
              </w:rPr>
            </w:pPr>
          </w:p>
        </w:tc>
        <w:tc>
          <w:tcPr>
            <w:tcW w:w="747" w:type="pct"/>
            <w:tcBorders>
              <w:bottom w:val="single" w:sz="4" w:space="0" w:color="auto"/>
            </w:tcBorders>
          </w:tcPr>
          <w:p w:rsidR="00234376" w:rsidRPr="00537C3C" w:rsidRDefault="00234376" w:rsidP="008E03A7">
            <w:pPr>
              <w:pStyle w:val="TableTextLessSpaceCharCharCharCharCharCharCharChar"/>
              <w:rPr>
                <w:rFonts w:cs="Garamond"/>
                <w:szCs w:val="18"/>
              </w:rPr>
            </w:pPr>
            <w:r w:rsidRPr="00BB76D8">
              <w:rPr>
                <w:rFonts w:cs="Garamond"/>
                <w:szCs w:val="18"/>
              </w:rPr>
              <w:t>CIN</w:t>
            </w:r>
            <w:r w:rsidRPr="00537C3C">
              <w:rPr>
                <w:rFonts w:cs="Garamond"/>
                <w:szCs w:val="18"/>
              </w:rPr>
              <w:t xml:space="preserve"> 1+</w:t>
            </w:r>
            <w:r w:rsidRPr="00537C3C">
              <w:rPr>
                <w:rFonts w:cs="Garamond"/>
                <w:szCs w:val="18"/>
                <w:vertAlign w:val="superscript"/>
              </w:rPr>
              <w:t>a</w:t>
            </w:r>
            <w:r w:rsidRPr="00537C3C">
              <w:rPr>
                <w:rFonts w:cs="Garamond"/>
                <w:szCs w:val="18"/>
              </w:rPr>
              <w:t>, blinded re-reading as ref std</w:t>
            </w:r>
          </w:p>
        </w:tc>
        <w:tc>
          <w:tcPr>
            <w:tcW w:w="307" w:type="pct"/>
            <w:tcBorders>
              <w:bottom w:val="single" w:sz="4" w:space="0" w:color="auto"/>
            </w:tcBorders>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color w:val="000000"/>
                <w:szCs w:val="18"/>
              </w:rPr>
              <w:t>1.54</w:t>
            </w:r>
          </w:p>
        </w:tc>
        <w:tc>
          <w:tcPr>
            <w:tcW w:w="382" w:type="pct"/>
            <w:gridSpan w:val="2"/>
            <w:tcBorders>
              <w:bottom w:val="single" w:sz="4" w:space="0" w:color="auto"/>
            </w:tcBorders>
          </w:tcPr>
          <w:p w:rsidR="00234376" w:rsidRPr="00537C3C" w:rsidRDefault="00234376" w:rsidP="008E03A7">
            <w:pPr>
              <w:pStyle w:val="TableTextLessSpaceCharCharCharCharCharCharCharChar"/>
              <w:spacing w:before="40"/>
              <w:jc w:val="center"/>
              <w:rPr>
                <w:color w:val="000000"/>
                <w:szCs w:val="18"/>
              </w:rPr>
            </w:pPr>
            <w:r w:rsidRPr="00537C3C">
              <w:rPr>
                <w:color w:val="000000"/>
                <w:szCs w:val="18"/>
              </w:rPr>
              <w:t>0.74</w:t>
            </w:r>
          </w:p>
        </w:tc>
        <w:tc>
          <w:tcPr>
            <w:tcW w:w="362" w:type="pct"/>
            <w:tcBorders>
              <w:bottom w:val="single" w:sz="4" w:space="0" w:color="auto"/>
            </w:tcBorders>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color w:val="000000"/>
                <w:szCs w:val="18"/>
              </w:rPr>
              <w:t>1:0.48</w:t>
            </w:r>
          </w:p>
        </w:tc>
        <w:tc>
          <w:tcPr>
            <w:tcW w:w="367" w:type="pct"/>
            <w:gridSpan w:val="2"/>
            <w:tcBorders>
              <w:bottom w:val="single" w:sz="4" w:space="0" w:color="auto"/>
            </w:tcBorders>
          </w:tcPr>
          <w:p w:rsidR="00234376" w:rsidRPr="00537C3C" w:rsidRDefault="00234376" w:rsidP="008E03A7">
            <w:pPr>
              <w:pStyle w:val="TableTextLessSpaceCharCharCharCharCharCharCharChar"/>
              <w:spacing w:before="40"/>
              <w:jc w:val="center"/>
              <w:rPr>
                <w:color w:val="000000"/>
                <w:szCs w:val="18"/>
              </w:rPr>
            </w:pPr>
            <w:r w:rsidRPr="00537C3C">
              <w:rPr>
                <w:color w:val="000000"/>
                <w:szCs w:val="18"/>
              </w:rPr>
              <w:t>2.28</w:t>
            </w:r>
          </w:p>
        </w:tc>
        <w:tc>
          <w:tcPr>
            <w:tcW w:w="280" w:type="pct"/>
            <w:tcBorders>
              <w:bottom w:val="single" w:sz="4" w:space="0" w:color="auto"/>
            </w:tcBorders>
          </w:tcPr>
          <w:p w:rsidR="00234376" w:rsidRPr="00537C3C" w:rsidRDefault="00234376" w:rsidP="008E03A7">
            <w:pPr>
              <w:pStyle w:val="TableTextLessSpaceCharCharCharCharCharCharCharChar"/>
              <w:spacing w:before="60"/>
              <w:jc w:val="center"/>
              <w:rPr>
                <w:szCs w:val="18"/>
              </w:rPr>
            </w:pPr>
            <w:r w:rsidRPr="00537C3C">
              <w:rPr>
                <w:szCs w:val="18"/>
              </w:rPr>
              <w:t>153</w:t>
            </w:r>
          </w:p>
        </w:tc>
        <w:tc>
          <w:tcPr>
            <w:tcW w:w="258" w:type="pct"/>
            <w:gridSpan w:val="2"/>
            <w:tcBorders>
              <w:bottom w:val="single" w:sz="4" w:space="0" w:color="auto"/>
            </w:tcBorders>
          </w:tcPr>
          <w:p w:rsidR="00234376" w:rsidRPr="00537C3C" w:rsidRDefault="00234376" w:rsidP="008E03A7">
            <w:pPr>
              <w:pStyle w:val="TableTextLessSpaceCharCharCharCharCharCharCharChar"/>
              <w:spacing w:before="60"/>
              <w:jc w:val="center"/>
              <w:rPr>
                <w:szCs w:val="18"/>
              </w:rPr>
            </w:pPr>
            <w:r w:rsidRPr="00537C3C">
              <w:rPr>
                <w:szCs w:val="18"/>
              </w:rPr>
              <w:t>127</w:t>
            </w:r>
          </w:p>
        </w:tc>
        <w:tc>
          <w:tcPr>
            <w:tcW w:w="370" w:type="pct"/>
            <w:tcBorders>
              <w:bottom w:val="single" w:sz="4" w:space="0" w:color="auto"/>
            </w:tcBorders>
          </w:tcPr>
          <w:p w:rsidR="00234376" w:rsidRPr="00537C3C" w:rsidRDefault="00234376" w:rsidP="008E03A7">
            <w:pPr>
              <w:pStyle w:val="TableTextLessSpaceCharCharCharCharCharCharCharChar"/>
              <w:spacing w:before="60"/>
              <w:jc w:val="center"/>
              <w:rPr>
                <w:szCs w:val="18"/>
              </w:rPr>
            </w:pPr>
            <w:r w:rsidRPr="00537C3C">
              <w:rPr>
                <w:szCs w:val="18"/>
              </w:rPr>
              <w:t>1:0.83</w:t>
            </w:r>
          </w:p>
        </w:tc>
        <w:tc>
          <w:tcPr>
            <w:tcW w:w="291" w:type="pct"/>
            <w:tcBorders>
              <w:bottom w:val="single" w:sz="4" w:space="0" w:color="auto"/>
            </w:tcBorders>
          </w:tcPr>
          <w:p w:rsidR="00234376" w:rsidRPr="00537C3C" w:rsidRDefault="00234376" w:rsidP="008E03A7">
            <w:pPr>
              <w:pStyle w:val="TableTextLessSpaceCharCharCharCharCharCharCharChar"/>
              <w:spacing w:before="60"/>
              <w:jc w:val="center"/>
              <w:rPr>
                <w:szCs w:val="18"/>
              </w:rPr>
            </w:pPr>
            <w:r w:rsidRPr="00537C3C">
              <w:rPr>
                <w:szCs w:val="18"/>
              </w:rPr>
              <w:t>68</w:t>
            </w:r>
          </w:p>
        </w:tc>
        <w:tc>
          <w:tcPr>
            <w:tcW w:w="303" w:type="pct"/>
            <w:tcBorders>
              <w:bottom w:val="single" w:sz="4" w:space="0" w:color="auto"/>
            </w:tcBorders>
          </w:tcPr>
          <w:p w:rsidR="00234376" w:rsidRPr="00537C3C" w:rsidRDefault="00234376" w:rsidP="008E03A7">
            <w:pPr>
              <w:pStyle w:val="TableTextLessSpaceCharCharCharCharCharCharCharChar"/>
              <w:spacing w:before="60"/>
              <w:jc w:val="center"/>
              <w:rPr>
                <w:szCs w:val="18"/>
              </w:rPr>
            </w:pPr>
            <w:r w:rsidRPr="00537C3C">
              <w:rPr>
                <w:szCs w:val="18"/>
              </w:rPr>
              <w:t>86</w:t>
            </w:r>
          </w:p>
        </w:tc>
        <w:tc>
          <w:tcPr>
            <w:tcW w:w="325" w:type="pct"/>
            <w:tcBorders>
              <w:bottom w:val="single" w:sz="4" w:space="0" w:color="auto"/>
            </w:tcBorders>
          </w:tcPr>
          <w:p w:rsidR="00234376" w:rsidRPr="00537C3C" w:rsidRDefault="00234376" w:rsidP="008E03A7">
            <w:pPr>
              <w:pStyle w:val="TableTextLessSpaceCharCharCharCharCharCharCharChar"/>
              <w:spacing w:before="60"/>
              <w:jc w:val="center"/>
              <w:rPr>
                <w:szCs w:val="18"/>
              </w:rPr>
            </w:pPr>
            <w:r w:rsidRPr="00537C3C">
              <w:rPr>
                <w:szCs w:val="18"/>
              </w:rPr>
              <w:t>1:1.26</w:t>
            </w:r>
          </w:p>
        </w:tc>
        <w:tc>
          <w:tcPr>
            <w:tcW w:w="384" w:type="pct"/>
            <w:tcBorders>
              <w:bottom w:val="single" w:sz="4" w:space="0" w:color="auto"/>
            </w:tcBorders>
          </w:tcPr>
          <w:p w:rsidR="00234376" w:rsidRPr="00537C3C" w:rsidRDefault="00234376">
            <w:pPr>
              <w:spacing w:after="0"/>
              <w:ind w:left="0"/>
            </w:pPr>
          </w:p>
        </w:tc>
      </w:tr>
      <w:tr w:rsidR="00234376" w:rsidRPr="00537C3C">
        <w:tblPrEx>
          <w:tblCellMar>
            <w:left w:w="108" w:type="dxa"/>
            <w:right w:w="108" w:type="dxa"/>
          </w:tblCellMar>
        </w:tblPrEx>
        <w:trPr>
          <w:trHeight w:hRule="exact" w:val="280"/>
        </w:trPr>
        <w:tc>
          <w:tcPr>
            <w:tcW w:w="1371" w:type="pct"/>
            <w:gridSpan w:val="4"/>
            <w:tcBorders>
              <w:top w:val="single" w:sz="4" w:space="0" w:color="auto"/>
              <w:bottom w:val="single" w:sz="4" w:space="0" w:color="auto"/>
            </w:tcBorders>
          </w:tcPr>
          <w:p w:rsidR="00234376" w:rsidRPr="00537C3C" w:rsidRDefault="00234376" w:rsidP="008E03A7">
            <w:pPr>
              <w:pStyle w:val="TableTextLessSpaceCharCharCharCharCharCharCharChar"/>
            </w:pPr>
            <w:r w:rsidRPr="00537C3C">
              <w:t xml:space="preserve">Roberts </w:t>
            </w:r>
            <w:r w:rsidRPr="00537C3C">
              <w:rPr>
                <w:sz w:val="16"/>
                <w:szCs w:val="16"/>
              </w:rPr>
              <w:t xml:space="preserve">et al. </w:t>
            </w:r>
            <w:r w:rsidRPr="00537C3C">
              <w:rPr>
                <w:vertAlign w:val="superscript"/>
              </w:rPr>
              <w:t>e</w:t>
            </w:r>
            <w:r w:rsidRPr="00537C3C">
              <w:t xml:space="preserve"> 2007</w:t>
            </w:r>
          </w:p>
        </w:tc>
        <w:tc>
          <w:tcPr>
            <w:tcW w:w="307" w:type="pct"/>
            <w:tcBorders>
              <w:top w:val="single" w:sz="4" w:space="0" w:color="auto"/>
              <w:bottom w:val="single" w:sz="4" w:space="0" w:color="auto"/>
            </w:tcBorders>
          </w:tcPr>
          <w:p w:rsidR="00234376" w:rsidRPr="00537C3C" w:rsidRDefault="00234376" w:rsidP="008E03A7">
            <w:pPr>
              <w:pStyle w:val="TableTextLessSpaceCharCharCharCharCharCharCharChar"/>
            </w:pPr>
          </w:p>
        </w:tc>
        <w:tc>
          <w:tcPr>
            <w:tcW w:w="382" w:type="pct"/>
            <w:gridSpan w:val="2"/>
            <w:tcBorders>
              <w:top w:val="single" w:sz="4" w:space="0" w:color="auto"/>
              <w:bottom w:val="single" w:sz="4" w:space="0" w:color="auto"/>
            </w:tcBorders>
          </w:tcPr>
          <w:p w:rsidR="00234376" w:rsidRPr="00537C3C" w:rsidRDefault="00234376" w:rsidP="008E03A7">
            <w:pPr>
              <w:pStyle w:val="TableTextLessSpaceCharCharCharCharCharCharCharChar"/>
            </w:pPr>
          </w:p>
        </w:tc>
        <w:tc>
          <w:tcPr>
            <w:tcW w:w="362" w:type="pct"/>
            <w:tcBorders>
              <w:top w:val="single" w:sz="4" w:space="0" w:color="auto"/>
              <w:bottom w:val="single" w:sz="4" w:space="0" w:color="auto"/>
            </w:tcBorders>
          </w:tcPr>
          <w:p w:rsidR="00234376" w:rsidRPr="00537C3C" w:rsidRDefault="00234376" w:rsidP="008E03A7">
            <w:pPr>
              <w:pStyle w:val="TableTextLessSpaceCharCharCharCharCharCharCharChar"/>
            </w:pPr>
          </w:p>
        </w:tc>
        <w:tc>
          <w:tcPr>
            <w:tcW w:w="367" w:type="pct"/>
            <w:gridSpan w:val="2"/>
            <w:tcBorders>
              <w:top w:val="single" w:sz="4" w:space="0" w:color="auto"/>
              <w:bottom w:val="single" w:sz="4" w:space="0" w:color="auto"/>
            </w:tcBorders>
          </w:tcPr>
          <w:p w:rsidR="00234376" w:rsidRPr="00537C3C" w:rsidRDefault="00234376" w:rsidP="008E03A7">
            <w:pPr>
              <w:pStyle w:val="TableTextLessSpaceCharCharCharCharCharCharCharChar"/>
            </w:pPr>
          </w:p>
        </w:tc>
        <w:tc>
          <w:tcPr>
            <w:tcW w:w="909" w:type="pct"/>
            <w:gridSpan w:val="4"/>
            <w:tcBorders>
              <w:top w:val="single" w:sz="4" w:space="0" w:color="auto"/>
              <w:bottom w:val="single" w:sz="4" w:space="0" w:color="auto"/>
            </w:tcBorders>
          </w:tcPr>
          <w:p w:rsidR="00234376" w:rsidRPr="00537C3C" w:rsidRDefault="00234376" w:rsidP="008E03A7">
            <w:pPr>
              <w:pStyle w:val="TableTextLessSpaceCharCharCharCharCharCharCharChar"/>
              <w:jc w:val="center"/>
              <w:rPr>
                <w:b/>
                <w:i/>
                <w:highlight w:val="green"/>
              </w:rPr>
            </w:pPr>
            <w:r w:rsidRPr="00537C3C">
              <w:rPr>
                <w:b/>
                <w:i/>
              </w:rPr>
              <w:t>total</w:t>
            </w:r>
          </w:p>
        </w:tc>
        <w:tc>
          <w:tcPr>
            <w:tcW w:w="291" w:type="pct"/>
            <w:tcBorders>
              <w:top w:val="single" w:sz="4" w:space="0" w:color="auto"/>
              <w:bottom w:val="single" w:sz="4" w:space="0" w:color="auto"/>
            </w:tcBorders>
          </w:tcPr>
          <w:p w:rsidR="00234376" w:rsidRPr="00537C3C" w:rsidRDefault="00234376" w:rsidP="008E03A7">
            <w:pPr>
              <w:pStyle w:val="TableTextLessSpaceCharCharCharCharCharCharCharChar"/>
              <w:jc w:val="center"/>
              <w:rPr>
                <w:i/>
                <w:highlight w:val="green"/>
              </w:rPr>
            </w:pPr>
          </w:p>
        </w:tc>
        <w:tc>
          <w:tcPr>
            <w:tcW w:w="303" w:type="pct"/>
            <w:tcBorders>
              <w:top w:val="single" w:sz="4" w:space="0" w:color="auto"/>
              <w:bottom w:val="single" w:sz="4" w:space="0" w:color="auto"/>
            </w:tcBorders>
          </w:tcPr>
          <w:p w:rsidR="00234376" w:rsidRPr="00537C3C" w:rsidRDefault="00234376" w:rsidP="008E03A7">
            <w:pPr>
              <w:pStyle w:val="TableTextLessSpaceCharCharCharCharCharCharCharChar"/>
              <w:jc w:val="center"/>
              <w:rPr>
                <w:b/>
                <w:i/>
                <w:highlight w:val="green"/>
              </w:rPr>
            </w:pPr>
            <w:r w:rsidRPr="00537C3C">
              <w:rPr>
                <w:b/>
                <w:i/>
              </w:rPr>
              <w:t>total</w:t>
            </w:r>
          </w:p>
        </w:tc>
        <w:tc>
          <w:tcPr>
            <w:tcW w:w="325" w:type="pct"/>
            <w:tcBorders>
              <w:top w:val="single" w:sz="4" w:space="0" w:color="auto"/>
              <w:bottom w:val="single" w:sz="4" w:space="0" w:color="auto"/>
            </w:tcBorders>
          </w:tcPr>
          <w:p w:rsidR="00234376" w:rsidRPr="00537C3C" w:rsidRDefault="00234376" w:rsidP="008E03A7">
            <w:pPr>
              <w:pStyle w:val="TableTextLessSpaceCharCharCharCharCharCharCharChar"/>
            </w:pPr>
          </w:p>
        </w:tc>
        <w:tc>
          <w:tcPr>
            <w:tcW w:w="384" w:type="pct"/>
            <w:tcBorders>
              <w:top w:val="single" w:sz="4" w:space="0" w:color="auto"/>
              <w:bottom w:val="single" w:sz="4" w:space="0" w:color="auto"/>
            </w:tcBorders>
          </w:tcPr>
          <w:p w:rsidR="00234376" w:rsidRPr="00537C3C" w:rsidRDefault="00234376" w:rsidP="008E03A7">
            <w:pPr>
              <w:pStyle w:val="TableTextLessSpaceCharCharCharCharCharCharCharChar"/>
            </w:pPr>
          </w:p>
        </w:tc>
      </w:tr>
      <w:tr w:rsidR="00234376" w:rsidRPr="00537C3C">
        <w:tc>
          <w:tcPr>
            <w:tcW w:w="396" w:type="pct"/>
            <w:gridSpan w:val="2"/>
            <w:tcBorders>
              <w:top w:val="single" w:sz="4" w:space="0" w:color="auto"/>
            </w:tcBorders>
          </w:tcPr>
          <w:p w:rsidR="00234376" w:rsidRPr="00537C3C" w:rsidRDefault="00234376" w:rsidP="008E03A7">
            <w:pPr>
              <w:pStyle w:val="TableTextLessSpaceCharCharCharCharCharCharCharChar"/>
            </w:pPr>
            <w:r w:rsidRPr="00537C3C">
              <w:rPr>
                <w:rFonts w:cs="Arial"/>
                <w:szCs w:val="18"/>
              </w:rPr>
              <w:t>11 416</w:t>
            </w:r>
          </w:p>
        </w:tc>
        <w:tc>
          <w:tcPr>
            <w:tcW w:w="228" w:type="pct"/>
            <w:tcBorders>
              <w:top w:val="single" w:sz="4" w:space="0" w:color="auto"/>
            </w:tcBorders>
          </w:tcPr>
          <w:p w:rsidR="00234376" w:rsidRPr="00537C3C" w:rsidRDefault="00234376" w:rsidP="008E03A7">
            <w:pPr>
              <w:pStyle w:val="TableTextLessSpaceCharCharCharCharCharCharCharChar"/>
              <w:rPr>
                <w:sz w:val="16"/>
                <w:szCs w:val="16"/>
              </w:rPr>
            </w:pPr>
            <w:r w:rsidRPr="00BB76D8">
              <w:rPr>
                <w:sz w:val="16"/>
                <w:szCs w:val="16"/>
              </w:rPr>
              <w:t>TPI</w:t>
            </w:r>
          </w:p>
        </w:tc>
        <w:tc>
          <w:tcPr>
            <w:tcW w:w="747" w:type="pct"/>
            <w:tcBorders>
              <w:top w:val="single" w:sz="4" w:space="0" w:color="auto"/>
            </w:tcBorders>
          </w:tcPr>
          <w:p w:rsidR="00234376" w:rsidRPr="00537C3C" w:rsidRDefault="00234376" w:rsidP="008E03A7">
            <w:pPr>
              <w:pStyle w:val="TableTextLessSpaceCharCharCharCharCharCharCharChar"/>
              <w:rPr>
                <w:rFonts w:cs="Garamond"/>
                <w:szCs w:val="18"/>
              </w:rPr>
            </w:pPr>
            <w:r w:rsidRPr="00BB76D8">
              <w:rPr>
                <w:rFonts w:cs="Garamond"/>
                <w:szCs w:val="18"/>
              </w:rPr>
              <w:t>pHSIL</w:t>
            </w:r>
            <w:r w:rsidRPr="00537C3C">
              <w:rPr>
                <w:rFonts w:cs="Garamond"/>
                <w:szCs w:val="18"/>
              </w:rPr>
              <w:t xml:space="preserve">/ </w:t>
            </w:r>
            <w:r w:rsidRPr="00BB76D8">
              <w:rPr>
                <w:rFonts w:cs="Garamond"/>
                <w:szCs w:val="18"/>
              </w:rPr>
              <w:t>HSIL</w:t>
            </w:r>
            <w:r w:rsidRPr="00537C3C">
              <w:rPr>
                <w:rFonts w:cs="Garamond"/>
                <w:szCs w:val="18"/>
              </w:rPr>
              <w:t xml:space="preserve">+, </w:t>
            </w:r>
            <w:bookmarkStart w:id="414" w:name="OLE_LINK176"/>
            <w:bookmarkStart w:id="415" w:name="OLE_LINK177"/>
            <w:r w:rsidRPr="00537C3C">
              <w:rPr>
                <w:rFonts w:cs="Garamond"/>
                <w:szCs w:val="18"/>
              </w:rPr>
              <w:t xml:space="preserve">incl </w:t>
            </w:r>
            <w:bookmarkEnd w:id="414"/>
            <w:bookmarkEnd w:id="415"/>
            <w:r w:rsidRPr="00537C3C">
              <w:rPr>
                <w:rFonts w:cs="Garamond"/>
                <w:szCs w:val="18"/>
              </w:rPr>
              <w:t>glandular</w:t>
            </w:r>
          </w:p>
        </w:tc>
        <w:tc>
          <w:tcPr>
            <w:tcW w:w="307" w:type="pct"/>
            <w:tcBorders>
              <w:top w:val="single" w:sz="4" w:space="0" w:color="auto"/>
            </w:tcBorders>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b/>
                <w:color w:val="000000"/>
                <w:szCs w:val="18"/>
              </w:rPr>
              <w:t>1.49</w:t>
            </w:r>
          </w:p>
        </w:tc>
        <w:tc>
          <w:tcPr>
            <w:tcW w:w="382" w:type="pct"/>
            <w:gridSpan w:val="2"/>
            <w:tcBorders>
              <w:top w:val="single" w:sz="4" w:space="0" w:color="auto"/>
            </w:tcBorders>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b/>
                <w:color w:val="000000"/>
                <w:szCs w:val="18"/>
              </w:rPr>
              <w:t>1.93</w:t>
            </w:r>
          </w:p>
        </w:tc>
        <w:tc>
          <w:tcPr>
            <w:tcW w:w="362" w:type="pct"/>
            <w:tcBorders>
              <w:top w:val="single" w:sz="4" w:space="0" w:color="auto"/>
            </w:tcBorders>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1:1.29</w:t>
            </w:r>
          </w:p>
        </w:tc>
        <w:tc>
          <w:tcPr>
            <w:tcW w:w="367" w:type="pct"/>
            <w:gridSpan w:val="2"/>
            <w:tcBorders>
              <w:top w:val="single" w:sz="4" w:space="0" w:color="auto"/>
            </w:tcBorders>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color w:val="000000"/>
                <w:szCs w:val="18"/>
              </w:rPr>
              <w:t>3.42</w:t>
            </w:r>
          </w:p>
        </w:tc>
        <w:tc>
          <w:tcPr>
            <w:tcW w:w="280" w:type="pct"/>
            <w:tcBorders>
              <w:top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80</w:t>
            </w:r>
          </w:p>
        </w:tc>
        <w:tc>
          <w:tcPr>
            <w:tcW w:w="258" w:type="pct"/>
            <w:gridSpan w:val="2"/>
            <w:tcBorders>
              <w:top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42</w:t>
            </w:r>
          </w:p>
        </w:tc>
        <w:tc>
          <w:tcPr>
            <w:tcW w:w="370" w:type="pct"/>
            <w:tcBorders>
              <w:top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1:0.53</w:t>
            </w:r>
          </w:p>
        </w:tc>
        <w:tc>
          <w:tcPr>
            <w:tcW w:w="291" w:type="pct"/>
            <w:tcBorders>
              <w:top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63</w:t>
            </w:r>
          </w:p>
        </w:tc>
        <w:tc>
          <w:tcPr>
            <w:tcW w:w="303" w:type="pct"/>
            <w:tcBorders>
              <w:top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20</w:t>
            </w:r>
          </w:p>
        </w:tc>
        <w:tc>
          <w:tcPr>
            <w:tcW w:w="325" w:type="pct"/>
            <w:tcBorders>
              <w:top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1:0.32</w:t>
            </w:r>
          </w:p>
        </w:tc>
        <w:tc>
          <w:tcPr>
            <w:tcW w:w="384" w:type="pct"/>
            <w:tcBorders>
              <w:top w:val="single" w:sz="4" w:space="0" w:color="auto"/>
            </w:tcBorders>
          </w:tcPr>
          <w:p w:rsidR="00234376" w:rsidRPr="00537C3C" w:rsidRDefault="00234376" w:rsidP="008E03A7">
            <w:pPr>
              <w:pStyle w:val="TableTextLessSpaceCharCharCharCharCharCharCharChar"/>
              <w:spacing w:before="60"/>
              <w:jc w:val="center"/>
              <w:rPr>
                <w:szCs w:val="18"/>
              </w:rPr>
            </w:pPr>
            <w:r w:rsidRPr="00537C3C">
              <w:rPr>
                <w:szCs w:val="18"/>
              </w:rPr>
              <w:t>0.15</w:t>
            </w:r>
          </w:p>
        </w:tc>
      </w:tr>
      <w:tr w:rsidR="00234376" w:rsidRPr="00537C3C">
        <w:tc>
          <w:tcPr>
            <w:tcW w:w="396" w:type="pct"/>
            <w:gridSpan w:val="2"/>
          </w:tcPr>
          <w:p w:rsidR="00234376" w:rsidRPr="00537C3C" w:rsidRDefault="00234376" w:rsidP="008E03A7">
            <w:pPr>
              <w:pStyle w:val="TableTextLessSpaceCharCharCharCharCharCharCharChar"/>
            </w:pPr>
          </w:p>
        </w:tc>
        <w:tc>
          <w:tcPr>
            <w:tcW w:w="228" w:type="pct"/>
          </w:tcPr>
          <w:p w:rsidR="00234376" w:rsidRPr="00537C3C" w:rsidRDefault="00234376" w:rsidP="008E03A7">
            <w:pPr>
              <w:pStyle w:val="TableTextLessSpaceCharCharCharCharCharCharCharChar"/>
              <w:rPr>
                <w:sz w:val="16"/>
                <w:szCs w:val="16"/>
              </w:rPr>
            </w:pPr>
          </w:p>
        </w:tc>
        <w:tc>
          <w:tcPr>
            <w:tcW w:w="747" w:type="pct"/>
          </w:tcPr>
          <w:p w:rsidR="00234376" w:rsidRPr="00537C3C" w:rsidRDefault="00234376" w:rsidP="008E03A7">
            <w:pPr>
              <w:pStyle w:val="TableTextLessSpaceCharCharCharCharCharCharCharChar"/>
              <w:rPr>
                <w:rFonts w:cs="Garamond"/>
                <w:szCs w:val="18"/>
              </w:rPr>
            </w:pPr>
            <w:r w:rsidRPr="00BB76D8">
              <w:rPr>
                <w:rFonts w:cs="Garamond"/>
                <w:szCs w:val="18"/>
              </w:rPr>
              <w:t>pHSIL</w:t>
            </w:r>
            <w:r w:rsidRPr="00537C3C">
              <w:rPr>
                <w:rFonts w:cs="Garamond"/>
                <w:szCs w:val="18"/>
              </w:rPr>
              <w:t xml:space="preserve">/ </w:t>
            </w:r>
            <w:r w:rsidRPr="00BB76D8">
              <w:rPr>
                <w:rFonts w:cs="Garamond"/>
                <w:szCs w:val="18"/>
              </w:rPr>
              <w:t>HSIL</w:t>
            </w:r>
            <w:r w:rsidRPr="00537C3C">
              <w:rPr>
                <w:rFonts w:cs="Garamond"/>
                <w:szCs w:val="18"/>
              </w:rPr>
              <w:t>+, excl glandular</w:t>
            </w:r>
          </w:p>
        </w:tc>
        <w:tc>
          <w:tcPr>
            <w:tcW w:w="307" w:type="pct"/>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color w:val="000000"/>
                <w:szCs w:val="18"/>
              </w:rPr>
              <w:t>1.58)</w:t>
            </w:r>
          </w:p>
        </w:tc>
        <w:tc>
          <w:tcPr>
            <w:tcW w:w="382" w:type="pct"/>
            <w:gridSpan w:val="2"/>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w:t>
            </w:r>
          </w:p>
        </w:tc>
        <w:tc>
          <w:tcPr>
            <w:tcW w:w="362" w:type="pct"/>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w:t>
            </w:r>
          </w:p>
        </w:tc>
        <w:tc>
          <w:tcPr>
            <w:tcW w:w="367" w:type="pct"/>
            <w:gridSpan w:val="2"/>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w:t>
            </w:r>
          </w:p>
        </w:tc>
        <w:tc>
          <w:tcPr>
            <w:tcW w:w="280"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78</w:t>
            </w:r>
          </w:p>
        </w:tc>
        <w:tc>
          <w:tcPr>
            <w:tcW w:w="258" w:type="pct"/>
            <w:gridSpan w:val="2"/>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70"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291"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60</w:t>
            </w:r>
          </w:p>
        </w:tc>
        <w:tc>
          <w:tcPr>
            <w:tcW w:w="303"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25"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84" w:type="pct"/>
          </w:tcPr>
          <w:p w:rsidR="00234376" w:rsidRPr="00537C3C" w:rsidRDefault="00234376" w:rsidP="008E03A7">
            <w:pPr>
              <w:pStyle w:val="TableTextLessSpaceCharCharCharCharCharCharCharChar"/>
              <w:spacing w:before="60"/>
              <w:jc w:val="center"/>
              <w:rPr>
                <w:szCs w:val="18"/>
              </w:rPr>
            </w:pPr>
            <w:r w:rsidRPr="00537C3C">
              <w:rPr>
                <w:szCs w:val="18"/>
              </w:rPr>
              <w:t>0.12</w:t>
            </w:r>
          </w:p>
        </w:tc>
      </w:tr>
      <w:tr w:rsidR="00234376" w:rsidRPr="00537C3C">
        <w:tc>
          <w:tcPr>
            <w:tcW w:w="396" w:type="pct"/>
            <w:gridSpan w:val="2"/>
          </w:tcPr>
          <w:p w:rsidR="00234376" w:rsidRPr="00537C3C" w:rsidRDefault="00234376" w:rsidP="008E03A7">
            <w:pPr>
              <w:pStyle w:val="TableTextLessSpaceCharCharCharCharCharCharCharChar"/>
            </w:pPr>
          </w:p>
        </w:tc>
        <w:tc>
          <w:tcPr>
            <w:tcW w:w="228" w:type="pct"/>
          </w:tcPr>
          <w:p w:rsidR="00234376" w:rsidRPr="00537C3C" w:rsidRDefault="00234376" w:rsidP="008E03A7">
            <w:pPr>
              <w:pStyle w:val="TableTextLessSpaceCharCharCharCharCharCharCharChar"/>
              <w:rPr>
                <w:sz w:val="16"/>
                <w:szCs w:val="16"/>
              </w:rPr>
            </w:pPr>
          </w:p>
        </w:tc>
        <w:tc>
          <w:tcPr>
            <w:tcW w:w="747" w:type="pct"/>
          </w:tcPr>
          <w:p w:rsidR="00234376" w:rsidRPr="00537C3C" w:rsidRDefault="00234376" w:rsidP="008E03A7">
            <w:pPr>
              <w:pStyle w:val="TableTextLessSpaceCharCharCharCharCharCharCharChar"/>
              <w:rPr>
                <w:rFonts w:cs="Garamond"/>
                <w:szCs w:val="18"/>
              </w:rPr>
            </w:pPr>
            <w:r w:rsidRPr="00BB76D8">
              <w:rPr>
                <w:rFonts w:cs="Garamond"/>
                <w:szCs w:val="18"/>
              </w:rPr>
              <w:t>pLSIL</w:t>
            </w:r>
            <w:r w:rsidRPr="00537C3C">
              <w:rPr>
                <w:rFonts w:cs="Garamond"/>
                <w:szCs w:val="18"/>
              </w:rPr>
              <w:t xml:space="preserve">/ </w:t>
            </w:r>
            <w:r w:rsidRPr="00BB76D8">
              <w:rPr>
                <w:rFonts w:cs="Garamond"/>
                <w:szCs w:val="18"/>
              </w:rPr>
              <w:t>LSIL</w:t>
            </w:r>
            <w:r w:rsidRPr="00537C3C">
              <w:rPr>
                <w:rFonts w:cs="Garamond"/>
                <w:szCs w:val="18"/>
              </w:rPr>
              <w:t>+, incl glandular</w:t>
            </w:r>
          </w:p>
        </w:tc>
        <w:tc>
          <w:tcPr>
            <w:tcW w:w="307" w:type="pct"/>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color w:val="000000"/>
                <w:szCs w:val="18"/>
              </w:rPr>
              <w:t>1.58</w:t>
            </w:r>
          </w:p>
        </w:tc>
        <w:tc>
          <w:tcPr>
            <w:tcW w:w="382" w:type="pct"/>
            <w:gridSpan w:val="2"/>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w:t>
            </w:r>
          </w:p>
        </w:tc>
        <w:tc>
          <w:tcPr>
            <w:tcW w:w="362" w:type="pct"/>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w:t>
            </w:r>
          </w:p>
        </w:tc>
        <w:tc>
          <w:tcPr>
            <w:tcW w:w="367" w:type="pct"/>
            <w:gridSpan w:val="2"/>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w:t>
            </w:r>
          </w:p>
        </w:tc>
        <w:tc>
          <w:tcPr>
            <w:tcW w:w="280"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99</w:t>
            </w:r>
          </w:p>
        </w:tc>
        <w:tc>
          <w:tcPr>
            <w:tcW w:w="258" w:type="pct"/>
            <w:gridSpan w:val="2"/>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70"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291"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81</w:t>
            </w:r>
          </w:p>
        </w:tc>
        <w:tc>
          <w:tcPr>
            <w:tcW w:w="303"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25"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84" w:type="pct"/>
          </w:tcPr>
          <w:p w:rsidR="00234376" w:rsidRPr="00537C3C" w:rsidRDefault="00234376" w:rsidP="008E03A7">
            <w:pPr>
              <w:pStyle w:val="TableTextLessSpaceCharCharCharCharCharCharCharChar"/>
              <w:spacing w:before="60"/>
              <w:jc w:val="center"/>
              <w:rPr>
                <w:szCs w:val="18"/>
              </w:rPr>
            </w:pPr>
            <w:r w:rsidRPr="00537C3C">
              <w:rPr>
                <w:szCs w:val="18"/>
              </w:rPr>
              <w:t>0.18</w:t>
            </w:r>
          </w:p>
        </w:tc>
      </w:tr>
      <w:tr w:rsidR="00234376" w:rsidRPr="00537C3C">
        <w:tc>
          <w:tcPr>
            <w:tcW w:w="396" w:type="pct"/>
            <w:gridSpan w:val="2"/>
            <w:tcBorders>
              <w:bottom w:val="single" w:sz="4" w:space="0" w:color="auto"/>
            </w:tcBorders>
          </w:tcPr>
          <w:p w:rsidR="00234376" w:rsidRPr="00537C3C" w:rsidRDefault="00234376" w:rsidP="008E03A7">
            <w:pPr>
              <w:pStyle w:val="TableTextLessSpaceCharCharCharCharCharCharCharChar"/>
            </w:pPr>
          </w:p>
        </w:tc>
        <w:tc>
          <w:tcPr>
            <w:tcW w:w="228" w:type="pct"/>
            <w:tcBorders>
              <w:bottom w:val="single" w:sz="4" w:space="0" w:color="auto"/>
            </w:tcBorders>
          </w:tcPr>
          <w:p w:rsidR="00234376" w:rsidRPr="00537C3C" w:rsidRDefault="00234376" w:rsidP="008E03A7">
            <w:pPr>
              <w:pStyle w:val="TableTextLessSpaceCharCharCharCharCharCharCharChar"/>
              <w:rPr>
                <w:sz w:val="16"/>
                <w:szCs w:val="16"/>
              </w:rPr>
            </w:pPr>
          </w:p>
        </w:tc>
        <w:tc>
          <w:tcPr>
            <w:tcW w:w="747" w:type="pct"/>
            <w:tcBorders>
              <w:bottom w:val="single" w:sz="4" w:space="0" w:color="auto"/>
            </w:tcBorders>
          </w:tcPr>
          <w:p w:rsidR="00234376" w:rsidRPr="00537C3C" w:rsidRDefault="00234376" w:rsidP="008E03A7">
            <w:pPr>
              <w:pStyle w:val="TableTextLessSpaceCharCharCharCharCharCharCharChar"/>
              <w:rPr>
                <w:rFonts w:cs="Garamond"/>
                <w:szCs w:val="18"/>
              </w:rPr>
            </w:pPr>
            <w:r w:rsidRPr="00BB76D8">
              <w:rPr>
                <w:rFonts w:cs="Garamond"/>
                <w:szCs w:val="18"/>
              </w:rPr>
              <w:t>pLSIL</w:t>
            </w:r>
            <w:r w:rsidRPr="00537C3C">
              <w:rPr>
                <w:rFonts w:cs="Garamond"/>
                <w:szCs w:val="18"/>
              </w:rPr>
              <w:t xml:space="preserve">/ </w:t>
            </w:r>
            <w:r w:rsidRPr="00BB76D8">
              <w:rPr>
                <w:rFonts w:cs="Garamond"/>
                <w:szCs w:val="18"/>
              </w:rPr>
              <w:t>LSIL</w:t>
            </w:r>
            <w:r w:rsidRPr="00537C3C">
              <w:rPr>
                <w:rFonts w:cs="Garamond"/>
                <w:szCs w:val="18"/>
              </w:rPr>
              <w:t>+, excl glandular</w:t>
            </w:r>
          </w:p>
        </w:tc>
        <w:tc>
          <w:tcPr>
            <w:tcW w:w="307" w:type="pct"/>
            <w:tcBorders>
              <w:bottom w:val="single" w:sz="4" w:space="0" w:color="auto"/>
            </w:tcBorders>
          </w:tcPr>
          <w:p w:rsidR="00234376" w:rsidRPr="00537C3C" w:rsidRDefault="00234376" w:rsidP="008E03A7">
            <w:pPr>
              <w:pStyle w:val="TableTextLessSpaceCharCharCharCharCharCharCharChar"/>
              <w:spacing w:before="40"/>
              <w:jc w:val="center"/>
              <w:rPr>
                <w:rFonts w:cs="Garamond"/>
                <w:color w:val="000000"/>
                <w:szCs w:val="18"/>
              </w:rPr>
            </w:pPr>
            <w:r w:rsidRPr="00537C3C">
              <w:rPr>
                <w:rFonts w:cs="Garamond"/>
                <w:color w:val="000000"/>
                <w:szCs w:val="18"/>
              </w:rPr>
              <w:t>1.66</w:t>
            </w:r>
          </w:p>
        </w:tc>
        <w:tc>
          <w:tcPr>
            <w:tcW w:w="382" w:type="pct"/>
            <w:gridSpan w:val="2"/>
            <w:tcBorders>
              <w:bottom w:val="single" w:sz="4" w:space="0" w:color="auto"/>
            </w:tcBorders>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w:t>
            </w:r>
          </w:p>
        </w:tc>
        <w:tc>
          <w:tcPr>
            <w:tcW w:w="362" w:type="pct"/>
            <w:tcBorders>
              <w:bottom w:val="single" w:sz="4" w:space="0" w:color="auto"/>
            </w:tcBorders>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w:t>
            </w:r>
          </w:p>
        </w:tc>
        <w:tc>
          <w:tcPr>
            <w:tcW w:w="367" w:type="pct"/>
            <w:gridSpan w:val="2"/>
            <w:tcBorders>
              <w:bottom w:val="single" w:sz="4" w:space="0" w:color="auto"/>
            </w:tcBorders>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w:t>
            </w:r>
          </w:p>
        </w:tc>
        <w:tc>
          <w:tcPr>
            <w:tcW w:w="280" w:type="pct"/>
            <w:tcBorders>
              <w:bottom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97</w:t>
            </w:r>
          </w:p>
        </w:tc>
        <w:tc>
          <w:tcPr>
            <w:tcW w:w="258" w:type="pct"/>
            <w:gridSpan w:val="2"/>
            <w:tcBorders>
              <w:bottom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70" w:type="pct"/>
            <w:tcBorders>
              <w:bottom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291" w:type="pct"/>
            <w:tcBorders>
              <w:bottom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78</w:t>
            </w:r>
          </w:p>
        </w:tc>
        <w:tc>
          <w:tcPr>
            <w:tcW w:w="303" w:type="pct"/>
            <w:tcBorders>
              <w:bottom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25" w:type="pct"/>
            <w:tcBorders>
              <w:bottom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84" w:type="pct"/>
          </w:tcPr>
          <w:p w:rsidR="00234376" w:rsidRPr="00537C3C" w:rsidRDefault="00234376" w:rsidP="008E03A7">
            <w:pPr>
              <w:pStyle w:val="TableTextLessSpaceCharCharCharCharCharCharCharChar"/>
              <w:spacing w:before="60"/>
              <w:jc w:val="center"/>
              <w:rPr>
                <w:szCs w:val="18"/>
              </w:rPr>
            </w:pPr>
          </w:p>
        </w:tc>
      </w:tr>
      <w:tr w:rsidR="00234376" w:rsidRPr="00537C3C">
        <w:tc>
          <w:tcPr>
            <w:tcW w:w="4616" w:type="pct"/>
            <w:gridSpan w:val="17"/>
            <w:tcBorders>
              <w:top w:val="single" w:sz="4" w:space="0" w:color="auto"/>
              <w:bottom w:val="single" w:sz="4" w:space="0" w:color="auto"/>
            </w:tcBorders>
          </w:tcPr>
          <w:p w:rsidR="00234376" w:rsidRPr="00537C3C" w:rsidRDefault="00234376" w:rsidP="008E03A7">
            <w:pPr>
              <w:pStyle w:val="TableTextLessSpaceCharCharCharCharCharCharCharChar"/>
              <w:spacing w:before="0" w:after="0"/>
              <w:rPr>
                <w:sz w:val="16"/>
                <w:szCs w:val="16"/>
              </w:rPr>
            </w:pPr>
            <w:r w:rsidRPr="00537C3C">
              <w:rPr>
                <w:b/>
              </w:rPr>
              <w:t>Automation-assisted reading of conventional cytology</w:t>
            </w:r>
          </w:p>
        </w:tc>
        <w:tc>
          <w:tcPr>
            <w:tcW w:w="384" w:type="pct"/>
          </w:tcPr>
          <w:p w:rsidR="00234376" w:rsidRPr="00537C3C" w:rsidRDefault="00234376" w:rsidP="008E03A7">
            <w:pPr>
              <w:spacing w:after="0"/>
              <w:ind w:left="0"/>
            </w:pPr>
          </w:p>
        </w:tc>
      </w:tr>
      <w:tr w:rsidR="00234376" w:rsidRPr="00537C3C">
        <w:tblPrEx>
          <w:tblCellMar>
            <w:left w:w="108" w:type="dxa"/>
            <w:right w:w="108" w:type="dxa"/>
          </w:tblCellMar>
        </w:tblPrEx>
        <w:tc>
          <w:tcPr>
            <w:tcW w:w="1371" w:type="pct"/>
            <w:gridSpan w:val="4"/>
            <w:tcBorders>
              <w:top w:val="single" w:sz="4" w:space="0" w:color="auto"/>
            </w:tcBorders>
          </w:tcPr>
          <w:p w:rsidR="00234376" w:rsidRPr="00537C3C" w:rsidRDefault="00234376" w:rsidP="008E03A7">
            <w:pPr>
              <w:pStyle w:val="TableTextLessSpaceCharCharCharCharCharCharCharChar"/>
            </w:pPr>
            <w:r w:rsidRPr="00537C3C">
              <w:t>Confortini et al. 2003</w:t>
            </w:r>
          </w:p>
        </w:tc>
        <w:tc>
          <w:tcPr>
            <w:tcW w:w="319" w:type="pct"/>
            <w:gridSpan w:val="2"/>
            <w:tcBorders>
              <w:top w:val="single" w:sz="4" w:space="0" w:color="auto"/>
            </w:tcBorders>
          </w:tcPr>
          <w:p w:rsidR="00234376" w:rsidRPr="00537C3C" w:rsidRDefault="00234376" w:rsidP="008E03A7">
            <w:pPr>
              <w:pStyle w:val="TableTextLessSpaceCharCharCharCharCharCharCharChar"/>
            </w:pPr>
          </w:p>
        </w:tc>
        <w:tc>
          <w:tcPr>
            <w:tcW w:w="370" w:type="pct"/>
            <w:tcBorders>
              <w:top w:val="single" w:sz="4" w:space="0" w:color="auto"/>
            </w:tcBorders>
          </w:tcPr>
          <w:p w:rsidR="00234376" w:rsidRPr="00537C3C" w:rsidRDefault="00234376" w:rsidP="008E03A7">
            <w:pPr>
              <w:pStyle w:val="TableTextLessSpaceCharCharCharCharCharCharCharChar"/>
            </w:pPr>
          </w:p>
        </w:tc>
        <w:tc>
          <w:tcPr>
            <w:tcW w:w="382" w:type="pct"/>
            <w:gridSpan w:val="2"/>
            <w:tcBorders>
              <w:top w:val="single" w:sz="4" w:space="0" w:color="auto"/>
            </w:tcBorders>
          </w:tcPr>
          <w:p w:rsidR="00234376" w:rsidRPr="00537C3C" w:rsidRDefault="00234376" w:rsidP="008E03A7">
            <w:pPr>
              <w:pStyle w:val="TableTextLessSpaceCharCharCharCharCharCharCharChar"/>
            </w:pPr>
          </w:p>
        </w:tc>
        <w:tc>
          <w:tcPr>
            <w:tcW w:w="348" w:type="pct"/>
            <w:tcBorders>
              <w:top w:val="single" w:sz="4" w:space="0" w:color="auto"/>
            </w:tcBorders>
          </w:tcPr>
          <w:p w:rsidR="00234376" w:rsidRPr="00537C3C" w:rsidRDefault="00234376" w:rsidP="008E03A7">
            <w:pPr>
              <w:pStyle w:val="TableTextLessSpaceCharCharCharCharCharCharCharChar"/>
            </w:pPr>
          </w:p>
        </w:tc>
        <w:tc>
          <w:tcPr>
            <w:tcW w:w="909" w:type="pct"/>
            <w:gridSpan w:val="4"/>
            <w:tcBorders>
              <w:top w:val="single" w:sz="4" w:space="0" w:color="auto"/>
            </w:tcBorders>
          </w:tcPr>
          <w:p w:rsidR="00234376" w:rsidRPr="00537C3C" w:rsidRDefault="00234376" w:rsidP="008E03A7">
            <w:pPr>
              <w:pStyle w:val="TableTextLessSpaceCharCharCharCharCharCharCharChar"/>
            </w:pPr>
          </w:p>
        </w:tc>
        <w:tc>
          <w:tcPr>
            <w:tcW w:w="291" w:type="pct"/>
            <w:tcBorders>
              <w:top w:val="single" w:sz="4" w:space="0" w:color="auto"/>
            </w:tcBorders>
          </w:tcPr>
          <w:p w:rsidR="00234376" w:rsidRPr="00537C3C" w:rsidRDefault="00234376" w:rsidP="008E03A7">
            <w:pPr>
              <w:pStyle w:val="TableTextLessSpaceCharCharCharCharCharCharCharChar"/>
            </w:pPr>
          </w:p>
        </w:tc>
        <w:tc>
          <w:tcPr>
            <w:tcW w:w="303" w:type="pct"/>
            <w:tcBorders>
              <w:top w:val="single" w:sz="4" w:space="0" w:color="auto"/>
            </w:tcBorders>
          </w:tcPr>
          <w:p w:rsidR="00234376" w:rsidRPr="00537C3C" w:rsidRDefault="00234376" w:rsidP="008E03A7">
            <w:pPr>
              <w:pStyle w:val="TableTextLessSpaceCharCharCharCharCharCharCharChar"/>
            </w:pPr>
          </w:p>
        </w:tc>
        <w:tc>
          <w:tcPr>
            <w:tcW w:w="325" w:type="pct"/>
            <w:tcBorders>
              <w:top w:val="single" w:sz="4" w:space="0" w:color="auto"/>
            </w:tcBorders>
          </w:tcPr>
          <w:p w:rsidR="00234376" w:rsidRPr="00537C3C" w:rsidRDefault="00234376" w:rsidP="008E03A7">
            <w:pPr>
              <w:pStyle w:val="TableTextLessSpaceCharCharCharCharCharCharCharChar"/>
            </w:pPr>
          </w:p>
        </w:tc>
        <w:tc>
          <w:tcPr>
            <w:tcW w:w="384" w:type="pct"/>
          </w:tcPr>
          <w:p w:rsidR="00234376" w:rsidRPr="00537C3C" w:rsidRDefault="00234376" w:rsidP="008E03A7">
            <w:pPr>
              <w:pStyle w:val="TableTextLessSpaceCharCharCharCharCharCharCharChar"/>
            </w:pPr>
          </w:p>
        </w:tc>
      </w:tr>
      <w:tr w:rsidR="00234376" w:rsidRPr="00537C3C">
        <w:tc>
          <w:tcPr>
            <w:tcW w:w="396" w:type="pct"/>
            <w:gridSpan w:val="2"/>
          </w:tcPr>
          <w:p w:rsidR="00234376" w:rsidRPr="00537C3C" w:rsidRDefault="00234376" w:rsidP="008E03A7">
            <w:pPr>
              <w:pStyle w:val="TableTextLessSpaceCharCharCharCharCharCharCharChar"/>
            </w:pPr>
          </w:p>
        </w:tc>
        <w:tc>
          <w:tcPr>
            <w:tcW w:w="228" w:type="pct"/>
          </w:tcPr>
          <w:p w:rsidR="00234376" w:rsidRPr="00537C3C" w:rsidRDefault="00234376" w:rsidP="008E03A7">
            <w:pPr>
              <w:pStyle w:val="TableTextLessSpaceCharCharCharCharCharCharCharChar"/>
              <w:rPr>
                <w:sz w:val="16"/>
                <w:szCs w:val="16"/>
                <w:vertAlign w:val="superscript"/>
              </w:rPr>
            </w:pPr>
            <w:r w:rsidRPr="00537C3C">
              <w:rPr>
                <w:sz w:val="16"/>
                <w:szCs w:val="16"/>
              </w:rPr>
              <w:t>AutoPap</w:t>
            </w:r>
          </w:p>
        </w:tc>
        <w:tc>
          <w:tcPr>
            <w:tcW w:w="747" w:type="pct"/>
          </w:tcPr>
          <w:p w:rsidR="00234376" w:rsidRPr="00537C3C" w:rsidRDefault="00234376" w:rsidP="008E03A7">
            <w:pPr>
              <w:pStyle w:val="TableTextLessSpaceCharCharCharCharCharCharCharChar"/>
              <w:rPr>
                <w:rFonts w:cs="Garamond"/>
                <w:szCs w:val="18"/>
              </w:rPr>
            </w:pPr>
            <w:r w:rsidRPr="00BB76D8">
              <w:rPr>
                <w:rFonts w:cs="Garamond"/>
                <w:szCs w:val="18"/>
              </w:rPr>
              <w:t>HSIL</w:t>
            </w:r>
            <w:r w:rsidRPr="00537C3C">
              <w:rPr>
                <w:rFonts w:cs="Garamond"/>
                <w:szCs w:val="18"/>
              </w:rPr>
              <w:t>+, incl gland</w:t>
            </w:r>
          </w:p>
        </w:tc>
        <w:tc>
          <w:tcPr>
            <w:tcW w:w="319" w:type="pct"/>
            <w:gridSpan w:val="2"/>
          </w:tcPr>
          <w:p w:rsidR="00234376" w:rsidRPr="00537C3C" w:rsidRDefault="00234376" w:rsidP="008E03A7">
            <w:pPr>
              <w:pStyle w:val="TableTextLessSpaceCharCharCharCharCharCharCharChar"/>
              <w:spacing w:before="40"/>
              <w:jc w:val="center"/>
              <w:rPr>
                <w:rFonts w:cs="Garamond"/>
                <w:szCs w:val="18"/>
              </w:rPr>
            </w:pPr>
            <w:r w:rsidRPr="00537C3C">
              <w:rPr>
                <w:rFonts w:cs="Garamond"/>
                <w:b/>
                <w:szCs w:val="18"/>
              </w:rPr>
              <w:t>–0.21</w:t>
            </w:r>
          </w:p>
        </w:tc>
        <w:tc>
          <w:tcPr>
            <w:tcW w:w="370" w:type="pct"/>
          </w:tcPr>
          <w:p w:rsidR="00234376" w:rsidRPr="00537C3C" w:rsidRDefault="00234376" w:rsidP="008E03A7">
            <w:pPr>
              <w:pStyle w:val="TableTextLessSpaceCharCharCharCharCharCharCharChar"/>
              <w:spacing w:before="40"/>
              <w:jc w:val="center"/>
              <w:rPr>
                <w:sz w:val="16"/>
                <w:szCs w:val="16"/>
              </w:rPr>
            </w:pPr>
            <w:r w:rsidRPr="00537C3C">
              <w:rPr>
                <w:sz w:val="16"/>
                <w:szCs w:val="16"/>
              </w:rPr>
              <w:t>–</w:t>
            </w:r>
          </w:p>
        </w:tc>
        <w:tc>
          <w:tcPr>
            <w:tcW w:w="382" w:type="pct"/>
            <w:gridSpan w:val="2"/>
          </w:tcPr>
          <w:p w:rsidR="00234376" w:rsidRPr="00537C3C" w:rsidRDefault="00234376" w:rsidP="008E03A7">
            <w:pPr>
              <w:pStyle w:val="TableTextLessSpaceCharCharCharCharCharCharCharChar"/>
              <w:spacing w:before="40"/>
              <w:jc w:val="center"/>
              <w:rPr>
                <w:sz w:val="16"/>
                <w:szCs w:val="16"/>
              </w:rPr>
            </w:pPr>
            <w:r w:rsidRPr="00537C3C">
              <w:rPr>
                <w:sz w:val="16"/>
                <w:szCs w:val="16"/>
              </w:rPr>
              <w:t>–</w:t>
            </w:r>
          </w:p>
        </w:tc>
        <w:tc>
          <w:tcPr>
            <w:tcW w:w="348" w:type="pct"/>
          </w:tcPr>
          <w:p w:rsidR="00234376" w:rsidRPr="00537C3C" w:rsidRDefault="00234376" w:rsidP="008E03A7">
            <w:pPr>
              <w:pStyle w:val="TableTextLessSpaceCharCharCharCharCharCharCharChar"/>
              <w:spacing w:before="40"/>
              <w:jc w:val="center"/>
              <w:rPr>
                <w:szCs w:val="18"/>
                <w:vertAlign w:val="superscript"/>
              </w:rPr>
            </w:pPr>
            <w:r w:rsidRPr="00537C3C">
              <w:rPr>
                <w:szCs w:val="18"/>
              </w:rPr>
              <w:t>–0.2%</w:t>
            </w:r>
            <w:r w:rsidRPr="00537C3C">
              <w:rPr>
                <w:szCs w:val="18"/>
                <w:vertAlign w:val="superscript"/>
              </w:rPr>
              <w:t>d</w:t>
            </w:r>
          </w:p>
          <w:p w:rsidR="00234376" w:rsidRPr="00537C3C" w:rsidRDefault="00234376" w:rsidP="008E03A7">
            <w:pPr>
              <w:pStyle w:val="TableTextLessSpaceCharCharCharCharCharCharCharChar"/>
              <w:spacing w:before="40"/>
              <w:jc w:val="center"/>
              <w:rPr>
                <w:szCs w:val="18"/>
              </w:rPr>
            </w:pPr>
            <w:r w:rsidRPr="00537C3C">
              <w:rPr>
                <w:szCs w:val="18"/>
              </w:rPr>
              <w:t>colposcopy</w:t>
            </w:r>
          </w:p>
        </w:tc>
        <w:tc>
          <w:tcPr>
            <w:tcW w:w="280"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13</w:t>
            </w:r>
          </w:p>
        </w:tc>
        <w:tc>
          <w:tcPr>
            <w:tcW w:w="258" w:type="pct"/>
            <w:gridSpan w:val="2"/>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70"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291" w:type="pct"/>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16</w:t>
            </w:r>
          </w:p>
        </w:tc>
        <w:tc>
          <w:tcPr>
            <w:tcW w:w="303" w:type="pct"/>
          </w:tcPr>
          <w:p w:rsidR="00234376" w:rsidRPr="00537C3C" w:rsidRDefault="00234376" w:rsidP="008E03A7">
            <w:pPr>
              <w:pStyle w:val="TableTextLessSpaceCharCharCharCharCharCharCharChar"/>
              <w:spacing w:before="60"/>
              <w:jc w:val="center"/>
              <w:rPr>
                <w:sz w:val="16"/>
                <w:szCs w:val="16"/>
              </w:rPr>
            </w:pPr>
            <w:r w:rsidRPr="00537C3C">
              <w:rPr>
                <w:sz w:val="16"/>
                <w:szCs w:val="16"/>
              </w:rPr>
              <w:t>–</w:t>
            </w:r>
          </w:p>
        </w:tc>
        <w:tc>
          <w:tcPr>
            <w:tcW w:w="325" w:type="pct"/>
          </w:tcPr>
          <w:p w:rsidR="00234376" w:rsidRPr="00537C3C" w:rsidRDefault="00234376" w:rsidP="008E03A7">
            <w:pPr>
              <w:pStyle w:val="TableTextLessSpaceCharCharCharCharCharCharCharChar"/>
              <w:spacing w:before="60"/>
              <w:jc w:val="center"/>
              <w:rPr>
                <w:sz w:val="16"/>
                <w:szCs w:val="16"/>
              </w:rPr>
            </w:pPr>
            <w:r w:rsidRPr="00537C3C">
              <w:rPr>
                <w:sz w:val="16"/>
                <w:szCs w:val="16"/>
              </w:rPr>
              <w:t>–</w:t>
            </w:r>
          </w:p>
        </w:tc>
        <w:tc>
          <w:tcPr>
            <w:tcW w:w="384" w:type="pct"/>
          </w:tcPr>
          <w:p w:rsidR="00234376" w:rsidRPr="00537C3C" w:rsidRDefault="00234376" w:rsidP="008E03A7">
            <w:pPr>
              <w:pStyle w:val="TableTextLessSpaceCharCharCharCharCharCharCharChar"/>
              <w:spacing w:before="60"/>
              <w:jc w:val="center"/>
              <w:rPr>
                <w:szCs w:val="18"/>
              </w:rPr>
            </w:pPr>
            <w:r w:rsidRPr="00537C3C">
              <w:rPr>
                <w:szCs w:val="18"/>
              </w:rPr>
              <w:t>0.58</w:t>
            </w:r>
          </w:p>
        </w:tc>
      </w:tr>
      <w:tr w:rsidR="00234376" w:rsidRPr="00537C3C">
        <w:tc>
          <w:tcPr>
            <w:tcW w:w="396" w:type="pct"/>
            <w:gridSpan w:val="2"/>
            <w:tcBorders>
              <w:bottom w:val="single" w:sz="4" w:space="0" w:color="auto"/>
            </w:tcBorders>
          </w:tcPr>
          <w:p w:rsidR="00234376" w:rsidRPr="00537C3C" w:rsidRDefault="00234376" w:rsidP="008E03A7">
            <w:pPr>
              <w:pStyle w:val="TableTextLessSpaceCharCharCharCharCharCharCharChar"/>
            </w:pPr>
            <w:r w:rsidRPr="00537C3C">
              <w:rPr>
                <w:rFonts w:cs="Arial"/>
                <w:szCs w:val="18"/>
              </w:rPr>
              <w:t>14 145</w:t>
            </w:r>
          </w:p>
        </w:tc>
        <w:tc>
          <w:tcPr>
            <w:tcW w:w="228" w:type="pct"/>
            <w:tcBorders>
              <w:bottom w:val="single" w:sz="4" w:space="0" w:color="auto"/>
            </w:tcBorders>
          </w:tcPr>
          <w:p w:rsidR="00234376" w:rsidRPr="00537C3C" w:rsidRDefault="00234376" w:rsidP="008E03A7">
            <w:pPr>
              <w:pStyle w:val="TableTextLessSpaceCharCharCharCharCharCharCharChar"/>
              <w:rPr>
                <w:sz w:val="16"/>
                <w:szCs w:val="16"/>
              </w:rPr>
            </w:pPr>
          </w:p>
        </w:tc>
        <w:tc>
          <w:tcPr>
            <w:tcW w:w="747" w:type="pct"/>
            <w:tcBorders>
              <w:bottom w:val="single" w:sz="4" w:space="0" w:color="auto"/>
            </w:tcBorders>
          </w:tcPr>
          <w:p w:rsidR="00234376" w:rsidRPr="00537C3C" w:rsidRDefault="00234376" w:rsidP="008E03A7">
            <w:pPr>
              <w:pStyle w:val="TableTextLessSpaceCharCharCharCharCharCharCharChar"/>
              <w:rPr>
                <w:rFonts w:cs="Garamond"/>
                <w:szCs w:val="18"/>
                <w:vertAlign w:val="superscript"/>
              </w:rPr>
            </w:pPr>
            <w:r w:rsidRPr="00BB76D8">
              <w:rPr>
                <w:rFonts w:cs="Garamond"/>
                <w:szCs w:val="18"/>
              </w:rPr>
              <w:t>pLSIL</w:t>
            </w:r>
            <w:r w:rsidRPr="00537C3C">
              <w:rPr>
                <w:rFonts w:cs="Garamond"/>
                <w:szCs w:val="18"/>
              </w:rPr>
              <w:t xml:space="preserve">+ </w:t>
            </w:r>
            <w:r w:rsidRPr="00537C3C">
              <w:rPr>
                <w:rFonts w:cs="Garamond"/>
                <w:szCs w:val="18"/>
                <w:vertAlign w:val="superscript"/>
              </w:rPr>
              <w:t>c</w:t>
            </w:r>
            <w:r w:rsidRPr="00537C3C">
              <w:rPr>
                <w:rFonts w:cs="Garamond"/>
                <w:szCs w:val="18"/>
              </w:rPr>
              <w:t>, incl gland</w:t>
            </w:r>
          </w:p>
        </w:tc>
        <w:tc>
          <w:tcPr>
            <w:tcW w:w="319" w:type="pct"/>
            <w:gridSpan w:val="2"/>
            <w:tcBorders>
              <w:bottom w:val="single" w:sz="4" w:space="0" w:color="auto"/>
            </w:tcBorders>
          </w:tcPr>
          <w:p w:rsidR="00234376" w:rsidRPr="00537C3C" w:rsidRDefault="00234376" w:rsidP="008E03A7">
            <w:pPr>
              <w:pStyle w:val="TableTextLessSpaceCharCharCharCharCharCharCharChar"/>
              <w:spacing w:before="40"/>
              <w:jc w:val="center"/>
              <w:rPr>
                <w:rFonts w:cs="Garamond"/>
                <w:szCs w:val="18"/>
              </w:rPr>
            </w:pPr>
            <w:r w:rsidRPr="00537C3C">
              <w:rPr>
                <w:rFonts w:cs="Garamond"/>
                <w:szCs w:val="18"/>
              </w:rPr>
              <w:t>–0.07</w:t>
            </w:r>
          </w:p>
        </w:tc>
        <w:tc>
          <w:tcPr>
            <w:tcW w:w="370" w:type="pct"/>
            <w:tcBorders>
              <w:bottom w:val="single" w:sz="4" w:space="0" w:color="auto"/>
            </w:tcBorders>
          </w:tcPr>
          <w:p w:rsidR="00234376" w:rsidRPr="00537C3C" w:rsidRDefault="00234376" w:rsidP="008E03A7">
            <w:pPr>
              <w:pStyle w:val="TableTextLessSpaceCharCharCharCharCharCharCharChar"/>
              <w:spacing w:before="40"/>
              <w:jc w:val="center"/>
              <w:rPr>
                <w:sz w:val="16"/>
                <w:szCs w:val="16"/>
              </w:rPr>
            </w:pPr>
            <w:r w:rsidRPr="00537C3C">
              <w:rPr>
                <w:sz w:val="16"/>
                <w:szCs w:val="16"/>
              </w:rPr>
              <w:t>–</w:t>
            </w:r>
          </w:p>
        </w:tc>
        <w:tc>
          <w:tcPr>
            <w:tcW w:w="382" w:type="pct"/>
            <w:gridSpan w:val="2"/>
            <w:tcBorders>
              <w:bottom w:val="single" w:sz="4" w:space="0" w:color="auto"/>
            </w:tcBorders>
          </w:tcPr>
          <w:p w:rsidR="00234376" w:rsidRPr="00537C3C" w:rsidRDefault="00234376" w:rsidP="008E03A7">
            <w:pPr>
              <w:pStyle w:val="TableTextLessSpaceCharCharCharCharCharCharCharChar"/>
              <w:spacing w:before="40"/>
              <w:jc w:val="center"/>
              <w:rPr>
                <w:sz w:val="16"/>
                <w:szCs w:val="16"/>
              </w:rPr>
            </w:pPr>
            <w:r w:rsidRPr="00537C3C">
              <w:rPr>
                <w:sz w:val="16"/>
                <w:szCs w:val="16"/>
              </w:rPr>
              <w:t>–</w:t>
            </w:r>
          </w:p>
        </w:tc>
        <w:tc>
          <w:tcPr>
            <w:tcW w:w="348" w:type="pct"/>
            <w:tcBorders>
              <w:bottom w:val="single" w:sz="4" w:space="0" w:color="auto"/>
            </w:tcBorders>
          </w:tcPr>
          <w:p w:rsidR="00234376" w:rsidRPr="00537C3C" w:rsidRDefault="00234376" w:rsidP="008E03A7">
            <w:pPr>
              <w:pStyle w:val="TableTextLessSpaceCharCharCharCharCharCharCharChar"/>
              <w:spacing w:before="40"/>
              <w:jc w:val="center"/>
              <w:rPr>
                <w:sz w:val="16"/>
                <w:szCs w:val="16"/>
              </w:rPr>
            </w:pPr>
            <w:r w:rsidRPr="00537C3C">
              <w:rPr>
                <w:sz w:val="16"/>
                <w:szCs w:val="16"/>
              </w:rPr>
              <w:t>–</w:t>
            </w:r>
          </w:p>
        </w:tc>
        <w:tc>
          <w:tcPr>
            <w:tcW w:w="280" w:type="pct"/>
            <w:tcBorders>
              <w:bottom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30</w:t>
            </w:r>
          </w:p>
        </w:tc>
        <w:tc>
          <w:tcPr>
            <w:tcW w:w="258" w:type="pct"/>
            <w:gridSpan w:val="2"/>
            <w:tcBorders>
              <w:bottom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70" w:type="pct"/>
            <w:tcBorders>
              <w:bottom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291" w:type="pct"/>
            <w:tcBorders>
              <w:bottom w:val="single" w:sz="4" w:space="0" w:color="auto"/>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31</w:t>
            </w:r>
          </w:p>
        </w:tc>
        <w:tc>
          <w:tcPr>
            <w:tcW w:w="303" w:type="pct"/>
            <w:tcBorders>
              <w:bottom w:val="single" w:sz="4" w:space="0" w:color="auto"/>
            </w:tcBorders>
          </w:tcPr>
          <w:p w:rsidR="00234376" w:rsidRPr="00537C3C" w:rsidRDefault="00234376" w:rsidP="008E03A7">
            <w:pPr>
              <w:pStyle w:val="TableTextLessSpaceCharCharCharCharCharCharCharChar"/>
              <w:spacing w:before="60"/>
              <w:jc w:val="center"/>
              <w:rPr>
                <w:sz w:val="16"/>
                <w:szCs w:val="16"/>
              </w:rPr>
            </w:pPr>
            <w:r w:rsidRPr="00537C3C">
              <w:rPr>
                <w:sz w:val="16"/>
                <w:szCs w:val="16"/>
              </w:rPr>
              <w:t>–</w:t>
            </w:r>
          </w:p>
        </w:tc>
        <w:tc>
          <w:tcPr>
            <w:tcW w:w="325" w:type="pct"/>
            <w:tcBorders>
              <w:bottom w:val="single" w:sz="4" w:space="0" w:color="auto"/>
            </w:tcBorders>
          </w:tcPr>
          <w:p w:rsidR="00234376" w:rsidRPr="00537C3C" w:rsidRDefault="00234376" w:rsidP="008E03A7">
            <w:pPr>
              <w:pStyle w:val="TableTextLessSpaceCharCharCharCharCharCharCharChar"/>
              <w:spacing w:before="60"/>
              <w:jc w:val="center"/>
              <w:rPr>
                <w:sz w:val="16"/>
                <w:szCs w:val="16"/>
              </w:rPr>
            </w:pPr>
            <w:r w:rsidRPr="00537C3C">
              <w:rPr>
                <w:sz w:val="16"/>
                <w:szCs w:val="16"/>
              </w:rPr>
              <w:t>–</w:t>
            </w:r>
          </w:p>
        </w:tc>
        <w:tc>
          <w:tcPr>
            <w:tcW w:w="384" w:type="pct"/>
            <w:tcBorders>
              <w:bottom w:val="single" w:sz="4" w:space="0" w:color="auto"/>
            </w:tcBorders>
          </w:tcPr>
          <w:p w:rsidR="00234376" w:rsidRPr="00537C3C" w:rsidRDefault="00234376" w:rsidP="008E03A7">
            <w:pPr>
              <w:pStyle w:val="TableTextLessSpaceCharCharCharCharCharCharCharChar"/>
              <w:spacing w:before="60"/>
              <w:jc w:val="center"/>
              <w:rPr>
                <w:szCs w:val="18"/>
              </w:rPr>
            </w:pPr>
            <w:r w:rsidRPr="00537C3C">
              <w:rPr>
                <w:szCs w:val="18"/>
              </w:rPr>
              <w:t>0.90</w:t>
            </w:r>
          </w:p>
        </w:tc>
      </w:tr>
    </w:tbl>
    <w:p w:rsidR="00234376" w:rsidRPr="00537C3C" w:rsidRDefault="00234376" w:rsidP="008E03A7">
      <w:pPr>
        <w:pStyle w:val="TableNotesMiddle"/>
        <w:spacing w:before="20"/>
        <w:ind w:left="567" w:firstLine="0"/>
      </w:pPr>
      <w:r w:rsidRPr="00537C3C">
        <w:rPr>
          <w:i/>
        </w:rPr>
        <w:t xml:space="preserve">Abbreviations: </w:t>
      </w:r>
      <w:r w:rsidRPr="00537C3C">
        <w:t xml:space="preserve">bx = biopsy, </w:t>
      </w:r>
      <w:r w:rsidRPr="00BB76D8">
        <w:t>FP</w:t>
      </w:r>
      <w:r w:rsidRPr="00537C3C">
        <w:t xml:space="preserve"> = false positive, </w:t>
      </w:r>
      <w:r w:rsidRPr="00BB76D8">
        <w:t>LBC</w:t>
      </w:r>
      <w:r w:rsidRPr="00537C3C">
        <w:t xml:space="preserve"> = liquid-based cytology, ref std = reference standard, </w:t>
      </w:r>
      <w:r w:rsidRPr="00BB76D8">
        <w:t>TP</w:t>
      </w:r>
      <w:r w:rsidRPr="00537C3C">
        <w:t xml:space="preserve"> = true positive, </w:t>
      </w:r>
      <w:r w:rsidRPr="00BB76D8">
        <w:t>TPI</w:t>
      </w:r>
      <w:r w:rsidRPr="00537C3C">
        <w:t xml:space="preserve"> = ThinPrep Imager.</w:t>
      </w:r>
    </w:p>
    <w:p w:rsidR="00234376" w:rsidRPr="00537C3C" w:rsidRDefault="00234376" w:rsidP="008E03A7">
      <w:pPr>
        <w:pStyle w:val="TableNotes"/>
        <w:spacing w:after="0"/>
        <w:rPr>
          <w:rFonts w:cs="Arial"/>
          <w:sz w:val="18"/>
          <w:szCs w:val="18"/>
        </w:rPr>
      </w:pPr>
      <w:r w:rsidRPr="00537C3C">
        <w:rPr>
          <w:vertAlign w:val="superscript"/>
        </w:rPr>
        <w:t xml:space="preserve">a </w:t>
      </w:r>
      <w:r w:rsidRPr="00BB76D8">
        <w:t>LSIL</w:t>
      </w:r>
      <w:r w:rsidRPr="00537C3C">
        <w:t xml:space="preserve"> excluding </w:t>
      </w:r>
      <w:r w:rsidRPr="00BB76D8">
        <w:t>HPV</w:t>
      </w:r>
      <w:r w:rsidRPr="00537C3C">
        <w:t xml:space="preserve"> effect. </w:t>
      </w:r>
      <w:r w:rsidRPr="00537C3C">
        <w:rPr>
          <w:vertAlign w:val="superscript"/>
        </w:rPr>
        <w:t xml:space="preserve">b </w:t>
      </w:r>
      <w:r w:rsidRPr="00537C3C">
        <w:t xml:space="preserve">Atypia with </w:t>
      </w:r>
      <w:r w:rsidRPr="00BB76D8">
        <w:t>HPV</w:t>
      </w:r>
      <w:r w:rsidRPr="00537C3C">
        <w:t xml:space="preserve"> effect+. NB </w:t>
      </w:r>
      <w:r w:rsidRPr="00BB76D8">
        <w:t>CIN</w:t>
      </w:r>
      <w:r w:rsidRPr="00537C3C">
        <w:t xml:space="preserve"> 1+ lesions referred for colposcopy. </w:t>
      </w:r>
      <w:r w:rsidRPr="00537C3C">
        <w:rPr>
          <w:vertAlign w:val="superscript"/>
        </w:rPr>
        <w:t>c</w:t>
      </w:r>
      <w:r w:rsidRPr="00537C3C">
        <w:t xml:space="preserve"> </w:t>
      </w:r>
      <w:r w:rsidRPr="00234376">
        <w:rPr>
          <w:rFonts w:cs="Arial"/>
          <w:szCs w:val="18"/>
        </w:rPr>
        <w:t>ASCUS favouring reactive process.</w:t>
      </w:r>
      <w:r w:rsidRPr="00537C3C">
        <w:rPr>
          <w:rFonts w:cs="Arial"/>
          <w:sz w:val="18"/>
          <w:szCs w:val="18"/>
        </w:rPr>
        <w:t xml:space="preserve"> </w:t>
      </w:r>
      <w:r w:rsidRPr="00537C3C">
        <w:rPr>
          <w:rFonts w:cs="Arial"/>
          <w:sz w:val="18"/>
          <w:szCs w:val="18"/>
          <w:vertAlign w:val="superscript"/>
        </w:rPr>
        <w:t>d</w:t>
      </w:r>
      <w:r w:rsidRPr="00537C3C">
        <w:rPr>
          <w:rFonts w:cs="Arial"/>
          <w:sz w:val="18"/>
          <w:szCs w:val="18"/>
        </w:rPr>
        <w:t xml:space="preserve"> </w:t>
      </w:r>
      <w:r w:rsidRPr="0030078D">
        <w:rPr>
          <w:rFonts w:cs="Arial"/>
          <w:i/>
          <w:sz w:val="18"/>
          <w:szCs w:val="18"/>
        </w:rPr>
        <w:t>P</w:t>
      </w:r>
      <w:r w:rsidRPr="00537C3C">
        <w:rPr>
          <w:rFonts w:cs="Arial"/>
          <w:sz w:val="18"/>
          <w:szCs w:val="18"/>
        </w:rPr>
        <w:t xml:space="preserve"> = 0.07. </w:t>
      </w:r>
      <w:r w:rsidRPr="00537C3C">
        <w:rPr>
          <w:rFonts w:cs="Arial"/>
          <w:sz w:val="18"/>
          <w:szCs w:val="18"/>
          <w:vertAlign w:val="superscript"/>
        </w:rPr>
        <w:t xml:space="preserve">e </w:t>
      </w:r>
      <w:r w:rsidRPr="00537C3C">
        <w:rPr>
          <w:rFonts w:cs="Arial"/>
          <w:sz w:val="18"/>
          <w:szCs w:val="18"/>
        </w:rPr>
        <w:t xml:space="preserve">Routine cases only. </w:t>
      </w:r>
      <w:r w:rsidRPr="00537C3C">
        <w:rPr>
          <w:rFonts w:cs="Arial"/>
          <w:sz w:val="18"/>
          <w:szCs w:val="18"/>
          <w:vertAlign w:val="superscript"/>
        </w:rPr>
        <w:t>f</w:t>
      </w:r>
      <w:r w:rsidRPr="00537C3C">
        <w:rPr>
          <w:rFonts w:cs="Arial"/>
          <w:sz w:val="18"/>
          <w:szCs w:val="18"/>
        </w:rPr>
        <w:t xml:space="preserve"> Considering biopsy confirmed +</w:t>
      </w:r>
      <w:bookmarkStart w:id="416" w:name="OLE_LINK178"/>
      <w:bookmarkStart w:id="417" w:name="OLE_LINK179"/>
      <w:r w:rsidRPr="00537C3C">
        <w:rPr>
          <w:rFonts w:cs="Arial"/>
          <w:sz w:val="18"/>
          <w:szCs w:val="18"/>
        </w:rPr>
        <w:t xml:space="preserve">ve </w:t>
      </w:r>
      <w:bookmarkEnd w:id="416"/>
      <w:bookmarkEnd w:id="417"/>
      <w:r w:rsidRPr="00537C3C">
        <w:rPr>
          <w:rFonts w:cs="Arial"/>
          <w:sz w:val="18"/>
          <w:szCs w:val="18"/>
        </w:rPr>
        <w:t>findings only.</w:t>
      </w:r>
    </w:p>
    <w:p w:rsidR="00234376" w:rsidRPr="00537C3C" w:rsidRDefault="00234376" w:rsidP="008E03A7">
      <w:pPr>
        <w:pStyle w:val="TableNotes"/>
        <w:spacing w:after="0"/>
        <w:rPr>
          <w:rFonts w:cs="Arial"/>
          <w:sz w:val="18"/>
          <w:szCs w:val="18"/>
        </w:rPr>
        <w:sectPr w:rsidR="00234376" w:rsidRPr="00537C3C" w:rsidSect="008E03A7">
          <w:pgSz w:w="16838" w:h="11906" w:orient="landscape"/>
          <w:pgMar w:top="1440" w:right="1440" w:bottom="1440" w:left="1440" w:header="720" w:footer="720" w:gutter="0"/>
          <w:paperSrc w:first="15" w:other="15"/>
          <w:cols w:space="720"/>
        </w:sectPr>
      </w:pPr>
    </w:p>
    <w:p w:rsidR="00234376" w:rsidRPr="00537C3C" w:rsidRDefault="00234376" w:rsidP="008E03A7">
      <w:r>
        <w:lastRenderedPageBreak/>
        <w:fldChar w:fldCharType="begin"/>
      </w:r>
      <w:r>
        <w:instrText xml:space="preserve"> REF _Ref199921951 \h  \* MERGEFORMAT </w:instrText>
      </w:r>
      <w:r>
        <w:fldChar w:fldCharType="separate"/>
      </w:r>
      <w:r w:rsidR="007D3DFF" w:rsidRPr="00537C3C">
        <w:t xml:space="preserve">Table </w:t>
      </w:r>
      <w:r w:rsidR="007D3DFF">
        <w:rPr>
          <w:noProof/>
        </w:rPr>
        <w:t>18</w:t>
      </w:r>
      <w:r>
        <w:fldChar w:fldCharType="end"/>
      </w:r>
      <w:r w:rsidRPr="00537C3C">
        <w:t xml:space="preserve"> summarises the accuracy of automation-assisted and conventional cytology findings of a glandular abnormality to detect histological </w:t>
      </w:r>
      <w:r w:rsidRPr="006C24DD">
        <w:t xml:space="preserve">adenocarcinoma </w:t>
      </w:r>
      <w:r w:rsidRPr="0086584F">
        <w:rPr>
          <w:i/>
        </w:rPr>
        <w:t>in situ</w:t>
      </w:r>
      <w:r w:rsidRPr="00537C3C">
        <w:t xml:space="preserve"> or adenocarcinoma. The data from Davey et al. (2007</w:t>
      </w:r>
      <w:r w:rsidR="00F91C6A">
        <w:t>a</w:t>
      </w:r>
      <w:r w:rsidRPr="00537C3C">
        <w:t xml:space="preserve">) come from all cases with a histological reference standard (41% of slides with glandular abnormalities) and indicates the accuracy for detection of adenocarcinoma </w:t>
      </w:r>
      <w:r w:rsidRPr="0086584F">
        <w:rPr>
          <w:i/>
        </w:rPr>
        <w:t>in situ</w:t>
      </w:r>
      <w:r w:rsidRPr="00537C3C">
        <w:t xml:space="preserve"> or adenocarcinoma. When a test threshold of a possible high-grade lesion is used, the ThinPrep Imager missed one case, however this case would have been referred to biopsy due to diagnosis of </w:t>
      </w:r>
      <w:r w:rsidRPr="00BB76D8">
        <w:t>CIN</w:t>
      </w:r>
      <w:r w:rsidRPr="00537C3C">
        <w:t xml:space="preserve"> 3 for squamous abnormalities. Thus no confirmed cases would have been missed by either the ThinPrep Imager or conventional cytology when considering both glandular and squamous classifications together.</w:t>
      </w:r>
    </w:p>
    <w:p w:rsidR="00234376" w:rsidRPr="00537C3C" w:rsidRDefault="00234376" w:rsidP="008E03A7">
      <w:pPr>
        <w:rPr>
          <w:rFonts w:cs="Arial"/>
          <w:sz w:val="18"/>
          <w:szCs w:val="18"/>
        </w:rPr>
      </w:pPr>
      <w:r w:rsidRPr="00537C3C">
        <w:t>In the study by Roberts et al. (2007), classification of glandular abnormalities by the ThinPrep system detected 2 cases of adenocarcinoma</w:t>
      </w:r>
      <w:r w:rsidRPr="0086584F">
        <w:rPr>
          <w:rFonts w:ascii="Arial Narrow" w:eastAsia="Arial Unicode MS" w:hAnsi="Arial Narrow"/>
          <w:sz w:val="18"/>
          <w:lang w:eastAsia="en-AU"/>
        </w:rPr>
        <w:t>-in-situ</w:t>
      </w:r>
      <w:r w:rsidRPr="00537C3C">
        <w:t xml:space="preserve"> compared with 3 cases detected on conventional cytology. The small number of cases makes the relevance of these data uncertain.</w:t>
      </w:r>
    </w:p>
    <w:p w:rsidR="00234376" w:rsidRPr="00537C3C" w:rsidRDefault="00234376" w:rsidP="008E03A7">
      <w:pPr>
        <w:pStyle w:val="TableNamea"/>
        <w:ind w:left="1797"/>
      </w:pPr>
      <w:bookmarkStart w:id="418" w:name="_Ref199921951"/>
      <w:bookmarkStart w:id="419" w:name="_Ref209432018"/>
      <w:bookmarkStart w:id="420" w:name="_Toc95971254"/>
      <w:r w:rsidRPr="00537C3C">
        <w:t xml:space="preserve">Table </w:t>
      </w:r>
      <w:fldSimple w:instr=" SEQ Table \* ARABIC ">
        <w:r w:rsidR="007D3DFF">
          <w:rPr>
            <w:noProof/>
          </w:rPr>
          <w:t>18</w:t>
        </w:r>
      </w:fldSimple>
      <w:bookmarkEnd w:id="418"/>
      <w:r w:rsidRPr="00537C3C">
        <w:tab/>
        <w:t xml:space="preserve">Estimates of the relative accuracy of automation-assisted versus conventional reading of glandular cervical cytology for </w:t>
      </w:r>
      <w:r w:rsidRPr="00BB76D8">
        <w:t>AIS</w:t>
      </w:r>
      <w:r w:rsidRPr="00537C3C">
        <w:t>+</w:t>
      </w:r>
      <w:bookmarkEnd w:id="419"/>
      <w:r w:rsidRPr="00537C3C">
        <w:t>.</w:t>
      </w:r>
      <w:bookmarkEnd w:id="420"/>
    </w:p>
    <w:tbl>
      <w:tblPr>
        <w:tblW w:w="4439" w:type="pct"/>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1"/>
        <w:gridCol w:w="718"/>
        <w:gridCol w:w="1068"/>
        <w:gridCol w:w="505"/>
        <w:gridCol w:w="11"/>
        <w:gridCol w:w="459"/>
        <w:gridCol w:w="806"/>
        <w:gridCol w:w="484"/>
        <w:gridCol w:w="556"/>
        <w:gridCol w:w="750"/>
        <w:gridCol w:w="1377"/>
      </w:tblGrid>
      <w:tr w:rsidR="00234376" w:rsidRPr="00537C3C">
        <w:trPr>
          <w:trHeight w:val="270"/>
          <w:tblHeader/>
        </w:trPr>
        <w:tc>
          <w:tcPr>
            <w:tcW w:w="896" w:type="pct"/>
            <w:vMerge w:val="restart"/>
            <w:tcBorders>
              <w:left w:val="nil"/>
              <w:right w:val="nil"/>
            </w:tcBorders>
          </w:tcPr>
          <w:p w:rsidR="00234376" w:rsidRPr="00537C3C" w:rsidRDefault="00234376" w:rsidP="008E03A7">
            <w:pPr>
              <w:pStyle w:val="TableHeading"/>
            </w:pPr>
            <w:r w:rsidRPr="00537C3C">
              <w:t>Study</w:t>
            </w:r>
          </w:p>
          <w:p w:rsidR="00234376" w:rsidRPr="00537C3C" w:rsidRDefault="00234376" w:rsidP="008E03A7">
            <w:pPr>
              <w:pStyle w:val="TableHeading"/>
            </w:pPr>
            <w:r w:rsidRPr="0030078D">
              <w:rPr>
                <w:i/>
              </w:rPr>
              <w:t>N</w:t>
            </w:r>
          </w:p>
          <w:p w:rsidR="00234376" w:rsidRPr="00537C3C" w:rsidRDefault="00234376" w:rsidP="008E03A7">
            <w:pPr>
              <w:pStyle w:val="TableHeading"/>
            </w:pPr>
          </w:p>
        </w:tc>
        <w:tc>
          <w:tcPr>
            <w:tcW w:w="437" w:type="pct"/>
            <w:vMerge w:val="restart"/>
            <w:tcBorders>
              <w:left w:val="nil"/>
              <w:right w:val="nil"/>
            </w:tcBorders>
          </w:tcPr>
          <w:p w:rsidR="00234376" w:rsidRPr="00537C3C" w:rsidRDefault="00234376" w:rsidP="008E03A7">
            <w:pPr>
              <w:pStyle w:val="TableTextCharChar"/>
              <w:rPr>
                <w:b/>
              </w:rPr>
            </w:pPr>
            <w:r w:rsidRPr="00537C3C">
              <w:rPr>
                <w:b/>
              </w:rPr>
              <w:t>Test</w:t>
            </w:r>
          </w:p>
        </w:tc>
        <w:tc>
          <w:tcPr>
            <w:tcW w:w="651" w:type="pct"/>
            <w:vMerge w:val="restart"/>
            <w:tcBorders>
              <w:left w:val="nil"/>
              <w:right w:val="nil"/>
            </w:tcBorders>
          </w:tcPr>
          <w:p w:rsidR="00234376" w:rsidRDefault="00234376" w:rsidP="00234376">
            <w:pPr>
              <w:pStyle w:val="TableHeading"/>
            </w:pPr>
            <w:r w:rsidRPr="00537C3C">
              <w:t>Test threshold</w:t>
            </w:r>
          </w:p>
        </w:tc>
        <w:tc>
          <w:tcPr>
            <w:tcW w:w="2177" w:type="pct"/>
            <w:gridSpan w:val="7"/>
            <w:tcBorders>
              <w:left w:val="nil"/>
              <w:right w:val="nil"/>
            </w:tcBorders>
          </w:tcPr>
          <w:p w:rsidR="00234376" w:rsidRPr="00537C3C" w:rsidRDefault="00234376" w:rsidP="008E03A7">
            <w:pPr>
              <w:pStyle w:val="TableHeading"/>
              <w:jc w:val="center"/>
            </w:pPr>
            <w:r w:rsidRPr="00537C3C">
              <w:t>Positives</w:t>
            </w:r>
          </w:p>
        </w:tc>
        <w:tc>
          <w:tcPr>
            <w:tcW w:w="839" w:type="pct"/>
            <w:vMerge w:val="restart"/>
            <w:tcBorders>
              <w:left w:val="nil"/>
              <w:right w:val="nil"/>
            </w:tcBorders>
          </w:tcPr>
          <w:p w:rsidR="00234376" w:rsidRPr="00537C3C" w:rsidRDefault="00234376" w:rsidP="008E03A7">
            <w:pPr>
              <w:pStyle w:val="TableHeading"/>
              <w:jc w:val="center"/>
            </w:pPr>
            <w:r w:rsidRPr="00537C3C">
              <w:rPr>
                <w:szCs w:val="18"/>
              </w:rPr>
              <w:sym w:font="Symbol" w:char="F063"/>
            </w:r>
            <w:r w:rsidRPr="00537C3C">
              <w:rPr>
                <w:szCs w:val="18"/>
                <w:vertAlign w:val="superscript"/>
              </w:rPr>
              <w:t>2</w:t>
            </w:r>
            <w:r w:rsidRPr="0030078D">
              <w:rPr>
                <w:szCs w:val="18"/>
              </w:rPr>
              <w:t>-</w:t>
            </w:r>
            <w:r w:rsidRPr="00537C3C">
              <w:rPr>
                <w:szCs w:val="18"/>
              </w:rPr>
              <w:t>test</w:t>
            </w:r>
            <w:r w:rsidRPr="00537C3C">
              <w:t xml:space="preserve">, </w:t>
            </w:r>
            <w:r w:rsidRPr="00BB76D8">
              <w:t>TP</w:t>
            </w:r>
            <w:r w:rsidRPr="00537C3C">
              <w:t xml:space="preserve"> cases detected</w:t>
            </w:r>
          </w:p>
          <w:p w:rsidR="00234376" w:rsidRPr="00537C3C" w:rsidRDefault="00234376" w:rsidP="008E03A7">
            <w:pPr>
              <w:pStyle w:val="TableHeading"/>
              <w:jc w:val="center"/>
            </w:pPr>
            <w:r w:rsidRPr="0030078D">
              <w:rPr>
                <w:i/>
              </w:rPr>
              <w:t>P</w:t>
            </w:r>
          </w:p>
        </w:tc>
      </w:tr>
      <w:tr w:rsidR="00234376" w:rsidRPr="00537C3C">
        <w:trPr>
          <w:trHeight w:val="285"/>
          <w:tblHeader/>
        </w:trPr>
        <w:tc>
          <w:tcPr>
            <w:tcW w:w="896" w:type="pct"/>
            <w:vMerge/>
            <w:tcBorders>
              <w:left w:val="nil"/>
              <w:right w:val="nil"/>
            </w:tcBorders>
          </w:tcPr>
          <w:p w:rsidR="00234376" w:rsidRPr="00537C3C" w:rsidRDefault="00234376" w:rsidP="008E03A7">
            <w:pPr>
              <w:pStyle w:val="TableHeading"/>
            </w:pPr>
          </w:p>
        </w:tc>
        <w:tc>
          <w:tcPr>
            <w:tcW w:w="437" w:type="pct"/>
            <w:vMerge/>
            <w:tcBorders>
              <w:left w:val="nil"/>
              <w:right w:val="nil"/>
            </w:tcBorders>
          </w:tcPr>
          <w:p w:rsidR="00234376" w:rsidRPr="00537C3C" w:rsidRDefault="00234376" w:rsidP="008E03A7">
            <w:pPr>
              <w:pStyle w:val="TableTextCharChar"/>
              <w:rPr>
                <w:b/>
              </w:rPr>
            </w:pPr>
          </w:p>
        </w:tc>
        <w:tc>
          <w:tcPr>
            <w:tcW w:w="651" w:type="pct"/>
            <w:vMerge/>
            <w:tcBorders>
              <w:left w:val="nil"/>
              <w:right w:val="nil"/>
            </w:tcBorders>
          </w:tcPr>
          <w:p w:rsidR="00234376" w:rsidRPr="00537C3C" w:rsidRDefault="00234376" w:rsidP="008E03A7">
            <w:pPr>
              <w:pStyle w:val="TableHeading"/>
              <w:jc w:val="center"/>
            </w:pPr>
          </w:p>
        </w:tc>
        <w:tc>
          <w:tcPr>
            <w:tcW w:w="1086" w:type="pct"/>
            <w:gridSpan w:val="4"/>
            <w:tcBorders>
              <w:left w:val="nil"/>
              <w:right w:val="nil"/>
            </w:tcBorders>
          </w:tcPr>
          <w:p w:rsidR="00234376" w:rsidRPr="00537C3C" w:rsidRDefault="00234376" w:rsidP="008E03A7">
            <w:pPr>
              <w:pStyle w:val="TableHeading"/>
              <w:jc w:val="center"/>
            </w:pPr>
            <w:r w:rsidRPr="00537C3C">
              <w:t>Automation-assisted reading</w:t>
            </w:r>
          </w:p>
        </w:tc>
        <w:tc>
          <w:tcPr>
            <w:tcW w:w="1091" w:type="pct"/>
            <w:gridSpan w:val="3"/>
            <w:tcBorders>
              <w:left w:val="nil"/>
              <w:right w:val="nil"/>
            </w:tcBorders>
          </w:tcPr>
          <w:p w:rsidR="00234376" w:rsidRPr="00537C3C" w:rsidRDefault="00234376" w:rsidP="008E03A7">
            <w:pPr>
              <w:pStyle w:val="TableHeading"/>
              <w:jc w:val="center"/>
            </w:pPr>
            <w:r w:rsidRPr="00537C3C">
              <w:t>Manual reading conventional slides</w:t>
            </w:r>
          </w:p>
        </w:tc>
        <w:tc>
          <w:tcPr>
            <w:tcW w:w="839" w:type="pct"/>
            <w:vMerge/>
            <w:tcBorders>
              <w:left w:val="nil"/>
              <w:right w:val="nil"/>
            </w:tcBorders>
          </w:tcPr>
          <w:p w:rsidR="00234376" w:rsidRPr="00537C3C" w:rsidRDefault="00234376" w:rsidP="008E03A7">
            <w:pPr>
              <w:pStyle w:val="TableHeading"/>
              <w:jc w:val="center"/>
            </w:pPr>
          </w:p>
        </w:tc>
      </w:tr>
      <w:tr w:rsidR="00234376" w:rsidRPr="00537C3C">
        <w:trPr>
          <w:trHeight w:val="367"/>
          <w:tblHeader/>
        </w:trPr>
        <w:tc>
          <w:tcPr>
            <w:tcW w:w="896" w:type="pct"/>
            <w:vMerge/>
            <w:tcBorders>
              <w:left w:val="nil"/>
              <w:right w:val="nil"/>
            </w:tcBorders>
          </w:tcPr>
          <w:p w:rsidR="00234376" w:rsidRPr="00537C3C" w:rsidRDefault="00234376" w:rsidP="008E03A7">
            <w:pPr>
              <w:pStyle w:val="TableHeading"/>
            </w:pPr>
          </w:p>
        </w:tc>
        <w:tc>
          <w:tcPr>
            <w:tcW w:w="437" w:type="pct"/>
            <w:vMerge/>
            <w:tcBorders>
              <w:left w:val="nil"/>
              <w:right w:val="nil"/>
            </w:tcBorders>
          </w:tcPr>
          <w:p w:rsidR="00234376" w:rsidRPr="00537C3C" w:rsidRDefault="00234376" w:rsidP="008E03A7">
            <w:pPr>
              <w:pStyle w:val="TableHeading"/>
              <w:spacing w:after="0"/>
            </w:pPr>
          </w:p>
        </w:tc>
        <w:tc>
          <w:tcPr>
            <w:tcW w:w="651" w:type="pct"/>
            <w:vMerge/>
            <w:tcBorders>
              <w:left w:val="nil"/>
              <w:right w:val="nil"/>
            </w:tcBorders>
          </w:tcPr>
          <w:p w:rsidR="00234376" w:rsidRPr="00537C3C" w:rsidRDefault="00234376" w:rsidP="008E03A7">
            <w:pPr>
              <w:pStyle w:val="TableTextCharChar"/>
            </w:pPr>
          </w:p>
        </w:tc>
        <w:tc>
          <w:tcPr>
            <w:tcW w:w="315" w:type="pct"/>
            <w:gridSpan w:val="2"/>
            <w:tcBorders>
              <w:left w:val="nil"/>
              <w:right w:val="nil"/>
            </w:tcBorders>
          </w:tcPr>
          <w:p w:rsidR="00234376" w:rsidRPr="00537C3C" w:rsidRDefault="00234376" w:rsidP="008E03A7">
            <w:pPr>
              <w:pStyle w:val="TableTextCharChar"/>
              <w:jc w:val="center"/>
            </w:pPr>
            <w:r w:rsidRPr="00BB76D8">
              <w:t>TP</w:t>
            </w:r>
          </w:p>
        </w:tc>
        <w:tc>
          <w:tcPr>
            <w:tcW w:w="280" w:type="pct"/>
            <w:tcBorders>
              <w:left w:val="nil"/>
              <w:right w:val="nil"/>
            </w:tcBorders>
          </w:tcPr>
          <w:p w:rsidR="00234376" w:rsidRPr="00537C3C" w:rsidRDefault="00234376" w:rsidP="008E03A7">
            <w:pPr>
              <w:pStyle w:val="TableTextCharChar"/>
              <w:jc w:val="center"/>
            </w:pPr>
            <w:r w:rsidRPr="00BB76D8">
              <w:t>FP</w:t>
            </w:r>
          </w:p>
        </w:tc>
        <w:tc>
          <w:tcPr>
            <w:tcW w:w="491" w:type="pct"/>
            <w:tcBorders>
              <w:left w:val="nil"/>
              <w:right w:val="nil"/>
            </w:tcBorders>
          </w:tcPr>
          <w:p w:rsidR="00234376" w:rsidRPr="00537C3C" w:rsidRDefault="00234376" w:rsidP="008E03A7">
            <w:pPr>
              <w:pStyle w:val="TableTextCharChar"/>
              <w:jc w:val="center"/>
            </w:pPr>
            <w:r w:rsidRPr="00BB76D8">
              <w:t>TP</w:t>
            </w:r>
            <w:r w:rsidRPr="00537C3C">
              <w:t>:</w:t>
            </w:r>
            <w:r w:rsidRPr="00BB76D8">
              <w:t>FP</w:t>
            </w:r>
          </w:p>
        </w:tc>
        <w:tc>
          <w:tcPr>
            <w:tcW w:w="295" w:type="pct"/>
            <w:tcBorders>
              <w:left w:val="nil"/>
              <w:right w:val="nil"/>
            </w:tcBorders>
          </w:tcPr>
          <w:p w:rsidR="00234376" w:rsidRPr="00537C3C" w:rsidRDefault="00234376" w:rsidP="008E03A7">
            <w:pPr>
              <w:pStyle w:val="TableTextCharChar"/>
              <w:jc w:val="center"/>
            </w:pPr>
            <w:r w:rsidRPr="00BB76D8">
              <w:t>TP</w:t>
            </w:r>
          </w:p>
        </w:tc>
        <w:tc>
          <w:tcPr>
            <w:tcW w:w="339" w:type="pct"/>
            <w:tcBorders>
              <w:left w:val="nil"/>
              <w:right w:val="nil"/>
            </w:tcBorders>
          </w:tcPr>
          <w:p w:rsidR="00234376" w:rsidRPr="00537C3C" w:rsidRDefault="00234376" w:rsidP="008E03A7">
            <w:pPr>
              <w:pStyle w:val="TableTextCharChar"/>
              <w:jc w:val="center"/>
            </w:pPr>
            <w:r w:rsidRPr="00BB76D8">
              <w:t>FP</w:t>
            </w:r>
          </w:p>
        </w:tc>
        <w:tc>
          <w:tcPr>
            <w:tcW w:w="457" w:type="pct"/>
            <w:tcBorders>
              <w:left w:val="nil"/>
              <w:right w:val="nil"/>
            </w:tcBorders>
          </w:tcPr>
          <w:p w:rsidR="00234376" w:rsidRPr="00537C3C" w:rsidRDefault="00234376" w:rsidP="008E03A7">
            <w:pPr>
              <w:pStyle w:val="TableTextCharChar"/>
              <w:jc w:val="center"/>
            </w:pPr>
            <w:r w:rsidRPr="00BB76D8">
              <w:t>TP</w:t>
            </w:r>
            <w:r w:rsidRPr="00537C3C">
              <w:t>:</w:t>
            </w:r>
            <w:r w:rsidRPr="00BB76D8">
              <w:t>FP</w:t>
            </w:r>
          </w:p>
        </w:tc>
        <w:tc>
          <w:tcPr>
            <w:tcW w:w="839" w:type="pct"/>
            <w:tcBorders>
              <w:left w:val="nil"/>
              <w:right w:val="nil"/>
            </w:tcBorders>
          </w:tcPr>
          <w:p w:rsidR="00234376" w:rsidRPr="00537C3C" w:rsidRDefault="00234376" w:rsidP="008E03A7">
            <w:pPr>
              <w:spacing w:after="0"/>
              <w:ind w:left="0"/>
              <w:rPr>
                <w:b/>
              </w:rPr>
            </w:pPr>
          </w:p>
        </w:tc>
      </w:tr>
      <w:tr w:rsidR="00234376" w:rsidRPr="00537C3C">
        <w:tc>
          <w:tcPr>
            <w:tcW w:w="1984" w:type="pct"/>
            <w:gridSpan w:val="3"/>
            <w:tcBorders>
              <w:left w:val="nil"/>
              <w:right w:val="nil"/>
            </w:tcBorders>
          </w:tcPr>
          <w:p w:rsidR="00234376" w:rsidRPr="00537C3C" w:rsidRDefault="00234376" w:rsidP="008E03A7">
            <w:pPr>
              <w:pStyle w:val="TableTextLessSpaceCharCharCharCharCharCharCharChar"/>
              <w:rPr>
                <w:b/>
              </w:rPr>
            </w:pPr>
            <w:r w:rsidRPr="00537C3C">
              <w:rPr>
                <w:b/>
              </w:rPr>
              <w:t xml:space="preserve">Automation-assisted reading of </w:t>
            </w:r>
            <w:r w:rsidRPr="00BB76D8">
              <w:rPr>
                <w:b/>
              </w:rPr>
              <w:t>LBC</w:t>
            </w:r>
          </w:p>
        </w:tc>
        <w:tc>
          <w:tcPr>
            <w:tcW w:w="1086" w:type="pct"/>
            <w:gridSpan w:val="4"/>
            <w:tcBorders>
              <w:left w:val="nil"/>
              <w:right w:val="nil"/>
            </w:tcBorders>
          </w:tcPr>
          <w:p w:rsidR="00234376" w:rsidRPr="00537C3C" w:rsidRDefault="00234376" w:rsidP="008E03A7">
            <w:pPr>
              <w:pStyle w:val="TableTextLessSpaceCharCharCharCharCharCharCharChar"/>
              <w:jc w:val="center"/>
              <w:rPr>
                <w:i/>
                <w:sz w:val="16"/>
                <w:szCs w:val="16"/>
              </w:rPr>
            </w:pPr>
          </w:p>
        </w:tc>
        <w:tc>
          <w:tcPr>
            <w:tcW w:w="1091" w:type="pct"/>
            <w:gridSpan w:val="3"/>
            <w:tcBorders>
              <w:left w:val="nil"/>
              <w:right w:val="nil"/>
            </w:tcBorders>
          </w:tcPr>
          <w:p w:rsidR="00234376" w:rsidRPr="00537C3C" w:rsidRDefault="00234376" w:rsidP="008E03A7">
            <w:pPr>
              <w:pStyle w:val="TableTextLessSpaceCharCharCharCharCharCharCharChar"/>
              <w:jc w:val="center"/>
              <w:rPr>
                <w:i/>
                <w:sz w:val="16"/>
                <w:szCs w:val="16"/>
              </w:rPr>
            </w:pPr>
          </w:p>
        </w:tc>
        <w:tc>
          <w:tcPr>
            <w:tcW w:w="839" w:type="pct"/>
            <w:tcBorders>
              <w:left w:val="nil"/>
              <w:right w:val="nil"/>
            </w:tcBorders>
          </w:tcPr>
          <w:p w:rsidR="00234376" w:rsidRPr="00537C3C" w:rsidRDefault="00234376" w:rsidP="008E03A7">
            <w:pPr>
              <w:spacing w:after="0"/>
              <w:ind w:left="0"/>
            </w:pPr>
          </w:p>
        </w:tc>
      </w:tr>
      <w:tr w:rsidR="00234376" w:rsidRPr="00537C3C">
        <w:tc>
          <w:tcPr>
            <w:tcW w:w="896" w:type="pct"/>
            <w:vMerge w:val="restart"/>
            <w:tcBorders>
              <w:left w:val="nil"/>
              <w:bottom w:val="nil"/>
              <w:right w:val="nil"/>
            </w:tcBorders>
          </w:tcPr>
          <w:p w:rsidR="00234376" w:rsidRPr="00537C3C" w:rsidRDefault="00234376" w:rsidP="008E03A7">
            <w:pPr>
              <w:pStyle w:val="TableTextLessSpaceCharCharCharCharCharCharCharChar"/>
            </w:pPr>
            <w:r w:rsidRPr="00537C3C">
              <w:t>Davey</w:t>
            </w:r>
            <w:r w:rsidRPr="00537C3C">
              <w:rPr>
                <w:sz w:val="16"/>
                <w:szCs w:val="16"/>
              </w:rPr>
              <w:t xml:space="preserve"> et al. 2007</w:t>
            </w:r>
          </w:p>
          <w:p w:rsidR="00234376" w:rsidRPr="00537C3C" w:rsidRDefault="00F91C6A" w:rsidP="008E03A7">
            <w:pPr>
              <w:pStyle w:val="TableTextLessSpaceCharCharCharCharCharCharCharChar"/>
              <w:rPr>
                <w:vertAlign w:val="superscript"/>
              </w:rPr>
            </w:pPr>
            <w:r>
              <w:t xml:space="preserve">35 </w:t>
            </w:r>
            <w:r w:rsidR="00234376" w:rsidRPr="00537C3C">
              <w:t>599</w:t>
            </w:r>
            <w:r w:rsidR="00234376" w:rsidRPr="00537C3C">
              <w:rPr>
                <w:vertAlign w:val="superscript"/>
              </w:rPr>
              <w:t>a</w:t>
            </w:r>
          </w:p>
        </w:tc>
        <w:tc>
          <w:tcPr>
            <w:tcW w:w="437" w:type="pct"/>
            <w:tcBorders>
              <w:left w:val="nil"/>
              <w:bottom w:val="nil"/>
              <w:right w:val="nil"/>
            </w:tcBorders>
          </w:tcPr>
          <w:p w:rsidR="00234376" w:rsidRPr="00537C3C" w:rsidRDefault="00234376" w:rsidP="008E03A7">
            <w:pPr>
              <w:pStyle w:val="TableTextLessSpaceCharCharCharCharCharCharCharChar"/>
              <w:rPr>
                <w:sz w:val="16"/>
                <w:szCs w:val="16"/>
              </w:rPr>
            </w:pPr>
            <w:r w:rsidRPr="00BB76D8">
              <w:rPr>
                <w:sz w:val="16"/>
                <w:szCs w:val="16"/>
              </w:rPr>
              <w:t>TPI</w:t>
            </w:r>
          </w:p>
        </w:tc>
        <w:tc>
          <w:tcPr>
            <w:tcW w:w="651" w:type="pct"/>
            <w:tcBorders>
              <w:left w:val="nil"/>
              <w:bottom w:val="nil"/>
              <w:right w:val="nil"/>
            </w:tcBorders>
          </w:tcPr>
          <w:p w:rsidR="00234376" w:rsidRPr="00537C3C" w:rsidRDefault="00234376" w:rsidP="008E03A7">
            <w:pPr>
              <w:pStyle w:val="TableTextLessSpaceCharCharCharCharCharCharCharChar"/>
              <w:rPr>
                <w:rFonts w:cs="Garamond"/>
                <w:szCs w:val="18"/>
              </w:rPr>
            </w:pPr>
            <w:r w:rsidRPr="00537C3C">
              <w:rPr>
                <w:rFonts w:cs="Garamond"/>
                <w:szCs w:val="18"/>
              </w:rPr>
              <w:t>Atypia</w:t>
            </w:r>
          </w:p>
        </w:tc>
        <w:tc>
          <w:tcPr>
            <w:tcW w:w="308"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6</w:t>
            </w:r>
          </w:p>
        </w:tc>
        <w:tc>
          <w:tcPr>
            <w:tcW w:w="287" w:type="pct"/>
            <w:gridSpan w:val="2"/>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8</w:t>
            </w:r>
          </w:p>
        </w:tc>
        <w:tc>
          <w:tcPr>
            <w:tcW w:w="491"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1:1.3</w:t>
            </w:r>
          </w:p>
        </w:tc>
        <w:tc>
          <w:tcPr>
            <w:tcW w:w="295"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6</w:t>
            </w:r>
          </w:p>
        </w:tc>
        <w:tc>
          <w:tcPr>
            <w:tcW w:w="339"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16</w:t>
            </w:r>
          </w:p>
        </w:tc>
        <w:tc>
          <w:tcPr>
            <w:tcW w:w="457"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1:2.7</w:t>
            </w:r>
          </w:p>
        </w:tc>
        <w:tc>
          <w:tcPr>
            <w:tcW w:w="839"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1.0</w:t>
            </w:r>
          </w:p>
        </w:tc>
      </w:tr>
      <w:tr w:rsidR="00234376" w:rsidRPr="00537C3C">
        <w:tc>
          <w:tcPr>
            <w:tcW w:w="896" w:type="pct"/>
            <w:vMerge/>
            <w:tcBorders>
              <w:top w:val="nil"/>
              <w:left w:val="nil"/>
              <w:right w:val="nil"/>
            </w:tcBorders>
          </w:tcPr>
          <w:p w:rsidR="00234376" w:rsidRPr="00537C3C" w:rsidRDefault="00234376" w:rsidP="008E03A7">
            <w:pPr>
              <w:pStyle w:val="TableTextLessSpaceCharCharCharCharCharCharCharChar"/>
              <w:rPr>
                <w:rFonts w:cs="Arial"/>
                <w:szCs w:val="18"/>
              </w:rPr>
            </w:pPr>
          </w:p>
        </w:tc>
        <w:tc>
          <w:tcPr>
            <w:tcW w:w="437" w:type="pct"/>
            <w:tcBorders>
              <w:top w:val="nil"/>
              <w:left w:val="nil"/>
              <w:right w:val="nil"/>
            </w:tcBorders>
          </w:tcPr>
          <w:p w:rsidR="00234376" w:rsidRPr="00537C3C" w:rsidRDefault="00234376" w:rsidP="008E03A7">
            <w:pPr>
              <w:pStyle w:val="TableTextLessSpaceCharCharCharCharCharCharCharChar"/>
              <w:rPr>
                <w:sz w:val="16"/>
                <w:szCs w:val="16"/>
              </w:rPr>
            </w:pPr>
          </w:p>
        </w:tc>
        <w:tc>
          <w:tcPr>
            <w:tcW w:w="651" w:type="pct"/>
            <w:tcBorders>
              <w:top w:val="nil"/>
              <w:left w:val="nil"/>
              <w:right w:val="nil"/>
            </w:tcBorders>
          </w:tcPr>
          <w:p w:rsidR="00234376" w:rsidRPr="00537C3C" w:rsidRDefault="00234376" w:rsidP="008E03A7">
            <w:pPr>
              <w:pStyle w:val="TableTextLessSpaceCharCharCharCharCharCharCharChar"/>
              <w:rPr>
                <w:rFonts w:cs="Garamond"/>
                <w:szCs w:val="18"/>
              </w:rPr>
            </w:pPr>
            <w:r w:rsidRPr="00537C3C">
              <w:rPr>
                <w:rFonts w:cs="Garamond"/>
                <w:szCs w:val="18"/>
              </w:rPr>
              <w:t>Possible high grade</w:t>
            </w:r>
          </w:p>
        </w:tc>
        <w:tc>
          <w:tcPr>
            <w:tcW w:w="308"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5</w:t>
            </w:r>
          </w:p>
        </w:tc>
        <w:tc>
          <w:tcPr>
            <w:tcW w:w="287" w:type="pct"/>
            <w:gridSpan w:val="2"/>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3</w:t>
            </w:r>
          </w:p>
        </w:tc>
        <w:tc>
          <w:tcPr>
            <w:tcW w:w="491"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1:0.6</w:t>
            </w:r>
          </w:p>
        </w:tc>
        <w:tc>
          <w:tcPr>
            <w:tcW w:w="295"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6</w:t>
            </w:r>
          </w:p>
        </w:tc>
        <w:tc>
          <w:tcPr>
            <w:tcW w:w="339"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9</w:t>
            </w:r>
          </w:p>
        </w:tc>
        <w:tc>
          <w:tcPr>
            <w:tcW w:w="457"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1:1.5</w:t>
            </w:r>
          </w:p>
        </w:tc>
        <w:tc>
          <w:tcPr>
            <w:tcW w:w="839"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0.76</w:t>
            </w:r>
          </w:p>
        </w:tc>
      </w:tr>
      <w:tr w:rsidR="00234376" w:rsidRPr="00537C3C">
        <w:tc>
          <w:tcPr>
            <w:tcW w:w="896" w:type="pct"/>
            <w:vMerge w:val="restart"/>
            <w:tcBorders>
              <w:left w:val="nil"/>
              <w:right w:val="nil"/>
            </w:tcBorders>
          </w:tcPr>
          <w:p w:rsidR="00234376" w:rsidRPr="00537C3C" w:rsidRDefault="00234376" w:rsidP="008E03A7">
            <w:pPr>
              <w:pStyle w:val="TableTextLessSpaceCharCharCharCharCharCharCharChar"/>
            </w:pPr>
            <w:r w:rsidRPr="00537C3C">
              <w:t>Roberts et al. 2007</w:t>
            </w:r>
          </w:p>
          <w:p w:rsidR="00234376" w:rsidRPr="00537C3C" w:rsidRDefault="00234376" w:rsidP="008E03A7">
            <w:pPr>
              <w:pStyle w:val="TableTextLessSpaceCharCharCharCharCharCharCharChar"/>
            </w:pPr>
            <w:r w:rsidRPr="00537C3C">
              <w:t>11 416</w:t>
            </w:r>
          </w:p>
        </w:tc>
        <w:tc>
          <w:tcPr>
            <w:tcW w:w="437" w:type="pct"/>
            <w:tcBorders>
              <w:left w:val="nil"/>
              <w:bottom w:val="nil"/>
              <w:right w:val="nil"/>
            </w:tcBorders>
          </w:tcPr>
          <w:p w:rsidR="00234376" w:rsidRPr="00537C3C" w:rsidRDefault="00234376" w:rsidP="008E03A7">
            <w:pPr>
              <w:pStyle w:val="TableTextLessSpaceCharCharCharCharCharCharCharChar"/>
              <w:rPr>
                <w:sz w:val="16"/>
                <w:szCs w:val="16"/>
              </w:rPr>
            </w:pPr>
            <w:r w:rsidRPr="00BB76D8">
              <w:rPr>
                <w:sz w:val="16"/>
                <w:szCs w:val="16"/>
              </w:rPr>
              <w:t>TPI</w:t>
            </w:r>
          </w:p>
        </w:tc>
        <w:tc>
          <w:tcPr>
            <w:tcW w:w="651" w:type="pct"/>
            <w:tcBorders>
              <w:left w:val="nil"/>
              <w:bottom w:val="nil"/>
              <w:right w:val="nil"/>
            </w:tcBorders>
          </w:tcPr>
          <w:p w:rsidR="00234376" w:rsidRPr="00537C3C" w:rsidRDefault="00234376" w:rsidP="008E03A7">
            <w:pPr>
              <w:pStyle w:val="TableTextLessSpaceCharCharCharCharCharCharCharChar"/>
              <w:rPr>
                <w:rFonts w:cs="Garamond"/>
                <w:szCs w:val="18"/>
              </w:rPr>
            </w:pPr>
            <w:r w:rsidRPr="00537C3C">
              <w:rPr>
                <w:rFonts w:cs="Garamond"/>
                <w:szCs w:val="18"/>
              </w:rPr>
              <w:t>Atypia</w:t>
            </w:r>
          </w:p>
        </w:tc>
        <w:tc>
          <w:tcPr>
            <w:tcW w:w="308"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2</w:t>
            </w:r>
          </w:p>
        </w:tc>
        <w:tc>
          <w:tcPr>
            <w:tcW w:w="287" w:type="pct"/>
            <w:gridSpan w:val="2"/>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softHyphen/>
              <w:t>–</w:t>
            </w:r>
          </w:p>
        </w:tc>
        <w:tc>
          <w:tcPr>
            <w:tcW w:w="491"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softHyphen/>
              <w:t>–</w:t>
            </w:r>
          </w:p>
        </w:tc>
        <w:tc>
          <w:tcPr>
            <w:tcW w:w="295"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3</w:t>
            </w:r>
          </w:p>
        </w:tc>
        <w:tc>
          <w:tcPr>
            <w:tcW w:w="339"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softHyphen/>
              <w:t>–</w:t>
            </w:r>
          </w:p>
        </w:tc>
        <w:tc>
          <w:tcPr>
            <w:tcW w:w="457"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softHyphen/>
              <w:t>–</w:t>
            </w:r>
          </w:p>
        </w:tc>
        <w:tc>
          <w:tcPr>
            <w:tcW w:w="839"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0.65</w:t>
            </w:r>
          </w:p>
        </w:tc>
      </w:tr>
      <w:tr w:rsidR="00234376" w:rsidRPr="00537C3C">
        <w:trPr>
          <w:trHeight w:val="296"/>
        </w:trPr>
        <w:tc>
          <w:tcPr>
            <w:tcW w:w="896" w:type="pct"/>
            <w:vMerge/>
            <w:tcBorders>
              <w:left w:val="nil"/>
              <w:right w:val="nil"/>
            </w:tcBorders>
          </w:tcPr>
          <w:p w:rsidR="00234376" w:rsidRPr="00537C3C" w:rsidRDefault="00234376" w:rsidP="008E03A7">
            <w:pPr>
              <w:pStyle w:val="TableTextLessSpaceCharCharCharCharCharCharCharChar"/>
            </w:pPr>
          </w:p>
        </w:tc>
        <w:tc>
          <w:tcPr>
            <w:tcW w:w="437" w:type="pct"/>
            <w:tcBorders>
              <w:top w:val="nil"/>
              <w:left w:val="nil"/>
              <w:right w:val="nil"/>
            </w:tcBorders>
          </w:tcPr>
          <w:p w:rsidR="00234376" w:rsidRPr="00537C3C" w:rsidRDefault="00234376" w:rsidP="008E03A7">
            <w:pPr>
              <w:pStyle w:val="TableTextLessSpaceCharCharCharCharCharCharCharChar"/>
              <w:rPr>
                <w:sz w:val="16"/>
                <w:szCs w:val="16"/>
              </w:rPr>
            </w:pPr>
          </w:p>
        </w:tc>
        <w:tc>
          <w:tcPr>
            <w:tcW w:w="651" w:type="pct"/>
            <w:tcBorders>
              <w:top w:val="nil"/>
              <w:left w:val="nil"/>
              <w:right w:val="nil"/>
            </w:tcBorders>
          </w:tcPr>
          <w:p w:rsidR="00234376" w:rsidRPr="00537C3C" w:rsidRDefault="00234376" w:rsidP="008E03A7">
            <w:pPr>
              <w:pStyle w:val="TableTextLessSpaceCharCharCharCharCharCharCharChar"/>
              <w:rPr>
                <w:rFonts w:cs="Garamond"/>
                <w:szCs w:val="18"/>
              </w:rPr>
            </w:pPr>
            <w:r w:rsidRPr="00537C3C">
              <w:rPr>
                <w:rFonts w:cs="Garamond"/>
                <w:szCs w:val="18"/>
              </w:rPr>
              <w:t>Possible high grade</w:t>
            </w:r>
          </w:p>
        </w:tc>
        <w:tc>
          <w:tcPr>
            <w:tcW w:w="308"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2</w:t>
            </w:r>
          </w:p>
        </w:tc>
        <w:tc>
          <w:tcPr>
            <w:tcW w:w="287" w:type="pct"/>
            <w:gridSpan w:val="2"/>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softHyphen/>
              <w:t>–</w:t>
            </w:r>
          </w:p>
        </w:tc>
        <w:tc>
          <w:tcPr>
            <w:tcW w:w="491"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softHyphen/>
              <w:t>–</w:t>
            </w:r>
          </w:p>
        </w:tc>
        <w:tc>
          <w:tcPr>
            <w:tcW w:w="295"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3</w:t>
            </w:r>
          </w:p>
        </w:tc>
        <w:tc>
          <w:tcPr>
            <w:tcW w:w="339"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softHyphen/>
              <w:t>–</w:t>
            </w:r>
          </w:p>
        </w:tc>
        <w:tc>
          <w:tcPr>
            <w:tcW w:w="457"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softHyphen/>
              <w:t>–</w:t>
            </w:r>
          </w:p>
        </w:tc>
        <w:tc>
          <w:tcPr>
            <w:tcW w:w="839"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0.65</w:t>
            </w:r>
          </w:p>
        </w:tc>
      </w:tr>
    </w:tbl>
    <w:p w:rsidR="00234376" w:rsidRPr="00537C3C" w:rsidRDefault="00234376" w:rsidP="008E03A7">
      <w:pPr>
        <w:pStyle w:val="TableNotesMiddle"/>
        <w:keepLines w:val="0"/>
        <w:ind w:left="873" w:firstLine="0"/>
      </w:pPr>
      <w:r w:rsidRPr="00537C3C">
        <w:rPr>
          <w:i/>
        </w:rPr>
        <w:t>Abbreviations:</w:t>
      </w:r>
      <w:r w:rsidRPr="00537C3C">
        <w:t xml:space="preserve"> </w:t>
      </w:r>
      <w:r w:rsidRPr="00BB76D8">
        <w:t>FP</w:t>
      </w:r>
      <w:r w:rsidRPr="00537C3C">
        <w:t xml:space="preserve"> = false positive, </w:t>
      </w:r>
      <w:r w:rsidRPr="00BB76D8">
        <w:t>TP</w:t>
      </w:r>
      <w:r w:rsidRPr="00537C3C">
        <w:t xml:space="preserve"> = true positive.</w:t>
      </w:r>
      <w:r w:rsidR="006E4528">
        <w:t xml:space="preserve"> </w:t>
      </w:r>
      <w:r w:rsidR="006E4528" w:rsidRPr="00BF09C4">
        <w:t>TPI = ThinPrep Imager</w:t>
      </w:r>
    </w:p>
    <w:p w:rsidR="00234376" w:rsidRPr="00537C3C" w:rsidRDefault="00234376" w:rsidP="008E03A7">
      <w:pPr>
        <w:pStyle w:val="TableNotes"/>
        <w:keepLines w:val="0"/>
        <w:ind w:left="1746"/>
      </w:pPr>
      <w:r w:rsidRPr="00537C3C">
        <w:rPr>
          <w:vertAlign w:val="superscript"/>
        </w:rPr>
        <w:t xml:space="preserve">a </w:t>
      </w:r>
      <w:r w:rsidRPr="00537C3C">
        <w:t>Satisfactory slides with endocervical component.</w:t>
      </w:r>
    </w:p>
    <w:p w:rsidR="00234376" w:rsidRDefault="00234376" w:rsidP="00234376">
      <w:pPr>
        <w:pStyle w:val="Heading3"/>
      </w:pPr>
      <w:r w:rsidRPr="00537C3C">
        <w:t>Process outcomes</w:t>
      </w:r>
    </w:p>
    <w:p w:rsidR="00234376" w:rsidRPr="00537C3C" w:rsidRDefault="00234376" w:rsidP="008E03A7">
      <w:r w:rsidRPr="00537C3C">
        <w:t>The ThinPrep Imager system classified more slides as abnormal than conventional cytology (</w:t>
      </w:r>
      <w:r w:rsidRPr="00BB76D8">
        <w:t>pLSIL</w:t>
      </w:r>
      <w:r w:rsidRPr="00537C3C">
        <w:t xml:space="preserve">+ for </w:t>
      </w:r>
      <w:r w:rsidRPr="00BB76D8">
        <w:t>TPI</w:t>
      </w:r>
      <w:r w:rsidRPr="00537C3C">
        <w:t xml:space="preserve"> vs conventional from Davey et al. 2007</w:t>
      </w:r>
      <w:r w:rsidR="00F91C6A">
        <w:t>a</w:t>
      </w:r>
      <w:r w:rsidRPr="00537C3C">
        <w:t xml:space="preserve">, 7.4% vs 6.0%; Roberts et al. 2007 7.9% vs 4.2%) (also see </w:t>
      </w:r>
      <w:r>
        <w:fldChar w:fldCharType="begin"/>
      </w:r>
      <w:r>
        <w:instrText xml:space="preserve"> REF _Ref190669594 \h  \* MERGEFORMAT </w:instrText>
      </w:r>
      <w:r>
        <w:fldChar w:fldCharType="separate"/>
      </w:r>
      <w:r w:rsidR="007D3DFF" w:rsidRPr="00537C3C">
        <w:t xml:space="preserve">Table </w:t>
      </w:r>
      <w:r w:rsidR="007D3DFF">
        <w:rPr>
          <w:noProof/>
        </w:rPr>
        <w:t>20</w:t>
      </w:r>
      <w:r>
        <w:fldChar w:fldCharType="end"/>
      </w:r>
      <w:r w:rsidRPr="00537C3C">
        <w:t>).</w:t>
      </w:r>
    </w:p>
    <w:p w:rsidR="00234376" w:rsidRPr="006E4528" w:rsidRDefault="00234376" w:rsidP="008E03A7">
      <w:r w:rsidRPr="00537C3C">
        <w:t>In the Davey et al. (2007</w:t>
      </w:r>
      <w:r w:rsidR="000F7617">
        <w:t>a</w:t>
      </w:r>
      <w:r w:rsidRPr="00537C3C">
        <w:t>) study, the classification of slides between the cytology categories significantly differed between ThinPrep Imager and conventional cytology (</w:t>
      </w:r>
      <w:r w:rsidRPr="0030078D">
        <w:rPr>
          <w:i/>
        </w:rPr>
        <w:t>P</w:t>
      </w:r>
      <w:r w:rsidRPr="00537C3C">
        <w:t xml:space="preserve"> &lt; 0.001, </w:t>
      </w:r>
      <w:r w:rsidRPr="00537C3C">
        <w:rPr>
          <w:szCs w:val="24"/>
        </w:rPr>
        <w:sym w:font="Symbol" w:char="F063"/>
      </w:r>
      <w:r w:rsidRPr="00537C3C">
        <w:rPr>
          <w:vertAlign w:val="superscript"/>
        </w:rPr>
        <w:t>2</w:t>
      </w:r>
      <w:r w:rsidRPr="00537C3C">
        <w:t xml:space="preserve">-test, </w:t>
      </w:r>
      <w:r>
        <w:fldChar w:fldCharType="begin"/>
      </w:r>
      <w:r>
        <w:instrText xml:space="preserve"> REF _Ref200952762 \h  \* MERGEFORMAT </w:instrText>
      </w:r>
      <w:r>
        <w:fldChar w:fldCharType="separate"/>
      </w:r>
      <w:r w:rsidR="007D3DFF" w:rsidRPr="00537C3C">
        <w:t xml:space="preserve">Table </w:t>
      </w:r>
      <w:r w:rsidR="007D3DFF">
        <w:rPr>
          <w:noProof/>
        </w:rPr>
        <w:t>19</w:t>
      </w:r>
      <w:r>
        <w:fldChar w:fldCharType="end"/>
      </w:r>
      <w:r w:rsidRPr="00537C3C">
        <w:t xml:space="preserve"> and </w:t>
      </w:r>
      <w:r>
        <w:fldChar w:fldCharType="begin"/>
      </w:r>
      <w:r>
        <w:instrText xml:space="preserve"> REF _Ref190669594 \h  \* MERGEFORMAT </w:instrText>
      </w:r>
      <w:r>
        <w:fldChar w:fldCharType="separate"/>
      </w:r>
      <w:r w:rsidR="007D3DFF" w:rsidRPr="00537C3C">
        <w:t xml:space="preserve">Table </w:t>
      </w:r>
      <w:r w:rsidR="007D3DFF">
        <w:rPr>
          <w:noProof/>
        </w:rPr>
        <w:t>20</w:t>
      </w:r>
      <w:r>
        <w:fldChar w:fldCharType="end"/>
      </w:r>
      <w:r w:rsidRPr="00537C3C">
        <w:t xml:space="preserve">). A significantly higher proportion of slides were classified as atypia, atypia with </w:t>
      </w:r>
      <w:r w:rsidRPr="00BB76D8">
        <w:t>HPV</w:t>
      </w:r>
      <w:r w:rsidRPr="00537C3C">
        <w:t xml:space="preserve"> effect, </w:t>
      </w:r>
      <w:r w:rsidRPr="00BB76D8">
        <w:t>CIN</w:t>
      </w:r>
      <w:r w:rsidRPr="00537C3C">
        <w:t xml:space="preserve"> 1, </w:t>
      </w:r>
      <w:r w:rsidRPr="00BB76D8">
        <w:t>CIN</w:t>
      </w:r>
      <w:r w:rsidRPr="00537C3C">
        <w:t xml:space="preserve"> 2 and </w:t>
      </w:r>
      <w:r w:rsidRPr="00BB76D8">
        <w:t>CIN</w:t>
      </w:r>
      <w:r w:rsidRPr="00537C3C">
        <w:t xml:space="preserve"> 3+ by the ThinPrep Imager reading compared to manual reading of conventional cytology (</w:t>
      </w:r>
      <w:r>
        <w:fldChar w:fldCharType="begin"/>
      </w:r>
      <w:r>
        <w:instrText xml:space="preserve"> REF _Ref190669594 \h  \* MERGEFORMAT </w:instrText>
      </w:r>
      <w:r>
        <w:fldChar w:fldCharType="separate"/>
      </w:r>
      <w:r w:rsidR="007D3DFF" w:rsidRPr="00537C3C">
        <w:t xml:space="preserve">Table </w:t>
      </w:r>
      <w:r w:rsidR="007D3DFF">
        <w:rPr>
          <w:noProof/>
        </w:rPr>
        <w:t>20</w:t>
      </w:r>
      <w:r>
        <w:fldChar w:fldCharType="end"/>
      </w:r>
      <w:r w:rsidRPr="00537C3C">
        <w:t xml:space="preserve">). A lower </w:t>
      </w:r>
      <w:r w:rsidRPr="006E4528">
        <w:t xml:space="preserve">proportion were classified as pHSIL by the ThinPrep Imager (inconclusive, high-grade histology to be excluded, OR = 0.78, 95% CI 0.67 </w:t>
      </w:r>
      <w:r w:rsidRPr="006E4528">
        <w:softHyphen/>
        <w:t xml:space="preserve">- 0.92, </w:t>
      </w:r>
      <w:r w:rsidRPr="006E4528">
        <w:rPr>
          <w:i/>
        </w:rPr>
        <w:t>P</w:t>
      </w:r>
      <w:r w:rsidRPr="006E4528">
        <w:t xml:space="preserve"> = 0.0028).</w:t>
      </w:r>
    </w:p>
    <w:p w:rsidR="00234376" w:rsidRPr="00537C3C" w:rsidRDefault="00234376" w:rsidP="008E03A7">
      <w:r w:rsidRPr="006E4528">
        <w:t>In the Roberts et al. (</w:t>
      </w:r>
      <w:r w:rsidRPr="006E4528">
        <w:rPr>
          <w:rFonts w:ascii="Tahoma" w:hAnsi="Tahoma"/>
          <w:sz w:val="22"/>
        </w:rPr>
        <w:t>2007</w:t>
      </w:r>
      <w:r w:rsidRPr="006E4528">
        <w:t>) study the ThinPrep Imager classified a significantly greater proportion of slides as pLSIL, LSIL</w:t>
      </w:r>
      <w:r w:rsidRPr="00537C3C">
        <w:t xml:space="preserve"> and </w:t>
      </w:r>
      <w:r w:rsidRPr="00BB76D8">
        <w:t>HSIL</w:t>
      </w:r>
      <w:r w:rsidRPr="00537C3C">
        <w:t xml:space="preserve"> than conventional cytology (</w:t>
      </w:r>
      <w:r>
        <w:fldChar w:fldCharType="begin"/>
      </w:r>
      <w:r>
        <w:instrText xml:space="preserve"> REF _Ref200952762 \h  \* MERGEFORMAT </w:instrText>
      </w:r>
      <w:r>
        <w:fldChar w:fldCharType="separate"/>
      </w:r>
      <w:r w:rsidR="007D3DFF" w:rsidRPr="00537C3C">
        <w:t xml:space="preserve">Table </w:t>
      </w:r>
      <w:r w:rsidR="007D3DFF">
        <w:rPr>
          <w:noProof/>
        </w:rPr>
        <w:t>19</w:t>
      </w:r>
      <w:r>
        <w:fldChar w:fldCharType="end"/>
      </w:r>
      <w:r w:rsidRPr="00537C3C">
        <w:t>).</w:t>
      </w:r>
    </w:p>
    <w:p w:rsidR="00234376" w:rsidRPr="00537C3C" w:rsidRDefault="00234376" w:rsidP="008E03A7">
      <w:r w:rsidRPr="00537C3C">
        <w:t>The study by Davey et al. (2007</w:t>
      </w:r>
      <w:r w:rsidR="000F7617">
        <w:t>a</w:t>
      </w:r>
      <w:r w:rsidRPr="00537C3C">
        <w:t xml:space="preserve">) demonstrated that the use of the ThinPrep Imager system was associated with a lower proportion of unsatisfactory slides (982 vs 1704, </w:t>
      </w:r>
      <w:r w:rsidRPr="00537C3C">
        <w:lastRenderedPageBreak/>
        <w:t xml:space="preserve">1.8% vs 3.1%; </w:t>
      </w:r>
      <w:r w:rsidRPr="0030078D">
        <w:rPr>
          <w:i/>
        </w:rPr>
        <w:t>P</w:t>
      </w:r>
      <w:r w:rsidRPr="00537C3C">
        <w:t xml:space="preserve"> &lt; 0.001 </w:t>
      </w:r>
      <w:r w:rsidRPr="00537C3C">
        <w:rPr>
          <w:szCs w:val="24"/>
        </w:rPr>
        <w:sym w:font="Symbol" w:char="F063"/>
      </w:r>
      <w:r w:rsidRPr="00537C3C">
        <w:rPr>
          <w:vertAlign w:val="superscript"/>
        </w:rPr>
        <w:t>2</w:t>
      </w:r>
      <w:r w:rsidRPr="00537C3C">
        <w:t xml:space="preserve">-test; </w:t>
      </w:r>
      <w:r>
        <w:fldChar w:fldCharType="begin"/>
      </w:r>
      <w:r>
        <w:instrText xml:space="preserve"> REF _Ref200952762 \h  \* MERGEFORMAT </w:instrText>
      </w:r>
      <w:r>
        <w:fldChar w:fldCharType="separate"/>
      </w:r>
      <w:r w:rsidR="007D3DFF" w:rsidRPr="00537C3C">
        <w:t xml:space="preserve">Table </w:t>
      </w:r>
      <w:r w:rsidR="007D3DFF">
        <w:rPr>
          <w:noProof/>
        </w:rPr>
        <w:t>19</w:t>
      </w:r>
      <w:r>
        <w:fldChar w:fldCharType="end"/>
      </w:r>
      <w:r w:rsidRPr="00537C3C">
        <w:t xml:space="preserve">), as expected from the Italian </w:t>
      </w:r>
      <w:r w:rsidRPr="00BB76D8">
        <w:t>RCT</w:t>
      </w:r>
      <w:r w:rsidRPr="00537C3C">
        <w:t xml:space="preserve"> using </w:t>
      </w:r>
      <w:r w:rsidRPr="00BB76D8">
        <w:t>LBC</w:t>
      </w:r>
      <w:r w:rsidRPr="00537C3C">
        <w:t>, as discussed above (see ‘</w:t>
      </w:r>
      <w:r>
        <w:fldChar w:fldCharType="begin"/>
      </w:r>
      <w:r>
        <w:instrText xml:space="preserve"> REF _Ref208912444 \h  \* MERGEFORMAT </w:instrText>
      </w:r>
      <w:r>
        <w:fldChar w:fldCharType="separate"/>
      </w:r>
      <w:r w:rsidR="007D3DFF" w:rsidRPr="00537C3C">
        <w:t>Unsatisfactory rate</w:t>
      </w:r>
      <w:r>
        <w:fldChar w:fldCharType="end"/>
      </w:r>
      <w:r w:rsidRPr="00537C3C">
        <w:t xml:space="preserve">‘ page </w:t>
      </w:r>
      <w:r w:rsidRPr="00537C3C">
        <w:fldChar w:fldCharType="begin"/>
      </w:r>
      <w:r w:rsidRPr="00537C3C">
        <w:instrText xml:space="preserve"> PAGEREF _Ref190578227 \h </w:instrText>
      </w:r>
      <w:r w:rsidRPr="00537C3C">
        <w:fldChar w:fldCharType="separate"/>
      </w:r>
      <w:r w:rsidR="007D3DFF">
        <w:rPr>
          <w:noProof/>
        </w:rPr>
        <w:t>32</w:t>
      </w:r>
      <w:r w:rsidRPr="00537C3C">
        <w:fldChar w:fldCharType="end"/>
      </w:r>
      <w:r w:rsidRPr="00537C3C">
        <w:t>).</w:t>
      </w:r>
    </w:p>
    <w:p w:rsidR="00234376" w:rsidRPr="00537C3C" w:rsidRDefault="00234376" w:rsidP="008E03A7">
      <w:r w:rsidRPr="00537C3C">
        <w:t>Confortini et al. (2003) reported that the use of AutoPap reading of conventional slides also reduced unsatisfactory rates (</w:t>
      </w:r>
      <w:r>
        <w:fldChar w:fldCharType="begin"/>
      </w:r>
      <w:r>
        <w:instrText xml:space="preserve"> REF _Ref200952762 \h  \* MERGEFORMAT </w:instrText>
      </w:r>
      <w:r>
        <w:fldChar w:fldCharType="separate"/>
      </w:r>
      <w:r w:rsidR="007D3DFF" w:rsidRPr="00537C3C">
        <w:t xml:space="preserve">Table </w:t>
      </w:r>
      <w:r w:rsidR="007D3DFF">
        <w:rPr>
          <w:noProof/>
        </w:rPr>
        <w:t>19</w:t>
      </w:r>
      <w:r>
        <w:fldChar w:fldCharType="end"/>
      </w:r>
      <w:r w:rsidRPr="00537C3C">
        <w:t>). However, process advantages are not relevant if sufficient evidence of accuracy is not available (</w:t>
      </w:r>
      <w:r>
        <w:fldChar w:fldCharType="begin"/>
      </w:r>
      <w:r>
        <w:instrText xml:space="preserve"> REF _Ref190499190 \h  \* MERGEFORMAT </w:instrText>
      </w:r>
      <w:r>
        <w:fldChar w:fldCharType="separate"/>
      </w:r>
      <w:r w:rsidR="007D3DFF" w:rsidRPr="00537C3C">
        <w:t xml:space="preserve">Table </w:t>
      </w:r>
      <w:r w:rsidR="007D3DFF">
        <w:t>17</w:t>
      </w:r>
      <w:r>
        <w:fldChar w:fldCharType="end"/>
      </w:r>
      <w:r w:rsidRPr="00537C3C">
        <w:t xml:space="preserve">). Process time was also reduced, as only 83 per cent of slides underwent manual review; the study used the AutoPap system to designate slides as </w:t>
      </w:r>
      <w:r w:rsidR="006E4528" w:rsidRPr="009A6D49">
        <w:t>“not for review</w:t>
      </w:r>
      <w:r w:rsidR="006E4528">
        <w:t>”</w:t>
      </w:r>
      <w:r w:rsidR="006E4528" w:rsidRPr="009A6D49">
        <w:t xml:space="preserve"> (NFR</w:t>
      </w:r>
      <w:r w:rsidR="006E4528">
        <w:t>)</w:t>
      </w:r>
      <w:r w:rsidRPr="00537C3C">
        <w:t xml:space="preserve">. As the current use of the FocalPoint system does not involve allocating slides as </w:t>
      </w:r>
      <w:r w:rsidRPr="00BB76D8">
        <w:t>NFR</w:t>
      </w:r>
      <w:r w:rsidRPr="00537C3C">
        <w:t xml:space="preserve"> (see </w:t>
      </w:r>
      <w:r>
        <w:fldChar w:fldCharType="begin"/>
      </w:r>
      <w:r>
        <w:instrText xml:space="preserve"> REF _Ref199566181 \h  \* MERGEFORMAT </w:instrText>
      </w:r>
      <w:r w:rsidR="007D3DFF">
        <w:fldChar w:fldCharType="separate"/>
      </w:r>
      <w:r w:rsidR="007D3DFF">
        <w:rPr>
          <w:b/>
          <w:bCs/>
          <w:lang w:val="en-US"/>
        </w:rPr>
        <w:t>Error! Reference source not found.</w:t>
      </w:r>
      <w:r>
        <w:fldChar w:fldCharType="end"/>
      </w:r>
      <w:r w:rsidRPr="00537C3C">
        <w:t>), these data are not relevant.</w:t>
      </w:r>
    </w:p>
    <w:p w:rsidR="00234376" w:rsidRPr="00537C3C" w:rsidRDefault="00234376" w:rsidP="008E03A7">
      <w:r w:rsidRPr="00537C3C">
        <w:t xml:space="preserve">Data reported on slide reading times from included accuracy studies are summarised in </w:t>
      </w:r>
      <w:r>
        <w:fldChar w:fldCharType="begin"/>
      </w:r>
      <w:r>
        <w:instrText xml:space="preserve"> REF _Ref199062260 \h  \* MERGEFORMAT </w:instrText>
      </w:r>
      <w:r>
        <w:fldChar w:fldCharType="separate"/>
      </w:r>
      <w:r w:rsidR="007D3DFF" w:rsidRPr="00537C3C">
        <w:t xml:space="preserve">Table </w:t>
      </w:r>
      <w:r w:rsidR="007D3DFF">
        <w:rPr>
          <w:noProof/>
        </w:rPr>
        <w:t>21</w:t>
      </w:r>
      <w:r>
        <w:fldChar w:fldCharType="end"/>
      </w:r>
      <w:r w:rsidRPr="00537C3C">
        <w:t xml:space="preserve">. The study by Davey et al. </w:t>
      </w:r>
      <w:r w:rsidRPr="00537C3C">
        <w:fldChar w:fldCharType="begin"/>
      </w:r>
      <w:r w:rsidRPr="00537C3C">
        <w:instrText xml:space="preserve"> ADDIN REFMGR.CITE &lt;Refman&gt;&lt;Cite ExcludeAuth="1"&gt;&lt;Author&gt;Davey&lt;/Author&gt;&lt;Year&gt;2007&lt;/Year&gt;&lt;RecNum&gt;33&lt;/RecNum&gt;&lt;IDText&gt;Cervical cytology reading times: A comparison between ThinPrep Imager and conventional methods&lt;/IDText&gt;&lt;MDL Ref_Type="Journal"&gt;&lt;Ref_Type&gt;Journal&lt;/Ref_Type&gt;&lt;Ref_ID&gt;33&lt;/Ref_ID&gt;&lt;Title_Primary&gt;Cervical cytology reading times: A comparison between ThinPrep Imager and conventional methods&lt;/Title_Primary&gt;&lt;Authors_Primary&gt;Davey,E.&lt;/Authors_Primary&gt;&lt;Authors_Primary&gt;Irwig,L.&lt;/Authors_Primary&gt;&lt;Authors_Primary&gt;Macaskill,P.&lt;/Authors_Primary&gt;&lt;Authors_Primary&gt;Chan,S.F.&lt;/Authors_Primary&gt;&lt;Authors_Primary&gt;D&amp;apos;Assuncao,J.&lt;/Authors_Primary&gt;&lt;Authors_Primary&gt;Richards,A.&lt;/Authors_Primary&gt;&lt;Authors_Primary&gt;Farnsworth,A.&lt;/Authors_Primary&gt;&lt;Date_Primary&gt;2007&lt;/Date_Primary&gt;&lt;Keywords&gt;article&lt;/Keywords&gt;&lt;Keywords&gt;controlled study&lt;/Keywords&gt;&lt;Keywords&gt;human&lt;/Keywords&gt;&lt;Keywords&gt;intermethod comparison&lt;/Keywords&gt;&lt;Keywords&gt;laboratory diagnosis&lt;/Keywords&gt;&lt;Keywords&gt;medical practice&lt;/Keywords&gt;&lt;Keywords&gt;priority journal&lt;/Keywords&gt;&lt;Keywords&gt;uterine cervix cytology&lt;/Keywords&gt;&lt;Reprint&gt;In File&lt;/Reprint&gt;&lt;Start_Page&gt;550&lt;/Start_Page&gt;&lt;End_Page&gt;554&lt;/End_Page&gt;&lt;Periodical&gt;Diagnostic Cytopathology&lt;/Periodical&gt;&lt;Volume&gt;35&lt;/Volume&gt;&lt;Issue&gt;9&lt;/Issue&gt;&lt;ISSN_ISBN&gt;8755-1039&lt;/ISSN_ISBN&gt;&lt;Address&gt;Davey, E., Screening and Test Evaluation Program, School of Public Health, University of Sydney, Sydney, NSW 2006,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(2007b)</w:t>
      </w:r>
      <w:r w:rsidRPr="00537C3C">
        <w:fldChar w:fldCharType="end"/>
      </w:r>
      <w:r w:rsidRPr="00537C3C">
        <w:t xml:space="preserve"> found that the number of slides read per hour was significantly increased with </w:t>
      </w:r>
      <w:r w:rsidRPr="00BB76D8">
        <w:t>TPI</w:t>
      </w:r>
      <w:r w:rsidRPr="00537C3C">
        <w:t xml:space="preserve">-assisted reading (mean within-reader difference 7.18 [95% </w:t>
      </w:r>
      <w:r w:rsidRPr="00BB76D8">
        <w:t>CI</w:t>
      </w:r>
      <w:r w:rsidRPr="00537C3C">
        <w:t xml:space="preserve"> 6.17–8.20] slides per hour; </w:t>
      </w:r>
      <w:r w:rsidRPr="0030078D">
        <w:rPr>
          <w:i/>
        </w:rPr>
        <w:t>P</w:t>
      </w:r>
      <w:r w:rsidRPr="00537C3C">
        <w:t xml:space="preserve"> &lt; 0.001, </w:t>
      </w:r>
      <w:r w:rsidRPr="006E4528">
        <w:t xml:space="preserve">paired </w:t>
      </w:r>
      <w:r w:rsidRPr="006E4528">
        <w:rPr>
          <w:rFonts w:ascii="Tahoma" w:hAnsi="Tahoma"/>
          <w:sz w:val="22"/>
        </w:rPr>
        <w:t>t</w:t>
      </w:r>
      <w:r w:rsidRPr="006E4528">
        <w:t>-test). There was no difference in the time taken to read conventional slides between cytologists</w:t>
      </w:r>
      <w:r w:rsidRPr="00537C3C">
        <w:t xml:space="preserve"> trained to use the </w:t>
      </w:r>
      <w:r w:rsidR="0055726B" w:rsidRPr="00537C3C">
        <w:t>ThinPrep Imager</w:t>
      </w:r>
      <w:r w:rsidRPr="00537C3C">
        <w:t xml:space="preserve"> system and those who only read conventional slides (</w:t>
      </w:r>
      <w:r w:rsidRPr="00BB76D8">
        <w:t>TPI</w:t>
      </w:r>
      <w:r w:rsidRPr="00537C3C">
        <w:t xml:space="preserve"> trained, </w:t>
      </w:r>
      <w:r w:rsidRPr="0030078D">
        <w:rPr>
          <w:i/>
        </w:rPr>
        <w:t>n</w:t>
      </w:r>
      <w:r w:rsidRPr="00537C3C">
        <w:t xml:space="preserve"> = 20: 10.61 min, 95% </w:t>
      </w:r>
      <w:r w:rsidRPr="00BB76D8">
        <w:t>CI</w:t>
      </w:r>
      <w:r w:rsidRPr="00537C3C">
        <w:t xml:space="preserve"> 9.73–11.49 min; </w:t>
      </w:r>
      <w:r w:rsidRPr="00BB76D8">
        <w:t>TPI</w:t>
      </w:r>
      <w:r w:rsidRPr="00537C3C">
        <w:t xml:space="preserve">-untrained, </w:t>
      </w:r>
      <w:r w:rsidRPr="0030078D">
        <w:rPr>
          <w:i/>
        </w:rPr>
        <w:t>n</w:t>
      </w:r>
      <w:r w:rsidRPr="00537C3C">
        <w:t xml:space="preserve"> = 21: 10.61 min, 95% </w:t>
      </w:r>
      <w:r w:rsidRPr="00BB76D8">
        <w:t>CI</w:t>
      </w:r>
      <w:r w:rsidRPr="00537C3C">
        <w:t xml:space="preserve"> 10.03–11.18 min). This study also reported that slower readers had a greater increase in slide reading time with </w:t>
      </w:r>
      <w:r w:rsidRPr="00BB76D8">
        <w:t>TPI</w:t>
      </w:r>
      <w:r w:rsidRPr="00537C3C">
        <w:t xml:space="preserve"> than fast readers (</w:t>
      </w:r>
      <w:r w:rsidRPr="0030078D">
        <w:rPr>
          <w:i/>
        </w:rPr>
        <w:t>P</w:t>
      </w:r>
      <w:r w:rsidRPr="00537C3C">
        <w:t xml:space="preserve"> &lt; 0.001, linear regression, </w:t>
      </w:r>
      <w:r>
        <w:fldChar w:fldCharType="begin"/>
      </w:r>
      <w:r>
        <w:instrText xml:space="preserve"> REF _Ref199133103 \h  \* MERGEFORMAT </w:instrText>
      </w:r>
      <w:r>
        <w:fldChar w:fldCharType="separate"/>
      </w:r>
      <w:r w:rsidR="007D3DFF" w:rsidRPr="00537C3C">
        <w:t xml:space="preserve">Figure </w:t>
      </w:r>
      <w:r w:rsidR="007D3DFF">
        <w:rPr>
          <w:noProof/>
        </w:rPr>
        <w:t>4</w:t>
      </w:r>
      <w:r>
        <w:fldChar w:fldCharType="end"/>
      </w:r>
      <w:r w:rsidRPr="00537C3C">
        <w:t xml:space="preserve">). Experience did not significantly affect </w:t>
      </w:r>
      <w:r w:rsidR="0055726B" w:rsidRPr="00537C3C">
        <w:t>ThinPrep Imager</w:t>
      </w:r>
      <w:r w:rsidRPr="00537C3C">
        <w:t xml:space="preserve"> reading times (</w:t>
      </w:r>
      <w:r w:rsidRPr="0030078D">
        <w:rPr>
          <w:i/>
        </w:rPr>
        <w:t>P</w:t>
      </w:r>
      <w:r w:rsidRPr="00537C3C">
        <w:t xml:space="preserve"> = 0.41) or within-reader differences (</w:t>
      </w:r>
      <w:r w:rsidRPr="0030078D">
        <w:rPr>
          <w:i/>
        </w:rPr>
        <w:t>P</w:t>
      </w:r>
      <w:r w:rsidRPr="00537C3C">
        <w:t xml:space="preserve"> = 0.16, </w:t>
      </w:r>
      <w:r>
        <w:fldChar w:fldCharType="begin"/>
      </w:r>
      <w:r>
        <w:instrText xml:space="preserve"> REF _Ref199062260 \h  \* MERGEFORMAT </w:instrText>
      </w:r>
      <w:r>
        <w:fldChar w:fldCharType="separate"/>
      </w:r>
      <w:r w:rsidR="007D3DFF" w:rsidRPr="00537C3C">
        <w:t xml:space="preserve">Table </w:t>
      </w:r>
      <w:r w:rsidR="007D3DFF">
        <w:rPr>
          <w:noProof/>
        </w:rPr>
        <w:t>21</w:t>
      </w:r>
      <w:r>
        <w:fldChar w:fldCharType="end"/>
      </w:r>
      <w:r w:rsidRPr="00537C3C">
        <w:t>).</w:t>
      </w:r>
    </w:p>
    <w:p w:rsidR="00234376" w:rsidRPr="00537C3C" w:rsidRDefault="00234376" w:rsidP="008E03A7">
      <w:r w:rsidRPr="00537C3C">
        <w:t>The study by Roberts et al. (2007) reported that the ThinPrep system reduced mean slide reading times by 54 per cent (3.4 min for ThinPrep Imager reading, 7.4 min for manual reading of conventional slides). However, it did not report the degree of variability, completeness of data or any statistical analysis. This did not include time spent checking previously screened slides.</w:t>
      </w:r>
    </w:p>
    <w:p w:rsidR="00234376" w:rsidRPr="00537C3C" w:rsidRDefault="00234376" w:rsidP="008E03A7">
      <w:r w:rsidRPr="00537C3C">
        <w:t>Exclusion of slides that were unsuitable for reading by the automated system from both of these analyses may bias these estimates slightly.</w:t>
      </w:r>
    </w:p>
    <w:p w:rsidR="00234376" w:rsidRPr="00537C3C" w:rsidRDefault="00234376" w:rsidP="008E03A7">
      <w:pPr>
        <w:sectPr w:rsidR="00234376" w:rsidRPr="00537C3C" w:rsidSect="008E03A7">
          <w:headerReference w:type="even" r:id="rId31"/>
          <w:headerReference w:type="default" r:id="rId32"/>
          <w:footerReference w:type="even" r:id="rId33"/>
          <w:headerReference w:type="first" r:id="rId34"/>
          <w:pgSz w:w="11906" w:h="16838"/>
          <w:pgMar w:top="1440" w:right="1440" w:bottom="1440" w:left="1440" w:header="720" w:footer="720" w:gutter="0"/>
          <w:cols w:space="720"/>
        </w:sectPr>
      </w:pPr>
    </w:p>
    <w:p w:rsidR="00234376" w:rsidRPr="00537C3C" w:rsidRDefault="00234376" w:rsidP="008E03A7">
      <w:pPr>
        <w:pStyle w:val="Caption"/>
      </w:pPr>
      <w:bookmarkStart w:id="421" w:name="_Ref200952762"/>
      <w:bookmarkStart w:id="422" w:name="_Ref212958824"/>
      <w:bookmarkStart w:id="423" w:name="_Ref212958920"/>
      <w:bookmarkStart w:id="424" w:name="_Toc95971255"/>
      <w:r w:rsidRPr="00537C3C">
        <w:lastRenderedPageBreak/>
        <w:t xml:space="preserve">Table </w:t>
      </w:r>
      <w:fldSimple w:instr=" SEQ Table \* ARABIC ">
        <w:r w:rsidR="007D3DFF">
          <w:rPr>
            <w:noProof/>
          </w:rPr>
          <w:t>19</w:t>
        </w:r>
      </w:fldSimple>
      <w:bookmarkEnd w:id="421"/>
      <w:r w:rsidRPr="00537C3C">
        <w:tab/>
        <w:t xml:space="preserve">Slide classifications of automation-assisted reading of </w:t>
      </w:r>
      <w:r w:rsidRPr="00BB76D8">
        <w:t>LBC</w:t>
      </w:r>
      <w:r w:rsidRPr="00537C3C">
        <w:t xml:space="preserve"> versus manual reading of conventional cytology slides</w:t>
      </w:r>
      <w:bookmarkEnd w:id="422"/>
      <w:bookmarkEnd w:id="423"/>
      <w:r w:rsidRPr="00537C3C">
        <w:t>.</w:t>
      </w:r>
      <w:bookmarkEnd w:id="424"/>
    </w:p>
    <w:tbl>
      <w:tblPr>
        <w:tblW w:w="13802"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5"/>
        <w:gridCol w:w="650"/>
        <w:gridCol w:w="540"/>
        <w:gridCol w:w="567"/>
        <w:gridCol w:w="550"/>
        <w:gridCol w:w="637"/>
        <w:gridCol w:w="6"/>
        <w:gridCol w:w="545"/>
        <w:gridCol w:w="536"/>
        <w:gridCol w:w="694"/>
        <w:gridCol w:w="802"/>
        <w:gridCol w:w="34"/>
        <w:gridCol w:w="897"/>
        <w:gridCol w:w="736"/>
        <w:gridCol w:w="567"/>
        <w:gridCol w:w="142"/>
        <w:gridCol w:w="708"/>
        <w:gridCol w:w="618"/>
        <w:gridCol w:w="709"/>
        <w:gridCol w:w="708"/>
        <w:gridCol w:w="851"/>
        <w:gridCol w:w="850"/>
      </w:tblGrid>
      <w:tr w:rsidR="00234376" w:rsidRPr="00537C3C">
        <w:tc>
          <w:tcPr>
            <w:tcW w:w="1455" w:type="dxa"/>
            <w:tcBorders>
              <w:bottom w:val="nil"/>
            </w:tcBorders>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Study</w:t>
            </w:r>
          </w:p>
        </w:tc>
        <w:tc>
          <w:tcPr>
            <w:tcW w:w="650" w:type="dxa"/>
            <w:tcBorders>
              <w:bottom w:val="nil"/>
            </w:tcBorders>
          </w:tcPr>
          <w:p w:rsidR="00234376" w:rsidRDefault="00234376" w:rsidP="00234376">
            <w:pPr>
              <w:pStyle w:val="TableHeading0"/>
              <w:spacing w:before="0" w:after="0"/>
              <w:jc w:val="center"/>
              <w:rPr>
                <w:rFonts w:ascii="Arial Narrow" w:hAnsi="Arial Narrow"/>
                <w:bCs/>
                <w:sz w:val="20"/>
              </w:rPr>
            </w:pPr>
            <w:r w:rsidRPr="0030078D">
              <w:rPr>
                <w:rFonts w:ascii="Arial Narrow" w:hAnsi="Arial Narrow"/>
                <w:bCs/>
                <w:i/>
                <w:sz w:val="20"/>
              </w:rPr>
              <w:t>N</w:t>
            </w:r>
          </w:p>
        </w:tc>
        <w:tc>
          <w:tcPr>
            <w:tcW w:w="540" w:type="dxa"/>
            <w:vMerge w:val="restart"/>
          </w:tcPr>
          <w:p w:rsidR="00234376" w:rsidRDefault="00234376" w:rsidP="00234376">
            <w:pPr>
              <w:pStyle w:val="TableHeading0"/>
              <w:spacing w:before="0" w:after="0"/>
              <w:jc w:val="center"/>
              <w:rPr>
                <w:rFonts w:ascii="Arial Narrow" w:hAnsi="Arial Narrow"/>
                <w:bCs/>
                <w:sz w:val="20"/>
              </w:rPr>
            </w:pPr>
            <w:r w:rsidRPr="00537C3C">
              <w:rPr>
                <w:rFonts w:ascii="Arial Narrow" w:hAnsi="Arial Narrow"/>
                <w:bCs/>
                <w:sz w:val="20"/>
              </w:rPr>
              <w:t>Not read (%)</w:t>
            </w:r>
          </w:p>
        </w:tc>
        <w:tc>
          <w:tcPr>
            <w:tcW w:w="1117" w:type="dxa"/>
            <w:gridSpan w:val="2"/>
          </w:tcPr>
          <w:p w:rsidR="00234376" w:rsidRPr="00537C3C" w:rsidRDefault="00234376" w:rsidP="008E03A7">
            <w:pPr>
              <w:pStyle w:val="TableText0"/>
              <w:jc w:val="center"/>
              <w:rPr>
                <w:b/>
              </w:rPr>
            </w:pPr>
            <w:r w:rsidRPr="00A316F5">
              <w:rPr>
                <w:rFonts w:ascii="Arial Narrow" w:hAnsi="Arial Narrow"/>
                <w:b/>
                <w:bCs/>
                <w:sz w:val="20"/>
              </w:rPr>
              <w:t>Unsatisfac</w:t>
            </w:r>
            <w:r w:rsidRPr="00A316F5">
              <w:rPr>
                <w:rFonts w:ascii="Arial Narrow" w:hAnsi="Arial Narrow"/>
                <w:b/>
                <w:bCs/>
                <w:sz w:val="20"/>
              </w:rPr>
              <w:softHyphen/>
              <w:t xml:space="preserve">tory </w:t>
            </w:r>
            <w:r w:rsidRPr="00537C3C">
              <w:rPr>
                <w:rFonts w:ascii="Arial Narrow" w:hAnsi="Arial Narrow"/>
                <w:b/>
                <w:bCs/>
                <w:sz w:val="20"/>
              </w:rPr>
              <w:t>(%)</w:t>
            </w:r>
          </w:p>
        </w:tc>
        <w:tc>
          <w:tcPr>
            <w:tcW w:w="4887" w:type="dxa"/>
            <w:gridSpan w:val="9"/>
          </w:tcPr>
          <w:p w:rsidR="00234376" w:rsidRPr="00537C3C" w:rsidRDefault="00234376" w:rsidP="008E03A7">
            <w:pPr>
              <w:pStyle w:val="TableText0"/>
              <w:jc w:val="center"/>
              <w:rPr>
                <w:rFonts w:ascii="Arial Narrow" w:hAnsi="Arial Narrow"/>
                <w:b/>
                <w:bCs/>
                <w:sz w:val="20"/>
              </w:rPr>
            </w:pPr>
            <w:r w:rsidRPr="00537C3C">
              <w:rPr>
                <w:rFonts w:ascii="Arial Narrow" w:hAnsi="Arial Narrow"/>
                <w:b/>
                <w:bCs/>
                <w:sz w:val="20"/>
              </w:rPr>
              <w:t>Automation-assisted yield</w:t>
            </w:r>
          </w:p>
          <w:p w:rsidR="00234376" w:rsidRPr="00537C3C" w:rsidRDefault="00234376" w:rsidP="008E03A7">
            <w:pPr>
              <w:pStyle w:val="TableText0"/>
              <w:jc w:val="center"/>
              <w:rPr>
                <w:b/>
              </w:rPr>
            </w:pPr>
            <w:r w:rsidRPr="00537C3C">
              <w:rPr>
                <w:rFonts w:ascii="Arial Narrow" w:hAnsi="Arial Narrow"/>
                <w:b/>
                <w:bCs/>
                <w:sz w:val="20"/>
              </w:rPr>
              <w:t>(%)</w:t>
            </w:r>
          </w:p>
        </w:tc>
        <w:tc>
          <w:tcPr>
            <w:tcW w:w="5153" w:type="dxa"/>
            <w:gridSpan w:val="8"/>
          </w:tcPr>
          <w:p w:rsidR="00234376" w:rsidRPr="00537C3C" w:rsidRDefault="00234376" w:rsidP="008E03A7">
            <w:pPr>
              <w:pStyle w:val="TableHeading0"/>
              <w:spacing w:before="0" w:after="0"/>
              <w:jc w:val="center"/>
              <w:rPr>
                <w:rFonts w:ascii="Arial Narrow" w:hAnsi="Arial Narrow"/>
                <w:bCs/>
                <w:sz w:val="20"/>
              </w:rPr>
            </w:pPr>
            <w:r w:rsidRPr="00537C3C">
              <w:rPr>
                <w:rFonts w:ascii="Arial Narrow" w:hAnsi="Arial Narrow"/>
                <w:bCs/>
                <w:sz w:val="20"/>
              </w:rPr>
              <w:t>Conventional cytology yield</w:t>
            </w:r>
          </w:p>
          <w:p w:rsidR="00234376" w:rsidRPr="00537C3C" w:rsidRDefault="00234376" w:rsidP="008E03A7">
            <w:pPr>
              <w:pStyle w:val="TableText0"/>
              <w:jc w:val="center"/>
            </w:pPr>
            <w:r w:rsidRPr="00537C3C">
              <w:rPr>
                <w:rFonts w:ascii="Arial Narrow" w:hAnsi="Arial Narrow"/>
                <w:b/>
                <w:bCs/>
                <w:sz w:val="20"/>
              </w:rPr>
              <w:t>(%)</w:t>
            </w:r>
          </w:p>
        </w:tc>
      </w:tr>
      <w:tr w:rsidR="0086584F" w:rsidRPr="00537C3C">
        <w:tc>
          <w:tcPr>
            <w:tcW w:w="1455" w:type="dxa"/>
            <w:tcBorders>
              <w:top w:val="nil"/>
            </w:tcBorders>
          </w:tcPr>
          <w:p w:rsidR="00234376" w:rsidRPr="00537C3C" w:rsidRDefault="00234376" w:rsidP="008E03A7">
            <w:pPr>
              <w:pStyle w:val="TableText0"/>
              <w:rPr>
                <w:rFonts w:ascii="Arial Narrow" w:hAnsi="Arial Narrow"/>
              </w:rPr>
            </w:pPr>
          </w:p>
        </w:tc>
        <w:tc>
          <w:tcPr>
            <w:tcW w:w="650" w:type="dxa"/>
            <w:tcBorders>
              <w:top w:val="nil"/>
            </w:tcBorders>
          </w:tcPr>
          <w:p w:rsidR="00234376" w:rsidRPr="00537C3C" w:rsidRDefault="00234376" w:rsidP="008E03A7">
            <w:pPr>
              <w:pStyle w:val="TableText0"/>
              <w:rPr>
                <w:rFonts w:ascii="Arial Narrow" w:hAnsi="Arial Narrow"/>
                <w:b/>
              </w:rPr>
            </w:pPr>
          </w:p>
        </w:tc>
        <w:tc>
          <w:tcPr>
            <w:tcW w:w="540" w:type="dxa"/>
            <w:vMerge/>
          </w:tcPr>
          <w:p w:rsidR="00234376" w:rsidRPr="00537C3C" w:rsidRDefault="00234376" w:rsidP="008E03A7">
            <w:pPr>
              <w:pStyle w:val="TableText0"/>
              <w:jc w:val="center"/>
              <w:rPr>
                <w:rFonts w:ascii="Arial Narrow" w:hAnsi="Arial Narrow"/>
              </w:rPr>
            </w:pPr>
          </w:p>
        </w:tc>
        <w:tc>
          <w:tcPr>
            <w:tcW w:w="567" w:type="dxa"/>
          </w:tcPr>
          <w:p w:rsidR="00234376" w:rsidRPr="00537C3C" w:rsidRDefault="00234376" w:rsidP="008E03A7">
            <w:pPr>
              <w:pStyle w:val="TableText0"/>
              <w:jc w:val="center"/>
              <w:rPr>
                <w:rFonts w:ascii="Arial Narrow" w:hAnsi="Arial Narrow"/>
                <w:b/>
              </w:rPr>
            </w:pPr>
            <w:r w:rsidRPr="00537C3C">
              <w:rPr>
                <w:rFonts w:ascii="Arial Narrow" w:hAnsi="Arial Narrow"/>
                <w:b/>
              </w:rPr>
              <w:t>Auto</w:t>
            </w:r>
          </w:p>
        </w:tc>
        <w:tc>
          <w:tcPr>
            <w:tcW w:w="550" w:type="dxa"/>
          </w:tcPr>
          <w:p w:rsidR="00234376" w:rsidRPr="00537C3C" w:rsidRDefault="00234376" w:rsidP="008E03A7">
            <w:pPr>
              <w:pStyle w:val="TableText0"/>
              <w:jc w:val="center"/>
              <w:rPr>
                <w:rFonts w:ascii="Arial Narrow" w:hAnsi="Arial Narrow"/>
                <w:b/>
              </w:rPr>
            </w:pPr>
            <w:r w:rsidRPr="00537C3C">
              <w:rPr>
                <w:rFonts w:ascii="Arial Narrow" w:hAnsi="Arial Narrow"/>
                <w:b/>
              </w:rPr>
              <w:t>Conv</w:t>
            </w:r>
          </w:p>
        </w:tc>
        <w:tc>
          <w:tcPr>
            <w:tcW w:w="637" w:type="dxa"/>
          </w:tcPr>
          <w:p w:rsidR="00234376" w:rsidRPr="00537C3C" w:rsidRDefault="00234376" w:rsidP="008E03A7">
            <w:pPr>
              <w:pStyle w:val="TableText0"/>
              <w:jc w:val="center"/>
              <w:rPr>
                <w:rFonts w:ascii="Arial Narrow" w:hAnsi="Arial Narrow"/>
                <w:b/>
              </w:rPr>
            </w:pPr>
            <w:r w:rsidRPr="00BB76D8">
              <w:rPr>
                <w:rFonts w:ascii="Arial Narrow" w:hAnsi="Arial Narrow"/>
                <w:b/>
              </w:rPr>
              <w:t>pLSIL</w:t>
            </w:r>
          </w:p>
        </w:tc>
        <w:tc>
          <w:tcPr>
            <w:tcW w:w="551" w:type="dxa"/>
            <w:gridSpan w:val="2"/>
          </w:tcPr>
          <w:p w:rsidR="00234376" w:rsidRPr="00537C3C" w:rsidRDefault="00234376" w:rsidP="008E03A7">
            <w:pPr>
              <w:pStyle w:val="TableText0"/>
              <w:jc w:val="center"/>
              <w:rPr>
                <w:rFonts w:ascii="Arial Narrow" w:hAnsi="Arial Narrow"/>
                <w:b/>
              </w:rPr>
            </w:pPr>
            <w:r w:rsidRPr="00BB76D8">
              <w:rPr>
                <w:rFonts w:ascii="Arial Narrow" w:hAnsi="Arial Narrow"/>
                <w:b/>
              </w:rPr>
              <w:t>CIN</w:t>
            </w:r>
            <w:r w:rsidRPr="00537C3C">
              <w:rPr>
                <w:rFonts w:ascii="Arial Narrow" w:hAnsi="Arial Narrow"/>
                <w:b/>
              </w:rPr>
              <w:t xml:space="preserve"> 1</w:t>
            </w:r>
          </w:p>
        </w:tc>
        <w:tc>
          <w:tcPr>
            <w:tcW w:w="536" w:type="dxa"/>
          </w:tcPr>
          <w:p w:rsidR="00234376" w:rsidRPr="00537C3C" w:rsidRDefault="00234376" w:rsidP="008E03A7">
            <w:pPr>
              <w:pStyle w:val="TableText0"/>
              <w:jc w:val="center"/>
              <w:rPr>
                <w:rFonts w:ascii="Arial Narrow" w:hAnsi="Arial Narrow"/>
                <w:b/>
              </w:rPr>
            </w:pPr>
            <w:r w:rsidRPr="00BB76D8">
              <w:rPr>
                <w:rFonts w:ascii="Arial Narrow" w:hAnsi="Arial Narrow"/>
                <w:b/>
              </w:rPr>
              <w:t>LSIL</w:t>
            </w:r>
          </w:p>
        </w:tc>
        <w:tc>
          <w:tcPr>
            <w:tcW w:w="694" w:type="dxa"/>
          </w:tcPr>
          <w:p w:rsidR="00234376" w:rsidRPr="00537C3C" w:rsidRDefault="00234376" w:rsidP="008E03A7">
            <w:pPr>
              <w:pStyle w:val="TableText0"/>
              <w:jc w:val="center"/>
              <w:rPr>
                <w:rFonts w:ascii="Arial Narrow" w:hAnsi="Arial Narrow"/>
                <w:b/>
                <w:vertAlign w:val="superscript"/>
              </w:rPr>
            </w:pPr>
            <w:r w:rsidRPr="00BB76D8">
              <w:rPr>
                <w:rFonts w:ascii="Arial Narrow" w:hAnsi="Arial Narrow"/>
                <w:b/>
              </w:rPr>
              <w:t>pHSIL</w:t>
            </w:r>
          </w:p>
        </w:tc>
        <w:tc>
          <w:tcPr>
            <w:tcW w:w="836" w:type="dxa"/>
            <w:gridSpan w:val="2"/>
          </w:tcPr>
          <w:p w:rsidR="00234376" w:rsidRPr="00537C3C" w:rsidRDefault="00234376" w:rsidP="008E03A7">
            <w:pPr>
              <w:pStyle w:val="TableText0"/>
              <w:jc w:val="center"/>
              <w:rPr>
                <w:rFonts w:ascii="Arial Narrow" w:hAnsi="Arial Narrow"/>
                <w:b/>
              </w:rPr>
            </w:pPr>
            <w:r w:rsidRPr="00BB76D8">
              <w:rPr>
                <w:rFonts w:ascii="Arial Narrow" w:hAnsi="Arial Narrow"/>
                <w:b/>
              </w:rPr>
              <w:t>HSIL</w:t>
            </w:r>
          </w:p>
        </w:tc>
        <w:tc>
          <w:tcPr>
            <w:tcW w:w="897" w:type="dxa"/>
          </w:tcPr>
          <w:p w:rsidR="00234376" w:rsidRPr="00537C3C" w:rsidRDefault="00234376" w:rsidP="008E03A7">
            <w:pPr>
              <w:pStyle w:val="TableText0"/>
              <w:jc w:val="center"/>
              <w:rPr>
                <w:rFonts w:ascii="Arial Narrow" w:hAnsi="Arial Narrow"/>
                <w:b/>
              </w:rPr>
            </w:pPr>
            <w:r w:rsidRPr="00BB76D8">
              <w:rPr>
                <w:rFonts w:ascii="Arial Narrow" w:hAnsi="Arial Narrow"/>
                <w:b/>
              </w:rPr>
              <w:t>AIS</w:t>
            </w:r>
            <w:r w:rsidRPr="00537C3C">
              <w:rPr>
                <w:rFonts w:ascii="Arial Narrow" w:hAnsi="Arial Narrow"/>
                <w:b/>
              </w:rPr>
              <w:t>/</w:t>
            </w:r>
            <w:r w:rsidRPr="00BB76D8">
              <w:rPr>
                <w:rFonts w:ascii="Arial Narrow" w:hAnsi="Arial Narrow"/>
                <w:b/>
              </w:rPr>
              <w:t>SCC</w:t>
            </w:r>
          </w:p>
        </w:tc>
        <w:tc>
          <w:tcPr>
            <w:tcW w:w="736" w:type="dxa"/>
          </w:tcPr>
          <w:p w:rsidR="00234376" w:rsidRPr="00537C3C" w:rsidRDefault="00234376" w:rsidP="008E03A7">
            <w:pPr>
              <w:pStyle w:val="TableText0"/>
              <w:jc w:val="center"/>
              <w:rPr>
                <w:rFonts w:ascii="Arial Narrow" w:hAnsi="Arial Narrow"/>
                <w:b/>
              </w:rPr>
            </w:pPr>
            <w:r w:rsidRPr="00537C3C">
              <w:rPr>
                <w:rFonts w:ascii="Arial Narrow" w:hAnsi="Arial Narrow"/>
                <w:b/>
              </w:rPr>
              <w:t>Gland</w:t>
            </w:r>
          </w:p>
        </w:tc>
        <w:tc>
          <w:tcPr>
            <w:tcW w:w="709" w:type="dxa"/>
            <w:gridSpan w:val="2"/>
          </w:tcPr>
          <w:p w:rsidR="00234376" w:rsidRPr="00537C3C" w:rsidRDefault="00234376" w:rsidP="008E03A7">
            <w:pPr>
              <w:pStyle w:val="TableText0"/>
              <w:jc w:val="center"/>
              <w:rPr>
                <w:rFonts w:ascii="Arial Narrow" w:hAnsi="Arial Narrow"/>
                <w:b/>
              </w:rPr>
            </w:pPr>
            <w:r w:rsidRPr="00BB76D8">
              <w:rPr>
                <w:rFonts w:ascii="Arial Narrow" w:hAnsi="Arial Narrow"/>
                <w:b/>
              </w:rPr>
              <w:t>pLSIL</w:t>
            </w:r>
          </w:p>
        </w:tc>
        <w:tc>
          <w:tcPr>
            <w:tcW w:w="708" w:type="dxa"/>
          </w:tcPr>
          <w:p w:rsidR="00234376" w:rsidRPr="00537C3C" w:rsidRDefault="00234376" w:rsidP="008E03A7">
            <w:pPr>
              <w:pStyle w:val="TableText0"/>
              <w:jc w:val="center"/>
              <w:rPr>
                <w:rFonts w:ascii="Arial Narrow" w:hAnsi="Arial Narrow"/>
                <w:b/>
              </w:rPr>
            </w:pPr>
            <w:r w:rsidRPr="00BB76D8">
              <w:rPr>
                <w:rFonts w:ascii="Arial Narrow" w:hAnsi="Arial Narrow"/>
                <w:b/>
              </w:rPr>
              <w:t>CIN</w:t>
            </w:r>
            <w:r w:rsidRPr="00537C3C">
              <w:rPr>
                <w:rFonts w:ascii="Arial Narrow" w:hAnsi="Arial Narrow"/>
                <w:b/>
              </w:rPr>
              <w:t xml:space="preserve"> 1</w:t>
            </w:r>
          </w:p>
        </w:tc>
        <w:tc>
          <w:tcPr>
            <w:tcW w:w="618" w:type="dxa"/>
          </w:tcPr>
          <w:p w:rsidR="00234376" w:rsidRPr="00537C3C" w:rsidRDefault="00234376" w:rsidP="008E03A7">
            <w:pPr>
              <w:pStyle w:val="TableText0"/>
              <w:jc w:val="center"/>
              <w:rPr>
                <w:rFonts w:ascii="Arial Narrow" w:hAnsi="Arial Narrow"/>
                <w:b/>
              </w:rPr>
            </w:pPr>
            <w:r w:rsidRPr="00BB76D8">
              <w:rPr>
                <w:rFonts w:ascii="Arial Narrow" w:hAnsi="Arial Narrow"/>
                <w:b/>
              </w:rPr>
              <w:t>LSIL</w:t>
            </w:r>
          </w:p>
        </w:tc>
        <w:tc>
          <w:tcPr>
            <w:tcW w:w="709" w:type="dxa"/>
          </w:tcPr>
          <w:p w:rsidR="00234376" w:rsidRPr="00537C3C" w:rsidRDefault="00234376" w:rsidP="008E03A7">
            <w:pPr>
              <w:pStyle w:val="TableText0"/>
              <w:jc w:val="center"/>
              <w:rPr>
                <w:rFonts w:ascii="Arial Narrow" w:hAnsi="Arial Narrow"/>
                <w:b/>
                <w:vertAlign w:val="superscript"/>
              </w:rPr>
            </w:pPr>
            <w:r w:rsidRPr="00BB76D8">
              <w:rPr>
                <w:rFonts w:ascii="Arial Narrow" w:hAnsi="Arial Narrow"/>
                <w:b/>
              </w:rPr>
              <w:t>pHSIL</w:t>
            </w:r>
          </w:p>
        </w:tc>
        <w:tc>
          <w:tcPr>
            <w:tcW w:w="708" w:type="dxa"/>
          </w:tcPr>
          <w:p w:rsidR="00234376" w:rsidRPr="00537C3C" w:rsidRDefault="00234376" w:rsidP="008E03A7">
            <w:pPr>
              <w:pStyle w:val="TableText0"/>
              <w:jc w:val="center"/>
              <w:rPr>
                <w:rFonts w:ascii="Arial Narrow" w:hAnsi="Arial Narrow"/>
                <w:b/>
              </w:rPr>
            </w:pPr>
            <w:r w:rsidRPr="00BB76D8">
              <w:rPr>
                <w:rFonts w:ascii="Arial Narrow" w:hAnsi="Arial Narrow"/>
                <w:b/>
              </w:rPr>
              <w:t>HSIL</w:t>
            </w:r>
          </w:p>
        </w:tc>
        <w:tc>
          <w:tcPr>
            <w:tcW w:w="851" w:type="dxa"/>
          </w:tcPr>
          <w:p w:rsidR="00234376" w:rsidRPr="00537C3C" w:rsidRDefault="00234376" w:rsidP="008E03A7">
            <w:pPr>
              <w:pStyle w:val="TableText0"/>
              <w:jc w:val="center"/>
              <w:rPr>
                <w:rFonts w:ascii="Arial Narrow" w:hAnsi="Arial Narrow"/>
                <w:b/>
              </w:rPr>
            </w:pPr>
            <w:r w:rsidRPr="00BB76D8">
              <w:rPr>
                <w:rFonts w:ascii="Arial Narrow" w:hAnsi="Arial Narrow"/>
                <w:b/>
              </w:rPr>
              <w:t>AIS</w:t>
            </w:r>
            <w:r w:rsidRPr="00537C3C">
              <w:rPr>
                <w:rFonts w:ascii="Arial Narrow" w:hAnsi="Arial Narrow"/>
                <w:b/>
              </w:rPr>
              <w:t>/</w:t>
            </w:r>
            <w:r w:rsidRPr="00BB76D8">
              <w:rPr>
                <w:rFonts w:ascii="Arial Narrow" w:hAnsi="Arial Narrow"/>
                <w:b/>
              </w:rPr>
              <w:t>SCC</w:t>
            </w:r>
          </w:p>
        </w:tc>
        <w:tc>
          <w:tcPr>
            <w:tcW w:w="850" w:type="dxa"/>
          </w:tcPr>
          <w:p w:rsidR="00234376" w:rsidRPr="00537C3C" w:rsidRDefault="00234376" w:rsidP="008E03A7">
            <w:pPr>
              <w:pStyle w:val="TableText0"/>
              <w:jc w:val="center"/>
              <w:rPr>
                <w:rFonts w:ascii="Arial Narrow" w:hAnsi="Arial Narrow"/>
                <w:b/>
              </w:rPr>
            </w:pPr>
            <w:r w:rsidRPr="00537C3C">
              <w:rPr>
                <w:rFonts w:ascii="Arial Narrow" w:hAnsi="Arial Narrow"/>
                <w:b/>
              </w:rPr>
              <w:t>Gland</w:t>
            </w:r>
          </w:p>
        </w:tc>
      </w:tr>
      <w:tr w:rsidR="00234376" w:rsidRPr="00537C3C">
        <w:tblPrEx>
          <w:tblCellMar>
            <w:left w:w="57" w:type="dxa"/>
            <w:right w:w="57" w:type="dxa"/>
          </w:tblCellMar>
        </w:tblPrEx>
        <w:tc>
          <w:tcPr>
            <w:tcW w:w="13802" w:type="dxa"/>
            <w:gridSpan w:val="22"/>
          </w:tcPr>
          <w:p w:rsidR="00234376" w:rsidRPr="00537C3C" w:rsidRDefault="00234376" w:rsidP="008E03A7">
            <w:pPr>
              <w:pStyle w:val="TableTextLessSpaceCharCharCharCharCharCharCharChar"/>
              <w:rPr>
                <w:b/>
                <w:i/>
              </w:rPr>
            </w:pPr>
            <w:r w:rsidRPr="00537C3C">
              <w:rPr>
                <w:b/>
                <w:i/>
              </w:rPr>
              <w:t xml:space="preserve">ThinPrep Imager reading of ThinPrep </w:t>
            </w:r>
            <w:r w:rsidRPr="00BB76D8">
              <w:rPr>
                <w:b/>
                <w:i/>
              </w:rPr>
              <w:t>LBC</w:t>
            </w:r>
            <w:r w:rsidRPr="00537C3C">
              <w:rPr>
                <w:b/>
                <w:i/>
              </w:rPr>
              <w:t xml:space="preserve"> slides</w:t>
            </w:r>
          </w:p>
        </w:tc>
      </w:tr>
      <w:tr w:rsidR="0086584F" w:rsidRPr="00537C3C">
        <w:tblPrEx>
          <w:tblCellMar>
            <w:left w:w="57" w:type="dxa"/>
            <w:right w:w="57" w:type="dxa"/>
          </w:tblCellMar>
        </w:tblPrEx>
        <w:tc>
          <w:tcPr>
            <w:tcW w:w="1455" w:type="dxa"/>
          </w:tcPr>
          <w:p w:rsidR="00234376" w:rsidRPr="00537C3C" w:rsidRDefault="00234376" w:rsidP="008E03A7">
            <w:pPr>
              <w:pStyle w:val="TableText0"/>
              <w:rPr>
                <w:rFonts w:ascii="Arial Narrow" w:hAnsi="Arial Narrow"/>
              </w:rPr>
            </w:pPr>
          </w:p>
          <w:p w:rsidR="00234376" w:rsidRPr="00537C3C" w:rsidRDefault="00234376" w:rsidP="008E03A7">
            <w:pPr>
              <w:pStyle w:val="TableText0"/>
              <w:rPr>
                <w:rFonts w:ascii="Arial Narrow" w:hAnsi="Arial Narrow"/>
              </w:rPr>
            </w:pPr>
            <w:r w:rsidRPr="00537C3C">
              <w:rPr>
                <w:rFonts w:ascii="Arial Narrow" w:hAnsi="Arial Narrow"/>
              </w:rPr>
              <w:t>Davey et al. 2007</w:t>
            </w:r>
          </w:p>
        </w:tc>
        <w:tc>
          <w:tcPr>
            <w:tcW w:w="650" w:type="dxa"/>
          </w:tcPr>
          <w:p w:rsidR="00234376" w:rsidRPr="00537C3C" w:rsidRDefault="00234376" w:rsidP="008E03A7">
            <w:pPr>
              <w:pStyle w:val="TableText0"/>
              <w:rPr>
                <w:rFonts w:ascii="Arial Narrow" w:hAnsi="Arial Narrow"/>
              </w:rPr>
            </w:pPr>
          </w:p>
          <w:p w:rsidR="00234376" w:rsidRPr="00537C3C" w:rsidRDefault="00234376" w:rsidP="008E03A7">
            <w:pPr>
              <w:pStyle w:val="TableText0"/>
              <w:rPr>
                <w:rFonts w:ascii="Arial Narrow" w:hAnsi="Arial Narrow"/>
              </w:rPr>
            </w:pPr>
            <w:r w:rsidRPr="00537C3C">
              <w:rPr>
                <w:rFonts w:ascii="Arial Narrow" w:hAnsi="Arial Narrow"/>
              </w:rPr>
              <w:t>55 164</w:t>
            </w:r>
          </w:p>
        </w:tc>
        <w:tc>
          <w:tcPr>
            <w:tcW w:w="540" w:type="dxa"/>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67" w:type="dxa"/>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rPr>
            </w:pPr>
            <w:r w:rsidRPr="00537C3C">
              <w:rPr>
                <w:rFonts w:ascii="Arial Narrow" w:hAnsi="Arial Narrow"/>
              </w:rPr>
              <w:t>1.8</w:t>
            </w:r>
          </w:p>
        </w:tc>
        <w:tc>
          <w:tcPr>
            <w:tcW w:w="550" w:type="dxa"/>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rPr>
            </w:pPr>
            <w:r w:rsidRPr="00537C3C">
              <w:rPr>
                <w:rFonts w:ascii="Arial Narrow" w:hAnsi="Arial Narrow"/>
              </w:rPr>
              <w:t>3.1**</w:t>
            </w:r>
          </w:p>
        </w:tc>
        <w:tc>
          <w:tcPr>
            <w:tcW w:w="643" w:type="dxa"/>
            <w:gridSpan w:val="2"/>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3.1</w:t>
            </w:r>
            <w:r w:rsidRPr="00537C3C">
              <w:rPr>
                <w:rFonts w:ascii="Arial Narrow" w:hAnsi="Arial Narrow"/>
                <w:vertAlign w:val="superscript"/>
              </w:rPr>
              <w:t>a*</w:t>
            </w:r>
          </w:p>
        </w:tc>
        <w:tc>
          <w:tcPr>
            <w:tcW w:w="545" w:type="dxa"/>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1.4</w:t>
            </w:r>
            <w:r w:rsidRPr="00537C3C">
              <w:rPr>
                <w:rFonts w:ascii="Arial Narrow" w:hAnsi="Arial Narrow"/>
                <w:vertAlign w:val="superscript"/>
              </w:rPr>
              <w:t>#</w:t>
            </w:r>
          </w:p>
        </w:tc>
        <w:tc>
          <w:tcPr>
            <w:tcW w:w="536" w:type="dxa"/>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3.07</w:t>
            </w:r>
            <w:r w:rsidRPr="00537C3C">
              <w:rPr>
                <w:rFonts w:ascii="Arial Narrow" w:hAnsi="Arial Narrow"/>
                <w:vertAlign w:val="superscript"/>
              </w:rPr>
              <w:t>b</w:t>
            </w:r>
          </w:p>
        </w:tc>
        <w:tc>
          <w:tcPr>
            <w:tcW w:w="694" w:type="dxa"/>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0.42</w:t>
            </w:r>
            <w:r w:rsidRPr="00537C3C">
              <w:rPr>
                <w:rFonts w:ascii="Arial Narrow" w:hAnsi="Arial Narrow"/>
                <w:vertAlign w:val="superscript"/>
              </w:rPr>
              <w:t>c**</w:t>
            </w:r>
          </w:p>
        </w:tc>
        <w:tc>
          <w:tcPr>
            <w:tcW w:w="802" w:type="dxa"/>
          </w:tcPr>
          <w:p w:rsidR="00234376" w:rsidRPr="00537C3C" w:rsidRDefault="00234376" w:rsidP="008E03A7">
            <w:pPr>
              <w:pStyle w:val="TableText0"/>
              <w:jc w:val="center"/>
              <w:rPr>
                <w:rFonts w:ascii="Arial Narrow" w:hAnsi="Arial Narrow"/>
                <w:i/>
              </w:rPr>
            </w:pPr>
            <w:r w:rsidRPr="00BB76D8">
              <w:rPr>
                <w:rFonts w:ascii="Arial Narrow" w:hAnsi="Arial Narrow"/>
                <w:i/>
              </w:rPr>
              <w:t>CIN</w:t>
            </w:r>
            <w:r w:rsidRPr="00537C3C">
              <w:rPr>
                <w:rFonts w:ascii="Arial Narrow" w:hAnsi="Arial Narrow"/>
                <w:i/>
              </w:rPr>
              <w:t xml:space="preserve"> 2</w:t>
            </w:r>
          </w:p>
          <w:p w:rsidR="00234376" w:rsidRPr="00537C3C" w:rsidRDefault="00234376" w:rsidP="008E03A7">
            <w:pPr>
              <w:pStyle w:val="TableText0"/>
              <w:jc w:val="center"/>
              <w:rPr>
                <w:rFonts w:ascii="Arial Narrow" w:hAnsi="Arial Narrow"/>
              </w:rPr>
            </w:pPr>
            <w:r w:rsidRPr="00537C3C">
              <w:rPr>
                <w:rFonts w:ascii="Arial Narrow" w:hAnsi="Arial Narrow"/>
              </w:rPr>
              <w:t>0.40</w:t>
            </w:r>
            <w:r w:rsidRPr="00537C3C">
              <w:rPr>
                <w:rFonts w:ascii="Arial Narrow" w:hAnsi="Arial Narrow"/>
                <w:vertAlign w:val="superscript"/>
              </w:rPr>
              <w:t>#</w:t>
            </w:r>
          </w:p>
        </w:tc>
        <w:tc>
          <w:tcPr>
            <w:tcW w:w="931" w:type="dxa"/>
            <w:gridSpan w:val="2"/>
          </w:tcPr>
          <w:p w:rsidR="00234376" w:rsidRPr="00537C3C" w:rsidRDefault="00234376" w:rsidP="008E03A7">
            <w:pPr>
              <w:pStyle w:val="TableText0"/>
              <w:jc w:val="center"/>
              <w:rPr>
                <w:rFonts w:ascii="Arial Narrow" w:hAnsi="Arial Narrow"/>
                <w:i/>
              </w:rPr>
            </w:pPr>
            <w:r w:rsidRPr="00537C3C">
              <w:rPr>
                <w:rFonts w:ascii="Arial Narrow" w:hAnsi="Arial Narrow"/>
                <w:i/>
              </w:rPr>
              <w:t xml:space="preserve"> ≥ </w:t>
            </w:r>
            <w:r w:rsidRPr="00BB76D8">
              <w:rPr>
                <w:rFonts w:ascii="Arial Narrow" w:hAnsi="Arial Narrow"/>
                <w:i/>
              </w:rPr>
              <w:t>CIN</w:t>
            </w:r>
            <w:r w:rsidRPr="00537C3C">
              <w:rPr>
                <w:rFonts w:ascii="Arial Narrow" w:hAnsi="Arial Narrow"/>
                <w:i/>
              </w:rPr>
              <w:t xml:space="preserve"> 3</w:t>
            </w:r>
          </w:p>
          <w:p w:rsidR="00234376" w:rsidRPr="00537C3C" w:rsidRDefault="00234376" w:rsidP="008E03A7">
            <w:pPr>
              <w:pStyle w:val="TableText0"/>
              <w:jc w:val="center"/>
              <w:rPr>
                <w:rFonts w:ascii="Arial Narrow" w:hAnsi="Arial Narrow"/>
              </w:rPr>
            </w:pPr>
            <w:r w:rsidRPr="00537C3C">
              <w:rPr>
                <w:rFonts w:ascii="Arial Narrow" w:hAnsi="Arial Narrow"/>
              </w:rPr>
              <w:t>0.49</w:t>
            </w:r>
            <w:r w:rsidRPr="00537C3C">
              <w:rPr>
                <w:rFonts w:ascii="Arial Narrow" w:hAnsi="Arial Narrow"/>
                <w:vertAlign w:val="superscript"/>
              </w:rPr>
              <w:t>*</w:t>
            </w:r>
          </w:p>
        </w:tc>
        <w:tc>
          <w:tcPr>
            <w:tcW w:w="736" w:type="dxa"/>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rPr>
            </w:pPr>
            <w:r w:rsidRPr="00537C3C">
              <w:rPr>
                <w:rFonts w:ascii="Arial Narrow" w:hAnsi="Arial Narrow"/>
              </w:rPr>
              <w:t>0.04</w:t>
            </w:r>
          </w:p>
        </w:tc>
        <w:tc>
          <w:tcPr>
            <w:tcW w:w="709" w:type="dxa"/>
            <w:gridSpan w:val="2"/>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2.8</w:t>
            </w:r>
            <w:r w:rsidRPr="00537C3C">
              <w:rPr>
                <w:rFonts w:ascii="Arial Narrow" w:hAnsi="Arial Narrow"/>
                <w:vertAlign w:val="superscript"/>
              </w:rPr>
              <w:t>a</w:t>
            </w:r>
          </w:p>
        </w:tc>
        <w:tc>
          <w:tcPr>
            <w:tcW w:w="708" w:type="dxa"/>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rPr>
            </w:pPr>
            <w:r w:rsidRPr="00537C3C">
              <w:rPr>
                <w:rFonts w:ascii="Arial Narrow" w:hAnsi="Arial Narrow"/>
              </w:rPr>
              <w:t>1.0</w:t>
            </w:r>
          </w:p>
        </w:tc>
        <w:tc>
          <w:tcPr>
            <w:tcW w:w="618" w:type="dxa"/>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1.97</w:t>
            </w:r>
            <w:r w:rsidRPr="00537C3C">
              <w:rPr>
                <w:rFonts w:ascii="Arial Narrow" w:hAnsi="Arial Narrow"/>
                <w:vertAlign w:val="superscript"/>
              </w:rPr>
              <w:t>b</w:t>
            </w:r>
          </w:p>
        </w:tc>
        <w:tc>
          <w:tcPr>
            <w:tcW w:w="709" w:type="dxa"/>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0.54</w:t>
            </w:r>
            <w:r w:rsidRPr="00537C3C">
              <w:rPr>
                <w:rFonts w:ascii="Arial Narrow" w:hAnsi="Arial Narrow"/>
                <w:vertAlign w:val="superscript"/>
              </w:rPr>
              <w:t>c</w:t>
            </w:r>
          </w:p>
        </w:tc>
        <w:tc>
          <w:tcPr>
            <w:tcW w:w="708" w:type="dxa"/>
          </w:tcPr>
          <w:p w:rsidR="00234376" w:rsidRPr="00537C3C" w:rsidRDefault="00234376" w:rsidP="008E03A7">
            <w:pPr>
              <w:pStyle w:val="TableText0"/>
              <w:jc w:val="center"/>
              <w:rPr>
                <w:rFonts w:ascii="Arial Narrow" w:hAnsi="Arial Narrow"/>
                <w:i/>
              </w:rPr>
            </w:pPr>
            <w:r w:rsidRPr="00BB76D8">
              <w:rPr>
                <w:rFonts w:ascii="Arial Narrow" w:hAnsi="Arial Narrow"/>
                <w:i/>
              </w:rPr>
              <w:t>CIN</w:t>
            </w:r>
            <w:r w:rsidRPr="00537C3C">
              <w:rPr>
                <w:rFonts w:ascii="Arial Narrow" w:hAnsi="Arial Narrow"/>
                <w:i/>
              </w:rPr>
              <w:t xml:space="preserve"> 2</w:t>
            </w:r>
          </w:p>
          <w:p w:rsidR="00234376" w:rsidRPr="00537C3C" w:rsidRDefault="00234376" w:rsidP="008E03A7">
            <w:pPr>
              <w:pStyle w:val="TableText0"/>
              <w:jc w:val="center"/>
              <w:rPr>
                <w:rFonts w:ascii="Arial Narrow" w:hAnsi="Arial Narrow"/>
              </w:rPr>
            </w:pPr>
            <w:r w:rsidRPr="00537C3C">
              <w:rPr>
                <w:rFonts w:ascii="Arial Narrow" w:hAnsi="Arial Narrow"/>
              </w:rPr>
              <w:t>0.28</w:t>
            </w:r>
          </w:p>
        </w:tc>
        <w:tc>
          <w:tcPr>
            <w:tcW w:w="851" w:type="dxa"/>
          </w:tcPr>
          <w:p w:rsidR="00234376" w:rsidRPr="00537C3C" w:rsidRDefault="00234376" w:rsidP="008E03A7">
            <w:pPr>
              <w:pStyle w:val="TableText0"/>
              <w:jc w:val="center"/>
              <w:rPr>
                <w:rFonts w:ascii="Arial Narrow" w:hAnsi="Arial Narrow"/>
                <w:i/>
              </w:rPr>
            </w:pPr>
            <w:r w:rsidRPr="00537C3C">
              <w:rPr>
                <w:rFonts w:ascii="Arial Narrow" w:hAnsi="Arial Narrow"/>
                <w:i/>
              </w:rPr>
              <w:t xml:space="preserve"> ≥ </w:t>
            </w:r>
            <w:r w:rsidRPr="00BB76D8">
              <w:rPr>
                <w:rFonts w:ascii="Arial Narrow" w:hAnsi="Arial Narrow"/>
                <w:i/>
              </w:rPr>
              <w:t>CIN</w:t>
            </w:r>
            <w:r w:rsidRPr="00537C3C">
              <w:rPr>
                <w:rFonts w:ascii="Arial Narrow" w:hAnsi="Arial Narrow"/>
                <w:i/>
              </w:rPr>
              <w:t xml:space="preserve"> 3</w:t>
            </w:r>
          </w:p>
          <w:p w:rsidR="00234376" w:rsidRPr="00537C3C" w:rsidRDefault="00234376" w:rsidP="008E03A7">
            <w:pPr>
              <w:pStyle w:val="TableText0"/>
              <w:jc w:val="center"/>
              <w:rPr>
                <w:rFonts w:ascii="Arial Narrow" w:hAnsi="Arial Narrow"/>
              </w:rPr>
            </w:pPr>
            <w:r w:rsidRPr="00537C3C">
              <w:rPr>
                <w:rFonts w:ascii="Arial Narrow" w:hAnsi="Arial Narrow"/>
              </w:rPr>
              <w:t>0.43</w:t>
            </w:r>
          </w:p>
        </w:tc>
        <w:tc>
          <w:tcPr>
            <w:tcW w:w="850" w:type="dxa"/>
          </w:tcPr>
          <w:p w:rsidR="00234376" w:rsidRPr="00537C3C" w:rsidRDefault="00234376" w:rsidP="008E03A7">
            <w:pPr>
              <w:pStyle w:val="TableText0"/>
              <w:jc w:val="center"/>
              <w:rPr>
                <w:rFonts w:ascii="Arial Narrow" w:hAnsi="Arial Narrow"/>
              </w:rPr>
            </w:pPr>
          </w:p>
          <w:p w:rsidR="00234376" w:rsidRPr="00537C3C" w:rsidRDefault="00234376" w:rsidP="008E03A7">
            <w:pPr>
              <w:pStyle w:val="TableText0"/>
              <w:jc w:val="center"/>
              <w:rPr>
                <w:rFonts w:ascii="Arial Narrow" w:hAnsi="Arial Narrow"/>
              </w:rPr>
            </w:pPr>
            <w:r w:rsidRPr="00537C3C">
              <w:rPr>
                <w:rFonts w:ascii="Arial Narrow" w:hAnsi="Arial Narrow"/>
              </w:rPr>
              <w:t>0.09</w:t>
            </w:r>
          </w:p>
        </w:tc>
      </w:tr>
      <w:tr w:rsidR="0086584F" w:rsidRPr="00537C3C">
        <w:tblPrEx>
          <w:tblCellMar>
            <w:left w:w="57" w:type="dxa"/>
            <w:right w:w="57" w:type="dxa"/>
          </w:tblCellMar>
        </w:tblPrEx>
        <w:tc>
          <w:tcPr>
            <w:tcW w:w="1455" w:type="dxa"/>
          </w:tcPr>
          <w:p w:rsidR="00234376" w:rsidRPr="00537C3C" w:rsidRDefault="00234376" w:rsidP="008E03A7">
            <w:pPr>
              <w:pStyle w:val="TableText0"/>
              <w:rPr>
                <w:rFonts w:ascii="Arial Narrow" w:hAnsi="Arial Narrow"/>
              </w:rPr>
            </w:pPr>
            <w:r w:rsidRPr="00537C3C">
              <w:rPr>
                <w:rFonts w:ascii="Arial Narrow" w:hAnsi="Arial Narrow"/>
              </w:rPr>
              <w:t>Roberts et al. 2007</w:t>
            </w:r>
          </w:p>
        </w:tc>
        <w:tc>
          <w:tcPr>
            <w:tcW w:w="650" w:type="dxa"/>
          </w:tcPr>
          <w:p w:rsidR="00234376" w:rsidRPr="00537C3C" w:rsidRDefault="00234376" w:rsidP="008E03A7">
            <w:pPr>
              <w:pStyle w:val="TableText0"/>
              <w:rPr>
                <w:rFonts w:ascii="Arial Narrow" w:hAnsi="Arial Narrow"/>
              </w:rPr>
            </w:pPr>
            <w:r w:rsidRPr="00537C3C">
              <w:rPr>
                <w:rFonts w:ascii="Arial Narrow" w:hAnsi="Arial Narrow"/>
              </w:rPr>
              <w:t>11 416</w:t>
            </w:r>
          </w:p>
        </w:tc>
        <w:tc>
          <w:tcPr>
            <w:tcW w:w="540" w:type="dxa"/>
          </w:tcPr>
          <w:p w:rsidR="00234376" w:rsidRPr="00537C3C" w:rsidRDefault="00234376" w:rsidP="008E03A7">
            <w:pPr>
              <w:pStyle w:val="TableText0"/>
              <w:jc w:val="center"/>
              <w:rPr>
                <w:rFonts w:ascii="Arial Narrow" w:hAnsi="Arial Narrow"/>
              </w:rPr>
            </w:pPr>
            <w:r w:rsidRPr="00537C3C">
              <w:rPr>
                <w:rFonts w:ascii="Arial Narrow" w:hAnsi="Arial Narrow"/>
              </w:rPr>
              <w:t>3.7</w:t>
            </w:r>
          </w:p>
        </w:tc>
        <w:tc>
          <w:tcPr>
            <w:tcW w:w="567" w:type="dxa"/>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50" w:type="dxa"/>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43" w:type="dxa"/>
            <w:gridSpan w:val="2"/>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3.8</w:t>
            </w:r>
            <w:r w:rsidRPr="00537C3C">
              <w:rPr>
                <w:rFonts w:ascii="Arial Narrow" w:hAnsi="Arial Narrow"/>
                <w:vertAlign w:val="superscript"/>
              </w:rPr>
              <w:t>#</w:t>
            </w:r>
          </w:p>
        </w:tc>
        <w:tc>
          <w:tcPr>
            <w:tcW w:w="545" w:type="dxa"/>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36" w:type="dxa"/>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2.9</w:t>
            </w:r>
            <w:r w:rsidRPr="00537C3C">
              <w:rPr>
                <w:rFonts w:ascii="Arial Narrow" w:hAnsi="Arial Narrow"/>
                <w:vertAlign w:val="superscript"/>
              </w:rPr>
              <w:t>#</w:t>
            </w:r>
          </w:p>
        </w:tc>
        <w:tc>
          <w:tcPr>
            <w:tcW w:w="694" w:type="dxa"/>
          </w:tcPr>
          <w:p w:rsidR="00234376" w:rsidRPr="00537C3C" w:rsidRDefault="00234376" w:rsidP="008E03A7">
            <w:pPr>
              <w:pStyle w:val="TableText0"/>
              <w:jc w:val="center"/>
              <w:rPr>
                <w:rFonts w:ascii="Arial Narrow" w:hAnsi="Arial Narrow"/>
              </w:rPr>
            </w:pPr>
            <w:r w:rsidRPr="00537C3C">
              <w:rPr>
                <w:rFonts w:ascii="Arial Narrow" w:hAnsi="Arial Narrow"/>
              </w:rPr>
              <w:t>0.43</w:t>
            </w:r>
          </w:p>
        </w:tc>
        <w:tc>
          <w:tcPr>
            <w:tcW w:w="802" w:type="dxa"/>
          </w:tcPr>
          <w:p w:rsidR="00234376" w:rsidRPr="00537C3C" w:rsidRDefault="00234376" w:rsidP="008E03A7">
            <w:pPr>
              <w:pStyle w:val="TableTextLessSpaceCharCharCharCharCharCharCharChar"/>
              <w:jc w:val="center"/>
              <w:rPr>
                <w:szCs w:val="18"/>
              </w:rPr>
            </w:pPr>
            <w:r w:rsidRPr="00537C3C">
              <w:rPr>
                <w:szCs w:val="18"/>
              </w:rPr>
              <w:t>0.74*</w:t>
            </w:r>
          </w:p>
        </w:tc>
        <w:tc>
          <w:tcPr>
            <w:tcW w:w="931"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softHyphen/>
              <w:t>–</w:t>
            </w:r>
          </w:p>
        </w:tc>
        <w:tc>
          <w:tcPr>
            <w:tcW w:w="736" w:type="dxa"/>
          </w:tcPr>
          <w:p w:rsidR="00234376" w:rsidRPr="00537C3C" w:rsidRDefault="00234376" w:rsidP="008E03A7">
            <w:pPr>
              <w:pStyle w:val="TableText0"/>
              <w:jc w:val="center"/>
              <w:rPr>
                <w:rFonts w:ascii="Arial Narrow" w:hAnsi="Arial Narrow"/>
              </w:rPr>
            </w:pPr>
            <w:r w:rsidRPr="00537C3C">
              <w:rPr>
                <w:rFonts w:ascii="Arial Narrow" w:hAnsi="Arial Narrow"/>
              </w:rPr>
              <w:softHyphen/>
              <w:t>–</w:t>
            </w:r>
          </w:p>
        </w:tc>
        <w:tc>
          <w:tcPr>
            <w:tcW w:w="709"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1.8</w:t>
            </w:r>
          </w:p>
        </w:tc>
        <w:tc>
          <w:tcPr>
            <w:tcW w:w="708" w:type="dxa"/>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18" w:type="dxa"/>
          </w:tcPr>
          <w:p w:rsidR="00234376" w:rsidRPr="00537C3C" w:rsidRDefault="00234376" w:rsidP="008E03A7">
            <w:pPr>
              <w:pStyle w:val="TableText0"/>
              <w:jc w:val="center"/>
              <w:rPr>
                <w:rFonts w:ascii="Arial Narrow" w:hAnsi="Arial Narrow"/>
              </w:rPr>
            </w:pPr>
            <w:r w:rsidRPr="00537C3C">
              <w:rPr>
                <w:rFonts w:ascii="Arial Narrow" w:hAnsi="Arial Narrow"/>
              </w:rPr>
              <w:t>1.6</w:t>
            </w:r>
          </w:p>
        </w:tc>
        <w:tc>
          <w:tcPr>
            <w:tcW w:w="709" w:type="dxa"/>
          </w:tcPr>
          <w:p w:rsidR="00234376" w:rsidRPr="00537C3C" w:rsidRDefault="00234376" w:rsidP="008E03A7">
            <w:pPr>
              <w:pStyle w:val="TableText0"/>
              <w:jc w:val="center"/>
              <w:rPr>
                <w:rFonts w:ascii="Arial Narrow" w:hAnsi="Arial Narrow"/>
              </w:rPr>
            </w:pPr>
            <w:r w:rsidRPr="00537C3C">
              <w:rPr>
                <w:rFonts w:ascii="Arial Narrow" w:hAnsi="Arial Narrow"/>
              </w:rPr>
              <w:t>0.33</w:t>
            </w:r>
          </w:p>
        </w:tc>
        <w:tc>
          <w:tcPr>
            <w:tcW w:w="708" w:type="dxa"/>
          </w:tcPr>
          <w:p w:rsidR="00234376" w:rsidRPr="00537C3C" w:rsidRDefault="00234376" w:rsidP="008E03A7">
            <w:pPr>
              <w:pStyle w:val="TableTextLessSpaceCharCharCharCharCharCharCharChar"/>
              <w:jc w:val="center"/>
              <w:rPr>
                <w:szCs w:val="18"/>
              </w:rPr>
            </w:pPr>
            <w:r w:rsidRPr="00537C3C">
              <w:rPr>
                <w:szCs w:val="18"/>
              </w:rPr>
              <w:t>0.48</w:t>
            </w:r>
          </w:p>
        </w:tc>
        <w:tc>
          <w:tcPr>
            <w:tcW w:w="851" w:type="dxa"/>
          </w:tcPr>
          <w:p w:rsidR="00234376" w:rsidRPr="00537C3C" w:rsidRDefault="00234376" w:rsidP="008E03A7">
            <w:pPr>
              <w:pStyle w:val="TableText0"/>
              <w:jc w:val="center"/>
              <w:rPr>
                <w:rFonts w:ascii="Arial Narrow" w:hAnsi="Arial Narrow"/>
              </w:rPr>
            </w:pPr>
            <w:r w:rsidRPr="00537C3C">
              <w:rPr>
                <w:rFonts w:ascii="Arial Narrow" w:hAnsi="Arial Narrow"/>
              </w:rPr>
              <w:softHyphen/>
              <w:t>–</w:t>
            </w:r>
          </w:p>
        </w:tc>
        <w:tc>
          <w:tcPr>
            <w:tcW w:w="850" w:type="dxa"/>
          </w:tcPr>
          <w:p w:rsidR="00234376" w:rsidRPr="00537C3C" w:rsidRDefault="00234376" w:rsidP="008E03A7">
            <w:pPr>
              <w:pStyle w:val="TableText0"/>
              <w:jc w:val="center"/>
              <w:rPr>
                <w:rFonts w:ascii="Arial Narrow" w:hAnsi="Arial Narrow"/>
              </w:rPr>
            </w:pPr>
            <w:r w:rsidRPr="00537C3C">
              <w:rPr>
                <w:rFonts w:ascii="Arial Narrow" w:hAnsi="Arial Narrow"/>
              </w:rPr>
              <w:t>–</w:t>
            </w:r>
          </w:p>
        </w:tc>
      </w:tr>
      <w:tr w:rsidR="00234376" w:rsidRPr="00537C3C">
        <w:tc>
          <w:tcPr>
            <w:tcW w:w="13802" w:type="dxa"/>
            <w:gridSpan w:val="22"/>
          </w:tcPr>
          <w:p w:rsidR="00234376" w:rsidRPr="00537C3C" w:rsidRDefault="00234376" w:rsidP="008E03A7">
            <w:pPr>
              <w:pStyle w:val="TableTextLessSpaceCharCharCharCharCharCharCharChar"/>
              <w:rPr>
                <w:b/>
                <w:i/>
              </w:rPr>
            </w:pPr>
            <w:r w:rsidRPr="00537C3C">
              <w:rPr>
                <w:b/>
                <w:i/>
              </w:rPr>
              <w:t>AutoPap-assisted reading of conventional cytology</w:t>
            </w:r>
          </w:p>
        </w:tc>
      </w:tr>
      <w:tr w:rsidR="0086584F" w:rsidRPr="00537C3C">
        <w:tblPrEx>
          <w:tblCellMar>
            <w:left w:w="57" w:type="dxa"/>
            <w:right w:w="57" w:type="dxa"/>
          </w:tblCellMar>
        </w:tblPrEx>
        <w:tc>
          <w:tcPr>
            <w:tcW w:w="1455" w:type="dxa"/>
          </w:tcPr>
          <w:p w:rsidR="00234376" w:rsidRPr="00537C3C" w:rsidRDefault="00234376" w:rsidP="008E03A7">
            <w:pPr>
              <w:pStyle w:val="TableText0"/>
              <w:rPr>
                <w:rFonts w:ascii="Arial Narrow" w:hAnsi="Arial Narrow"/>
              </w:rPr>
            </w:pPr>
            <w:r w:rsidRPr="00537C3C">
              <w:rPr>
                <w:rFonts w:ascii="Arial Narrow" w:hAnsi="Arial Narrow"/>
              </w:rPr>
              <w:t>Confortini et al. 2003</w:t>
            </w:r>
          </w:p>
        </w:tc>
        <w:tc>
          <w:tcPr>
            <w:tcW w:w="650" w:type="dxa"/>
          </w:tcPr>
          <w:p w:rsidR="00234376" w:rsidRPr="00537C3C" w:rsidRDefault="00234376" w:rsidP="008E03A7">
            <w:pPr>
              <w:pStyle w:val="TableText0"/>
              <w:rPr>
                <w:rFonts w:ascii="Arial Narrow" w:hAnsi="Arial Narrow"/>
              </w:rPr>
            </w:pPr>
            <w:r w:rsidRPr="00537C3C">
              <w:rPr>
                <w:rFonts w:ascii="Arial Narrow" w:hAnsi="Arial Narrow"/>
              </w:rPr>
              <w:t>14 145</w:t>
            </w:r>
          </w:p>
        </w:tc>
        <w:tc>
          <w:tcPr>
            <w:tcW w:w="540" w:type="dxa"/>
          </w:tcPr>
          <w:p w:rsidR="00234376" w:rsidRPr="00537C3C" w:rsidRDefault="00234376" w:rsidP="008E03A7">
            <w:pPr>
              <w:pStyle w:val="TableText0"/>
              <w:jc w:val="center"/>
              <w:rPr>
                <w:rFonts w:ascii="Arial Narrow" w:hAnsi="Arial Narrow"/>
              </w:rPr>
            </w:pPr>
          </w:p>
        </w:tc>
        <w:tc>
          <w:tcPr>
            <w:tcW w:w="567" w:type="dxa"/>
          </w:tcPr>
          <w:p w:rsidR="00234376" w:rsidRPr="00537C3C" w:rsidRDefault="00234376" w:rsidP="008E03A7">
            <w:pPr>
              <w:pStyle w:val="TableText0"/>
              <w:jc w:val="center"/>
              <w:rPr>
                <w:rFonts w:ascii="Arial Narrow" w:hAnsi="Arial Narrow"/>
              </w:rPr>
            </w:pPr>
            <w:r w:rsidRPr="00537C3C">
              <w:rPr>
                <w:rFonts w:ascii="Arial Narrow" w:hAnsi="Arial Narrow"/>
              </w:rPr>
              <w:t>0.88</w:t>
            </w:r>
          </w:p>
        </w:tc>
        <w:tc>
          <w:tcPr>
            <w:tcW w:w="550" w:type="dxa"/>
          </w:tcPr>
          <w:p w:rsidR="00234376" w:rsidRPr="00537C3C" w:rsidRDefault="00234376" w:rsidP="008E03A7">
            <w:pPr>
              <w:pStyle w:val="TableText0"/>
              <w:jc w:val="center"/>
              <w:rPr>
                <w:rFonts w:ascii="Arial Narrow" w:hAnsi="Arial Narrow"/>
              </w:rPr>
            </w:pPr>
            <w:r w:rsidRPr="00537C3C">
              <w:rPr>
                <w:rFonts w:ascii="Arial Narrow" w:hAnsi="Arial Narrow"/>
              </w:rPr>
              <w:t>1.3**</w:t>
            </w:r>
          </w:p>
        </w:tc>
        <w:tc>
          <w:tcPr>
            <w:tcW w:w="643" w:type="dxa"/>
            <w:gridSpan w:val="2"/>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1.82</w:t>
            </w:r>
            <w:r w:rsidRPr="00537C3C">
              <w:rPr>
                <w:rFonts w:ascii="Arial Narrow" w:hAnsi="Arial Narrow"/>
                <w:vertAlign w:val="superscript"/>
              </w:rPr>
              <w:t>d</w:t>
            </w:r>
          </w:p>
        </w:tc>
        <w:tc>
          <w:tcPr>
            <w:tcW w:w="545" w:type="dxa"/>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36" w:type="dxa"/>
          </w:tcPr>
          <w:p w:rsidR="00234376" w:rsidRPr="00537C3C" w:rsidRDefault="00234376" w:rsidP="008E03A7">
            <w:pPr>
              <w:pStyle w:val="TableText0"/>
              <w:jc w:val="center"/>
              <w:rPr>
                <w:rFonts w:ascii="Arial Narrow" w:hAnsi="Arial Narrow"/>
              </w:rPr>
            </w:pPr>
            <w:r w:rsidRPr="00537C3C">
              <w:rPr>
                <w:rFonts w:ascii="Arial Narrow" w:hAnsi="Arial Narrow"/>
              </w:rPr>
              <w:t>0.2</w:t>
            </w:r>
          </w:p>
        </w:tc>
        <w:tc>
          <w:tcPr>
            <w:tcW w:w="694" w:type="dxa"/>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802" w:type="dxa"/>
          </w:tcPr>
          <w:p w:rsidR="00234376" w:rsidRPr="00537C3C" w:rsidRDefault="00234376" w:rsidP="008E03A7">
            <w:pPr>
              <w:pStyle w:val="TableText0"/>
              <w:jc w:val="center"/>
              <w:rPr>
                <w:rFonts w:ascii="Arial Narrow" w:hAnsi="Arial Narrow"/>
              </w:rPr>
            </w:pPr>
            <w:r w:rsidRPr="00537C3C">
              <w:rPr>
                <w:rFonts w:ascii="Arial Narrow" w:hAnsi="Arial Narrow"/>
              </w:rPr>
              <w:t>0.13</w:t>
            </w:r>
          </w:p>
        </w:tc>
        <w:tc>
          <w:tcPr>
            <w:tcW w:w="931"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0.007</w:t>
            </w:r>
          </w:p>
        </w:tc>
        <w:tc>
          <w:tcPr>
            <w:tcW w:w="736" w:type="dxa"/>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67" w:type="dxa"/>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2.99</w:t>
            </w:r>
            <w:r w:rsidRPr="00537C3C">
              <w:rPr>
                <w:rFonts w:ascii="Arial Narrow" w:hAnsi="Arial Narrow"/>
                <w:vertAlign w:val="superscript"/>
              </w:rPr>
              <w:t>d</w:t>
            </w:r>
          </w:p>
        </w:tc>
        <w:tc>
          <w:tcPr>
            <w:tcW w:w="850"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18" w:type="dxa"/>
          </w:tcPr>
          <w:p w:rsidR="00234376" w:rsidRPr="00537C3C" w:rsidRDefault="00234376" w:rsidP="008E03A7">
            <w:pPr>
              <w:pStyle w:val="TableText0"/>
              <w:jc w:val="center"/>
              <w:rPr>
                <w:rFonts w:ascii="Arial Narrow" w:hAnsi="Arial Narrow"/>
              </w:rPr>
            </w:pPr>
            <w:r w:rsidRPr="00537C3C">
              <w:rPr>
                <w:rFonts w:ascii="Arial Narrow" w:hAnsi="Arial Narrow"/>
              </w:rPr>
              <w:t>0.41</w:t>
            </w:r>
          </w:p>
        </w:tc>
        <w:tc>
          <w:tcPr>
            <w:tcW w:w="709" w:type="dxa"/>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708" w:type="dxa"/>
          </w:tcPr>
          <w:p w:rsidR="00234376" w:rsidRPr="00537C3C" w:rsidRDefault="00234376" w:rsidP="008E03A7">
            <w:pPr>
              <w:pStyle w:val="TableText0"/>
              <w:jc w:val="center"/>
              <w:rPr>
                <w:rFonts w:ascii="Arial Narrow" w:hAnsi="Arial Narrow"/>
              </w:rPr>
            </w:pPr>
            <w:r w:rsidRPr="00537C3C">
              <w:rPr>
                <w:rFonts w:ascii="Arial Narrow" w:hAnsi="Arial Narrow"/>
              </w:rPr>
              <w:t>0.19</w:t>
            </w:r>
          </w:p>
        </w:tc>
        <w:tc>
          <w:tcPr>
            <w:tcW w:w="851" w:type="dxa"/>
          </w:tcPr>
          <w:p w:rsidR="00234376" w:rsidRPr="00537C3C" w:rsidRDefault="00234376" w:rsidP="008E03A7">
            <w:pPr>
              <w:pStyle w:val="TableText0"/>
              <w:jc w:val="center"/>
              <w:rPr>
                <w:rFonts w:ascii="Arial Narrow" w:hAnsi="Arial Narrow"/>
              </w:rPr>
            </w:pPr>
            <w:r w:rsidRPr="00537C3C">
              <w:rPr>
                <w:rFonts w:ascii="Arial Narrow" w:hAnsi="Arial Narrow"/>
              </w:rPr>
              <w:t>0.007</w:t>
            </w:r>
          </w:p>
        </w:tc>
        <w:tc>
          <w:tcPr>
            <w:tcW w:w="850" w:type="dxa"/>
          </w:tcPr>
          <w:p w:rsidR="00234376" w:rsidRPr="00537C3C" w:rsidRDefault="00234376" w:rsidP="008E03A7">
            <w:pPr>
              <w:pStyle w:val="TableText0"/>
              <w:jc w:val="center"/>
              <w:rPr>
                <w:rFonts w:ascii="Arial Narrow" w:hAnsi="Arial Narrow"/>
              </w:rPr>
            </w:pPr>
            <w:r w:rsidRPr="00537C3C">
              <w:rPr>
                <w:rFonts w:ascii="Arial Narrow" w:hAnsi="Arial Narrow"/>
              </w:rPr>
              <w:t>–</w:t>
            </w:r>
          </w:p>
        </w:tc>
      </w:tr>
    </w:tbl>
    <w:p w:rsidR="00234376" w:rsidRPr="00537C3C" w:rsidRDefault="00234376" w:rsidP="008E03A7">
      <w:pPr>
        <w:pStyle w:val="TableNotes"/>
        <w:spacing w:after="0"/>
      </w:pPr>
      <w:r w:rsidRPr="00537C3C">
        <w:rPr>
          <w:i/>
        </w:rPr>
        <w:t>Abbreviations:</w:t>
      </w:r>
      <w:r w:rsidRPr="00234376">
        <w:t xml:space="preserve"> </w:t>
      </w:r>
      <w:bookmarkStart w:id="425" w:name="OLE_LINK182"/>
      <w:bookmarkStart w:id="426" w:name="OLE_LINK183"/>
      <w:r w:rsidRPr="00537C3C">
        <w:t xml:space="preserve">AIS = </w:t>
      </w:r>
      <w:r>
        <w:t xml:space="preserve">adenocarcinoma </w:t>
      </w:r>
      <w:r>
        <w:rPr>
          <w:i/>
        </w:rPr>
        <w:t>in situ</w:t>
      </w:r>
      <w:r w:rsidRPr="00537C3C">
        <w:t>; Conv</w:t>
      </w:r>
      <w:bookmarkEnd w:id="425"/>
      <w:bookmarkEnd w:id="426"/>
      <w:r w:rsidRPr="00537C3C">
        <w:t xml:space="preserve"> = conventional; Gland = glandular; </w:t>
      </w:r>
      <w:bookmarkStart w:id="427" w:name="OLE_LINK180"/>
      <w:bookmarkStart w:id="428" w:name="OLE_LINK181"/>
      <w:r w:rsidRPr="00537C3C">
        <w:t>SCC = squamous cell carcinoma</w:t>
      </w:r>
      <w:bookmarkEnd w:id="427"/>
      <w:bookmarkEnd w:id="428"/>
      <w:r w:rsidRPr="00537C3C">
        <w:t>.</w:t>
      </w:r>
    </w:p>
    <w:p w:rsidR="00234376" w:rsidRPr="00537C3C" w:rsidRDefault="00234376" w:rsidP="008E03A7">
      <w:pPr>
        <w:pStyle w:val="TableNotes"/>
        <w:spacing w:after="0"/>
        <w:ind w:left="720" w:firstLine="0"/>
      </w:pPr>
      <w:r w:rsidRPr="00537C3C">
        <w:rPr>
          <w:vertAlign w:val="superscript"/>
        </w:rPr>
        <w:t xml:space="preserve">a </w:t>
      </w:r>
      <w:r w:rsidRPr="00537C3C">
        <w:t xml:space="preserve">Atypia.  </w:t>
      </w:r>
      <w:r w:rsidRPr="00537C3C">
        <w:rPr>
          <w:vertAlign w:val="superscript"/>
        </w:rPr>
        <w:t xml:space="preserve">b </w:t>
      </w:r>
      <w:r w:rsidRPr="00BB76D8">
        <w:t>CIN</w:t>
      </w:r>
      <w:r w:rsidRPr="00537C3C">
        <w:t xml:space="preserve"> 1 or atypia with </w:t>
      </w:r>
      <w:r w:rsidRPr="00BB76D8">
        <w:t>HPV.</w:t>
      </w:r>
      <w:r w:rsidRPr="00537C3C">
        <w:t xml:space="preserve"> </w:t>
      </w:r>
      <w:r w:rsidRPr="00537C3C">
        <w:rPr>
          <w:vertAlign w:val="superscript"/>
        </w:rPr>
        <w:t>c</w:t>
      </w:r>
      <w:r w:rsidRPr="00537C3C">
        <w:t xml:space="preserve"> Inconclusive; high grade to be excluded. </w:t>
      </w:r>
      <w:r w:rsidRPr="00537C3C">
        <w:rPr>
          <w:vertAlign w:val="superscript"/>
        </w:rPr>
        <w:t>d</w:t>
      </w:r>
      <w:r w:rsidRPr="00537C3C">
        <w:t xml:space="preserve"> </w:t>
      </w:r>
      <w:r w:rsidRPr="00BB76D8">
        <w:t>ASCUS</w:t>
      </w:r>
      <w:r w:rsidRPr="00537C3C">
        <w:t xml:space="preserve"> favouring a reactive process / </w:t>
      </w:r>
      <w:r w:rsidRPr="00BB76D8">
        <w:t>ASCUS</w:t>
      </w:r>
      <w:r w:rsidRPr="00537C3C">
        <w:t xml:space="preserve"> favouring squamous epithelial lesion or more severe / </w:t>
      </w:r>
      <w:r w:rsidRPr="00BB76D8">
        <w:t>AGUS</w:t>
      </w:r>
      <w:r w:rsidRPr="00537C3C">
        <w:t>.</w:t>
      </w:r>
      <w:r w:rsidRPr="00537C3C">
        <w:br/>
        <w:t>*</w:t>
      </w:r>
      <w:r w:rsidRPr="0030078D">
        <w:rPr>
          <w:i/>
        </w:rPr>
        <w:t>P</w:t>
      </w:r>
      <w:r w:rsidRPr="00537C3C">
        <w:t xml:space="preserve"> &lt; 0.05, ** </w:t>
      </w:r>
      <w:r w:rsidRPr="0030078D">
        <w:rPr>
          <w:i/>
        </w:rPr>
        <w:t>P</w:t>
      </w:r>
      <w:r w:rsidRPr="00537C3C">
        <w:t xml:space="preserve"> &lt; 0.001, </w:t>
      </w:r>
      <w:r w:rsidRPr="00537C3C">
        <w:rPr>
          <w:vertAlign w:val="superscript"/>
        </w:rPr>
        <w:t>#</w:t>
      </w:r>
      <w:r w:rsidRPr="0030078D">
        <w:rPr>
          <w:i/>
        </w:rPr>
        <w:t>P</w:t>
      </w:r>
      <w:r w:rsidRPr="00537C3C">
        <w:t xml:space="preserve"> &lt; 0.001 vs </w:t>
      </w:r>
      <w:r w:rsidRPr="00537C3C">
        <w:rPr>
          <w:rFonts w:cs="Arial"/>
        </w:rPr>
        <w:t>CC</w:t>
      </w:r>
      <w:r w:rsidRPr="00537C3C">
        <w:t>.</w:t>
      </w:r>
    </w:p>
    <w:p w:rsidR="00234376" w:rsidRPr="00537C3C" w:rsidRDefault="00234376" w:rsidP="008E03A7">
      <w:pPr>
        <w:pStyle w:val="TableNotes"/>
        <w:spacing w:after="0"/>
        <w:ind w:left="720" w:firstLine="0"/>
      </w:pPr>
    </w:p>
    <w:p w:rsidR="00234376" w:rsidRPr="00537C3C" w:rsidRDefault="00234376" w:rsidP="008E03A7">
      <w:pPr>
        <w:pStyle w:val="TableNotes"/>
        <w:spacing w:after="0"/>
        <w:ind w:left="720" w:firstLine="0"/>
      </w:pPr>
    </w:p>
    <w:p w:rsidR="00234376" w:rsidRPr="00537C3C" w:rsidRDefault="00234376" w:rsidP="0055726B">
      <w:pPr>
        <w:pStyle w:val="Caption"/>
      </w:pPr>
      <w:bookmarkStart w:id="429" w:name="_Ref190669594"/>
      <w:bookmarkStart w:id="430" w:name="_Toc190744375"/>
      <w:bookmarkStart w:id="431" w:name="_Toc95971256"/>
      <w:r w:rsidRPr="00537C3C">
        <w:t xml:space="preserve">Table </w:t>
      </w:r>
      <w:fldSimple w:instr=" SEQ Table \* ARABIC ">
        <w:r w:rsidR="007D3DFF">
          <w:rPr>
            <w:noProof/>
          </w:rPr>
          <w:t>20</w:t>
        </w:r>
      </w:fldSimple>
      <w:bookmarkEnd w:id="429"/>
      <w:r w:rsidRPr="00537C3C">
        <w:tab/>
        <w:t xml:space="preserve">Yield of automation-assisted reading of </w:t>
      </w:r>
      <w:r w:rsidRPr="00BB76D8">
        <w:t>LBC</w:t>
      </w:r>
      <w:r w:rsidRPr="00537C3C">
        <w:t xml:space="preserve"> versus manual reading of conventional cytology</w:t>
      </w:r>
      <w:bookmarkEnd w:id="430"/>
      <w:r w:rsidRPr="00537C3C">
        <w:t xml:space="preserve"> (Davey et al. 2007</w:t>
      </w:r>
      <w:r w:rsidR="00A34DD9">
        <w:t>a</w:t>
      </w:r>
      <w:r w:rsidRPr="00537C3C">
        <w:t>).</w:t>
      </w:r>
      <w:bookmarkEnd w:id="431"/>
    </w:p>
    <w:tbl>
      <w:tblPr>
        <w:tblW w:w="0" w:type="auto"/>
        <w:tblInd w:w="801" w:type="dxa"/>
        <w:tblLayout w:type="fixed"/>
        <w:tblLook w:val="01E0" w:firstRow="1" w:lastRow="1" w:firstColumn="1" w:lastColumn="1" w:noHBand="0" w:noVBand="0"/>
      </w:tblPr>
      <w:tblGrid>
        <w:gridCol w:w="1980"/>
        <w:gridCol w:w="1562"/>
        <w:gridCol w:w="1562"/>
        <w:gridCol w:w="852"/>
        <w:gridCol w:w="1273"/>
        <w:gridCol w:w="993"/>
      </w:tblGrid>
      <w:tr w:rsidR="00234376" w:rsidRPr="00537C3C">
        <w:tc>
          <w:tcPr>
            <w:tcW w:w="1980" w:type="dxa"/>
            <w:tcBorders>
              <w:top w:val="single" w:sz="4" w:space="0" w:color="auto"/>
              <w:bottom w:val="single" w:sz="4" w:space="0" w:color="auto"/>
            </w:tcBorders>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Cytological classification</w:t>
            </w:r>
          </w:p>
        </w:tc>
        <w:tc>
          <w:tcPr>
            <w:tcW w:w="1562" w:type="dxa"/>
            <w:tcBorders>
              <w:top w:val="single" w:sz="4" w:space="0" w:color="auto"/>
              <w:bottom w:val="single" w:sz="4" w:space="0" w:color="auto"/>
            </w:tcBorders>
          </w:tcPr>
          <w:p w:rsidR="00234376" w:rsidRPr="00537C3C" w:rsidRDefault="00234376" w:rsidP="008E03A7">
            <w:pPr>
              <w:pStyle w:val="TableHeading0"/>
              <w:spacing w:before="0" w:after="0"/>
              <w:jc w:val="center"/>
              <w:rPr>
                <w:rFonts w:ascii="Arial Narrow" w:hAnsi="Arial Narrow"/>
                <w:bCs/>
                <w:sz w:val="20"/>
              </w:rPr>
            </w:pPr>
            <w:r w:rsidRPr="00537C3C">
              <w:t>Automation-assisted reading</w:t>
            </w:r>
          </w:p>
        </w:tc>
        <w:tc>
          <w:tcPr>
            <w:tcW w:w="1562" w:type="dxa"/>
            <w:tcBorders>
              <w:top w:val="single" w:sz="4" w:space="0" w:color="auto"/>
              <w:bottom w:val="single" w:sz="4" w:space="0" w:color="auto"/>
            </w:tcBorders>
          </w:tcPr>
          <w:p w:rsidR="00234376" w:rsidRPr="00537C3C" w:rsidRDefault="00234376" w:rsidP="008E03A7">
            <w:pPr>
              <w:pStyle w:val="TableHeading0"/>
              <w:spacing w:before="0" w:after="0"/>
              <w:jc w:val="center"/>
              <w:rPr>
                <w:rFonts w:ascii="Arial Narrow" w:hAnsi="Arial Narrow"/>
                <w:bCs/>
                <w:sz w:val="20"/>
              </w:rPr>
            </w:pPr>
            <w:r w:rsidRPr="00537C3C">
              <w:t>Manual reading conventional slides</w:t>
            </w:r>
          </w:p>
        </w:tc>
        <w:tc>
          <w:tcPr>
            <w:tcW w:w="852" w:type="dxa"/>
            <w:tcBorders>
              <w:top w:val="single" w:sz="4" w:space="0" w:color="auto"/>
              <w:bottom w:val="single" w:sz="4" w:space="0" w:color="auto"/>
            </w:tcBorders>
          </w:tcPr>
          <w:p w:rsidR="00234376" w:rsidRDefault="00234376" w:rsidP="00234376">
            <w:pPr>
              <w:pStyle w:val="TableHeading0"/>
              <w:spacing w:before="0" w:after="0"/>
              <w:jc w:val="center"/>
              <w:rPr>
                <w:rFonts w:ascii="Arial Narrow" w:hAnsi="Arial Narrow"/>
                <w:bCs/>
                <w:sz w:val="20"/>
              </w:rPr>
            </w:pPr>
            <w:r w:rsidRPr="00A316F5">
              <w:rPr>
                <w:rFonts w:ascii="Arial Narrow" w:hAnsi="Arial Narrow"/>
                <w:bCs/>
                <w:sz w:val="20"/>
              </w:rPr>
              <w:t>OR</w:t>
            </w:r>
          </w:p>
        </w:tc>
        <w:tc>
          <w:tcPr>
            <w:tcW w:w="1273" w:type="dxa"/>
            <w:tcBorders>
              <w:top w:val="single" w:sz="4" w:space="0" w:color="auto"/>
              <w:bottom w:val="single" w:sz="4" w:space="0" w:color="auto"/>
            </w:tcBorders>
          </w:tcPr>
          <w:p w:rsidR="00234376" w:rsidRDefault="00234376" w:rsidP="00234376">
            <w:pPr>
              <w:pStyle w:val="TableHeading0"/>
              <w:spacing w:before="0" w:after="0"/>
              <w:jc w:val="center"/>
              <w:rPr>
                <w:rFonts w:ascii="Arial Narrow" w:hAnsi="Arial Narrow"/>
                <w:bCs/>
                <w:sz w:val="20"/>
              </w:rPr>
            </w:pPr>
            <w:r w:rsidRPr="00537C3C">
              <w:rPr>
                <w:rFonts w:ascii="Arial Narrow" w:hAnsi="Arial Narrow"/>
                <w:bCs/>
                <w:sz w:val="20"/>
              </w:rPr>
              <w:t xml:space="preserve">(95% </w:t>
            </w:r>
            <w:r w:rsidRPr="00BB76D8">
              <w:rPr>
                <w:rFonts w:ascii="Arial Narrow" w:hAnsi="Arial Narrow"/>
                <w:bCs/>
                <w:sz w:val="20"/>
              </w:rPr>
              <w:t>CI</w:t>
            </w:r>
            <w:r w:rsidRPr="00537C3C">
              <w:rPr>
                <w:rFonts w:ascii="Arial Narrow" w:hAnsi="Arial Narrow"/>
                <w:bCs/>
                <w:sz w:val="20"/>
              </w:rPr>
              <w:t>)</w:t>
            </w:r>
          </w:p>
        </w:tc>
        <w:tc>
          <w:tcPr>
            <w:tcW w:w="993" w:type="dxa"/>
            <w:tcBorders>
              <w:top w:val="single" w:sz="4" w:space="0" w:color="auto"/>
              <w:bottom w:val="single" w:sz="4" w:space="0" w:color="auto"/>
            </w:tcBorders>
          </w:tcPr>
          <w:p w:rsidR="00234376" w:rsidRPr="00537C3C" w:rsidRDefault="00234376" w:rsidP="008E03A7">
            <w:pPr>
              <w:pStyle w:val="TableHeading0"/>
              <w:spacing w:before="0" w:after="0"/>
              <w:jc w:val="center"/>
              <w:rPr>
                <w:rFonts w:ascii="Arial Narrow" w:hAnsi="Arial Narrow"/>
                <w:bCs/>
                <w:sz w:val="20"/>
              </w:rPr>
            </w:pPr>
            <w:r w:rsidRPr="0030078D">
              <w:rPr>
                <w:rFonts w:ascii="Arial Narrow" w:hAnsi="Arial Narrow"/>
                <w:bCs/>
                <w:i/>
                <w:sz w:val="20"/>
              </w:rPr>
              <w:t>P</w:t>
            </w:r>
          </w:p>
        </w:tc>
      </w:tr>
      <w:tr w:rsidR="00234376" w:rsidRPr="00537C3C">
        <w:trPr>
          <w:trHeight w:val="255"/>
        </w:trPr>
        <w:tc>
          <w:tcPr>
            <w:tcW w:w="1980" w:type="dxa"/>
            <w:tcBorders>
              <w:top w:val="single" w:sz="4" w:space="0" w:color="auto"/>
            </w:tcBorders>
          </w:tcPr>
          <w:p w:rsidR="00234376" w:rsidRPr="00537C3C" w:rsidRDefault="00234376" w:rsidP="008E03A7">
            <w:pPr>
              <w:pStyle w:val="TableText0"/>
              <w:rPr>
                <w:rFonts w:ascii="Arial Narrow" w:hAnsi="Arial Narrow"/>
                <w:b/>
              </w:rPr>
            </w:pPr>
            <w:r w:rsidRPr="00537C3C">
              <w:rPr>
                <w:rFonts w:ascii="Arial Narrow" w:hAnsi="Arial Narrow"/>
              </w:rPr>
              <w:t>Atypia</w:t>
            </w:r>
          </w:p>
        </w:tc>
        <w:tc>
          <w:tcPr>
            <w:tcW w:w="1562" w:type="dxa"/>
            <w:tcBorders>
              <w:top w:val="single" w:sz="4" w:space="0" w:color="auto"/>
            </w:tcBorders>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3.1</w:t>
            </w:r>
          </w:p>
        </w:tc>
        <w:tc>
          <w:tcPr>
            <w:tcW w:w="1562" w:type="dxa"/>
            <w:tcBorders>
              <w:top w:val="single" w:sz="4" w:space="0" w:color="auto"/>
            </w:tcBorders>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2.8</w:t>
            </w:r>
          </w:p>
        </w:tc>
        <w:tc>
          <w:tcPr>
            <w:tcW w:w="852" w:type="dxa"/>
            <w:tcBorders>
              <w:top w:val="single" w:sz="4" w:space="0" w:color="auto"/>
            </w:tcBorders>
          </w:tcPr>
          <w:p w:rsidR="00234376" w:rsidRDefault="00234376" w:rsidP="00234376">
            <w:pPr>
              <w:pStyle w:val="TableText0"/>
              <w:jc w:val="center"/>
              <w:rPr>
                <w:rFonts w:ascii="Arial Narrow" w:hAnsi="Arial Narrow"/>
              </w:rPr>
            </w:pPr>
            <w:r w:rsidRPr="00537C3C">
              <w:rPr>
                <w:rFonts w:ascii="Arial Narrow" w:hAnsi="Arial Narrow"/>
              </w:rPr>
              <w:t>1.08</w:t>
            </w:r>
          </w:p>
        </w:tc>
        <w:tc>
          <w:tcPr>
            <w:tcW w:w="1273" w:type="dxa"/>
            <w:tcBorders>
              <w:top w:val="single" w:sz="4" w:space="0" w:color="auto"/>
            </w:tcBorders>
          </w:tcPr>
          <w:p w:rsidR="00234376" w:rsidRDefault="00234376" w:rsidP="00234376">
            <w:pPr>
              <w:pStyle w:val="TableText0"/>
              <w:jc w:val="center"/>
              <w:rPr>
                <w:rFonts w:ascii="Arial Narrow" w:hAnsi="Arial Narrow"/>
              </w:rPr>
            </w:pPr>
            <w:r w:rsidRPr="00537C3C">
              <w:rPr>
                <w:rFonts w:ascii="Arial Narrow" w:hAnsi="Arial Narrow"/>
              </w:rPr>
              <w:t>(1.01–1.15)</w:t>
            </w:r>
          </w:p>
        </w:tc>
        <w:tc>
          <w:tcPr>
            <w:tcW w:w="993" w:type="dxa"/>
            <w:tcBorders>
              <w:top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0.018</w:t>
            </w:r>
          </w:p>
        </w:tc>
      </w:tr>
      <w:tr w:rsidR="00234376" w:rsidRPr="00537C3C">
        <w:trPr>
          <w:trHeight w:val="315"/>
        </w:trPr>
        <w:tc>
          <w:tcPr>
            <w:tcW w:w="1980" w:type="dxa"/>
          </w:tcPr>
          <w:p w:rsidR="00234376" w:rsidRPr="00537C3C" w:rsidRDefault="00234376" w:rsidP="008E03A7">
            <w:pPr>
              <w:pStyle w:val="TableText0"/>
              <w:rPr>
                <w:rFonts w:ascii="Arial Narrow" w:hAnsi="Arial Narrow"/>
                <w:b/>
              </w:rPr>
            </w:pPr>
            <w:r w:rsidRPr="00537C3C">
              <w:rPr>
                <w:rFonts w:ascii="Arial Narrow" w:hAnsi="Arial Narrow"/>
              </w:rPr>
              <w:t xml:space="preserve">Atypia with </w:t>
            </w:r>
            <w:r w:rsidRPr="00BB76D8">
              <w:rPr>
                <w:rFonts w:ascii="Arial Narrow" w:hAnsi="Arial Narrow"/>
              </w:rPr>
              <w:t>HPV</w:t>
            </w:r>
          </w:p>
        </w:tc>
        <w:tc>
          <w:tcPr>
            <w:tcW w:w="1562" w:type="dxa"/>
          </w:tcPr>
          <w:p w:rsidR="00234376" w:rsidRPr="00537C3C" w:rsidRDefault="00234376" w:rsidP="008E03A7">
            <w:pPr>
              <w:pStyle w:val="TableText0"/>
              <w:jc w:val="center"/>
              <w:rPr>
                <w:rFonts w:ascii="Arial Narrow" w:hAnsi="Arial Narrow"/>
              </w:rPr>
            </w:pPr>
            <w:r w:rsidRPr="00537C3C">
              <w:rPr>
                <w:rFonts w:ascii="Arial Narrow" w:hAnsi="Arial Narrow"/>
              </w:rPr>
              <w:t>1.6</w:t>
            </w:r>
          </w:p>
        </w:tc>
        <w:tc>
          <w:tcPr>
            <w:tcW w:w="1562" w:type="dxa"/>
          </w:tcPr>
          <w:p w:rsidR="00234376" w:rsidRPr="00537C3C" w:rsidRDefault="00234376" w:rsidP="008E03A7">
            <w:pPr>
              <w:pStyle w:val="TableText0"/>
              <w:jc w:val="center"/>
              <w:rPr>
                <w:rFonts w:ascii="Arial Narrow" w:hAnsi="Arial Narrow"/>
              </w:rPr>
            </w:pPr>
            <w:r w:rsidRPr="00537C3C">
              <w:rPr>
                <w:rFonts w:ascii="Arial Narrow" w:hAnsi="Arial Narrow"/>
              </w:rPr>
              <w:t>1.0</w:t>
            </w:r>
          </w:p>
        </w:tc>
        <w:tc>
          <w:tcPr>
            <w:tcW w:w="852" w:type="dxa"/>
          </w:tcPr>
          <w:p w:rsidR="00234376" w:rsidRDefault="00234376" w:rsidP="00234376">
            <w:pPr>
              <w:pStyle w:val="TableText0"/>
              <w:jc w:val="center"/>
              <w:rPr>
                <w:rFonts w:ascii="Arial Narrow" w:hAnsi="Arial Narrow"/>
              </w:rPr>
            </w:pPr>
            <w:r w:rsidRPr="00537C3C">
              <w:rPr>
                <w:rFonts w:ascii="Arial Narrow" w:hAnsi="Arial Narrow"/>
              </w:rPr>
              <w:t>1.65</w:t>
            </w:r>
          </w:p>
        </w:tc>
        <w:tc>
          <w:tcPr>
            <w:tcW w:w="1273" w:type="dxa"/>
          </w:tcPr>
          <w:p w:rsidR="00234376" w:rsidRDefault="00234376" w:rsidP="00234376">
            <w:pPr>
              <w:pStyle w:val="TableText0"/>
              <w:jc w:val="center"/>
              <w:rPr>
                <w:rFonts w:ascii="Arial Narrow" w:hAnsi="Arial Narrow"/>
              </w:rPr>
            </w:pPr>
            <w:r w:rsidRPr="00537C3C">
              <w:rPr>
                <w:rFonts w:ascii="Arial Narrow" w:hAnsi="Arial Narrow"/>
              </w:rPr>
              <w:t>(1.51–1.80)</w:t>
            </w:r>
          </w:p>
        </w:tc>
        <w:tc>
          <w:tcPr>
            <w:tcW w:w="993" w:type="dxa"/>
          </w:tcPr>
          <w:p w:rsidR="00234376" w:rsidRPr="00537C3C" w:rsidRDefault="00234376" w:rsidP="008E03A7">
            <w:pPr>
              <w:pStyle w:val="TableText0"/>
              <w:jc w:val="center"/>
              <w:rPr>
                <w:rFonts w:ascii="Arial Narrow" w:hAnsi="Arial Narrow"/>
              </w:rPr>
            </w:pPr>
            <w:r w:rsidRPr="00537C3C">
              <w:rPr>
                <w:rFonts w:ascii="Arial Narrow" w:hAnsi="Arial Narrow"/>
              </w:rPr>
              <w:t xml:space="preserve"> &lt; 0.001</w:t>
            </w:r>
          </w:p>
        </w:tc>
      </w:tr>
      <w:tr w:rsidR="00234376" w:rsidRPr="00537C3C">
        <w:tc>
          <w:tcPr>
            <w:tcW w:w="1980" w:type="dxa"/>
          </w:tcPr>
          <w:p w:rsidR="00234376" w:rsidRPr="00537C3C" w:rsidRDefault="00234376" w:rsidP="008E03A7">
            <w:pPr>
              <w:pStyle w:val="TableText0"/>
              <w:rPr>
                <w:rFonts w:ascii="Arial Narrow" w:hAnsi="Arial Narrow"/>
              </w:rPr>
            </w:pPr>
            <w:r w:rsidRPr="00BB76D8">
              <w:rPr>
                <w:rFonts w:ascii="Arial Narrow" w:hAnsi="Arial Narrow"/>
              </w:rPr>
              <w:t>CIN</w:t>
            </w:r>
            <w:r w:rsidRPr="00537C3C">
              <w:rPr>
                <w:rFonts w:ascii="Arial Narrow" w:hAnsi="Arial Narrow"/>
              </w:rPr>
              <w:t xml:space="preserve"> 1</w:t>
            </w:r>
          </w:p>
        </w:tc>
        <w:tc>
          <w:tcPr>
            <w:tcW w:w="1562" w:type="dxa"/>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1.4</w:t>
            </w:r>
          </w:p>
        </w:tc>
        <w:tc>
          <w:tcPr>
            <w:tcW w:w="1562" w:type="dxa"/>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1.0</w:t>
            </w:r>
          </w:p>
        </w:tc>
        <w:tc>
          <w:tcPr>
            <w:tcW w:w="852" w:type="dxa"/>
          </w:tcPr>
          <w:p w:rsidR="00234376" w:rsidRDefault="00234376" w:rsidP="00234376">
            <w:pPr>
              <w:pStyle w:val="TableText0"/>
              <w:jc w:val="center"/>
              <w:rPr>
                <w:rFonts w:ascii="Arial Narrow" w:hAnsi="Arial Narrow"/>
              </w:rPr>
            </w:pPr>
            <w:r w:rsidRPr="00537C3C">
              <w:rPr>
                <w:rFonts w:ascii="Arial Narrow" w:hAnsi="Arial Narrow"/>
              </w:rPr>
              <w:t>1.47</w:t>
            </w:r>
          </w:p>
        </w:tc>
        <w:tc>
          <w:tcPr>
            <w:tcW w:w="1273" w:type="dxa"/>
          </w:tcPr>
          <w:p w:rsidR="00234376" w:rsidRDefault="00234376" w:rsidP="00234376">
            <w:pPr>
              <w:pStyle w:val="TableText0"/>
              <w:jc w:val="center"/>
              <w:rPr>
                <w:rFonts w:ascii="Arial Narrow" w:hAnsi="Arial Narrow"/>
              </w:rPr>
            </w:pPr>
            <w:r w:rsidRPr="00537C3C">
              <w:rPr>
                <w:rFonts w:ascii="Arial Narrow" w:hAnsi="Arial Narrow"/>
              </w:rPr>
              <w:t>(1.35–1.60)</w:t>
            </w:r>
          </w:p>
        </w:tc>
        <w:tc>
          <w:tcPr>
            <w:tcW w:w="993" w:type="dxa"/>
          </w:tcPr>
          <w:p w:rsidR="00234376" w:rsidRPr="00537C3C" w:rsidRDefault="00234376" w:rsidP="008E03A7">
            <w:pPr>
              <w:pStyle w:val="TableText0"/>
              <w:jc w:val="center"/>
              <w:rPr>
                <w:rFonts w:ascii="Arial Narrow" w:hAnsi="Arial Narrow"/>
              </w:rPr>
            </w:pPr>
            <w:r w:rsidRPr="00537C3C">
              <w:rPr>
                <w:rFonts w:ascii="Arial Narrow" w:hAnsi="Arial Narrow"/>
              </w:rPr>
              <w:t xml:space="preserve"> &lt; 0.001</w:t>
            </w:r>
          </w:p>
        </w:tc>
      </w:tr>
      <w:tr w:rsidR="00234376" w:rsidRPr="00537C3C">
        <w:tc>
          <w:tcPr>
            <w:tcW w:w="1980" w:type="dxa"/>
          </w:tcPr>
          <w:p w:rsidR="00234376" w:rsidRPr="00537C3C" w:rsidRDefault="00234376" w:rsidP="008E03A7">
            <w:pPr>
              <w:pStyle w:val="TableText0"/>
              <w:rPr>
                <w:rFonts w:ascii="Arial Narrow" w:hAnsi="Arial Narrow"/>
              </w:rPr>
            </w:pPr>
            <w:r w:rsidRPr="00537C3C">
              <w:rPr>
                <w:rFonts w:ascii="Arial Narrow" w:hAnsi="Arial Narrow"/>
              </w:rPr>
              <w:t>Inconclusive; high grade to be excluded</w:t>
            </w:r>
          </w:p>
        </w:tc>
        <w:tc>
          <w:tcPr>
            <w:tcW w:w="1562" w:type="dxa"/>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0.4</w:t>
            </w:r>
          </w:p>
        </w:tc>
        <w:tc>
          <w:tcPr>
            <w:tcW w:w="1562" w:type="dxa"/>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0.5</w:t>
            </w:r>
          </w:p>
        </w:tc>
        <w:tc>
          <w:tcPr>
            <w:tcW w:w="852" w:type="dxa"/>
          </w:tcPr>
          <w:p w:rsidR="00234376" w:rsidRDefault="00234376" w:rsidP="00234376">
            <w:pPr>
              <w:pStyle w:val="TableText0"/>
              <w:jc w:val="center"/>
              <w:rPr>
                <w:rFonts w:ascii="Arial Narrow" w:hAnsi="Arial Narrow"/>
              </w:rPr>
            </w:pPr>
            <w:r w:rsidRPr="00537C3C">
              <w:rPr>
                <w:rFonts w:ascii="Arial Narrow" w:hAnsi="Arial Narrow"/>
              </w:rPr>
              <w:t>0.78</w:t>
            </w:r>
          </w:p>
        </w:tc>
        <w:tc>
          <w:tcPr>
            <w:tcW w:w="1273" w:type="dxa"/>
          </w:tcPr>
          <w:p w:rsidR="00234376" w:rsidRDefault="00234376" w:rsidP="00234376">
            <w:pPr>
              <w:pStyle w:val="TableText0"/>
              <w:jc w:val="center"/>
              <w:rPr>
                <w:rFonts w:ascii="Arial Narrow" w:hAnsi="Arial Narrow"/>
              </w:rPr>
            </w:pPr>
            <w:r w:rsidRPr="00537C3C">
              <w:rPr>
                <w:rFonts w:ascii="Arial Narrow" w:hAnsi="Arial Narrow"/>
              </w:rPr>
              <w:t>(0.67–0.92)</w:t>
            </w:r>
          </w:p>
        </w:tc>
        <w:tc>
          <w:tcPr>
            <w:tcW w:w="993" w:type="dxa"/>
          </w:tcPr>
          <w:p w:rsidR="00234376" w:rsidRPr="00537C3C" w:rsidRDefault="00234376" w:rsidP="008E03A7">
            <w:pPr>
              <w:pStyle w:val="TableText0"/>
              <w:jc w:val="center"/>
              <w:rPr>
                <w:rFonts w:ascii="Arial Narrow" w:hAnsi="Arial Narrow"/>
              </w:rPr>
            </w:pPr>
            <w:r w:rsidRPr="00537C3C">
              <w:rPr>
                <w:rFonts w:ascii="Arial Narrow" w:hAnsi="Arial Narrow"/>
              </w:rPr>
              <w:t>0.0028</w:t>
            </w:r>
          </w:p>
        </w:tc>
      </w:tr>
      <w:tr w:rsidR="00234376" w:rsidRPr="00537C3C">
        <w:tc>
          <w:tcPr>
            <w:tcW w:w="1980" w:type="dxa"/>
          </w:tcPr>
          <w:p w:rsidR="00234376" w:rsidRPr="00537C3C" w:rsidRDefault="00234376" w:rsidP="008E03A7">
            <w:pPr>
              <w:pStyle w:val="TableText0"/>
              <w:rPr>
                <w:rFonts w:ascii="Arial Narrow" w:hAnsi="Arial Narrow"/>
              </w:rPr>
            </w:pPr>
            <w:r w:rsidRPr="00BB76D8">
              <w:rPr>
                <w:rFonts w:ascii="Arial Narrow" w:hAnsi="Arial Narrow"/>
              </w:rPr>
              <w:t>CIN</w:t>
            </w:r>
            <w:r w:rsidRPr="00537C3C">
              <w:rPr>
                <w:rFonts w:ascii="Arial Narrow" w:hAnsi="Arial Narrow"/>
              </w:rPr>
              <w:t xml:space="preserve"> 2</w:t>
            </w:r>
          </w:p>
        </w:tc>
        <w:tc>
          <w:tcPr>
            <w:tcW w:w="1562" w:type="dxa"/>
          </w:tcPr>
          <w:p w:rsidR="00234376" w:rsidRPr="00537C3C" w:rsidRDefault="00234376" w:rsidP="008E03A7">
            <w:pPr>
              <w:pStyle w:val="TableText0"/>
              <w:jc w:val="center"/>
              <w:rPr>
                <w:rFonts w:ascii="Arial Narrow" w:hAnsi="Arial Narrow"/>
              </w:rPr>
            </w:pPr>
            <w:r w:rsidRPr="00537C3C">
              <w:rPr>
                <w:rFonts w:ascii="Arial Narrow" w:hAnsi="Arial Narrow"/>
              </w:rPr>
              <w:t>0.4</w:t>
            </w:r>
          </w:p>
        </w:tc>
        <w:tc>
          <w:tcPr>
            <w:tcW w:w="1562" w:type="dxa"/>
          </w:tcPr>
          <w:p w:rsidR="00234376" w:rsidRPr="00537C3C" w:rsidRDefault="00234376" w:rsidP="008E03A7">
            <w:pPr>
              <w:pStyle w:val="TableText0"/>
              <w:jc w:val="center"/>
              <w:rPr>
                <w:rFonts w:ascii="Arial Narrow" w:hAnsi="Arial Narrow"/>
              </w:rPr>
            </w:pPr>
            <w:r w:rsidRPr="00537C3C">
              <w:rPr>
                <w:rFonts w:ascii="Arial Narrow" w:hAnsi="Arial Narrow"/>
              </w:rPr>
              <w:t>0.3</w:t>
            </w:r>
          </w:p>
        </w:tc>
        <w:tc>
          <w:tcPr>
            <w:tcW w:w="852" w:type="dxa"/>
          </w:tcPr>
          <w:p w:rsidR="00234376" w:rsidRDefault="00234376" w:rsidP="00234376">
            <w:pPr>
              <w:pStyle w:val="TableText0"/>
              <w:jc w:val="center"/>
              <w:rPr>
                <w:rFonts w:ascii="Arial Narrow" w:hAnsi="Arial Narrow"/>
              </w:rPr>
            </w:pPr>
            <w:r w:rsidRPr="00537C3C">
              <w:rPr>
                <w:rFonts w:ascii="Arial Narrow" w:hAnsi="Arial Narrow"/>
              </w:rPr>
              <w:t>1.45</w:t>
            </w:r>
          </w:p>
        </w:tc>
        <w:tc>
          <w:tcPr>
            <w:tcW w:w="1273" w:type="dxa"/>
          </w:tcPr>
          <w:p w:rsidR="00234376" w:rsidRDefault="00234376" w:rsidP="00234376">
            <w:pPr>
              <w:pStyle w:val="TableText0"/>
              <w:jc w:val="center"/>
              <w:rPr>
                <w:rFonts w:ascii="Arial Narrow" w:hAnsi="Arial Narrow"/>
              </w:rPr>
            </w:pPr>
            <w:r w:rsidRPr="00537C3C">
              <w:rPr>
                <w:rFonts w:ascii="Arial Narrow" w:hAnsi="Arial Narrow"/>
              </w:rPr>
              <w:t>(1.20–1.75)</w:t>
            </w:r>
          </w:p>
        </w:tc>
        <w:tc>
          <w:tcPr>
            <w:tcW w:w="993" w:type="dxa"/>
          </w:tcPr>
          <w:p w:rsidR="00234376" w:rsidRPr="00537C3C" w:rsidRDefault="00234376" w:rsidP="008E03A7">
            <w:pPr>
              <w:pStyle w:val="TableText0"/>
              <w:jc w:val="center"/>
              <w:rPr>
                <w:rFonts w:ascii="Arial Narrow" w:hAnsi="Arial Narrow"/>
              </w:rPr>
            </w:pPr>
            <w:r w:rsidRPr="00537C3C">
              <w:rPr>
                <w:rFonts w:ascii="Arial Narrow" w:hAnsi="Arial Narrow"/>
              </w:rPr>
              <w:t xml:space="preserve"> &lt; 0.001</w:t>
            </w:r>
          </w:p>
        </w:tc>
      </w:tr>
      <w:tr w:rsidR="00234376" w:rsidRPr="00537C3C">
        <w:tc>
          <w:tcPr>
            <w:tcW w:w="1980" w:type="dxa"/>
          </w:tcPr>
          <w:p w:rsidR="00234376" w:rsidRPr="00537C3C" w:rsidRDefault="00234376" w:rsidP="008E03A7">
            <w:pPr>
              <w:pStyle w:val="TableText0"/>
              <w:rPr>
                <w:rFonts w:ascii="Arial Narrow" w:hAnsi="Arial Narrow"/>
              </w:rPr>
            </w:pPr>
            <w:r w:rsidRPr="00BB76D8">
              <w:rPr>
                <w:rFonts w:ascii="Arial Narrow" w:hAnsi="Arial Narrow"/>
              </w:rPr>
              <w:t>CIN</w:t>
            </w:r>
            <w:r w:rsidRPr="00537C3C">
              <w:rPr>
                <w:rFonts w:ascii="Arial Narrow" w:hAnsi="Arial Narrow"/>
              </w:rPr>
              <w:t xml:space="preserve"> 3+</w:t>
            </w:r>
          </w:p>
        </w:tc>
        <w:tc>
          <w:tcPr>
            <w:tcW w:w="1562" w:type="dxa"/>
          </w:tcPr>
          <w:p w:rsidR="00234376" w:rsidRPr="00537C3C" w:rsidRDefault="00234376" w:rsidP="008E03A7">
            <w:pPr>
              <w:pStyle w:val="TableTextLessSpaceCharCharCharCharCharCharCharChar"/>
              <w:jc w:val="center"/>
              <w:rPr>
                <w:szCs w:val="18"/>
              </w:rPr>
            </w:pPr>
            <w:r w:rsidRPr="00537C3C">
              <w:rPr>
                <w:szCs w:val="18"/>
              </w:rPr>
              <w:t>0.5</w:t>
            </w:r>
          </w:p>
        </w:tc>
        <w:tc>
          <w:tcPr>
            <w:tcW w:w="1562" w:type="dxa"/>
          </w:tcPr>
          <w:p w:rsidR="00234376" w:rsidRPr="00537C3C" w:rsidRDefault="00234376" w:rsidP="008E03A7">
            <w:pPr>
              <w:pStyle w:val="TableTextLessSpaceCharCharCharCharCharCharCharChar"/>
              <w:jc w:val="center"/>
              <w:rPr>
                <w:szCs w:val="18"/>
              </w:rPr>
            </w:pPr>
            <w:r w:rsidRPr="00537C3C">
              <w:rPr>
                <w:szCs w:val="18"/>
              </w:rPr>
              <w:t>0.4</w:t>
            </w:r>
          </w:p>
        </w:tc>
        <w:tc>
          <w:tcPr>
            <w:tcW w:w="852" w:type="dxa"/>
          </w:tcPr>
          <w:p w:rsidR="00234376" w:rsidRDefault="00234376" w:rsidP="00234376">
            <w:pPr>
              <w:pStyle w:val="TableText0"/>
              <w:jc w:val="center"/>
              <w:rPr>
                <w:rFonts w:ascii="Arial Narrow" w:hAnsi="Arial Narrow"/>
              </w:rPr>
            </w:pPr>
            <w:r w:rsidRPr="00537C3C">
              <w:rPr>
                <w:rFonts w:ascii="Arial Narrow" w:hAnsi="Arial Narrow"/>
              </w:rPr>
              <w:t>1.15</w:t>
            </w:r>
          </w:p>
        </w:tc>
        <w:tc>
          <w:tcPr>
            <w:tcW w:w="1273" w:type="dxa"/>
          </w:tcPr>
          <w:p w:rsidR="00234376" w:rsidRDefault="00234376" w:rsidP="00234376">
            <w:pPr>
              <w:pStyle w:val="TableText0"/>
              <w:jc w:val="center"/>
              <w:rPr>
                <w:rFonts w:ascii="Arial Narrow" w:hAnsi="Arial Narrow"/>
              </w:rPr>
            </w:pPr>
            <w:r w:rsidRPr="00537C3C">
              <w:rPr>
                <w:rFonts w:ascii="Arial Narrow" w:hAnsi="Arial Narrow"/>
              </w:rPr>
              <w:t>(1.02–1.30)</w:t>
            </w:r>
          </w:p>
        </w:tc>
        <w:tc>
          <w:tcPr>
            <w:tcW w:w="993" w:type="dxa"/>
          </w:tcPr>
          <w:p w:rsidR="00234376" w:rsidRPr="00537C3C" w:rsidRDefault="00234376" w:rsidP="008E03A7">
            <w:pPr>
              <w:pStyle w:val="TableText0"/>
              <w:jc w:val="center"/>
              <w:rPr>
                <w:rFonts w:ascii="Arial Narrow" w:hAnsi="Arial Narrow"/>
              </w:rPr>
            </w:pPr>
            <w:r w:rsidRPr="00537C3C">
              <w:rPr>
                <w:rFonts w:ascii="Arial Narrow" w:hAnsi="Arial Narrow"/>
              </w:rPr>
              <w:softHyphen/>
              <w:t>0.019</w:t>
            </w:r>
          </w:p>
        </w:tc>
      </w:tr>
      <w:tr w:rsidR="00234376" w:rsidRPr="00537C3C">
        <w:tc>
          <w:tcPr>
            <w:tcW w:w="1980" w:type="dxa"/>
            <w:tcBorders>
              <w:bottom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Glandular</w:t>
            </w:r>
          </w:p>
        </w:tc>
        <w:tc>
          <w:tcPr>
            <w:tcW w:w="1562" w:type="dxa"/>
            <w:tcBorders>
              <w:bottom w:val="single" w:sz="4" w:space="0" w:color="auto"/>
            </w:tcBorders>
          </w:tcPr>
          <w:p w:rsidR="00234376" w:rsidRPr="00537C3C" w:rsidRDefault="00234376" w:rsidP="008E03A7">
            <w:pPr>
              <w:pStyle w:val="TableTextLessSpaceCharCharCharCharCharCharCharChar"/>
              <w:jc w:val="center"/>
              <w:rPr>
                <w:szCs w:val="18"/>
              </w:rPr>
            </w:pPr>
            <w:r w:rsidRPr="00537C3C">
              <w:rPr>
                <w:szCs w:val="18"/>
              </w:rPr>
              <w:t>0.04</w:t>
            </w:r>
          </w:p>
        </w:tc>
        <w:tc>
          <w:tcPr>
            <w:tcW w:w="1562" w:type="dxa"/>
            <w:tcBorders>
              <w:bottom w:val="single" w:sz="4" w:space="0" w:color="auto"/>
            </w:tcBorders>
          </w:tcPr>
          <w:p w:rsidR="00234376" w:rsidRPr="00537C3C" w:rsidRDefault="00234376" w:rsidP="008E03A7">
            <w:pPr>
              <w:pStyle w:val="TableTextLessSpaceCharCharCharCharCharCharCharChar"/>
              <w:jc w:val="center"/>
              <w:rPr>
                <w:szCs w:val="18"/>
              </w:rPr>
            </w:pPr>
            <w:r w:rsidRPr="00537C3C">
              <w:rPr>
                <w:szCs w:val="18"/>
              </w:rPr>
              <w:t>0.09</w:t>
            </w:r>
          </w:p>
        </w:tc>
        <w:tc>
          <w:tcPr>
            <w:tcW w:w="852" w:type="dxa"/>
            <w:tcBorders>
              <w:bottom w:val="single" w:sz="4" w:space="0" w:color="auto"/>
            </w:tcBorders>
          </w:tcPr>
          <w:p w:rsidR="00234376" w:rsidRDefault="00234376" w:rsidP="00234376">
            <w:pPr>
              <w:pStyle w:val="TableText0"/>
              <w:jc w:val="center"/>
              <w:rPr>
                <w:rFonts w:ascii="Arial Narrow" w:hAnsi="Arial Narrow"/>
                <w:b/>
              </w:rPr>
            </w:pPr>
          </w:p>
        </w:tc>
        <w:tc>
          <w:tcPr>
            <w:tcW w:w="1273" w:type="dxa"/>
            <w:tcBorders>
              <w:bottom w:val="single" w:sz="4" w:space="0" w:color="auto"/>
            </w:tcBorders>
          </w:tcPr>
          <w:p w:rsidR="00234376" w:rsidRDefault="00234376" w:rsidP="00234376">
            <w:pPr>
              <w:pStyle w:val="TableText0"/>
              <w:jc w:val="center"/>
              <w:rPr>
                <w:rFonts w:ascii="Arial Narrow" w:hAnsi="Arial Narrow"/>
                <w:b/>
              </w:rPr>
            </w:pPr>
          </w:p>
        </w:tc>
        <w:tc>
          <w:tcPr>
            <w:tcW w:w="993" w:type="dxa"/>
            <w:tcBorders>
              <w:bottom w:val="single" w:sz="4" w:space="0" w:color="auto"/>
            </w:tcBorders>
          </w:tcPr>
          <w:p w:rsidR="00234376" w:rsidRPr="00537C3C" w:rsidRDefault="00234376" w:rsidP="008E03A7">
            <w:pPr>
              <w:pStyle w:val="TableText0"/>
              <w:jc w:val="center"/>
              <w:rPr>
                <w:rFonts w:ascii="Arial Narrow" w:hAnsi="Arial Narrow"/>
              </w:rPr>
            </w:pPr>
          </w:p>
        </w:tc>
      </w:tr>
    </w:tbl>
    <w:p w:rsidR="00234376" w:rsidRPr="00537C3C" w:rsidRDefault="00234376" w:rsidP="008E03A7">
      <w:pPr>
        <w:ind w:left="2268"/>
      </w:pPr>
      <w:r w:rsidRPr="00234376">
        <w:rPr>
          <w:rFonts w:ascii="Arial Narrow" w:hAnsi="Arial Narrow"/>
          <w:i/>
          <w:sz w:val="16"/>
        </w:rPr>
        <w:t>Abbreviations:</w:t>
      </w:r>
      <w:r w:rsidRPr="00537C3C">
        <w:rPr>
          <w:rFonts w:ascii="Arial Narrow" w:hAnsi="Arial Narrow"/>
          <w:sz w:val="16"/>
        </w:rPr>
        <w:t xml:space="preserve"> OR = odds ratio.</w:t>
      </w:r>
    </w:p>
    <w:p w:rsidR="00234376" w:rsidRPr="00537C3C" w:rsidRDefault="00234376" w:rsidP="008E03A7">
      <w:pPr>
        <w:sectPr w:rsidR="00234376" w:rsidRPr="00537C3C" w:rsidSect="008E03A7">
          <w:pgSz w:w="16838" w:h="11906" w:orient="landscape"/>
          <w:pgMar w:top="1440" w:right="1440" w:bottom="1440" w:left="1440" w:header="720" w:footer="720" w:gutter="0"/>
          <w:paperSrc w:first="7" w:other="7"/>
          <w:cols w:space="720"/>
        </w:sectPr>
      </w:pPr>
    </w:p>
    <w:p w:rsidR="00234376" w:rsidRPr="00537C3C" w:rsidRDefault="00234376" w:rsidP="008E03A7">
      <w:pPr>
        <w:pStyle w:val="Caption"/>
      </w:pPr>
      <w:bookmarkStart w:id="432" w:name="_Ref199062260"/>
      <w:bookmarkStart w:id="433" w:name="_Toc95971257"/>
      <w:r w:rsidRPr="00537C3C">
        <w:lastRenderedPageBreak/>
        <w:t xml:space="preserve">Table </w:t>
      </w:r>
      <w:fldSimple w:instr=" SEQ Table \* ARABIC ">
        <w:r w:rsidR="007D3DFF">
          <w:rPr>
            <w:noProof/>
          </w:rPr>
          <w:t>21</w:t>
        </w:r>
      </w:fldSimple>
      <w:bookmarkEnd w:id="432"/>
      <w:r w:rsidRPr="00537C3C">
        <w:tab/>
      </w:r>
      <w:smartTag w:uri="urn:schemas-microsoft-com:office:smarttags" w:element="place">
        <w:smartTag w:uri="urn:schemas-microsoft-com:office:smarttags" w:element="City">
          <w:r w:rsidRPr="00537C3C">
            <w:t>Reading</w:t>
          </w:r>
        </w:smartTag>
      </w:smartTag>
      <w:r w:rsidRPr="00537C3C">
        <w:t xml:space="preserve"> times of automation-assisted versus conventional reading of cervical cytology.</w:t>
      </w:r>
      <w:bookmarkEnd w:id="433"/>
    </w:p>
    <w:tbl>
      <w:tblPr>
        <w:tblW w:w="0" w:type="auto"/>
        <w:tblInd w:w="74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05"/>
        <w:gridCol w:w="1519"/>
        <w:gridCol w:w="1640"/>
        <w:gridCol w:w="1785"/>
        <w:gridCol w:w="1446"/>
        <w:gridCol w:w="705"/>
      </w:tblGrid>
      <w:tr w:rsidR="00234376" w:rsidRPr="00537C3C">
        <w:tc>
          <w:tcPr>
            <w:tcW w:w="1205" w:type="dxa"/>
            <w:vMerge w:val="restart"/>
            <w:tcBorders>
              <w:top w:val="single" w:sz="4" w:space="0" w:color="auto"/>
              <w:left w:val="nil"/>
              <w:bottom w:val="single" w:sz="4" w:space="0" w:color="auto"/>
            </w:tcBorders>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Slide reading</w:t>
            </w:r>
          </w:p>
        </w:tc>
        <w:tc>
          <w:tcPr>
            <w:tcW w:w="1519" w:type="dxa"/>
            <w:vMerge w:val="restart"/>
            <w:tcBorders>
              <w:top w:val="single" w:sz="4" w:space="0" w:color="auto"/>
              <w:bottom w:val="single" w:sz="4" w:space="0" w:color="auto"/>
            </w:tcBorders>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 xml:space="preserve">Study </w:t>
            </w:r>
          </w:p>
        </w:tc>
        <w:tc>
          <w:tcPr>
            <w:tcW w:w="1640" w:type="dxa"/>
          </w:tcPr>
          <w:p w:rsidR="00234376" w:rsidRPr="00537C3C" w:rsidRDefault="00234376" w:rsidP="008E03A7">
            <w:pPr>
              <w:pStyle w:val="TableHeading0"/>
              <w:spacing w:before="0" w:after="0"/>
              <w:jc w:val="center"/>
              <w:rPr>
                <w:rFonts w:ascii="Arial Narrow" w:hAnsi="Arial Narrow"/>
                <w:bCs/>
                <w:sz w:val="20"/>
              </w:rPr>
            </w:pPr>
            <w:r w:rsidRPr="00537C3C">
              <w:t xml:space="preserve">Automation-assisted reading </w:t>
            </w:r>
            <w:r w:rsidRPr="00BB76D8">
              <w:t>LBC</w:t>
            </w:r>
            <w:r w:rsidRPr="00537C3C">
              <w:t xml:space="preserve"> slides</w:t>
            </w:r>
          </w:p>
        </w:tc>
        <w:tc>
          <w:tcPr>
            <w:tcW w:w="1785" w:type="dxa"/>
          </w:tcPr>
          <w:p w:rsidR="00234376" w:rsidRPr="00537C3C" w:rsidRDefault="00234376" w:rsidP="008E03A7">
            <w:pPr>
              <w:pStyle w:val="TableHeading0"/>
              <w:spacing w:before="0" w:after="0"/>
              <w:jc w:val="center"/>
              <w:rPr>
                <w:rFonts w:ascii="Arial Narrow" w:hAnsi="Arial Narrow"/>
                <w:bCs/>
                <w:sz w:val="20"/>
              </w:rPr>
            </w:pPr>
            <w:r w:rsidRPr="00537C3C">
              <w:t>Manual reading conventional slides</w:t>
            </w:r>
          </w:p>
        </w:tc>
        <w:tc>
          <w:tcPr>
            <w:tcW w:w="1446" w:type="dxa"/>
          </w:tcPr>
          <w:p w:rsidR="00234376" w:rsidRPr="00537C3C" w:rsidRDefault="00234376" w:rsidP="008E03A7">
            <w:pPr>
              <w:pStyle w:val="TableHeading0"/>
              <w:spacing w:before="0" w:after="0"/>
              <w:jc w:val="center"/>
              <w:rPr>
                <w:rFonts w:ascii="Arial Narrow" w:hAnsi="Arial Narrow"/>
                <w:bCs/>
                <w:sz w:val="20"/>
              </w:rPr>
            </w:pPr>
            <w:r w:rsidRPr="00537C3C">
              <w:rPr>
                <w:rFonts w:ascii="Arial Narrow" w:hAnsi="Arial Narrow"/>
                <w:bCs/>
                <w:sz w:val="20"/>
              </w:rPr>
              <w:t xml:space="preserve">Difference </w:t>
            </w:r>
          </w:p>
        </w:tc>
        <w:tc>
          <w:tcPr>
            <w:tcW w:w="705" w:type="dxa"/>
            <w:vMerge w:val="restart"/>
            <w:tcBorders>
              <w:top w:val="single" w:sz="4" w:space="0" w:color="auto"/>
              <w:bottom w:val="nil"/>
              <w:right w:val="nil"/>
            </w:tcBorders>
          </w:tcPr>
          <w:p w:rsidR="00234376" w:rsidRPr="00537C3C" w:rsidRDefault="00234376" w:rsidP="008E03A7">
            <w:pPr>
              <w:pStyle w:val="TableHeading0"/>
              <w:spacing w:before="0" w:after="0"/>
              <w:jc w:val="center"/>
              <w:rPr>
                <w:rFonts w:ascii="Arial Narrow" w:hAnsi="Arial Narrow"/>
                <w:bCs/>
                <w:sz w:val="20"/>
              </w:rPr>
            </w:pPr>
            <w:r w:rsidRPr="0030078D">
              <w:rPr>
                <w:rFonts w:ascii="Arial Narrow" w:hAnsi="Arial Narrow"/>
                <w:bCs/>
                <w:i/>
                <w:sz w:val="20"/>
              </w:rPr>
              <w:t>P</w:t>
            </w:r>
          </w:p>
        </w:tc>
      </w:tr>
      <w:tr w:rsidR="00234376" w:rsidRPr="00537C3C">
        <w:tblPrEx>
          <w:tblCellMar>
            <w:left w:w="57" w:type="dxa"/>
            <w:right w:w="57" w:type="dxa"/>
          </w:tblCellMar>
        </w:tblPrEx>
        <w:tc>
          <w:tcPr>
            <w:tcW w:w="1205" w:type="dxa"/>
            <w:vMerge/>
            <w:tcBorders>
              <w:top w:val="nil"/>
              <w:left w:val="nil"/>
              <w:bottom w:val="single" w:sz="4" w:space="0" w:color="auto"/>
            </w:tcBorders>
          </w:tcPr>
          <w:p w:rsidR="00234376" w:rsidRPr="00537C3C" w:rsidRDefault="00234376" w:rsidP="008E03A7">
            <w:pPr>
              <w:pStyle w:val="TableHeading0"/>
              <w:spacing w:before="0" w:after="0"/>
              <w:rPr>
                <w:rFonts w:ascii="Arial Narrow" w:hAnsi="Arial Narrow"/>
                <w:bCs/>
                <w:sz w:val="20"/>
              </w:rPr>
            </w:pPr>
          </w:p>
        </w:tc>
        <w:tc>
          <w:tcPr>
            <w:tcW w:w="1519" w:type="dxa"/>
            <w:vMerge/>
            <w:tcBorders>
              <w:top w:val="nil"/>
              <w:bottom w:val="single" w:sz="4" w:space="0" w:color="auto"/>
            </w:tcBorders>
          </w:tcPr>
          <w:p w:rsidR="00234376" w:rsidRPr="00537C3C" w:rsidRDefault="00234376" w:rsidP="008E03A7">
            <w:pPr>
              <w:pStyle w:val="TableHeading0"/>
              <w:spacing w:before="0" w:after="0"/>
              <w:rPr>
                <w:rFonts w:ascii="Arial Narrow" w:hAnsi="Arial Narrow"/>
                <w:bCs/>
                <w:sz w:val="20"/>
              </w:rPr>
            </w:pPr>
          </w:p>
        </w:tc>
        <w:tc>
          <w:tcPr>
            <w:tcW w:w="4871" w:type="dxa"/>
            <w:gridSpan w:val="3"/>
            <w:tcBorders>
              <w:bottom w:val="single" w:sz="4" w:space="0" w:color="auto"/>
            </w:tcBorders>
          </w:tcPr>
          <w:p w:rsidR="00234376" w:rsidRPr="00537C3C" w:rsidRDefault="00234376" w:rsidP="008E03A7">
            <w:pPr>
              <w:pStyle w:val="TableHeading0"/>
              <w:spacing w:before="0" w:after="0"/>
              <w:jc w:val="center"/>
              <w:rPr>
                <w:rFonts w:ascii="Arial Narrow" w:hAnsi="Arial Narrow"/>
                <w:bCs/>
                <w:sz w:val="20"/>
              </w:rPr>
            </w:pPr>
            <w:r w:rsidRPr="00537C3C">
              <w:rPr>
                <w:rFonts w:ascii="Arial Narrow" w:hAnsi="Arial Narrow"/>
                <w:bCs/>
                <w:sz w:val="20"/>
              </w:rPr>
              <w:t xml:space="preserve">Mean (95% </w:t>
            </w:r>
            <w:r w:rsidRPr="00BB76D8">
              <w:rPr>
                <w:rFonts w:ascii="Arial Narrow" w:hAnsi="Arial Narrow"/>
                <w:bCs/>
                <w:sz w:val="20"/>
              </w:rPr>
              <w:t>CI</w:t>
            </w:r>
            <w:r w:rsidRPr="00537C3C">
              <w:rPr>
                <w:rFonts w:ascii="Arial Narrow" w:hAnsi="Arial Narrow"/>
                <w:bCs/>
                <w:sz w:val="20"/>
              </w:rPr>
              <w:t>)</w:t>
            </w:r>
          </w:p>
        </w:tc>
        <w:tc>
          <w:tcPr>
            <w:tcW w:w="705" w:type="dxa"/>
            <w:vMerge/>
            <w:tcBorders>
              <w:top w:val="nil"/>
              <w:bottom w:val="single" w:sz="4" w:space="0" w:color="auto"/>
              <w:right w:val="nil"/>
            </w:tcBorders>
          </w:tcPr>
          <w:p w:rsidR="00234376" w:rsidRPr="00537C3C" w:rsidRDefault="00234376" w:rsidP="008E03A7">
            <w:pPr>
              <w:pStyle w:val="TableHeading0"/>
              <w:spacing w:before="0" w:after="0"/>
              <w:jc w:val="center"/>
              <w:rPr>
                <w:rFonts w:ascii="Arial Narrow" w:hAnsi="Arial Narrow"/>
                <w:bCs/>
                <w:sz w:val="20"/>
              </w:rPr>
            </w:pPr>
          </w:p>
        </w:tc>
      </w:tr>
      <w:tr w:rsidR="00234376" w:rsidRPr="00537C3C">
        <w:tblPrEx>
          <w:tblCellMar>
            <w:left w:w="57" w:type="dxa"/>
            <w:right w:w="57" w:type="dxa"/>
          </w:tblCellMar>
          <w:tblLook w:val="0000" w:firstRow="0" w:lastRow="0" w:firstColumn="0" w:lastColumn="0" w:noHBand="0" w:noVBand="0"/>
        </w:tblPrEx>
        <w:tc>
          <w:tcPr>
            <w:tcW w:w="8300" w:type="dxa"/>
            <w:gridSpan w:val="6"/>
            <w:tcBorders>
              <w:top w:val="single" w:sz="4" w:space="0" w:color="auto"/>
              <w:left w:val="nil"/>
              <w:bottom w:val="single" w:sz="4" w:space="0" w:color="auto"/>
              <w:right w:val="nil"/>
            </w:tcBorders>
          </w:tcPr>
          <w:p w:rsidR="00234376" w:rsidRPr="00537C3C" w:rsidRDefault="00234376" w:rsidP="008E03A7">
            <w:pPr>
              <w:pStyle w:val="TableTextLessSpaceCharCharCharCharCharCharCharChar"/>
              <w:rPr>
                <w:b/>
                <w:i/>
              </w:rPr>
            </w:pPr>
            <w:r w:rsidRPr="00537C3C">
              <w:rPr>
                <w:b/>
                <w:i/>
              </w:rPr>
              <w:t xml:space="preserve">ThinPrep Imager reading of ThinPrep </w:t>
            </w:r>
            <w:r w:rsidRPr="00BB76D8">
              <w:rPr>
                <w:b/>
                <w:i/>
              </w:rPr>
              <w:t>LBC</w:t>
            </w:r>
            <w:r w:rsidRPr="00537C3C">
              <w:rPr>
                <w:b/>
                <w:i/>
              </w:rPr>
              <w:t xml:space="preserve"> slides</w:t>
            </w:r>
          </w:p>
        </w:tc>
      </w:tr>
      <w:tr w:rsidR="00234376" w:rsidRPr="00537C3C">
        <w:tc>
          <w:tcPr>
            <w:tcW w:w="1205" w:type="dxa"/>
            <w:vMerge w:val="restart"/>
            <w:tcBorders>
              <w:top w:val="single" w:sz="4" w:space="0" w:color="auto"/>
              <w:left w:val="nil"/>
              <w:bottom w:val="nil"/>
            </w:tcBorders>
          </w:tcPr>
          <w:p w:rsidR="00234376" w:rsidRPr="00537C3C" w:rsidRDefault="00234376" w:rsidP="008E03A7">
            <w:pPr>
              <w:pStyle w:val="TableText0"/>
              <w:rPr>
                <w:rFonts w:ascii="Arial Narrow" w:hAnsi="Arial Narrow"/>
                <w:b/>
              </w:rPr>
            </w:pPr>
            <w:r w:rsidRPr="00537C3C">
              <w:rPr>
                <w:rFonts w:ascii="Arial Narrow" w:hAnsi="Arial Narrow"/>
                <w:b/>
              </w:rPr>
              <w:t>Mean reading time</w:t>
            </w:r>
          </w:p>
          <w:p w:rsidR="00234376" w:rsidRPr="00537C3C" w:rsidRDefault="00234376" w:rsidP="008E03A7">
            <w:pPr>
              <w:pStyle w:val="TableText0"/>
              <w:rPr>
                <w:rFonts w:ascii="Arial Narrow" w:hAnsi="Arial Narrow"/>
                <w:b/>
              </w:rPr>
            </w:pPr>
            <w:r w:rsidRPr="00537C3C">
              <w:rPr>
                <w:rFonts w:ascii="Arial Narrow" w:hAnsi="Arial Narrow"/>
                <w:b/>
              </w:rPr>
              <w:t xml:space="preserve">min (95% </w:t>
            </w:r>
            <w:r w:rsidRPr="00BB76D8">
              <w:rPr>
                <w:rFonts w:ascii="Arial Narrow" w:hAnsi="Arial Narrow"/>
                <w:b/>
              </w:rPr>
              <w:t>CI</w:t>
            </w:r>
            <w:r w:rsidRPr="00537C3C">
              <w:rPr>
                <w:rFonts w:ascii="Arial Narrow" w:hAnsi="Arial Narrow"/>
                <w:b/>
              </w:rPr>
              <w:t>)</w:t>
            </w:r>
          </w:p>
        </w:tc>
        <w:tc>
          <w:tcPr>
            <w:tcW w:w="1519" w:type="dxa"/>
            <w:tcBorders>
              <w:top w:val="single" w:sz="4" w:space="0" w:color="auto"/>
              <w:bottom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Roberts et al. 2007</w:t>
            </w:r>
          </w:p>
        </w:tc>
        <w:tc>
          <w:tcPr>
            <w:tcW w:w="1640" w:type="dxa"/>
            <w:tcBorders>
              <w:top w:val="single" w:sz="4" w:space="0" w:color="auto"/>
              <w:bottom w:val="single" w:sz="4" w:space="0" w:color="auto"/>
            </w:tcBorders>
          </w:tcPr>
          <w:p w:rsidR="00234376" w:rsidRPr="00537C3C" w:rsidRDefault="00234376" w:rsidP="008E03A7">
            <w:pPr>
              <w:pStyle w:val="TableTextLessSpaceCharCharCharCharCharCharCharChar"/>
              <w:jc w:val="center"/>
              <w:rPr>
                <w:szCs w:val="18"/>
              </w:rPr>
            </w:pPr>
            <w:r w:rsidRPr="00537C3C">
              <w:rPr>
                <w:szCs w:val="18"/>
              </w:rPr>
              <w:t>3.42 (</w:t>
            </w:r>
            <w:r w:rsidRPr="00BB76D8">
              <w:rPr>
                <w:szCs w:val="18"/>
              </w:rPr>
              <w:t>NR</w:t>
            </w:r>
            <w:r w:rsidRPr="00537C3C">
              <w:rPr>
                <w:szCs w:val="18"/>
              </w:rPr>
              <w:t>)</w:t>
            </w:r>
          </w:p>
        </w:tc>
        <w:tc>
          <w:tcPr>
            <w:tcW w:w="1785" w:type="dxa"/>
            <w:tcBorders>
              <w:top w:val="single" w:sz="4" w:space="0" w:color="auto"/>
              <w:bottom w:val="single" w:sz="4" w:space="0" w:color="auto"/>
            </w:tcBorders>
          </w:tcPr>
          <w:p w:rsidR="00234376" w:rsidRPr="00537C3C" w:rsidRDefault="00234376" w:rsidP="008E03A7">
            <w:pPr>
              <w:pStyle w:val="TableTextLessSpaceCharCharCharCharCharCharCharChar"/>
              <w:jc w:val="center"/>
              <w:rPr>
                <w:szCs w:val="18"/>
              </w:rPr>
            </w:pPr>
            <w:r w:rsidRPr="00537C3C">
              <w:rPr>
                <w:szCs w:val="18"/>
              </w:rPr>
              <w:t>7.40 (</w:t>
            </w:r>
            <w:r w:rsidRPr="00BB76D8">
              <w:rPr>
                <w:szCs w:val="18"/>
              </w:rPr>
              <w:t>NR</w:t>
            </w:r>
            <w:r w:rsidRPr="00537C3C">
              <w:rPr>
                <w:szCs w:val="18"/>
              </w:rPr>
              <w:t>)</w:t>
            </w:r>
          </w:p>
        </w:tc>
        <w:tc>
          <w:tcPr>
            <w:tcW w:w="1446" w:type="dxa"/>
            <w:tcBorders>
              <w:top w:val="single" w:sz="4" w:space="0" w:color="auto"/>
              <w:bottom w:val="single" w:sz="4" w:space="0" w:color="auto"/>
            </w:tcBorders>
          </w:tcPr>
          <w:p w:rsidR="00234376" w:rsidRPr="00537C3C" w:rsidRDefault="00234376" w:rsidP="008E03A7">
            <w:pPr>
              <w:pStyle w:val="TableText0"/>
              <w:jc w:val="center"/>
              <w:rPr>
                <w:rFonts w:ascii="Arial Narrow" w:hAnsi="Arial Narrow"/>
              </w:rPr>
            </w:pPr>
          </w:p>
        </w:tc>
        <w:tc>
          <w:tcPr>
            <w:tcW w:w="705" w:type="dxa"/>
            <w:tcBorders>
              <w:top w:val="single" w:sz="4" w:space="0" w:color="auto"/>
              <w:bottom w:val="single" w:sz="4" w:space="0" w:color="auto"/>
              <w:right w:val="nil"/>
            </w:tcBorders>
          </w:tcPr>
          <w:p w:rsidR="00234376" w:rsidRPr="00537C3C" w:rsidRDefault="00234376" w:rsidP="008E03A7">
            <w:pPr>
              <w:pStyle w:val="TableText0"/>
              <w:jc w:val="center"/>
              <w:rPr>
                <w:rFonts w:ascii="Arial Narrow" w:hAnsi="Arial Narrow"/>
              </w:rPr>
            </w:pPr>
          </w:p>
        </w:tc>
      </w:tr>
      <w:tr w:rsidR="00234376" w:rsidRPr="00537C3C">
        <w:tc>
          <w:tcPr>
            <w:tcW w:w="1205" w:type="dxa"/>
            <w:vMerge/>
            <w:tcBorders>
              <w:top w:val="nil"/>
              <w:left w:val="nil"/>
              <w:bottom w:val="nil"/>
            </w:tcBorders>
          </w:tcPr>
          <w:p w:rsidR="00234376" w:rsidRPr="00537C3C" w:rsidRDefault="00234376" w:rsidP="008E03A7">
            <w:pPr>
              <w:pStyle w:val="TableText0"/>
              <w:rPr>
                <w:rFonts w:ascii="Arial Narrow" w:hAnsi="Arial Narrow"/>
                <w:b/>
              </w:rPr>
            </w:pPr>
          </w:p>
        </w:tc>
        <w:tc>
          <w:tcPr>
            <w:tcW w:w="1519" w:type="dxa"/>
            <w:tcBorders>
              <w:top w:val="single" w:sz="4" w:space="0" w:color="auto"/>
              <w:bottom w:val="nil"/>
            </w:tcBorders>
          </w:tcPr>
          <w:p w:rsidR="00234376" w:rsidRPr="00537C3C" w:rsidRDefault="00234376" w:rsidP="008E03A7">
            <w:pPr>
              <w:pStyle w:val="TableText0"/>
              <w:rPr>
                <w:rFonts w:ascii="Arial Narrow" w:hAnsi="Arial Narrow"/>
              </w:rPr>
            </w:pPr>
            <w:r w:rsidRPr="00537C3C">
              <w:rPr>
                <w:rFonts w:ascii="Arial Narrow" w:hAnsi="Arial Narrow"/>
              </w:rPr>
              <w:t xml:space="preserve">Davey </w:t>
            </w:r>
            <w:r w:rsidRPr="00537C3C">
              <w:rPr>
                <w:rFonts w:ascii="Arial Narrow" w:hAnsi="Arial Narrow"/>
              </w:rPr>
              <w:fldChar w:fldCharType="begin"/>
            </w:r>
            <w:r w:rsidRPr="00537C3C">
              <w:rPr>
                <w:rFonts w:ascii="Arial Narrow" w:hAnsi="Arial Narrow"/>
              </w:rPr>
              <w:instrText xml:space="preserve"> ADDIN REFMGR.CITE &lt;Refman&gt;&lt;Cite ExcludeAuth="1"&gt;&lt;Author&gt;Davey&lt;/Author&gt;&lt;Year&gt;2007&lt;/Year&gt;&lt;RecNum&gt;33&lt;/RecNum&gt;&lt;IDText&gt;Cervical cytology reading times: A comparison between ThinPrep Imager and conventional methods&lt;/IDText&gt;&lt;MDL Ref_Type="Journal"&gt;&lt;Ref_Type&gt;Journal&lt;/Ref_Type&gt;&lt;Ref_ID&gt;33&lt;/Ref_ID&gt;&lt;Title_Primary&gt;Cervical cytology reading times: A comparison between ThinPrep Imager and conventional methods&lt;/Title_Primary&gt;&lt;Authors_Primary&gt;Davey,E.&lt;/Authors_Primary&gt;&lt;Authors_Primary&gt;Irwig,L.&lt;/Authors_Primary&gt;&lt;Authors_Primary&gt;Macaskill,P.&lt;/Authors_Primary&gt;&lt;Authors_Primary&gt;Chan,S.F.&lt;/Authors_Primary&gt;&lt;Authors_Primary&gt;D&amp;apos;Assuncao,J.&lt;/Authors_Primary&gt;&lt;Authors_Primary&gt;Richards,A.&lt;/Authors_Primary&gt;&lt;Authors_Primary&gt;Farnsworth,A.&lt;/Authors_Primary&gt;&lt;Date_Primary&gt;2007&lt;/Date_Primary&gt;&lt;Keywords&gt;article&lt;/Keywords&gt;&lt;Keywords&gt;controlled study&lt;/Keywords&gt;&lt;Keywords&gt;human&lt;/Keywords&gt;&lt;Keywords&gt;intermethod comparison&lt;/Keywords&gt;&lt;Keywords&gt;laboratory diagnosis&lt;/Keywords&gt;&lt;Keywords&gt;medical practice&lt;/Keywords&gt;&lt;Keywords&gt;priority journal&lt;/Keywords&gt;&lt;Keywords&gt;uterine cervix cytology&lt;/Keywords&gt;&lt;Reprint&gt;In File&lt;/Reprint&gt;&lt;Start_Page&gt;550&lt;/Start_Page&gt;&lt;End_Page&gt;554&lt;/End_Page&gt;&lt;Periodical&gt;Diagnostic Cytopathology&lt;/Periodical&gt;&lt;Volume&gt;35&lt;/Volume&gt;&lt;Issue&gt;9&lt;/Issue&gt;&lt;ISSN_ISBN&gt;8755-1039&lt;/ISSN_ISBN&gt;&lt;Address&gt;Davey, E., Screening and Test Evaluation Program, School of Public Health, University of Sydney, Sydney, NSW 2006, Australia&lt;/Address&gt;&lt;ZZ_JournalFull&gt;&lt;f name="System"&gt;Diagnostic Cytopathology&lt;/f&gt;&lt;/ZZ_JournalFull&gt;&lt;ZZ_JournalStdAbbrev&gt;&lt;f name="System"&gt;Diagn.Cytopathol.&lt;/f&gt;&lt;/ZZ_JournalStdAbbrev&gt;&lt;ZZ_WorkformID&gt;1&lt;/ZZ_WorkformID&gt;&lt;/MDL&gt;&lt;/Cite&gt;&lt;/Refman&gt;</w:instrText>
            </w:r>
            <w:r w:rsidRPr="00537C3C">
              <w:rPr>
                <w:rFonts w:ascii="Arial Narrow" w:hAnsi="Arial Narrow"/>
              </w:rPr>
              <w:fldChar w:fldCharType="separate"/>
            </w:r>
            <w:r w:rsidRPr="00537C3C">
              <w:rPr>
                <w:rFonts w:ascii="Arial Narrow" w:hAnsi="Arial Narrow"/>
              </w:rPr>
              <w:t>(2007b)</w:t>
            </w:r>
            <w:r w:rsidRPr="00537C3C">
              <w:rPr>
                <w:rFonts w:ascii="Arial Narrow" w:hAnsi="Arial Narrow"/>
              </w:rPr>
              <w:fldChar w:fldCharType="end"/>
            </w:r>
            <w:r w:rsidRPr="00537C3C">
              <w:rPr>
                <w:rFonts w:ascii="Arial Narrow" w:hAnsi="Arial Narrow"/>
              </w:rPr>
              <w:t>, all readers</w:t>
            </w:r>
          </w:p>
        </w:tc>
        <w:tc>
          <w:tcPr>
            <w:tcW w:w="1640" w:type="dxa"/>
            <w:tcBorders>
              <w:top w:val="single" w:sz="4" w:space="0" w:color="auto"/>
              <w:bottom w:val="nil"/>
            </w:tcBorders>
          </w:tcPr>
          <w:p w:rsidR="00234376" w:rsidRPr="00537C3C" w:rsidRDefault="00234376" w:rsidP="008E03A7">
            <w:pPr>
              <w:pStyle w:val="TableTextLessSpaceCharCharCharCharCharCharCharChar"/>
              <w:jc w:val="center"/>
              <w:rPr>
                <w:szCs w:val="18"/>
              </w:rPr>
            </w:pPr>
            <w:r w:rsidRPr="00537C3C">
              <w:rPr>
                <w:rFonts w:cs="Arial"/>
                <w:szCs w:val="18"/>
              </w:rPr>
              <w:t>4.71 (4.38–5.04)</w:t>
            </w:r>
          </w:p>
        </w:tc>
        <w:tc>
          <w:tcPr>
            <w:tcW w:w="1785" w:type="dxa"/>
            <w:tcBorders>
              <w:top w:val="single" w:sz="4" w:space="0" w:color="auto"/>
              <w:bottom w:val="nil"/>
            </w:tcBorders>
          </w:tcPr>
          <w:p w:rsidR="00234376" w:rsidRPr="00537C3C" w:rsidRDefault="00234376" w:rsidP="008E03A7">
            <w:pPr>
              <w:pStyle w:val="TableTextLessSpaceCharCharCharCharCharCharCharChar"/>
              <w:jc w:val="center"/>
              <w:rPr>
                <w:szCs w:val="18"/>
              </w:rPr>
            </w:pPr>
            <w:r w:rsidRPr="00537C3C">
              <w:rPr>
                <w:rFonts w:cs="Arial"/>
                <w:szCs w:val="18"/>
              </w:rPr>
              <w:t>10.61 (9.73–11.49)</w:t>
            </w:r>
          </w:p>
        </w:tc>
        <w:tc>
          <w:tcPr>
            <w:tcW w:w="1446" w:type="dxa"/>
            <w:tcBorders>
              <w:top w:val="single" w:sz="4" w:space="0" w:color="auto"/>
              <w:bottom w:val="nil"/>
            </w:tcBorders>
          </w:tcPr>
          <w:p w:rsidR="00234376" w:rsidRPr="00537C3C" w:rsidRDefault="00234376" w:rsidP="008E03A7">
            <w:pPr>
              <w:pStyle w:val="TableText0"/>
              <w:jc w:val="center"/>
              <w:rPr>
                <w:rFonts w:ascii="Arial Narrow" w:hAnsi="Arial Narrow"/>
              </w:rPr>
            </w:pPr>
            <w:r w:rsidRPr="00537C3C">
              <w:rPr>
                <w:rFonts w:ascii="Arial Narrow" w:hAnsi="Arial Narrow" w:cs="Arial"/>
                <w:szCs w:val="18"/>
              </w:rPr>
              <w:t>5.90 (5.04–6.75)</w:t>
            </w:r>
          </w:p>
        </w:tc>
        <w:tc>
          <w:tcPr>
            <w:tcW w:w="705" w:type="dxa"/>
            <w:tcBorders>
              <w:top w:val="single" w:sz="4" w:space="0" w:color="auto"/>
              <w:bottom w:val="nil"/>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 xml:space="preserve"> &lt; 0.001</w:t>
            </w:r>
          </w:p>
        </w:tc>
      </w:tr>
      <w:tr w:rsidR="00234376" w:rsidRPr="00537C3C">
        <w:tc>
          <w:tcPr>
            <w:tcW w:w="1205" w:type="dxa"/>
            <w:tcBorders>
              <w:top w:val="nil"/>
              <w:left w:val="nil"/>
              <w:bottom w:val="nil"/>
            </w:tcBorders>
          </w:tcPr>
          <w:p w:rsidR="00234376" w:rsidRPr="00537C3C" w:rsidRDefault="00234376" w:rsidP="008E03A7">
            <w:pPr>
              <w:pStyle w:val="TableText0"/>
              <w:rPr>
                <w:rFonts w:ascii="Arial Narrow" w:hAnsi="Arial Narrow"/>
                <w:b/>
              </w:rPr>
            </w:pPr>
          </w:p>
        </w:tc>
        <w:tc>
          <w:tcPr>
            <w:tcW w:w="1519" w:type="dxa"/>
            <w:tcBorders>
              <w:top w:val="nil"/>
            </w:tcBorders>
          </w:tcPr>
          <w:p w:rsidR="00234376" w:rsidRPr="00537C3C" w:rsidRDefault="00234376" w:rsidP="008E03A7">
            <w:pPr>
              <w:pStyle w:val="TableText0"/>
              <w:ind w:left="170" w:right="-227" w:hanging="170"/>
              <w:jc w:val="center"/>
              <w:rPr>
                <w:rFonts w:ascii="Arial Narrow" w:hAnsi="Arial Narrow"/>
              </w:rPr>
            </w:pPr>
            <w:r w:rsidRPr="00537C3C">
              <w:rPr>
                <w:rFonts w:ascii="Arial Narrow" w:hAnsi="Arial Narrow"/>
              </w:rPr>
              <w:t>1–10 y exp (</w:t>
            </w:r>
            <w:r w:rsidRPr="0030078D">
              <w:rPr>
                <w:rFonts w:ascii="Arial Narrow" w:hAnsi="Arial Narrow"/>
                <w:i/>
              </w:rPr>
              <w:t>n</w:t>
            </w:r>
            <w:r w:rsidRPr="00537C3C">
              <w:rPr>
                <w:rFonts w:ascii="Arial Narrow" w:hAnsi="Arial Narrow"/>
              </w:rPr>
              <w:t xml:space="preserve"> = 5)</w:t>
            </w:r>
          </w:p>
        </w:tc>
        <w:tc>
          <w:tcPr>
            <w:tcW w:w="1640" w:type="dxa"/>
            <w:tcBorders>
              <w:top w:val="nil"/>
            </w:tcBorders>
          </w:tcPr>
          <w:p w:rsidR="00234376" w:rsidRPr="00537C3C" w:rsidRDefault="00234376" w:rsidP="008E03A7">
            <w:pPr>
              <w:pStyle w:val="TableTextLessSpaceCharCharCharCharCharCharCharChar"/>
              <w:jc w:val="center"/>
              <w:rPr>
                <w:rFonts w:cs="Arial"/>
                <w:szCs w:val="18"/>
              </w:rPr>
            </w:pPr>
            <w:r w:rsidRPr="00537C3C">
              <w:rPr>
                <w:rFonts w:cs="Arial"/>
                <w:szCs w:val="18"/>
              </w:rPr>
              <w:t>4.8 (4.0–5.5)</w:t>
            </w:r>
          </w:p>
        </w:tc>
        <w:tc>
          <w:tcPr>
            <w:tcW w:w="1785" w:type="dxa"/>
            <w:tcBorders>
              <w:top w:val="nil"/>
            </w:tcBorders>
          </w:tcPr>
          <w:p w:rsidR="00234376" w:rsidRPr="00537C3C" w:rsidRDefault="00234376" w:rsidP="008E03A7">
            <w:pPr>
              <w:pStyle w:val="TableTextLessSpaceCharCharCharCharCharCharCharChar"/>
              <w:jc w:val="center"/>
              <w:rPr>
                <w:rFonts w:cs="Arial"/>
                <w:szCs w:val="18"/>
              </w:rPr>
            </w:pPr>
            <w:r w:rsidRPr="00537C3C">
              <w:rPr>
                <w:rFonts w:cs="Arial"/>
                <w:szCs w:val="18"/>
              </w:rPr>
              <w:t>11.6 (9.0–14.2)</w:t>
            </w:r>
          </w:p>
        </w:tc>
        <w:tc>
          <w:tcPr>
            <w:tcW w:w="1446" w:type="dxa"/>
            <w:tcBorders>
              <w:top w:val="nil"/>
            </w:tcBorders>
          </w:tcPr>
          <w:p w:rsidR="00234376" w:rsidRPr="00537C3C" w:rsidRDefault="00234376" w:rsidP="008E03A7">
            <w:pPr>
              <w:pStyle w:val="TableTextLessSpaceCharCharCharCharCharCharCharChar"/>
              <w:jc w:val="center"/>
              <w:rPr>
                <w:rFonts w:cs="Arial"/>
                <w:szCs w:val="18"/>
              </w:rPr>
            </w:pPr>
            <w:r w:rsidRPr="00537C3C">
              <w:rPr>
                <w:rFonts w:cs="Arial"/>
                <w:szCs w:val="18"/>
              </w:rPr>
              <w:t>6.8 (4.0–9.7)</w:t>
            </w:r>
          </w:p>
        </w:tc>
        <w:tc>
          <w:tcPr>
            <w:tcW w:w="705" w:type="dxa"/>
            <w:tcBorders>
              <w:top w:val="nil"/>
              <w:bottom w:val="nil"/>
              <w:right w:val="nil"/>
            </w:tcBorders>
          </w:tcPr>
          <w:p w:rsidR="00234376" w:rsidRPr="00537C3C" w:rsidRDefault="00234376" w:rsidP="008E03A7">
            <w:pPr>
              <w:pStyle w:val="TableText0"/>
              <w:jc w:val="center"/>
              <w:rPr>
                <w:rFonts w:ascii="Arial Narrow" w:hAnsi="Arial Narrow"/>
              </w:rPr>
            </w:pPr>
          </w:p>
        </w:tc>
      </w:tr>
      <w:tr w:rsidR="00234376" w:rsidRPr="00537C3C">
        <w:tc>
          <w:tcPr>
            <w:tcW w:w="1205" w:type="dxa"/>
            <w:tcBorders>
              <w:top w:val="nil"/>
              <w:left w:val="nil"/>
              <w:bottom w:val="nil"/>
            </w:tcBorders>
          </w:tcPr>
          <w:p w:rsidR="00234376" w:rsidRPr="00537C3C" w:rsidRDefault="00234376" w:rsidP="008E03A7">
            <w:pPr>
              <w:pStyle w:val="TableText0"/>
              <w:rPr>
                <w:rFonts w:ascii="Arial Narrow" w:hAnsi="Arial Narrow"/>
                <w:b/>
              </w:rPr>
            </w:pPr>
          </w:p>
        </w:tc>
        <w:tc>
          <w:tcPr>
            <w:tcW w:w="1519" w:type="dxa"/>
          </w:tcPr>
          <w:p w:rsidR="00234376" w:rsidRPr="00537C3C" w:rsidRDefault="00234376" w:rsidP="008E03A7">
            <w:pPr>
              <w:pStyle w:val="TableText0"/>
              <w:ind w:left="170" w:right="-227" w:hanging="170"/>
              <w:jc w:val="center"/>
              <w:rPr>
                <w:rFonts w:ascii="Arial Narrow" w:hAnsi="Arial Narrow"/>
              </w:rPr>
            </w:pPr>
            <w:r w:rsidRPr="00537C3C">
              <w:rPr>
                <w:rFonts w:ascii="Arial Narrow" w:hAnsi="Arial Narrow"/>
              </w:rPr>
              <w:t>11–20 y exp (</w:t>
            </w:r>
            <w:r w:rsidRPr="0030078D">
              <w:rPr>
                <w:rFonts w:ascii="Arial Narrow" w:hAnsi="Arial Narrow"/>
                <w:i/>
              </w:rPr>
              <w:t>n</w:t>
            </w:r>
            <w:r w:rsidRPr="00537C3C">
              <w:rPr>
                <w:rFonts w:ascii="Arial Narrow" w:hAnsi="Arial Narrow"/>
              </w:rPr>
              <w:t xml:space="preserve"> = 7)</w:t>
            </w:r>
          </w:p>
        </w:tc>
        <w:tc>
          <w:tcPr>
            <w:tcW w:w="1640" w:type="dxa"/>
          </w:tcPr>
          <w:p w:rsidR="00234376" w:rsidRPr="00537C3C" w:rsidRDefault="00234376" w:rsidP="008E03A7">
            <w:pPr>
              <w:pStyle w:val="TableTextLessSpaceCharCharCharCharCharCharCharChar"/>
              <w:jc w:val="center"/>
              <w:rPr>
                <w:rFonts w:cs="Arial"/>
                <w:szCs w:val="18"/>
              </w:rPr>
            </w:pPr>
            <w:r w:rsidRPr="00537C3C">
              <w:rPr>
                <w:rFonts w:cs="Arial"/>
                <w:szCs w:val="18"/>
              </w:rPr>
              <w:t>4.3 (3.7–5.0)</w:t>
            </w:r>
          </w:p>
        </w:tc>
        <w:tc>
          <w:tcPr>
            <w:tcW w:w="1785" w:type="dxa"/>
          </w:tcPr>
          <w:p w:rsidR="00234376" w:rsidRPr="00537C3C" w:rsidRDefault="00234376" w:rsidP="008E03A7">
            <w:pPr>
              <w:pStyle w:val="TableTextLessSpaceCharCharCharCharCharCharCharChar"/>
              <w:jc w:val="center"/>
              <w:rPr>
                <w:rFonts w:cs="Arial"/>
                <w:szCs w:val="18"/>
              </w:rPr>
            </w:pPr>
            <w:r w:rsidRPr="00537C3C">
              <w:rPr>
                <w:rFonts w:cs="Arial"/>
                <w:szCs w:val="18"/>
              </w:rPr>
              <w:t>10.5 (8.3–12.6)</w:t>
            </w:r>
          </w:p>
        </w:tc>
        <w:tc>
          <w:tcPr>
            <w:tcW w:w="1446" w:type="dxa"/>
          </w:tcPr>
          <w:p w:rsidR="00234376" w:rsidRPr="00537C3C" w:rsidRDefault="00234376" w:rsidP="008E03A7">
            <w:pPr>
              <w:pStyle w:val="TableTextLessSpaceCharCharCharCharCharCharCharChar"/>
              <w:jc w:val="center"/>
              <w:rPr>
                <w:rFonts w:cs="Arial"/>
                <w:szCs w:val="18"/>
              </w:rPr>
            </w:pPr>
            <w:r w:rsidRPr="00537C3C">
              <w:rPr>
                <w:rFonts w:cs="Arial"/>
                <w:szCs w:val="18"/>
              </w:rPr>
              <w:t>6.1 (4.2–8.1)</w:t>
            </w:r>
          </w:p>
        </w:tc>
        <w:tc>
          <w:tcPr>
            <w:tcW w:w="705" w:type="dxa"/>
            <w:tcBorders>
              <w:top w:val="nil"/>
              <w:bottom w:val="nil"/>
              <w:right w:val="nil"/>
            </w:tcBorders>
          </w:tcPr>
          <w:p w:rsidR="00234376" w:rsidRPr="00537C3C" w:rsidRDefault="00234376" w:rsidP="008E03A7">
            <w:pPr>
              <w:pStyle w:val="TableText0"/>
              <w:jc w:val="center"/>
              <w:rPr>
                <w:rFonts w:ascii="Arial Narrow" w:hAnsi="Arial Narrow"/>
              </w:rPr>
            </w:pPr>
          </w:p>
        </w:tc>
      </w:tr>
      <w:tr w:rsidR="00234376" w:rsidRPr="00537C3C">
        <w:tc>
          <w:tcPr>
            <w:tcW w:w="1205" w:type="dxa"/>
            <w:tcBorders>
              <w:top w:val="nil"/>
              <w:left w:val="nil"/>
              <w:bottom w:val="nil"/>
            </w:tcBorders>
          </w:tcPr>
          <w:p w:rsidR="00234376" w:rsidRPr="00537C3C" w:rsidRDefault="00234376" w:rsidP="008E03A7">
            <w:pPr>
              <w:pStyle w:val="TableText0"/>
              <w:rPr>
                <w:rFonts w:ascii="Arial Narrow" w:hAnsi="Arial Narrow"/>
                <w:b/>
              </w:rPr>
            </w:pPr>
          </w:p>
        </w:tc>
        <w:tc>
          <w:tcPr>
            <w:tcW w:w="1519" w:type="dxa"/>
            <w:tcBorders>
              <w:bottom w:val="nil"/>
            </w:tcBorders>
          </w:tcPr>
          <w:p w:rsidR="00234376" w:rsidRPr="00537C3C" w:rsidRDefault="00234376" w:rsidP="008E03A7">
            <w:pPr>
              <w:pStyle w:val="TableText0"/>
              <w:ind w:left="170" w:right="-227" w:hanging="170"/>
              <w:jc w:val="center"/>
              <w:rPr>
                <w:rFonts w:ascii="Arial Narrow" w:hAnsi="Arial Narrow"/>
              </w:rPr>
            </w:pPr>
            <w:r w:rsidRPr="00537C3C">
              <w:rPr>
                <w:rFonts w:ascii="Arial Narrow" w:hAnsi="Arial Narrow"/>
              </w:rPr>
              <w:t>21–30 y exp (</w:t>
            </w:r>
            <w:r w:rsidRPr="0030078D">
              <w:rPr>
                <w:rFonts w:ascii="Arial Narrow" w:hAnsi="Arial Narrow"/>
                <w:i/>
              </w:rPr>
              <w:t>n</w:t>
            </w:r>
            <w:r w:rsidRPr="00537C3C">
              <w:rPr>
                <w:rFonts w:ascii="Arial Narrow" w:hAnsi="Arial Narrow"/>
              </w:rPr>
              <w:t xml:space="preserve"> = 6)</w:t>
            </w:r>
          </w:p>
        </w:tc>
        <w:tc>
          <w:tcPr>
            <w:tcW w:w="1640" w:type="dxa"/>
            <w:tcBorders>
              <w:bottom w:val="nil"/>
            </w:tcBorders>
          </w:tcPr>
          <w:p w:rsidR="00234376" w:rsidRPr="00537C3C" w:rsidRDefault="00234376" w:rsidP="008E03A7">
            <w:pPr>
              <w:pStyle w:val="TableTextLessSpaceCharCharCharCharCharCharCharChar"/>
              <w:jc w:val="center"/>
              <w:rPr>
                <w:rFonts w:cs="Arial"/>
                <w:szCs w:val="18"/>
              </w:rPr>
            </w:pPr>
            <w:r w:rsidRPr="00537C3C">
              <w:rPr>
                <w:rFonts w:cs="Arial"/>
                <w:szCs w:val="18"/>
              </w:rPr>
              <w:t>5.0 (4.2–5.7)</w:t>
            </w:r>
          </w:p>
        </w:tc>
        <w:tc>
          <w:tcPr>
            <w:tcW w:w="1785" w:type="dxa"/>
            <w:tcBorders>
              <w:bottom w:val="nil"/>
            </w:tcBorders>
          </w:tcPr>
          <w:p w:rsidR="00234376" w:rsidRPr="00537C3C" w:rsidRDefault="00234376" w:rsidP="008E03A7">
            <w:pPr>
              <w:pStyle w:val="TableTextLessSpaceCharCharCharCharCharCharCharChar"/>
              <w:jc w:val="center"/>
              <w:rPr>
                <w:rFonts w:cs="Arial"/>
                <w:szCs w:val="18"/>
              </w:rPr>
            </w:pPr>
            <w:r w:rsidRPr="00537C3C">
              <w:rPr>
                <w:rFonts w:cs="Arial"/>
                <w:szCs w:val="18"/>
              </w:rPr>
              <w:t>10.1 (8.7–11.6)</w:t>
            </w:r>
          </w:p>
        </w:tc>
        <w:tc>
          <w:tcPr>
            <w:tcW w:w="1446" w:type="dxa"/>
            <w:tcBorders>
              <w:bottom w:val="nil"/>
            </w:tcBorders>
          </w:tcPr>
          <w:p w:rsidR="00234376" w:rsidRPr="00537C3C" w:rsidRDefault="00234376" w:rsidP="008E03A7">
            <w:pPr>
              <w:pStyle w:val="TableText0"/>
              <w:jc w:val="center"/>
              <w:rPr>
                <w:rFonts w:ascii="Arial Narrow" w:hAnsi="Arial Narrow" w:cs="Arial"/>
                <w:szCs w:val="18"/>
              </w:rPr>
            </w:pPr>
            <w:r w:rsidRPr="00537C3C">
              <w:rPr>
                <w:rFonts w:ascii="Arial Narrow" w:hAnsi="Arial Narrow" w:cs="Arial"/>
                <w:szCs w:val="18"/>
              </w:rPr>
              <w:t>5.2 (4.0–6.4)</w:t>
            </w:r>
          </w:p>
        </w:tc>
        <w:tc>
          <w:tcPr>
            <w:tcW w:w="705" w:type="dxa"/>
            <w:tcBorders>
              <w:top w:val="nil"/>
              <w:bottom w:val="nil"/>
              <w:right w:val="nil"/>
            </w:tcBorders>
          </w:tcPr>
          <w:p w:rsidR="00234376" w:rsidRPr="00537C3C" w:rsidRDefault="00234376" w:rsidP="008E03A7">
            <w:pPr>
              <w:pStyle w:val="TableText0"/>
              <w:jc w:val="center"/>
              <w:rPr>
                <w:rFonts w:ascii="Arial Narrow" w:hAnsi="Arial Narrow"/>
              </w:rPr>
            </w:pPr>
          </w:p>
        </w:tc>
      </w:tr>
      <w:tr w:rsidR="00234376" w:rsidRPr="00537C3C">
        <w:tc>
          <w:tcPr>
            <w:tcW w:w="1205" w:type="dxa"/>
            <w:tcBorders>
              <w:top w:val="nil"/>
              <w:left w:val="nil"/>
              <w:bottom w:val="single" w:sz="4" w:space="0" w:color="auto"/>
            </w:tcBorders>
          </w:tcPr>
          <w:p w:rsidR="00234376" w:rsidRPr="00537C3C" w:rsidRDefault="00234376" w:rsidP="008E03A7">
            <w:pPr>
              <w:pStyle w:val="TableText0"/>
              <w:rPr>
                <w:rFonts w:ascii="Arial Narrow" w:hAnsi="Arial Narrow"/>
                <w:b/>
              </w:rPr>
            </w:pPr>
          </w:p>
        </w:tc>
        <w:tc>
          <w:tcPr>
            <w:tcW w:w="1519" w:type="dxa"/>
            <w:tcBorders>
              <w:top w:val="nil"/>
              <w:bottom w:val="single" w:sz="4" w:space="0" w:color="auto"/>
            </w:tcBorders>
          </w:tcPr>
          <w:p w:rsidR="00234376" w:rsidRPr="00537C3C" w:rsidRDefault="00234376" w:rsidP="008E03A7">
            <w:pPr>
              <w:pStyle w:val="TableText0"/>
              <w:ind w:left="170" w:right="-227" w:hanging="170"/>
              <w:jc w:val="center"/>
              <w:rPr>
                <w:rFonts w:ascii="Arial Narrow" w:hAnsi="Arial Narrow"/>
              </w:rPr>
            </w:pPr>
            <w:r w:rsidRPr="00537C3C">
              <w:rPr>
                <w:rFonts w:ascii="Arial Narrow" w:hAnsi="Arial Narrow"/>
              </w:rPr>
              <w:t>31–40 y exp (</w:t>
            </w:r>
            <w:r w:rsidRPr="0030078D">
              <w:rPr>
                <w:rFonts w:ascii="Arial Narrow" w:hAnsi="Arial Narrow"/>
                <w:i/>
              </w:rPr>
              <w:t>n</w:t>
            </w:r>
            <w:r w:rsidRPr="00537C3C">
              <w:rPr>
                <w:rFonts w:ascii="Arial Narrow" w:hAnsi="Arial Narrow"/>
              </w:rPr>
              <w:t xml:space="preserve"> = 2)</w:t>
            </w:r>
          </w:p>
        </w:tc>
        <w:tc>
          <w:tcPr>
            <w:tcW w:w="1640" w:type="dxa"/>
            <w:tcBorders>
              <w:top w:val="nil"/>
              <w:bottom w:val="single" w:sz="4" w:space="0" w:color="auto"/>
            </w:tcBorders>
          </w:tcPr>
          <w:p w:rsidR="00234376" w:rsidRPr="00537C3C" w:rsidRDefault="00234376" w:rsidP="008E03A7">
            <w:pPr>
              <w:pStyle w:val="TableTextLessSpaceCharCharCharCharCharCharCharChar"/>
              <w:jc w:val="center"/>
              <w:rPr>
                <w:rFonts w:cs="Arial"/>
                <w:szCs w:val="18"/>
              </w:rPr>
            </w:pPr>
            <w:r w:rsidRPr="00537C3C">
              <w:rPr>
                <w:rFonts w:cs="Arial"/>
                <w:szCs w:val="18"/>
              </w:rPr>
              <w:t>5.2 (2.6–7.7)</w:t>
            </w:r>
          </w:p>
        </w:tc>
        <w:tc>
          <w:tcPr>
            <w:tcW w:w="1785" w:type="dxa"/>
            <w:tcBorders>
              <w:top w:val="nil"/>
              <w:bottom w:val="single" w:sz="4" w:space="0" w:color="auto"/>
            </w:tcBorders>
          </w:tcPr>
          <w:p w:rsidR="00234376" w:rsidRPr="00537C3C" w:rsidRDefault="00234376" w:rsidP="008E03A7">
            <w:pPr>
              <w:pStyle w:val="TableTextLessSpaceCharCharCharCharCharCharCharChar"/>
              <w:jc w:val="center"/>
              <w:rPr>
                <w:rFonts w:cs="Arial"/>
                <w:szCs w:val="18"/>
              </w:rPr>
            </w:pPr>
            <w:r w:rsidRPr="00537C3C">
              <w:rPr>
                <w:rFonts w:cs="Arial"/>
                <w:szCs w:val="18"/>
              </w:rPr>
              <w:t>10.0 (5.6–14.4)</w:t>
            </w:r>
          </w:p>
        </w:tc>
        <w:tc>
          <w:tcPr>
            <w:tcW w:w="1446" w:type="dxa"/>
            <w:tcBorders>
              <w:top w:val="nil"/>
              <w:bottom w:val="single" w:sz="4" w:space="0" w:color="auto"/>
            </w:tcBorders>
          </w:tcPr>
          <w:p w:rsidR="00234376" w:rsidRPr="00537C3C" w:rsidRDefault="00234376" w:rsidP="008E03A7">
            <w:pPr>
              <w:pStyle w:val="TableText0"/>
              <w:jc w:val="center"/>
              <w:rPr>
                <w:rFonts w:ascii="Arial Narrow" w:hAnsi="Arial Narrow" w:cs="Arial"/>
                <w:szCs w:val="18"/>
              </w:rPr>
            </w:pPr>
            <w:r w:rsidRPr="00537C3C">
              <w:rPr>
                <w:rFonts w:ascii="Arial Narrow" w:hAnsi="Arial Narrow" w:cs="Arial"/>
                <w:szCs w:val="18"/>
              </w:rPr>
              <w:t>4.9 (–2.1 to 11.8)</w:t>
            </w:r>
          </w:p>
        </w:tc>
        <w:tc>
          <w:tcPr>
            <w:tcW w:w="705" w:type="dxa"/>
            <w:tcBorders>
              <w:top w:val="nil"/>
              <w:bottom w:val="single" w:sz="4" w:space="0" w:color="auto"/>
              <w:right w:val="nil"/>
            </w:tcBorders>
          </w:tcPr>
          <w:p w:rsidR="00234376" w:rsidRPr="00537C3C" w:rsidRDefault="00234376" w:rsidP="008E03A7">
            <w:pPr>
              <w:pStyle w:val="TableText0"/>
              <w:jc w:val="center"/>
              <w:rPr>
                <w:rFonts w:ascii="Arial Narrow" w:hAnsi="Arial Narrow"/>
              </w:rPr>
            </w:pPr>
          </w:p>
        </w:tc>
      </w:tr>
      <w:tr w:rsidR="00234376" w:rsidRPr="00537C3C">
        <w:tc>
          <w:tcPr>
            <w:tcW w:w="1205" w:type="dxa"/>
            <w:tcBorders>
              <w:top w:val="single" w:sz="4" w:space="0" w:color="auto"/>
              <w:left w:val="nil"/>
              <w:bottom w:val="single" w:sz="4" w:space="0" w:color="auto"/>
            </w:tcBorders>
          </w:tcPr>
          <w:p w:rsidR="00234376" w:rsidRPr="00537C3C" w:rsidRDefault="00234376" w:rsidP="008E03A7">
            <w:pPr>
              <w:pStyle w:val="TableText0"/>
              <w:rPr>
                <w:rFonts w:ascii="Arial Narrow" w:hAnsi="Arial Narrow"/>
                <w:b/>
              </w:rPr>
            </w:pPr>
            <w:r w:rsidRPr="00537C3C">
              <w:rPr>
                <w:rFonts w:ascii="Arial Narrow" w:hAnsi="Arial Narrow"/>
                <w:b/>
              </w:rPr>
              <w:t>Mean slides / h</w:t>
            </w:r>
          </w:p>
        </w:tc>
        <w:tc>
          <w:tcPr>
            <w:tcW w:w="1519" w:type="dxa"/>
            <w:tcBorders>
              <w:top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 xml:space="preserve">Davey </w:t>
            </w:r>
            <w:r w:rsidRPr="00537C3C">
              <w:rPr>
                <w:rFonts w:ascii="Arial Narrow" w:hAnsi="Arial Narrow"/>
              </w:rPr>
              <w:fldChar w:fldCharType="begin"/>
            </w:r>
            <w:r w:rsidRPr="00537C3C">
              <w:rPr>
                <w:rFonts w:ascii="Arial Narrow" w:hAnsi="Arial Narrow"/>
              </w:rPr>
              <w:instrText xml:space="preserve"> ADDIN REFMGR.CITE &lt;Refman&gt;&lt;Cite ExcludeAuth="1"&gt;&lt;Author&gt;Davey&lt;/Author&gt;&lt;Year&gt;2007&lt;/Year&gt;&lt;RecNum&gt;33&lt;/RecNum&gt;&lt;IDText&gt;Cervical cytology reading times: A comparison between ThinPrep Imager and conventional methods&lt;/IDText&gt;&lt;MDL Ref_Type="Journal"&gt;&lt;Ref_Type&gt;Journal&lt;/Ref_Type&gt;&lt;Ref_ID&gt;33&lt;/Ref_ID&gt;&lt;Title_Primary&gt;Cervical cytology reading times: A comparison between ThinPrep Imager and conventional methods&lt;/Title_Primary&gt;&lt;Authors_Primary&gt;Davey,E.&lt;/Authors_Primary&gt;&lt;Authors_Primary&gt;Irwig,L.&lt;/Authors_Primary&gt;&lt;Authors_Primary&gt;Macaskill,P.&lt;/Authors_Primary&gt;&lt;Authors_Primary&gt;Chan,S.F.&lt;/Authors_Primary&gt;&lt;Authors_Primary&gt;D&amp;apos;Assuncao,J.&lt;/Authors_Primary&gt;&lt;Authors_Primary&gt;Richards,A.&lt;/Authors_Primary&gt;&lt;Authors_Primary&gt;Farnsworth,A.&lt;/Authors_Primary&gt;&lt;Date_Primary&gt;2007&lt;/Date_Primary&gt;&lt;Keywords&gt;article&lt;/Keywords&gt;&lt;Keywords&gt;controlled study&lt;/Keywords&gt;&lt;Keywords&gt;human&lt;/Keywords&gt;&lt;Keywords&gt;intermethod comparison&lt;/Keywords&gt;&lt;Keywords&gt;laboratory diagnosis&lt;/Keywords&gt;&lt;Keywords&gt;medical practice&lt;/Keywords&gt;&lt;Keywords&gt;priority journal&lt;/Keywords&gt;&lt;Keywords&gt;uterine cervix cytology&lt;/Keywords&gt;&lt;Reprint&gt;In File&lt;/Reprint&gt;&lt;Start_Page&gt;550&lt;/Start_Page&gt;&lt;End_Page&gt;554&lt;/End_Page&gt;&lt;Periodical&gt;Diagnostic Cytopathology&lt;/Periodical&gt;&lt;Volume&gt;35&lt;/Volume&gt;&lt;Issue&gt;9&lt;/Issue&gt;&lt;ISSN_ISBN&gt;8755-1039&lt;/ISSN_ISBN&gt;&lt;Address&gt;Davey, E., Screening and Test Evaluation Program, School of Public Health, University of Sydney, Sydney, NSW 2006, Australia&lt;/Address&gt;&lt;ZZ_JournalFull&gt;&lt;f name="System"&gt;Diagnostic Cytopathology&lt;/f&gt;&lt;/ZZ_JournalFull&gt;&lt;ZZ_JournalStdAbbrev&gt;&lt;f name="System"&gt;Diagn.Cytopathol.&lt;/f&gt;&lt;/ZZ_JournalStdAbbrev&gt;&lt;ZZ_WorkformID&gt;1&lt;/ZZ_WorkformID&gt;&lt;/MDL&gt;&lt;/Cite&gt;&lt;/Refman&gt;</w:instrText>
            </w:r>
            <w:r w:rsidRPr="00537C3C">
              <w:rPr>
                <w:rFonts w:ascii="Arial Narrow" w:hAnsi="Arial Narrow"/>
              </w:rPr>
              <w:fldChar w:fldCharType="separate"/>
            </w:r>
            <w:r w:rsidRPr="00537C3C">
              <w:rPr>
                <w:rFonts w:ascii="Arial Narrow" w:hAnsi="Arial Narrow"/>
              </w:rPr>
              <w:t>(2007b)</w:t>
            </w:r>
            <w:r w:rsidRPr="00537C3C">
              <w:rPr>
                <w:rFonts w:ascii="Arial Narrow" w:hAnsi="Arial Narrow"/>
              </w:rPr>
              <w:fldChar w:fldCharType="end"/>
            </w:r>
            <w:r w:rsidRPr="00537C3C">
              <w:rPr>
                <w:rFonts w:ascii="Arial Narrow" w:hAnsi="Arial Narrow"/>
              </w:rPr>
              <w:t xml:space="preserve"> </w:t>
            </w:r>
          </w:p>
        </w:tc>
        <w:tc>
          <w:tcPr>
            <w:tcW w:w="1640" w:type="dxa"/>
            <w:tcBorders>
              <w:top w:val="single" w:sz="4" w:space="0" w:color="auto"/>
            </w:tcBorders>
          </w:tcPr>
          <w:p w:rsidR="00234376" w:rsidRPr="00537C3C" w:rsidRDefault="00234376" w:rsidP="008E03A7">
            <w:pPr>
              <w:pStyle w:val="TableTextLessSpaceCharCharCharCharCharCharCharChar"/>
              <w:jc w:val="center"/>
              <w:rPr>
                <w:rFonts w:cs="Arial"/>
                <w:szCs w:val="18"/>
              </w:rPr>
            </w:pPr>
            <w:r w:rsidRPr="00537C3C">
              <w:rPr>
                <w:rFonts w:cs="Arial"/>
                <w:szCs w:val="18"/>
              </w:rPr>
              <w:t>13.31 (12.25–14.36)</w:t>
            </w:r>
          </w:p>
        </w:tc>
        <w:tc>
          <w:tcPr>
            <w:tcW w:w="1785" w:type="dxa"/>
            <w:tcBorders>
              <w:top w:val="single" w:sz="4" w:space="0" w:color="auto"/>
            </w:tcBorders>
          </w:tcPr>
          <w:p w:rsidR="00234376" w:rsidRPr="00537C3C" w:rsidRDefault="00234376" w:rsidP="008E03A7">
            <w:pPr>
              <w:pStyle w:val="TableTextLessSpaceCharCharCharCharCharCharCharChar"/>
              <w:jc w:val="center"/>
              <w:rPr>
                <w:rFonts w:cs="Arial"/>
                <w:szCs w:val="18"/>
              </w:rPr>
            </w:pPr>
            <w:r w:rsidRPr="00537C3C">
              <w:rPr>
                <w:rFonts w:cs="Arial"/>
                <w:szCs w:val="18"/>
              </w:rPr>
              <w:t>6.12 (5.76–6.49)</w:t>
            </w:r>
          </w:p>
        </w:tc>
        <w:tc>
          <w:tcPr>
            <w:tcW w:w="1446" w:type="dxa"/>
            <w:tcBorders>
              <w:top w:val="single" w:sz="4" w:space="0" w:color="auto"/>
            </w:tcBorders>
          </w:tcPr>
          <w:p w:rsidR="00234376" w:rsidRPr="00537C3C" w:rsidRDefault="00234376" w:rsidP="008E03A7">
            <w:pPr>
              <w:pStyle w:val="TableText0"/>
              <w:jc w:val="center"/>
              <w:rPr>
                <w:rFonts w:ascii="Arial Narrow" w:hAnsi="Arial Narrow" w:cs="Arial"/>
                <w:szCs w:val="18"/>
              </w:rPr>
            </w:pPr>
            <w:r w:rsidRPr="00537C3C">
              <w:rPr>
                <w:rFonts w:ascii="Arial Narrow" w:hAnsi="Arial Narrow" w:cs="Arial"/>
                <w:szCs w:val="18"/>
              </w:rPr>
              <w:t>7.18 (6.17–8.20)</w:t>
            </w:r>
          </w:p>
        </w:tc>
        <w:tc>
          <w:tcPr>
            <w:tcW w:w="705" w:type="dxa"/>
            <w:tcBorders>
              <w:top w:val="single" w:sz="4" w:space="0" w:color="auto"/>
              <w:bottom w:val="single" w:sz="4" w:space="0" w:color="auto"/>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 xml:space="preserve"> &lt; 0.001</w:t>
            </w:r>
          </w:p>
        </w:tc>
      </w:tr>
    </w:tbl>
    <w:p w:rsidR="00234376" w:rsidRPr="00537C3C" w:rsidRDefault="00234376" w:rsidP="008E03A7">
      <w:pPr>
        <w:pStyle w:val="TableNotes"/>
        <w:spacing w:after="0"/>
      </w:pPr>
      <w:r w:rsidRPr="00537C3C">
        <w:rPr>
          <w:i/>
        </w:rPr>
        <w:t xml:space="preserve">Abbreviations: </w:t>
      </w:r>
      <w:r w:rsidRPr="00BB76D8">
        <w:t>CI</w:t>
      </w:r>
      <w:r w:rsidRPr="00537C3C">
        <w:t xml:space="preserve"> = confidence interval, </w:t>
      </w:r>
      <w:r w:rsidRPr="00BB76D8">
        <w:t>LBC</w:t>
      </w:r>
      <w:r w:rsidRPr="00537C3C">
        <w:t xml:space="preserve"> = liquid-based cytology, min = minutes, </w:t>
      </w:r>
      <w:r w:rsidRPr="00BB76D8">
        <w:t>NR</w:t>
      </w:r>
      <w:r w:rsidRPr="00537C3C">
        <w:t xml:space="preserve"> = not reported.</w:t>
      </w:r>
    </w:p>
    <w:p w:rsidR="00234376" w:rsidRPr="008E03A7" w:rsidRDefault="006F242B" w:rsidP="008E03A7">
      <w:pPr>
        <w:keepNext/>
      </w:pPr>
      <w:r>
        <w:rPr>
          <w:noProof/>
          <w:lang w:eastAsia="en-AU"/>
        </w:rPr>
        <w:lastRenderedPageBreak/>
        <w:drawing>
          <wp:inline distT="0" distB="0" distL="0" distR="0" wp14:anchorId="0869CEC9" wp14:editId="5E2EA246">
            <wp:extent cx="4869815" cy="5741670"/>
            <wp:effectExtent l="0" t="0" r="6985" b="0"/>
            <wp:docPr id="26" name="Picture 26" title="Relationship between cytologist reading speed and difference between conventional cytology and TPI-assisted LBC slide read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9815" cy="5741670"/>
                    </a:xfrm>
                    <a:prstGeom prst="rect">
                      <a:avLst/>
                    </a:prstGeom>
                    <a:noFill/>
                    <a:ln>
                      <a:noFill/>
                    </a:ln>
                  </pic:spPr>
                </pic:pic>
              </a:graphicData>
            </a:graphic>
          </wp:inline>
        </w:drawing>
      </w:r>
    </w:p>
    <w:p w:rsidR="00234376" w:rsidRPr="00537C3C" w:rsidRDefault="00234376" w:rsidP="008E03A7">
      <w:pPr>
        <w:pStyle w:val="Caption"/>
      </w:pPr>
      <w:bookmarkStart w:id="434" w:name="_Ref199133103"/>
      <w:bookmarkStart w:id="435" w:name="_Toc231895845"/>
      <w:bookmarkStart w:id="436" w:name="_Toc222823901"/>
      <w:r w:rsidRPr="00537C3C">
        <w:t xml:space="preserve">Figure </w:t>
      </w:r>
      <w:fldSimple w:instr=" SEQ Figure \* ARABIC ">
        <w:r w:rsidR="007D3DFF">
          <w:rPr>
            <w:noProof/>
          </w:rPr>
          <w:t>4</w:t>
        </w:r>
      </w:fldSimple>
      <w:bookmarkEnd w:id="434"/>
      <w:r w:rsidRPr="00537C3C">
        <w:tab/>
        <w:t xml:space="preserve">Relationship between cytologist reading speed and difference between conventional cytology and </w:t>
      </w:r>
      <w:r w:rsidRPr="00BB76D8">
        <w:t>TPI</w:t>
      </w:r>
      <w:r w:rsidRPr="00537C3C">
        <w:t xml:space="preserve">-assisted </w:t>
      </w:r>
      <w:r w:rsidRPr="00BB76D8">
        <w:t>LBC</w:t>
      </w:r>
      <w:r w:rsidRPr="00537C3C">
        <w:t xml:space="preserve"> slide reading time.</w:t>
      </w:r>
      <w:bookmarkEnd w:id="435"/>
      <w:bookmarkEnd w:id="436"/>
    </w:p>
    <w:p w:rsidR="00234376" w:rsidRPr="00537C3C" w:rsidRDefault="00234376" w:rsidP="008E03A7">
      <w:pPr>
        <w:pStyle w:val="TableNotes"/>
      </w:pPr>
      <w:r w:rsidRPr="00537C3C">
        <w:t xml:space="preserve">Reproduced from Davey et al. </w:t>
      </w:r>
      <w:r w:rsidRPr="00537C3C">
        <w:fldChar w:fldCharType="begin"/>
      </w:r>
      <w:r w:rsidRPr="00537C3C">
        <w:instrText xml:space="preserve"> ADDIN REFMGR.CITE &lt;Refman&gt;&lt;Cite ExcludeAuth="1"&gt;&lt;Author&gt;Davey&lt;/Author&gt;&lt;Year&gt;2007&lt;/Year&gt;&lt;RecNum&gt;33&lt;/RecNum&gt;&lt;IDText&gt;Cervical cytology reading times: A comparison between ThinPrep Imager and conventional methods&lt;/IDText&gt;&lt;MDL Ref_Type="Journal"&gt;&lt;Ref_Type&gt;Journal&lt;/Ref_Type&gt;&lt;Ref_ID&gt;33&lt;/Ref_ID&gt;&lt;Title_Primary&gt;Cervical cytology reading times: A comparison between ThinPrep Imager and conventional methods&lt;/Title_Primary&gt;&lt;Authors_Primary&gt;Davey,E.&lt;/Authors_Primary&gt;&lt;Authors_Primary&gt;Irwig,L.&lt;/Authors_Primary&gt;&lt;Authors_Primary&gt;Macaskill,P.&lt;/Authors_Primary&gt;&lt;Authors_Primary&gt;Chan,S.F.&lt;/Authors_Primary&gt;&lt;Authors_Primary&gt;D&amp;apos;Assuncao,J.&lt;/Authors_Primary&gt;&lt;Authors_Primary&gt;Richards,A.&lt;/Authors_Primary&gt;&lt;Authors_Primary&gt;Farnsworth,A.&lt;/Authors_Primary&gt;&lt;Date_Primary&gt;2007&lt;/Date_Primary&gt;&lt;Keywords&gt;article&lt;/Keywords&gt;&lt;Keywords&gt;controlled study&lt;/Keywords&gt;&lt;Keywords&gt;human&lt;/Keywords&gt;&lt;Keywords&gt;intermethod comparison&lt;/Keywords&gt;&lt;Keywords&gt;laboratory diagnosis&lt;/Keywords&gt;&lt;Keywords&gt;medical practice&lt;/Keywords&gt;&lt;Keywords&gt;priority journal&lt;/Keywords&gt;&lt;Keywords&gt;uterine cervix cytology&lt;/Keywords&gt;&lt;Reprint&gt;In File&lt;/Reprint&gt;&lt;Start_Page&gt;550&lt;/Start_Page&gt;&lt;End_Page&gt;554&lt;/End_Page&gt;&lt;Periodical&gt;Diagnostic Cytopathology&lt;/Periodical&gt;&lt;Volume&gt;35&lt;/Volume&gt;&lt;Issue&gt;9&lt;/Issue&gt;&lt;ISSN_ISBN&gt;8755-1039&lt;/ISSN_ISBN&gt;&lt;Address&gt;Davey, E., Screening and Test Evaluation Program, School of Public Health, University of Sydney, Sydney, NSW 2006,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(2007b)</w:t>
      </w:r>
      <w:r w:rsidRPr="00537C3C">
        <w:fldChar w:fldCharType="end"/>
      </w:r>
      <w:r w:rsidRPr="00537C3C">
        <w:t>.</w:t>
      </w:r>
    </w:p>
    <w:p w:rsidR="00234376" w:rsidRPr="00537C3C" w:rsidRDefault="00234376" w:rsidP="008E03A7">
      <w:pPr>
        <w:pStyle w:val="Heading2"/>
        <w:ind w:left="0"/>
        <w:rPr>
          <w:bCs/>
        </w:rPr>
      </w:pPr>
      <w:bookmarkStart w:id="437" w:name="_Toc95971087"/>
      <w:bookmarkStart w:id="438" w:name="_Toc241658186"/>
      <w:r w:rsidRPr="00537C3C">
        <w:rPr>
          <w:bCs/>
        </w:rPr>
        <w:lastRenderedPageBreak/>
        <w:t xml:space="preserve">Comparison </w:t>
      </w:r>
      <w:r w:rsidR="00104199">
        <w:rPr>
          <w:bCs/>
        </w:rPr>
        <w:t>to</w:t>
      </w:r>
      <w:r w:rsidRPr="00537C3C">
        <w:rPr>
          <w:bCs/>
        </w:rPr>
        <w:t xml:space="preserve"> manual </w:t>
      </w:r>
      <w:r w:rsidRPr="00BB76D8">
        <w:rPr>
          <w:bCs/>
        </w:rPr>
        <w:t>LBC</w:t>
      </w:r>
      <w:r w:rsidRPr="00537C3C">
        <w:rPr>
          <w:bCs/>
        </w:rPr>
        <w:t xml:space="preserve"> slide reading</w:t>
      </w:r>
      <w:bookmarkEnd w:id="437"/>
      <w:bookmarkEnd w:id="438"/>
    </w:p>
    <w:p w:rsidR="00234376" w:rsidRDefault="00234376" w:rsidP="00234376">
      <w:pPr>
        <w:pStyle w:val="Heading3"/>
      </w:pPr>
      <w:r w:rsidRPr="00537C3C">
        <w:t>Included studies</w:t>
      </w:r>
    </w:p>
    <w:p w:rsidR="00234376" w:rsidRPr="00537C3C" w:rsidRDefault="00234376" w:rsidP="008E03A7">
      <w:pPr>
        <w:keepNext/>
        <w:keepLines/>
      </w:pPr>
      <w:r w:rsidRPr="00537C3C">
        <w:t xml:space="preserve">The search for studies published since the </w:t>
      </w:r>
      <w:r w:rsidRPr="00BB76D8">
        <w:t>MSAC</w:t>
      </w:r>
      <w:r w:rsidRPr="00537C3C">
        <w:t xml:space="preserve"> 2003 review identified four primary studies of automated versus manual reading of </w:t>
      </w:r>
      <w:r w:rsidRPr="00BB76D8">
        <w:t>LBC</w:t>
      </w:r>
      <w:r w:rsidRPr="00537C3C">
        <w:t xml:space="preserve"> slides that met the inclusion criteria for review. Three studies investigated the TPI system </w:t>
      </w:r>
      <w:r w:rsidRPr="00537C3C">
        <w:fldChar w:fldCharType="begin"/>
      </w:r>
      <w:r w:rsidRPr="00537C3C">
        <w:instrText xml:space="preserve"> ADDIN REFMGR.CITE &lt;Refman&gt;&lt;Cite&gt;&lt;Author&gt;Biscotti&lt;/Author&gt;&lt;Year&gt;2005&lt;/Year&gt;&lt;RecNum&gt;373&lt;/RecNum&gt;&lt;IDText&gt;Assisted primary screening using the automated ThinPrep Imaging System&lt;/IDText&gt;&lt;MDL Ref_Type="Journal"&gt;&lt;Ref_Type&gt;Journal&lt;/Ref_Type&gt;&lt;Ref_ID&gt;373&lt;/Ref_ID&gt;&lt;Title_Primary&gt;Assisted primary screening using the automated ThinPrep Imaging System&lt;/Title_Primary&gt;&lt;Authors_Primary&gt;Biscotti,C.V.&lt;/Authors_Primary&gt;&lt;Authors_Primary&gt;Dawson,A.E.&lt;/Authors_Primary&gt;&lt;Authors_Primary&gt;Dziura,B.&lt;/Authors_Primary&gt;&lt;Authors_Primary&gt;Galup,L.&lt;/Authors_Primary&gt;&lt;Authors_Primary&gt;Darragh,T.&lt;/Authors_Primary&gt;&lt;Authors_Primary&gt;Rahemtulla,A.&lt;/Authors_Primary&gt;&lt;Authors_Primary&gt;Wills-Frank,L.&lt;/Authors_Primary&gt;&lt;Date_Primary&gt;2005&lt;/Date_Primary&gt;&lt;Keywords&gt;article&lt;/Keywords&gt;&lt;Keywords&gt;atypical squamous cells of undetermined significance&lt;/Keywords&gt;&lt;Keywords&gt;automation&lt;/Keywords&gt;&lt;Keywords&gt;cancer cytodiagnosis&lt;/Keywords&gt;&lt;Keywords&gt;cancer screening&lt;/Keywords&gt;&lt;Keywords&gt;clinical trial&lt;/Keywords&gt;&lt;Keywords&gt;controlled study&lt;/Keywords&gt;&lt;Keywords&gt;cost benefit analysis&lt;/Keywords&gt;&lt;Keywords&gt;diagnostic imaging&lt;/Keywords&gt;&lt;Keywords&gt;diagnostic test&lt;/Keywords&gt;&lt;Keywords&gt;female&lt;/Keywords&gt;&lt;Keywords&gt;high grade squamous intraepithelial lesion&lt;/Keywords&gt;&lt;Keywords&gt;histopathology&lt;/Keywords&gt;&lt;Keywords&gt;human&lt;/Keywords&gt;&lt;Keywords&gt;human cell&lt;/Keywords&gt;&lt;Keywords&gt;imaging system&lt;/Keywords&gt;&lt;Keywords&gt;major clinical study&lt;/Keywords&gt;&lt;Keywords&gt;multicenter study&lt;/Keywords&gt;&lt;Keywords&gt;Papanicolaou test&lt;/Keywords&gt;&lt;Keywords&gt;priority journal&lt;/Keywords&gt;&lt;Keywords&gt;randomization&lt;/Keywords&gt;&lt;Keywords&gt;randomized controlled trial&lt;/Keywords&gt;&lt;Keywords&gt;screening test&lt;/Keywords&gt;&lt;Keywords&gt;sensitivity and specificity&lt;/Keywords&gt;&lt;Keywords&gt;ThinPrep Imaging System&lt;/Keywords&gt;&lt;Keywords&gt;uterine cervix carcinoma&lt;/Keywords&gt;&lt;Keywords&gt;uterine cervix carcinoma in situ&lt;/Keywords&gt;&lt;Reprint&gt;Not in File&lt;/Reprint&gt;&lt;Start_Page&gt;281&lt;/Start_Page&gt;&lt;End_Page&gt;287&lt;/End_Page&gt;&lt;Periodical&gt;American Journal of Clinical Pathology&lt;/Periodical&gt;&lt;Volume&gt;123&lt;/Volume&gt;&lt;Issue&gt;2&lt;/Issue&gt;&lt;ISSN_ISBN&gt;0002-9173&lt;/ISSN_ISBN&gt;&lt;Address&gt;Biscotti, C.V., Cleveland Clinic Foundation, Cleveland, OH 44195, United States&lt;/Address&gt;&lt;ZZ_JournalFull&gt;&lt;f name="System"&gt;American Journal of Clinical Pathology&lt;/f&gt;&lt;/ZZ_JournalFull&gt;&lt;ZZ_JournalStdAbbrev&gt;&lt;f name="System"&gt;Am.J.Clin.Pathol.&lt;/f&gt;&lt;/ZZ_JournalStdAbbrev&gt;&lt;ZZ_WorkformID&gt;1&lt;/ZZ_WorkformID&gt;&lt;/MDL&gt;&lt;/Cite&gt;&lt;Cite&gt;&lt;Author&gt;Bolger&lt;/Author&gt;&lt;Year&gt;2006&lt;/Year&gt;&lt;RecNum&gt;137&lt;/RecNum&gt;&lt;IDText&gt;Implementation and evaluation of a new automated interactive image analysis system&lt;/IDText&gt;&lt;MDL Ref_Type="Journal"&gt;&lt;Ref_Type&gt;Journal&lt;/Ref_Type&gt;&lt;Ref_ID&gt;137&lt;/Ref_ID&gt;&lt;Title_Primary&gt;Implementation and evaluation of a new automated interactive image analysis system&lt;/Title_Primary&gt;&lt;Authors_Primary&gt;Bolger,N.&lt;/Authors_Primary&gt;&lt;Authors_Primary&gt;Heffron,C.&lt;/Authors_Primary&gt;&lt;Authors_Primary&gt;Regan,I.&lt;/Authors_Primary&gt;&lt;Authors_Primary&gt;Sweeney,M.&lt;/Authors_Primary&gt;&lt;Authors_Primary&gt;Kinsella,S.&lt;/Authors_Primary&gt;&lt;Authors_Primary&gt;McKeown,M.&lt;/Authors_Primary&gt;&lt;Authors_Primary&gt;Creighton,G.&lt;/Authors_Primary&gt;&lt;Authors_Primary&gt;Russell,J.&lt;/Authors_Primary&gt;&lt;Authors_Primary&gt;O&amp;apos;Leary,J.&lt;/Authors_Primary&gt;&lt;Date_Primary&gt;2006&lt;/Date_Primary&gt;&lt;Keywords&gt;article&lt;/Keywords&gt;&lt;Keywords&gt;automated pattern recognition&lt;/Keywords&gt;&lt;Keywords&gt;carcinoma&lt;/Keywords&gt;&lt;Keywords&gt;comparative study&lt;/Keywords&gt;&lt;Keywords&gt;diagnostic error&lt;/Keywords&gt;&lt;Keywords&gt;evaluation&lt;/Keywords&gt;&lt;Keywords&gt;female&lt;/Keywords&gt;&lt;Keywords&gt;human&lt;/Keywords&gt;&lt;Keywords&gt;image cytometry&lt;/Keywords&gt;&lt;Keywords&gt;laboratory diagnosis&lt;/Keywords&gt;&lt;Keywords&gt;mass screening&lt;/Keywords&gt;&lt;Keywords&gt;methodology&lt;/Keywords&gt;&lt;Keywords&gt;observer variation&lt;/Keywords&gt;&lt;Keywords&gt;pathology&lt;/Keywords&gt;&lt;Keywords&gt;prediction and forecasting&lt;/Keywords&gt;&lt;Keywords&gt;reproducibility&lt;/Keywords&gt;&lt;Keywords&gt;sensitivity and specificity&lt;/Keywords&gt;&lt;Keywords&gt;statistics&lt;/Keywords&gt;&lt;Keywords&gt;uterine cervix&lt;/Keywords&gt;&lt;Keywords&gt;uterine cervix tumor&lt;/Keywords&gt;&lt;Keywords&gt;vagina smear&lt;/Keywords&gt;&lt;Reprint&gt;In File&lt;/Reprint&gt;&lt;Start_Page&gt;483&lt;/Start_Page&gt;&lt;End_Page&gt;491&lt;/End_Page&gt;&lt;Periodical&gt;Acta cytologica.&lt;/Periodical&gt;&lt;Volume&gt;50&lt;/Volume&gt;&lt;Issue&gt;5&lt;/Issue&gt;&lt;ISSN_ISBN&gt;0001-5547&lt;/ISSN_ISBN&gt;&lt;Address&gt;Bolger, N., Department of Cytopathology, Coombe Women&amp;apos;s Hospital, Dublin, Ireland&lt;/Address&gt;&lt;ZZ_JournalFull&gt;&lt;f name="System"&gt;Acta cytologica.&lt;/f&gt;&lt;/ZZ_JournalFull&gt;&lt;ZZ_WorkformID&gt;1&lt;/ZZ_WorkformID&gt;&lt;/MDL&gt;&lt;/Cite&gt;&lt;Cite&gt;&lt;Author&gt;Roberts&lt;/Author&gt;&lt;Year&gt;2007&lt;/Year&gt;&lt;RecNum&gt;107&lt;/RecNum&gt;&lt;IDText&gt;A three-armed trial of the thinprep imaging system&lt;/IDText&gt;&lt;MDL Ref_Type="Journal"&gt;&lt;Ref_Type&gt;Journal&lt;/Ref_Type&gt;&lt;Ref_ID&gt;107&lt;/Ref_ID&gt;&lt;Title_Primary&gt;A three-armed trial of the thinprep imaging system&lt;/Title_Primary&gt;&lt;Authors_Primary&gt;Roberts,J.M.&lt;/Authors_Primary&gt;&lt;Authors_Primary&gt;Thurloe,J.K.&lt;/Authors_Primary&gt;&lt;Authors_Primary&gt;Bowditch,R.C.&lt;/Authors_Primary&gt;&lt;Authors_Primary&gt;Hyne,S.G.&lt;/Authors_Primary&gt;&lt;Authors_Primary&gt;Greenberg,M.&lt;/Authors_Primary&gt;&lt;Authors_Primary&gt;Clarke,J.M.&lt;/Authors_Primary&gt;&lt;Authors_Primary&gt;Biro,C.&lt;/Authors_Primary&gt;&lt;Date_Primary&gt;2007&lt;/Date_Primary&gt;&lt;Keywords&gt;adenocarcinoma&lt;/Keywords&gt;&lt;Keywords&gt;article&lt;/Keywords&gt;&lt;Keywords&gt;cancer cytodiagnosis&lt;/Keywords&gt;&lt;Keywords&gt;controlled study&lt;/Keywords&gt;&lt;Keywords&gt;device&lt;/Keywords&gt;&lt;Keywords&gt;female&lt;/Keywords&gt;&lt;Keywords&gt;human&lt;/Keywords&gt;&lt;Keywords&gt;imaging system&lt;/Keywords&gt;&lt;Keywords&gt;major clinical study&lt;/Keywords&gt;&lt;Keywords&gt;Papanicolaou test&lt;/Keywords&gt;&lt;Keywords&gt;prediction&lt;/Keywords&gt;&lt;Keywords&gt;priority journal&lt;/Keywords&gt;&lt;Keywords&gt;productivity&lt;/Keywords&gt;&lt;Keywords&gt;sensitivity and specificity&lt;/Keywords&gt;&lt;Keywords&gt;ThinPrep Imaging System&lt;/Keywords&gt;&lt;Keywords&gt;uterine cervix carcinoma&lt;/Keywords&gt;&lt;Keywords&gt;uterine cervix carcinoma in situ&lt;/Keywords&gt;&lt;Reprint&gt;In File&lt;/Reprint&gt;&lt;Start_Page&gt;96&lt;/Start_Page&gt;&lt;End_Page&gt;102&lt;/End_Page&gt;&lt;Periodical&gt;Diagnostic Cytopathology&lt;/Periodical&gt;&lt;Volume&gt;35&lt;/Volume&gt;&lt;Issue&gt;2&lt;/Issue&gt;&lt;ISSN_ISBN&gt;8755-1039&lt;/ISSN_ISBN&gt;&lt;Address&gt;Roberts, J.M., Symbion Laverty Pathology, North Ryde, NSW 1670, Australia&lt;/Address&gt;&lt;ZZ_JournalFull&gt;&lt;f name="System"&gt;Diagnostic Cytopathology&lt;/f&gt;&lt;/ZZ_JournalFull&gt;&lt;ZZ_JournalStdAbbrev&gt;&lt;f name="System"&gt;Diagn.Cytopathol.&lt;/f&gt;&lt;/ZZ_JournalStdAbbrev&gt;&lt;ZZ_WorkformID&gt;1&lt;/ZZ_WorkformID&gt;&lt;/MDL&gt;&lt;/Cite&gt;&lt;/Refman&gt;</w:instrText>
      </w:r>
      <w:r w:rsidRPr="00537C3C">
        <w:fldChar w:fldCharType="separate"/>
      </w:r>
      <w:r w:rsidRPr="00537C3C">
        <w:t>(Biscotti et al. 2005; Bolger et al. 2006; Roberts et al. 2007)</w:t>
      </w:r>
      <w:r w:rsidRPr="00537C3C">
        <w:fldChar w:fldCharType="end"/>
      </w:r>
      <w:r w:rsidRPr="00537C3C">
        <w:t xml:space="preserve"> and one investigated the AutoPap system </w:t>
      </w:r>
      <w:r w:rsidRPr="00537C3C">
        <w:fldChar w:fldCharType="begin"/>
      </w:r>
      <w:r w:rsidRPr="00537C3C">
        <w:instrText xml:space="preserve"> ADDIN REFMGR.CITE &lt;Refman&gt;&lt;Cite&gt;&lt;Author&gt;Wilbur&lt;/Author&gt;&lt;Year&gt;2002&lt;/Year&gt;&lt;RecNum&gt;839&lt;/RecNum&gt;&lt;IDText&gt;Location-guided screening of liquid-based cervical cytology specimens: a potential improvement in accuracy and productivity is demonstrated in a preclinical feasibility trial&lt;/IDText&gt;&lt;MDL Ref_Type="Journal"&gt;&lt;Ref_Type&gt;Journal&lt;/Ref_Type&gt;&lt;Ref_ID&gt;839&lt;/Ref_ID&gt;&lt;Title_Primary&gt;Location-guided screening of liquid-based cervical cytology specimens: a potential improvement in accuracy and productivity is demonstrated in a preclinical feasibility trial&lt;/Title_Primary&gt;&lt;Authors_Primary&gt;Wilbur,D.C.&lt;/Authors_Primary&gt;&lt;Authors_Primary&gt;Parker,E.M.&lt;/Authors_Primary&gt;&lt;Authors_Primary&gt;Foti,J.A.&lt;/Authors_Primary&gt;&lt;Date_Primary&gt;2002&lt;/Date_Primary&gt;&lt;Keywords&gt;article&lt;/Keywords&gt;&lt;Keywords&gt;automation&lt;/Keywords&gt;&lt;Keywords&gt;clinical trial&lt;/Keywords&gt;&lt;Keywords&gt;comparative study&lt;/Keywords&gt;&lt;Keywords&gt;computer assisted diagnosis&lt;/Keywords&gt;&lt;Keywords&gt;controlled study&lt;/Keywords&gt;&lt;Keywords&gt;feasibility study&lt;/Keywords&gt;&lt;Keywords&gt;female&lt;/Keywords&gt;&lt;Keywords&gt;human&lt;/Keywords&gt;&lt;Keywords&gt;laboratory diagnosis&lt;/Keywords&gt;&lt;Keywords&gt;mass screening&lt;/Keywords&gt;&lt;Keywords&gt;methodology&lt;/Keywords&gt;&lt;Keywords&gt;pathology&lt;/Keywords&gt;&lt;Keywords&gt;reproducibility&lt;/Keywords&gt;&lt;Keywords&gt;retrospective study&lt;/Keywords&gt;&lt;Keywords&gt;sensitivity and specificity&lt;/Keywords&gt;&lt;Keywords&gt;single blind procedure&lt;/Keywords&gt;&lt;Keywords&gt;uterine cervix tumor&lt;/Keywords&gt;&lt;Keywords&gt;vagina smear&lt;/Keywords&gt;&lt;Reprint&gt;In File&lt;/Reprint&gt;&lt;Start_Page&gt;399&lt;/Start_Page&gt;&lt;End_Page&gt;407&lt;/End_Page&gt;&lt;Periodical&gt;American Journal of Clinical Pathology&lt;/Periodical&gt;&lt;Volume&gt;118&lt;/Volume&gt;&lt;Issue&gt;3&lt;/Issue&gt;&lt;ISSN_ISBN&gt;0002-9173&lt;/ISSN_ISBN&gt;&lt;Address&gt;Wilbur, D.C., Cytopathology Unit, ViaHealth, Rochester, NY, USA&lt;/Address&gt;&lt;ZZ_JournalFull&gt;&lt;f name="System"&gt;American Journal of Clinical Pathology&lt;/f&gt;&lt;/ZZ_JournalFull&gt;&lt;ZZ_JournalStdAbbrev&gt;&lt;f name="System"&gt;Am.J.Clin.Pathol.&lt;/f&gt;&lt;/ZZ_JournalStdAbbrev&gt;&lt;ZZ_WorkformID&gt;1&lt;/ZZ_WorkformID&gt;&lt;/MDL&gt;&lt;/Cite&gt;&lt;/Refman&gt;</w:instrText>
      </w:r>
      <w:r w:rsidRPr="00537C3C">
        <w:fldChar w:fldCharType="separate"/>
      </w:r>
      <w:r w:rsidRPr="00537C3C">
        <w:t>(Wilbur et al. 2002)</w:t>
      </w:r>
      <w:r w:rsidRPr="00537C3C">
        <w:fldChar w:fldCharType="end"/>
      </w:r>
      <w:r w:rsidRPr="00537C3C">
        <w:t xml:space="preserve">. One of the studies of TPI, by Roberts et al. (2007), provided a three-way comparison of automated and manual reading of </w:t>
      </w:r>
      <w:r w:rsidRPr="00BB76D8">
        <w:t>LBC</w:t>
      </w:r>
      <w:r w:rsidRPr="00537C3C">
        <w:t xml:space="preserve"> </w:t>
      </w:r>
      <w:r w:rsidRPr="00537C3C" w:rsidDel="00B94BF8">
        <w:t>with</w:t>
      </w:r>
      <w:r w:rsidRPr="00537C3C">
        <w:t xml:space="preserve"> manual reading of conventional slides. </w:t>
      </w:r>
      <w:bookmarkStart w:id="439" w:name="OLE_LINK488"/>
      <w:bookmarkStart w:id="440" w:name="OLE_LINK489"/>
      <w:r w:rsidRPr="00537C3C">
        <w:t>Bolger et al. (2006</w:t>
      </w:r>
      <w:bookmarkEnd w:id="439"/>
      <w:bookmarkEnd w:id="440"/>
      <w:r w:rsidRPr="00537C3C">
        <w:t xml:space="preserve">) reports two TPI studies. The first study, of 6000 slides, reports the accuracy of the TPI review of the 22 FOVs compared only with full manual screening. The second study, also of 6000 slides, reports the accuracy of TPI-assisted screening where full manual screening was conducted when any abnormality </w:t>
      </w:r>
      <w:r w:rsidRPr="00537C3C" w:rsidDel="00B94BF8">
        <w:t>wa</w:t>
      </w:r>
      <w:r w:rsidRPr="00537C3C">
        <w:t>s detected by the cytologist in the 22 FOVs. As only the second of these studies reflects the use of the TPI in standard practice, only this study is included here.</w:t>
      </w:r>
    </w:p>
    <w:p w:rsidR="00234376" w:rsidRPr="00537C3C" w:rsidRDefault="00234376" w:rsidP="008E03A7">
      <w:r w:rsidRPr="00537C3C">
        <w:t xml:space="preserve">Studies comparing manual with automation-assisted reading of </w:t>
      </w:r>
      <w:r w:rsidRPr="00BB76D8">
        <w:t>LBC</w:t>
      </w:r>
      <w:r w:rsidRPr="00537C3C">
        <w:t xml:space="preserve"> in independent (unpaired) samples were excluded unless all or a random sample of negative slides were verified against a reference standard (requirement for high-quality study in the systematic review by Davey et al. 2006; see </w:t>
      </w:r>
      <w:r w:rsidR="00F91C6A">
        <w:t>A</w:t>
      </w:r>
      <w:r w:rsidRPr="00537C3C">
        <w:t>ppendix</w:t>
      </w:r>
      <w:r w:rsidR="00F91C6A">
        <w:t xml:space="preserve"> I</w:t>
      </w:r>
      <w:r w:rsidRPr="00537C3C">
        <w:t>). These studies would provide a lower quality of evidence than that provided in the four included studies. Thirteen studies comparing independent (usually historical) samples were identified; none verified a sample of negative results.</w:t>
      </w:r>
    </w:p>
    <w:p w:rsidR="00234376" w:rsidRPr="00537C3C" w:rsidRDefault="00234376" w:rsidP="008E03A7">
      <w:pPr>
        <w:pStyle w:val="Heading4"/>
      </w:pPr>
      <w:r w:rsidRPr="00537C3C">
        <w:t>Study characteristics, quality and applicability</w:t>
      </w:r>
    </w:p>
    <w:p w:rsidR="00234376" w:rsidRPr="00537C3C" w:rsidRDefault="00234376" w:rsidP="008E03A7">
      <w:bookmarkStart w:id="441" w:name="OLE_LINK7"/>
      <w:bookmarkStart w:id="442" w:name="OLE_LINK8"/>
      <w:r w:rsidRPr="00537C3C">
        <w:t xml:space="preserve">In studies comparing different methods of reading the same slide, the use of adjudicated cytology as a reference standard should not bias the relative accuracy results </w:t>
      </w:r>
      <w:r w:rsidRPr="00537C3C">
        <w:fldChar w:fldCharType="begin"/>
      </w:r>
      <w:r w:rsidRPr="00537C3C">
        <w:instrText xml:space="preserve"> ADDIN REFMGR.CITE &lt;Refman&gt;&lt;Cite&gt;&lt;Author&gt;Irwig&lt;/Author&gt;&lt;Year&gt;2004&lt;/Year&gt;&lt;RecNum&gt;319&lt;/RecNum&gt;&lt;IDText&gt;A randomized crossover trial of PAPNET for primary cervical screening&lt;/IDText&gt;&lt;MDL Ref_Type="Journal"&gt;&lt;Ref_Type&gt;Journal&lt;/Ref_Type&gt;&lt;Ref_ID&gt;319&lt;/Ref_ID&gt;&lt;Title_Primary&gt;A randomized crossover trial of PAPNET for primary cervical screening&lt;/Title_Primary&gt;&lt;Authors_Primary&gt;Irwig,L.&lt;/Authors_Primary&gt;&lt;Authors_Primary&gt;Macaskill,P.&lt;/Authors_Primary&gt;&lt;Authors_Primary&gt;Farnsworth,A.&lt;/Authors_Primary&gt;&lt;Authors_Primary&gt;Wright,R.G.&lt;/Authors_Primary&gt;&lt;Authors_Primary&gt;McCool,J.&lt;/Authors_Primary&gt;&lt;Authors_Primary&gt;Barratt,A.&lt;/Authors_Primary&gt;&lt;Authors_Primary&gt;Simpson,J.M.&lt;/Authors_Primary&gt;&lt;Date_Primary&gt;2004/1&lt;/Date_Primary&gt;&lt;Keywords&gt;Adolescent&lt;/Keywords&gt;&lt;Keywords&gt;Adult&lt;/Keywords&gt;&lt;Keywords&gt;Cross-Over Studies&lt;/Keywords&gt;&lt;Keywords&gt;Female&lt;/Keywords&gt;&lt;Keywords&gt;Humans&lt;/Keywords&gt;&lt;Keywords&gt;Image Processing,Computer-Assisted&lt;/Keywords&gt;&lt;Keywords&gt;methods&lt;/Keywords&gt;&lt;Keywords&gt;Middle Aged&lt;/Keywords&gt;&lt;Keywords&gt;Predictive Value of Tests&lt;/Keywords&gt;&lt;Keywords&gt;prevention &amp;amp; control&lt;/Keywords&gt;&lt;Keywords&gt;Reference Standards&lt;/Keywords&gt;&lt;Keywords&gt;Sample Size&lt;/Keywords&gt;&lt;Keywords&gt;Sensitivity and Specificity&lt;/Keywords&gt;&lt;Keywords&gt;Uterine Cervical Neoplasms&lt;/Keywords&gt;&lt;Keywords&gt;Vaginal Smears&lt;/Keywords&gt;&lt;Reprint&gt;Not in File&lt;/Reprint&gt;&lt;Start_Page&gt;75&lt;/Start_Page&gt;&lt;End_Page&gt;81&lt;/End_Page&gt;&lt;Periodical&gt;J Clin Epidemiol.&lt;/Periodical&gt;&lt;Volume&gt;57&lt;/Volume&gt;&lt;Issue&gt;1&lt;/Issue&gt;&lt;ZZ_JournalStdAbbrev&gt;&lt;f name="System"&gt;J Clin Epidemiol.&lt;/f&gt;&lt;/ZZ_JournalStdAbbrev&gt;&lt;ZZ_WorkformID&gt;1&lt;/ZZ_WorkformID&gt;&lt;/MDL&gt;&lt;/Cite&gt;&lt;/Refman&gt;</w:instrText>
      </w:r>
      <w:r w:rsidRPr="00537C3C">
        <w:fldChar w:fldCharType="separate"/>
      </w:r>
      <w:r w:rsidRPr="00537C3C">
        <w:t>(Irwig et al. 2004)</w:t>
      </w:r>
      <w:r w:rsidRPr="00537C3C">
        <w:fldChar w:fldCharType="end"/>
      </w:r>
      <w:r w:rsidRPr="00537C3C">
        <w:t>, as errors in sampling or slide preparation will affect estimates of accuracy in both methods equally. Any differences in accuracy between the methods will relate only to reader interpretation of the slide.</w:t>
      </w:r>
      <w:bookmarkEnd w:id="441"/>
      <w:bookmarkEnd w:id="442"/>
    </w:p>
    <w:p w:rsidR="00234376" w:rsidRPr="00537C3C" w:rsidRDefault="00234376" w:rsidP="008E03A7">
      <w:r w:rsidRPr="00537C3C">
        <w:t xml:space="preserve">The characteristics, quality and applicability of the included studies are summarised in </w:t>
      </w:r>
      <w:r>
        <w:fldChar w:fldCharType="begin"/>
      </w:r>
      <w:r>
        <w:instrText xml:space="preserve"> REF _Ref199303032 \h  \* MERGEFORMAT </w:instrText>
      </w:r>
      <w:r>
        <w:fldChar w:fldCharType="separate"/>
      </w:r>
      <w:r w:rsidR="007D3DFF" w:rsidRPr="00537C3C">
        <w:t xml:space="preserve">Table </w:t>
      </w:r>
      <w:r w:rsidR="007D3DFF">
        <w:rPr>
          <w:noProof/>
        </w:rPr>
        <w:t>22</w:t>
      </w:r>
      <w:r>
        <w:fldChar w:fldCharType="end"/>
      </w:r>
      <w:r w:rsidRPr="00537C3C">
        <w:t xml:space="preserve">. All studies were considered of fair quality and limited applicability. Detailed discussion of the study by Roberts et al. (2007) is also provided above in </w:t>
      </w:r>
      <w:r>
        <w:fldChar w:fldCharType="begin"/>
      </w:r>
      <w:r>
        <w:instrText xml:space="preserve"> REF _Ref190595297 \h  \* MERGEFORMAT </w:instrText>
      </w:r>
      <w:r>
        <w:fldChar w:fldCharType="separate"/>
      </w:r>
      <w:r w:rsidR="007D3DFF" w:rsidRPr="00537C3C">
        <w:t xml:space="preserve">Table </w:t>
      </w:r>
      <w:r w:rsidR="007D3DFF">
        <w:rPr>
          <w:noProof/>
        </w:rPr>
        <w:t>16</w:t>
      </w:r>
      <w:r>
        <w:fldChar w:fldCharType="end"/>
      </w:r>
      <w:r w:rsidRPr="00537C3C">
        <w:t xml:space="preserve"> and the associated text.</w:t>
      </w:r>
    </w:p>
    <w:p w:rsidR="00234376" w:rsidRPr="00537C3C" w:rsidRDefault="00234376" w:rsidP="008E03A7">
      <w:r w:rsidRPr="00537C3C">
        <w:t xml:space="preserve">All four studies excluded slides not analysed by the ThinPrep Imager from the analysis. In the ThinPrep Imager studies Roberts et al. excluded 3.7 per cent of slides, Bolger et al. 3 per cent, and Biscotti et al. 7.1 per cent for this reason. </w:t>
      </w:r>
      <w:bookmarkStart w:id="443" w:name="OLE_LINK490"/>
      <w:bookmarkStart w:id="444" w:name="OLE_LINK491"/>
      <w:r w:rsidRPr="00537C3C">
        <w:t>Wilbur et al. (2002</w:t>
      </w:r>
      <w:bookmarkEnd w:id="443"/>
      <w:bookmarkEnd w:id="444"/>
      <w:r w:rsidRPr="00537C3C">
        <w:t>) excluded 1.7 per cent of slides not processed by AutoPap. Therefore any difference in accuracy reported only applies to the proportion of slides that can be read by the automated-slide reading system. In all studies slide markings made were removed between the alternate arms of the study.</w:t>
      </w:r>
    </w:p>
    <w:p w:rsidR="00234376" w:rsidRPr="00537C3C" w:rsidRDefault="00234376" w:rsidP="008E03A7">
      <w:r w:rsidRPr="00537C3C">
        <w:t xml:space="preserve">All three studies of ThinPrep Imager versus manual reading of ThinPrep slides were paired diagnostic accuracy studies. </w:t>
      </w:r>
      <w:bookmarkStart w:id="445" w:name="OLE_LINK492"/>
      <w:bookmarkStart w:id="446" w:name="OLE_LINK493"/>
      <w:r w:rsidRPr="00537C3C">
        <w:t>Biscotti et al. (2005</w:t>
      </w:r>
      <w:bookmarkEnd w:id="445"/>
      <w:bookmarkEnd w:id="446"/>
      <w:r w:rsidRPr="00537C3C">
        <w:t xml:space="preserve">) used a reference standard of adjudicated cytology for all positive slides, all discordant slides, and a random 5 per cent of negative slides. </w:t>
      </w:r>
      <w:bookmarkStart w:id="447" w:name="OLE_LINK494"/>
      <w:bookmarkStart w:id="448" w:name="OLE_LINK495"/>
      <w:r w:rsidRPr="00537C3C">
        <w:t>Bolger et al. (2006</w:t>
      </w:r>
      <w:bookmarkEnd w:id="447"/>
      <w:bookmarkEnd w:id="448"/>
      <w:r w:rsidRPr="00537C3C">
        <w:t xml:space="preserve">) used a reference standard of adjudicated cytology for all positive slides. Neither reported blinding of adjudication to test results. This may introduce verification bias. Roberts et al. (2007) used a reference standard of histology </w:t>
      </w:r>
      <w:r w:rsidRPr="00537C3C">
        <w:lastRenderedPageBreak/>
        <w:t xml:space="preserve">for slides with a </w:t>
      </w:r>
      <w:r w:rsidRPr="00BB76D8">
        <w:t>pHSIL</w:t>
      </w:r>
      <w:r w:rsidRPr="00537C3C">
        <w:t xml:space="preserve"> or higher cytology result. There is incomplete verification in the study by Roberts et al. (2007): no histology was available for 9.0 per cent of positive TPI-read slides or 8.3 per cent of </w:t>
      </w:r>
      <w:r w:rsidRPr="00BB76D8">
        <w:t>LBC</w:t>
      </w:r>
      <w:r w:rsidRPr="00537C3C">
        <w:t xml:space="preserve"> slides read manually (</w:t>
      </w:r>
      <w:r w:rsidRPr="0030078D">
        <w:rPr>
          <w:i/>
        </w:rPr>
        <w:t>P</w:t>
      </w:r>
      <w:r w:rsidRPr="00537C3C">
        <w:t xml:space="preserve"> &gt; 0.05, </w:t>
      </w:r>
      <w:r w:rsidRPr="00537C3C">
        <w:rPr>
          <w:szCs w:val="24"/>
        </w:rPr>
        <w:sym w:font="Symbol" w:char="F063"/>
      </w:r>
      <w:r w:rsidRPr="00537C3C">
        <w:rPr>
          <w:vertAlign w:val="superscript"/>
        </w:rPr>
        <w:t>2</w:t>
      </w:r>
      <w:r w:rsidRPr="00537C3C">
        <w:t>-test). The degree of verification of discordant positive results by each test was not reported.</w:t>
      </w:r>
    </w:p>
    <w:p w:rsidR="00234376" w:rsidRPr="00537C3C" w:rsidRDefault="00234376" w:rsidP="008E03A7">
      <w:r w:rsidRPr="00537C3C">
        <w:t xml:space="preserve">The Bolger et al. study includes no seeded cases. The Biscotti et al. study includes seeded cases, although the total number of high-grade cases according to the reference standard is similar to that in Bolger et al. (2006). The data from the Roberts et al. study reported here exclude seeded cases, but there are fewer known high-grade cases </w:t>
      </w:r>
      <w:r w:rsidRPr="00537C3C" w:rsidDel="0030078D">
        <w:t>on account of</w:t>
      </w:r>
      <w:r w:rsidRPr="00537C3C">
        <w:t xml:space="preserve"> incomplete verification.</w:t>
      </w:r>
    </w:p>
    <w:p w:rsidR="00234376" w:rsidRPr="00537C3C" w:rsidRDefault="00234376" w:rsidP="008E03A7">
      <w:r w:rsidRPr="00537C3C">
        <w:t xml:space="preserve">Biscotti et al. (2005) reported the sensitivity and specificity of the alternative screening strategies with different test thresholds for the equivalent reference standard threshold. The reported accuracy values for </w:t>
      </w:r>
      <w:r w:rsidRPr="00BB76D8">
        <w:t>HSIL</w:t>
      </w:r>
      <w:r w:rsidRPr="00537C3C">
        <w:t xml:space="preserve">+ are sensitivities and specificities at detecting adjudicated </w:t>
      </w:r>
      <w:r w:rsidRPr="00BB76D8">
        <w:t>HSIL</w:t>
      </w:r>
      <w:r w:rsidRPr="00537C3C">
        <w:t xml:space="preserve">+; those for </w:t>
      </w:r>
      <w:r w:rsidRPr="00BB76D8">
        <w:t>LSIL</w:t>
      </w:r>
      <w:r w:rsidRPr="00537C3C">
        <w:t xml:space="preserve">+ were for adjudicated </w:t>
      </w:r>
      <w:r w:rsidRPr="00BB76D8">
        <w:t>LSIL</w:t>
      </w:r>
      <w:r w:rsidRPr="00537C3C">
        <w:t xml:space="preserve">+; and those for </w:t>
      </w:r>
      <w:r w:rsidRPr="00BB76D8">
        <w:t>ASCUS</w:t>
      </w:r>
      <w:r w:rsidRPr="00537C3C">
        <w:t xml:space="preserve">+ were for adjudicated </w:t>
      </w:r>
      <w:r w:rsidRPr="00BB76D8">
        <w:t>ASCUS</w:t>
      </w:r>
      <w:r w:rsidRPr="00537C3C">
        <w:t xml:space="preserve">+. Only data for the accuracy of </w:t>
      </w:r>
      <w:r w:rsidRPr="00BB76D8">
        <w:t>HSIL</w:t>
      </w:r>
      <w:r w:rsidRPr="00537C3C">
        <w:t xml:space="preserve">+ are included in this review. True and false positive data for lower test thresholds are calculated from the contingency table to reflect detection of adjudicated </w:t>
      </w:r>
      <w:r w:rsidRPr="00BB76D8">
        <w:t>HSIL</w:t>
      </w:r>
      <w:r w:rsidRPr="00537C3C">
        <w:t>+.</w:t>
      </w:r>
    </w:p>
    <w:p w:rsidR="00234376" w:rsidRPr="00537C3C" w:rsidRDefault="00234376" w:rsidP="008E03A7">
      <w:r w:rsidRPr="00537C3C">
        <w:t xml:space="preserve">Bolger et al. (2006) report the sensitivity and specificity of the different screening strategies. However, neither the test nor reference standard thresholds used for these values are reported, nor are the assumptions made about non-confirmed negative slides, nor can the reported values be reproduced. Therefore the reliability of these measures cannot be confirmed and these data are not considered in this review (values are provided in </w:t>
      </w:r>
      <w:r>
        <w:fldChar w:fldCharType="begin"/>
      </w:r>
      <w:r>
        <w:instrText xml:space="preserve"> REF _Ref219868752 \h  \* MERGEFORMAT </w:instrText>
      </w:r>
      <w:r>
        <w:fldChar w:fldCharType="separate"/>
      </w:r>
      <w:r w:rsidR="007D3DFF" w:rsidRPr="00537C3C">
        <w:t xml:space="preserve">Appendix </w:t>
      </w:r>
      <w:r w:rsidR="007D3DFF">
        <w:rPr>
          <w:noProof/>
        </w:rPr>
        <w:t>F</w:t>
      </w:r>
      <w:r>
        <w:fldChar w:fldCharType="end"/>
      </w:r>
      <w:r w:rsidRPr="00537C3C">
        <w:t xml:space="preserve"> for completeness). Contingency tables of test and reference standard results are provided, thus true and false positive findings and the estimated difference in sensitivity &amp; specificity for alternative screening strategies for different thresholds have been calculated and are considered in this review.</w:t>
      </w:r>
    </w:p>
    <w:p w:rsidR="00234376" w:rsidRPr="00537C3C" w:rsidRDefault="00234376" w:rsidP="008E03A7">
      <w:pPr>
        <w:sectPr w:rsidR="00234376" w:rsidRPr="00537C3C" w:rsidSect="008E03A7">
          <w:headerReference w:type="even" r:id="rId36"/>
          <w:headerReference w:type="default" r:id="rId37"/>
          <w:footerReference w:type="even" r:id="rId38"/>
          <w:headerReference w:type="first" r:id="rId39"/>
          <w:pgSz w:w="11906" w:h="16838"/>
          <w:pgMar w:top="1440" w:right="1440" w:bottom="1440" w:left="1440" w:header="720" w:footer="720" w:gutter="0"/>
          <w:cols w:space="720"/>
        </w:sectPr>
      </w:pPr>
      <w:r w:rsidRPr="00537C3C">
        <w:t xml:space="preserve">Wilbur et al. </w:t>
      </w:r>
      <w:r w:rsidRPr="00537C3C">
        <w:fldChar w:fldCharType="begin"/>
      </w:r>
      <w:r w:rsidRPr="00537C3C">
        <w:instrText xml:space="preserve"> ADDIN REFMGR.CITE &lt;Refman&gt;&lt;Cite ExcludeAuth="1"&gt;&lt;Author&gt;Wilbur&lt;/Author&gt;&lt;Year&gt;2002&lt;/Year&gt;&lt;RecNum&gt;839&lt;/RecNum&gt;&lt;IDText&gt;Location-guided screening of liquid-based cervical cytology specimens: a potential improvement in accuracy and productivity is demonstrated in a preclinical feasibility trial&lt;/IDText&gt;&lt;MDL Ref_Type="Journal"&gt;&lt;Ref_Type&gt;Journal&lt;/Ref_Type&gt;&lt;Ref_ID&gt;839&lt;/Ref_ID&gt;&lt;Title_Primary&gt;Location-guided screening of liquid-based cervical cytology specimens: a potential improvement in accuracy and productivity is demonstrated in a preclinical feasibility trial&lt;/Title_Primary&gt;&lt;Authors_Primary&gt;Wilbur,D.C.&lt;/Authors_Primary&gt;&lt;Authors_Primary&gt;Parker,E.M.&lt;/Authors_Primary&gt;&lt;Authors_Primary&gt;Foti,J.A.&lt;/Authors_Primary&gt;&lt;Date_Primary&gt;2002&lt;/Date_Primary&gt;&lt;Keywords&gt;article&lt;/Keywords&gt;&lt;Keywords&gt;automation&lt;/Keywords&gt;&lt;Keywords&gt;clinical trial&lt;/Keywords&gt;&lt;Keywords&gt;comparative study&lt;/Keywords&gt;&lt;Keywords&gt;computer assisted diagnosis&lt;/Keywords&gt;&lt;Keywords&gt;controlled study&lt;/Keywords&gt;&lt;Keywords&gt;feasibility study&lt;/Keywords&gt;&lt;Keywords&gt;female&lt;/Keywords&gt;&lt;Keywords&gt;human&lt;/Keywords&gt;&lt;Keywords&gt;laboratory diagnosis&lt;/Keywords&gt;&lt;Keywords&gt;mass screening&lt;/Keywords&gt;&lt;Keywords&gt;methodology&lt;/Keywords&gt;&lt;Keywords&gt;pathology&lt;/Keywords&gt;&lt;Keywords&gt;reproducibility&lt;/Keywords&gt;&lt;Keywords&gt;retrospective study&lt;/Keywords&gt;&lt;Keywords&gt;sensitivity and specificity&lt;/Keywords&gt;&lt;Keywords&gt;single blind procedure&lt;/Keywords&gt;&lt;Keywords&gt;uterine cervix tumor&lt;/Keywords&gt;&lt;Keywords&gt;vagina smear&lt;/Keywords&gt;&lt;Reprint&gt;In File&lt;/Reprint&gt;&lt;Start_Page&gt;399&lt;/Start_Page&gt;&lt;End_Page&gt;407&lt;/End_Page&gt;&lt;Periodical&gt;American Journal of Clinical Pathology&lt;/Periodical&gt;&lt;Volume&gt;118&lt;/Volume&gt;&lt;Issue&gt;3&lt;/Issue&gt;&lt;ISSN_ISBN&gt;0002-9173&lt;/ISSN_ISBN&gt;&lt;Address&gt;Wilbur, D.C., Cytopathology Unit, ViaHealth, Rochester, NY, USA&lt;/Address&gt;&lt;ZZ_JournalFull&gt;&lt;f name="System"&gt;American Journal of Clinical Pathology&lt;/f&gt;&lt;/ZZ_JournalFull&gt;&lt;ZZ_JournalStdAbbrev&gt;&lt;f name="System"&gt;Am.J.Clin.Pathol.&lt;/f&gt;&lt;/ZZ_JournalStdAbbrev&gt;&lt;ZZ_WorkformID&gt;1&lt;/ZZ_WorkformID&gt;&lt;/MDL&gt;&lt;/Cite&gt;&lt;/Refman&gt;</w:instrText>
      </w:r>
      <w:r w:rsidRPr="00537C3C">
        <w:fldChar w:fldCharType="separate"/>
      </w:r>
      <w:r w:rsidRPr="00537C3C">
        <w:t>(2002)</w:t>
      </w:r>
      <w:r w:rsidRPr="00537C3C">
        <w:fldChar w:fldCharType="end"/>
      </w:r>
      <w:r w:rsidRPr="00537C3C">
        <w:t xml:space="preserve"> described the use of the AutoPap system versus manual reading of AutoCyte Prep </w:t>
      </w:r>
      <w:r w:rsidRPr="00BB76D8">
        <w:t>LBC</w:t>
      </w:r>
      <w:r w:rsidRPr="00537C3C">
        <w:t xml:space="preserve"> slides in a study considered to be of fair quality. The AutoPap system was used to designate up to 25 per cent of slides as ‘no further review’ which then did not undergo any manual screening. The use of the AutoPap system in this study differs to from that specified for the Focal Point system in the clinical flow chart (</w:t>
      </w:r>
      <w:r>
        <w:fldChar w:fldCharType="begin"/>
      </w:r>
      <w:r>
        <w:instrText xml:space="preserve"> REF _Ref199566181 \h  \* MERGEFORMAT </w:instrText>
      </w:r>
      <w:r w:rsidR="007D3DFF">
        <w:fldChar w:fldCharType="separate"/>
      </w:r>
      <w:r w:rsidR="007D3DFF">
        <w:rPr>
          <w:b/>
          <w:bCs/>
          <w:lang w:val="en-US"/>
        </w:rPr>
        <w:t>Error! Reference source not found.</w:t>
      </w:r>
      <w:r>
        <w:fldChar w:fldCharType="end"/>
      </w:r>
      <w:r w:rsidRPr="00537C3C">
        <w:t xml:space="preserve">), and as advised by the manufacturer. In the slides designated for review, the cytologist reviewed 10 fields of view indicated as most likely to show an abnormality. Where the cytologist identified a potential abnormality, these slides proceeded to full manual review. The 15 per cent of slides that proceeded to review and </w:t>
      </w:r>
      <w:r w:rsidRPr="00537C3C" w:rsidDel="00B94BF8">
        <w:t>we</w:t>
      </w:r>
      <w:r w:rsidRPr="00537C3C">
        <w:t xml:space="preserve">re determined by the cytologist to be within normal limits with the highest AutoPap ranking underwent </w:t>
      </w:r>
      <w:r w:rsidRPr="00BB76D8">
        <w:t>QC</w:t>
      </w:r>
      <w:r w:rsidRPr="00537C3C">
        <w:t xml:space="preserve"> full manual rescreening. In the manual screening comparison arm of the study, a random 10 per cent of slides also underwent </w:t>
      </w:r>
      <w:r w:rsidRPr="00BB76D8">
        <w:t>QC</w:t>
      </w:r>
      <w:r w:rsidRPr="00537C3C">
        <w:t xml:space="preserve"> rescreening. The spectrum of disease in the Wilbur et al. study has limited applicability to a screening population, as 19.7 per cent (251/1275) of slides were seeded, giving a prevalence of verified high-grade disease of 9.7 per cent, including 6.8 per cent carcinoma cases. This severely limits the applicability of the reported accuracy data to a routine screening population. This study was considered of highly limited applicability owing to the limitations of both the population and the index test. In this study </w:t>
      </w:r>
      <w:r w:rsidR="0082184E">
        <w:t>t</w:t>
      </w:r>
      <w:r w:rsidRPr="00537C3C">
        <w:t>he test and reference standard threshold for accuracy data are not clearly reported for sensitivity and specificity pairs. True positive cases for corresponding test and reference standard thresholds are reported. False positive cases are not clearly defined by consistent reference standard thresholds. Total cytological classifications for the separate screening strategies are not reported.</w:t>
      </w:r>
    </w:p>
    <w:p w:rsidR="00234376" w:rsidRPr="00537C3C" w:rsidRDefault="00234376" w:rsidP="008E03A7">
      <w:pPr>
        <w:pStyle w:val="TableNamea"/>
        <w:ind w:left="1644"/>
      </w:pPr>
      <w:bookmarkStart w:id="449" w:name="_Ref199303032"/>
      <w:bookmarkStart w:id="450" w:name="_Toc95971258"/>
      <w:r w:rsidRPr="00537C3C">
        <w:lastRenderedPageBreak/>
        <w:t xml:space="preserve">Table </w:t>
      </w:r>
      <w:fldSimple w:instr=" SEQ Table \* ARABIC ">
        <w:r w:rsidR="007D3DFF">
          <w:rPr>
            <w:noProof/>
          </w:rPr>
          <w:t>22</w:t>
        </w:r>
      </w:fldSimple>
      <w:bookmarkEnd w:id="449"/>
      <w:r w:rsidRPr="00537C3C">
        <w:tab/>
        <w:t xml:space="preserve">Characteristics and quality of studies reporting on the relative accuracy of manual and automated reading of </w:t>
      </w:r>
      <w:r w:rsidRPr="00BB76D8">
        <w:t>LBC</w:t>
      </w:r>
      <w:r w:rsidRPr="00537C3C">
        <w:t xml:space="preserve"> slides.</w:t>
      </w:r>
      <w:bookmarkEnd w:id="450"/>
    </w:p>
    <w:tbl>
      <w:tblPr>
        <w:tblW w:w="13263" w:type="dxa"/>
        <w:tblLayout w:type="fixed"/>
        <w:tblCellMar>
          <w:left w:w="57" w:type="dxa"/>
          <w:right w:w="57" w:type="dxa"/>
        </w:tblCellMar>
        <w:tblLook w:val="01E0" w:firstRow="1" w:lastRow="1" w:firstColumn="1" w:lastColumn="1" w:noHBand="0" w:noVBand="0"/>
      </w:tblPr>
      <w:tblGrid>
        <w:gridCol w:w="1644"/>
        <w:gridCol w:w="1653"/>
        <w:gridCol w:w="2202"/>
        <w:gridCol w:w="4670"/>
        <w:gridCol w:w="3094"/>
      </w:tblGrid>
      <w:tr w:rsidR="00234376" w:rsidRPr="00537C3C">
        <w:trPr>
          <w:trHeight w:val="670"/>
        </w:trPr>
        <w:tc>
          <w:tcPr>
            <w:tcW w:w="1644" w:type="dxa"/>
          </w:tcPr>
          <w:p w:rsidR="00234376" w:rsidRPr="00537C3C" w:rsidRDefault="00234376" w:rsidP="008E03A7">
            <w:pPr>
              <w:pStyle w:val="TableHeading10pt"/>
              <w:ind w:left="142" w:hanging="142"/>
            </w:pPr>
            <w:r w:rsidRPr="00537C3C">
              <w:t>Author, year</w:t>
            </w:r>
            <w:r w:rsidRPr="00537C3C">
              <w:br/>
              <w:t>Setting</w:t>
            </w:r>
          </w:p>
        </w:tc>
        <w:tc>
          <w:tcPr>
            <w:tcW w:w="1653" w:type="dxa"/>
          </w:tcPr>
          <w:p w:rsidR="00234376" w:rsidRPr="00537C3C" w:rsidRDefault="00234376" w:rsidP="008E03A7">
            <w:pPr>
              <w:pStyle w:val="TableHeading10pt"/>
              <w:rPr>
                <w:i/>
              </w:rPr>
            </w:pPr>
            <w:r w:rsidRPr="00537C3C">
              <w:t>Population (</w:t>
            </w:r>
            <w:r w:rsidRPr="0030078D">
              <w:rPr>
                <w:i/>
              </w:rPr>
              <w:t>N</w:t>
            </w:r>
            <w:r w:rsidRPr="00537C3C">
              <w:t>, inclusion criteria)</w:t>
            </w:r>
          </w:p>
        </w:tc>
        <w:tc>
          <w:tcPr>
            <w:tcW w:w="2202" w:type="dxa"/>
          </w:tcPr>
          <w:p w:rsidR="00234376" w:rsidRPr="00537C3C" w:rsidRDefault="00234376" w:rsidP="008E03A7">
            <w:pPr>
              <w:pStyle w:val="TableHeading10pt"/>
            </w:pPr>
            <w:r w:rsidRPr="00537C3C">
              <w:t>Test compariso</w:t>
            </w:r>
            <w:r w:rsidRPr="00A316F5">
              <w:t>n/</w:t>
            </w:r>
            <w:r w:rsidRPr="00537C3C">
              <w:t>s</w:t>
            </w:r>
          </w:p>
        </w:tc>
        <w:tc>
          <w:tcPr>
            <w:tcW w:w="4670" w:type="dxa"/>
          </w:tcPr>
          <w:p w:rsidR="00234376" w:rsidRPr="00537C3C" w:rsidRDefault="00234376" w:rsidP="008E03A7">
            <w:pPr>
              <w:pStyle w:val="TableHeading10pt"/>
            </w:pPr>
            <w:r w:rsidRPr="00537C3C">
              <w:t>Study design</w:t>
            </w:r>
          </w:p>
        </w:tc>
        <w:tc>
          <w:tcPr>
            <w:tcW w:w="3094" w:type="dxa"/>
          </w:tcPr>
          <w:p w:rsidR="00234376" w:rsidRPr="00537C3C" w:rsidRDefault="00234376" w:rsidP="008E03A7">
            <w:pPr>
              <w:pStyle w:val="TableHeading10pt"/>
            </w:pPr>
            <w:r w:rsidRPr="00537C3C">
              <w:t>Quality &amp; applicability</w:t>
            </w:r>
          </w:p>
        </w:tc>
      </w:tr>
      <w:tr w:rsidR="00234376" w:rsidRPr="00537C3C">
        <w:tblPrEx>
          <w:tblBorders>
            <w:top w:val="single" w:sz="4" w:space="0" w:color="auto"/>
            <w:bottom w:val="single" w:sz="4" w:space="0" w:color="auto"/>
            <w:insideH w:val="single" w:sz="4" w:space="0" w:color="auto"/>
          </w:tblBorders>
          <w:tblCellMar>
            <w:left w:w="108" w:type="dxa"/>
            <w:right w:w="108" w:type="dxa"/>
          </w:tblCellMar>
        </w:tblPrEx>
        <w:tc>
          <w:tcPr>
            <w:tcW w:w="1644" w:type="dxa"/>
          </w:tcPr>
          <w:p w:rsidR="00234376" w:rsidRPr="00537C3C" w:rsidRDefault="00234376" w:rsidP="008E03A7">
            <w:pPr>
              <w:pStyle w:val="TableTextLessSpaceCharCharCharCharCharCharCharChar"/>
              <w:rPr>
                <w:b/>
              </w:rPr>
            </w:pPr>
            <w:r w:rsidRPr="00537C3C">
              <w:rPr>
                <w:b/>
              </w:rPr>
              <w:t>Roberts et al. 2007</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pPr>
            <w:smartTag w:uri="urn:schemas-microsoft-com:office:smarttags" w:element="place">
              <w:smartTag w:uri="urn:schemas-microsoft-com:office:smarttags" w:element="country-region">
                <w:r w:rsidRPr="00537C3C">
                  <w:t>Australia</w:t>
                </w:r>
              </w:smartTag>
            </w:smartTag>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pPr>
            <w:r w:rsidRPr="00537C3C">
              <w:t>One pathology laboratory</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pPr>
            <w:r w:rsidRPr="00537C3C">
              <w:t>Feb 2005 – April 2005</w:t>
            </w:r>
          </w:p>
        </w:tc>
        <w:tc>
          <w:tcPr>
            <w:tcW w:w="1653" w:type="dxa"/>
          </w:tcPr>
          <w:p w:rsidR="00234376" w:rsidRPr="00537C3C" w:rsidRDefault="00234376" w:rsidP="008E03A7">
            <w:pPr>
              <w:pStyle w:val="TableTextLessSpaceCharCharCharCharCharCharCharChar"/>
              <w:spacing w:before="40" w:after="40"/>
              <w:ind w:right="34"/>
              <w:rPr>
                <w:rFonts w:cs="Arial"/>
                <w:szCs w:val="18"/>
              </w:rPr>
            </w:pPr>
            <w:r w:rsidRPr="0030078D">
              <w:rPr>
                <w:rFonts w:cs="Arial"/>
                <w:b/>
                <w:i/>
                <w:szCs w:val="18"/>
              </w:rPr>
              <w:t>N</w:t>
            </w:r>
            <w:r w:rsidRPr="00537C3C">
              <w:rPr>
                <w:rFonts w:cs="Arial"/>
                <w:b/>
                <w:szCs w:val="18"/>
              </w:rPr>
              <w:t xml:space="preserve"> = 11 416 + 103</w:t>
            </w:r>
            <w:r w:rsidRPr="00537C3C">
              <w:rPr>
                <w:rFonts w:cs="Arial"/>
                <w:szCs w:val="18"/>
              </w:rPr>
              <w:t xml:space="preserve"> seeded </w:t>
            </w:r>
            <w:r w:rsidRPr="00BB76D8">
              <w:rPr>
                <w:rFonts w:cs="Arial"/>
                <w:szCs w:val="18"/>
              </w:rPr>
              <w:t>LBC</w:t>
            </w:r>
            <w:r w:rsidRPr="00537C3C">
              <w:rPr>
                <w:rFonts w:cs="Arial"/>
                <w:szCs w:val="18"/>
              </w:rPr>
              <w:t xml:space="preserve"> cases</w:t>
            </w:r>
          </w:p>
          <w:p w:rsidR="00234376" w:rsidRPr="00537C3C" w:rsidRDefault="00234376" w:rsidP="008E03A7">
            <w:pPr>
              <w:pStyle w:val="TableTextLessSpaceCharCharCharCharCharCharCharChar"/>
              <w:spacing w:before="40" w:after="40"/>
              <w:ind w:right="34"/>
              <w:rPr>
                <w:rFonts w:cs="Arial"/>
                <w:szCs w:val="18"/>
              </w:rPr>
            </w:pPr>
          </w:p>
          <w:p w:rsidR="00234376" w:rsidRPr="00537C3C" w:rsidRDefault="00234376" w:rsidP="008E03A7">
            <w:pPr>
              <w:pStyle w:val="TableTextLessSpaceCharCharCharCharCharCharCharChar"/>
              <w:spacing w:before="0"/>
              <w:rPr>
                <w:b/>
              </w:rPr>
            </w:pPr>
            <w:r w:rsidRPr="00537C3C">
              <w:rPr>
                <w:b/>
              </w:rPr>
              <w:t>Inclusion criteria</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Routine samples</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 xml:space="preserve">Cases </w:t>
            </w:r>
            <w:r w:rsidRPr="00BB76D8">
              <w:t>HSIL</w:t>
            </w:r>
            <w:r w:rsidRPr="00537C3C">
              <w:t xml:space="preserve">, </w:t>
            </w:r>
            <w:r w:rsidRPr="00BB76D8">
              <w:t>AIS</w:t>
            </w:r>
            <w:r w:rsidRPr="00537C3C">
              <w:t xml:space="preserve"> or carcinoma (</w:t>
            </w:r>
            <w:r w:rsidRPr="0030078D">
              <w:rPr>
                <w:i/>
              </w:rPr>
              <w:t>N</w:t>
            </w:r>
            <w:r w:rsidRPr="00537C3C">
              <w:t xml:space="preserve"> = 103), these cases excluded from data reported here</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spacing w:before="0"/>
              <w:rPr>
                <w:b/>
              </w:rPr>
            </w:pPr>
            <w:r w:rsidRPr="00537C3C">
              <w:rPr>
                <w:b/>
              </w:rPr>
              <w:t>Exclusion criteria</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 xml:space="preserve">Slides not read by </w:t>
            </w:r>
            <w:r w:rsidRPr="00BB76D8">
              <w:t>TPI</w:t>
            </w:r>
            <w:r w:rsidRPr="00537C3C">
              <w:t xml:space="preserve"> (3.7%)</w:t>
            </w:r>
          </w:p>
        </w:tc>
        <w:tc>
          <w:tcPr>
            <w:tcW w:w="2202" w:type="dxa"/>
          </w:tcPr>
          <w:p w:rsidR="00234376" w:rsidRPr="00537C3C" w:rsidRDefault="00234376" w:rsidP="008E03A7">
            <w:pPr>
              <w:pStyle w:val="TableTextLessSpaceCharCharCharCharCharCharCharChar"/>
              <w:ind w:right="34"/>
              <w:rPr>
                <w:b/>
              </w:rPr>
            </w:pPr>
            <w:r w:rsidRPr="00537C3C">
              <w:rPr>
                <w:b/>
              </w:rPr>
              <w:t>Index test</w:t>
            </w:r>
          </w:p>
          <w:p w:rsidR="00234376" w:rsidRPr="00537C3C" w:rsidRDefault="00234376" w:rsidP="008E03A7">
            <w:pPr>
              <w:keepNext/>
              <w:spacing w:before="40" w:after="120"/>
              <w:ind w:left="0"/>
              <w:rPr>
                <w:rFonts w:ascii="Arial Narrow" w:hAnsi="Arial Narrow"/>
                <w:sz w:val="18"/>
              </w:rPr>
            </w:pPr>
            <w:r w:rsidRPr="00537C3C">
              <w:rPr>
                <w:rFonts w:ascii="Arial Narrow" w:hAnsi="Arial Narrow"/>
                <w:sz w:val="18"/>
              </w:rPr>
              <w:t xml:space="preserve">ThinPrep </w:t>
            </w:r>
            <w:r w:rsidRPr="00BB76D8">
              <w:rPr>
                <w:rFonts w:ascii="Arial Narrow" w:hAnsi="Arial Narrow"/>
                <w:sz w:val="18"/>
              </w:rPr>
              <w:t>LBC</w:t>
            </w:r>
            <w:r w:rsidRPr="00537C3C">
              <w:rPr>
                <w:rFonts w:ascii="Arial Narrow" w:hAnsi="Arial Narrow"/>
                <w:sz w:val="18"/>
              </w:rPr>
              <w:t xml:space="preserve"> with ThinPrep Imager reading</w:t>
            </w:r>
          </w:p>
          <w:p w:rsidR="00234376" w:rsidRPr="00537C3C" w:rsidRDefault="00234376" w:rsidP="008E03A7">
            <w:pPr>
              <w:pStyle w:val="TableTextLessSpaceCharCharCharCharCharCharCharChar"/>
              <w:ind w:right="34"/>
            </w:pPr>
            <w:r w:rsidRPr="00537C3C">
              <w:rPr>
                <w:b/>
              </w:rPr>
              <w:t>Comparator test</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Conventional cytology with manual reading</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 xml:space="preserve">Manual reading of </w:t>
            </w:r>
            <w:r w:rsidRPr="00BB76D8">
              <w:t>LBC</w:t>
            </w:r>
            <w:r w:rsidRPr="00537C3C">
              <w:t xml:space="preserve"> (</w:t>
            </w:r>
            <w:r w:rsidRPr="00BB76D8">
              <w:t>TP</w:t>
            </w:r>
            <w:r w:rsidRPr="00537C3C">
              <w:t>) samples</w:t>
            </w:r>
          </w:p>
        </w:tc>
        <w:tc>
          <w:tcPr>
            <w:tcW w:w="4670" w:type="dxa"/>
          </w:tcPr>
          <w:p w:rsidR="00234376" w:rsidRDefault="00234376" w:rsidP="00234376">
            <w:pPr>
              <w:pStyle w:val="TableTextLessSpaceCharCharCharCharCharCharCharChar"/>
              <w:spacing w:before="40" w:after="40"/>
              <w:ind w:right="34"/>
            </w:pPr>
            <w:r w:rsidRPr="00537C3C">
              <w:rPr>
                <w:b/>
              </w:rPr>
              <w:t>Study design:</w:t>
            </w:r>
            <w:r w:rsidRPr="00537C3C">
              <w:t xml:space="preserve"> Three-arm diagnostic accuracy study with split-sample pairs and seeded cases. Data reported separately for routine and seeded cases.</w:t>
            </w:r>
          </w:p>
          <w:p w:rsidR="00234376" w:rsidRDefault="00234376" w:rsidP="00234376">
            <w:pPr>
              <w:pStyle w:val="TableTextLessSpaceCharCharCharCharCharCharCharChar"/>
              <w:spacing w:before="40" w:after="40"/>
              <w:ind w:right="34"/>
              <w:rPr>
                <w:rFonts w:cs="Arial"/>
                <w:b/>
                <w:szCs w:val="18"/>
              </w:rPr>
            </w:pPr>
            <w:r w:rsidRPr="00537C3C">
              <w:rPr>
                <w:b/>
              </w:rPr>
              <w:t>Test threshold:</w:t>
            </w:r>
            <w:r w:rsidRPr="00537C3C">
              <w:t xml:space="preserve"> </w:t>
            </w:r>
            <w:r w:rsidRPr="00537C3C">
              <w:rPr>
                <w:rFonts w:cs="Arial"/>
                <w:szCs w:val="18"/>
              </w:rPr>
              <w:t xml:space="preserve">Test: </w:t>
            </w:r>
            <w:r w:rsidRPr="00BB76D8">
              <w:rPr>
                <w:rFonts w:cs="Arial"/>
                <w:szCs w:val="18"/>
              </w:rPr>
              <w:t>HSIL</w:t>
            </w:r>
            <w:r w:rsidRPr="00537C3C">
              <w:rPr>
                <w:rFonts w:cs="Arial"/>
                <w:szCs w:val="18"/>
              </w:rPr>
              <w:t>/</w:t>
            </w:r>
            <w:r w:rsidRPr="00BB76D8">
              <w:rPr>
                <w:rFonts w:cs="Arial"/>
                <w:szCs w:val="18"/>
              </w:rPr>
              <w:t>pHSIL</w:t>
            </w:r>
            <w:r w:rsidRPr="00537C3C">
              <w:rPr>
                <w:rFonts w:cs="Arial"/>
                <w:szCs w:val="18"/>
              </w:rPr>
              <w:t xml:space="preserve"> (including possible glandular high grade). Reference standard: high grade</w:t>
            </w:r>
          </w:p>
          <w:p w:rsidR="00234376" w:rsidRDefault="00234376" w:rsidP="00234376">
            <w:pPr>
              <w:pStyle w:val="TableTextLessSpaceCharCharCharCharCharCharCharChar"/>
              <w:ind w:right="34"/>
            </w:pPr>
            <w:r w:rsidRPr="00537C3C">
              <w:rPr>
                <w:b/>
              </w:rPr>
              <w:t>Reference standard:</w:t>
            </w:r>
            <w:r w:rsidRPr="00537C3C">
              <w:t xml:space="preserve"> Histopathology (within 9 months) for high-grade and possible high-grade lesions, no reference standard for 12/134 </w:t>
            </w:r>
            <w:r w:rsidRPr="00BB76D8">
              <w:t>TPI</w:t>
            </w:r>
            <w:r w:rsidRPr="00537C3C">
              <w:t xml:space="preserve"> (9.0%), 15/180 </w:t>
            </w:r>
            <w:r w:rsidRPr="00BB76D8">
              <w:t>TPM</w:t>
            </w:r>
            <w:r w:rsidRPr="00537C3C">
              <w:t xml:space="preserve"> (8.3%), 10/93 conventional (10.8%) slides</w:t>
            </w:r>
          </w:p>
          <w:p w:rsidR="00234376" w:rsidRPr="00537C3C" w:rsidRDefault="00234376" w:rsidP="008E03A7">
            <w:pPr>
              <w:keepNext/>
              <w:spacing w:before="40" w:after="120"/>
              <w:ind w:left="0"/>
              <w:rPr>
                <w:rFonts w:ascii="Arial Narrow" w:eastAsia="Arial Unicode MS" w:hAnsi="Arial Narrow"/>
                <w:sz w:val="18"/>
                <w:lang w:eastAsia="en-AU"/>
              </w:rPr>
            </w:pPr>
            <w:r w:rsidRPr="00537C3C">
              <w:rPr>
                <w:rFonts w:ascii="Arial Narrow" w:eastAsia="Arial Unicode MS" w:hAnsi="Arial Narrow"/>
                <w:sz w:val="18"/>
                <w:lang w:eastAsia="en-AU"/>
              </w:rPr>
              <w:t>None for low-grade positive, negatives</w:t>
            </w:r>
          </w:p>
          <w:p w:rsidR="00234376" w:rsidRPr="00537C3C" w:rsidRDefault="00234376" w:rsidP="008E03A7">
            <w:pPr>
              <w:pStyle w:val="TableTextLessSpaceCharCharCharCharCharCharCharChar"/>
              <w:spacing w:before="40" w:after="40"/>
              <w:ind w:right="34"/>
              <w:rPr>
                <w:b/>
              </w:rPr>
            </w:pPr>
            <w:r w:rsidRPr="00537C3C">
              <w:rPr>
                <w:b/>
              </w:rPr>
              <w:t>Outcomes</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t>Accuracy</w:t>
            </w:r>
            <w:r w:rsidRPr="00537C3C">
              <w:rPr>
                <w:rFonts w:cs="Arial"/>
                <w:szCs w:val="18"/>
              </w:rPr>
              <w:t xml:space="preserve"> for squamous lesions: sensitivity </w:t>
            </w:r>
            <w:r w:rsidRPr="00537C3C">
              <w:rPr>
                <w:rFonts w:cs="Arial"/>
                <w:szCs w:val="18"/>
                <w:vertAlign w:val="superscript"/>
              </w:rPr>
              <w:t>a</w:t>
            </w:r>
            <w:r w:rsidRPr="00537C3C">
              <w:rPr>
                <w:rFonts w:cs="Arial"/>
                <w:szCs w:val="18"/>
              </w:rPr>
              <w:t xml:space="preserve">, incremental </w:t>
            </w:r>
            <w:r w:rsidRPr="00BB76D8">
              <w:rPr>
                <w:rFonts w:cs="Arial"/>
                <w:szCs w:val="18"/>
              </w:rPr>
              <w:t>TP</w:t>
            </w:r>
            <w:r w:rsidRPr="00537C3C">
              <w:rPr>
                <w:rFonts w:cs="Arial"/>
                <w:szCs w:val="18"/>
              </w:rPr>
              <w:t xml:space="preserve"> (with and without seeded cases)</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Test yield</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Screening time</w:t>
            </w:r>
          </w:p>
        </w:tc>
        <w:tc>
          <w:tcPr>
            <w:tcW w:w="3094" w:type="dxa"/>
          </w:tcPr>
          <w:p w:rsidR="00234376" w:rsidRPr="00537C3C" w:rsidRDefault="00234376" w:rsidP="008E03A7">
            <w:pPr>
              <w:pStyle w:val="TableTextLessSpaceCharCharCharCharCharCharCharChar"/>
              <w:rPr>
                <w:b/>
              </w:rPr>
            </w:pPr>
            <w:r w:rsidRPr="00537C3C">
              <w:rPr>
                <w:b/>
              </w:rPr>
              <w:t>C1 P2 Q2</w:t>
            </w:r>
          </w:p>
          <w:p w:rsidR="00234376" w:rsidRPr="00537C3C" w:rsidRDefault="00234376" w:rsidP="008E03A7">
            <w:pPr>
              <w:pStyle w:val="TableTextLessSpaceCharCharCharCharCharCharCharChar"/>
              <w:rPr>
                <w:b/>
              </w:rPr>
            </w:pPr>
            <w:r w:rsidRPr="00537C3C">
              <w:rPr>
                <w:b/>
              </w:rPr>
              <w:t xml:space="preserve">Accuracy study </w:t>
            </w:r>
            <w:r w:rsidRPr="00BB76D8">
              <w:rPr>
                <w:b/>
              </w:rPr>
              <w:t>NHMRC</w:t>
            </w:r>
            <w:r w:rsidRPr="00537C3C">
              <w:rPr>
                <w:b/>
              </w:rPr>
              <w:t xml:space="preserve"> level </w:t>
            </w:r>
            <w:r w:rsidRPr="00BB76D8">
              <w:rPr>
                <w:b/>
              </w:rPr>
              <w:t>III</w:t>
            </w:r>
            <w:r w:rsidRPr="00537C3C">
              <w:rPr>
                <w:b/>
              </w:rPr>
              <w:t>-2</w:t>
            </w:r>
          </w:p>
          <w:p w:rsidR="00234376" w:rsidRPr="00537C3C" w:rsidRDefault="00234376" w:rsidP="008E03A7">
            <w:pPr>
              <w:pStyle w:val="TableTextLessSpaceCharCharCharCharCharCharCharChar"/>
              <w:rPr>
                <w:b/>
              </w:rPr>
            </w:pPr>
          </w:p>
          <w:p w:rsidR="00234376" w:rsidRPr="00537C3C" w:rsidRDefault="00234376" w:rsidP="008E03A7">
            <w:pPr>
              <w:pStyle w:val="TableTextLessSpaceCharCharCharCharCharCharCharChar"/>
              <w:rPr>
                <w:b/>
              </w:rPr>
            </w:pPr>
            <w:r w:rsidRPr="00537C3C">
              <w:rPr>
                <w:b/>
              </w:rPr>
              <w:t>Quality: fair</w:t>
            </w:r>
          </w:p>
          <w:p w:rsidR="00234376" w:rsidRPr="00537C3C" w:rsidRDefault="00234376" w:rsidP="008E03A7">
            <w:pPr>
              <w:pStyle w:val="TableTextLessSpaceCharCharCharCharCharCharCharChar"/>
            </w:pPr>
            <w:r w:rsidRPr="00537C3C">
              <w:t>Prospective, not consecutive, reference standard valid but not applied to all discordant participants. Excluded slides not read by imager</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rPr>
                <w:b/>
              </w:rPr>
            </w:pPr>
            <w:r w:rsidRPr="00537C3C">
              <w:rPr>
                <w:b/>
              </w:rPr>
              <w:t>Applicability unclear</w:t>
            </w:r>
          </w:p>
          <w:p w:rsidR="00234376" w:rsidRPr="00537C3C" w:rsidRDefault="00234376" w:rsidP="008E03A7">
            <w:pPr>
              <w:pStyle w:val="TableTextLessSpaceCharCharCharCharCharCharCharChar"/>
            </w:pPr>
            <w:r w:rsidRPr="00537C3C">
              <w:t>Applicable index test &amp; comparator, population applicability unclear (likely applicable, data for routine cases reported separately)</w:t>
            </w:r>
          </w:p>
          <w:p w:rsidR="00234376" w:rsidRPr="00537C3C" w:rsidRDefault="00234376" w:rsidP="008E03A7">
            <w:pPr>
              <w:pStyle w:val="TableTextLessSpaceCharCharCharCharCharCharCharChar"/>
            </w:pPr>
          </w:p>
        </w:tc>
      </w:tr>
      <w:tr w:rsidR="00234376" w:rsidRPr="00537C3C">
        <w:tblPrEx>
          <w:tblBorders>
            <w:top w:val="single" w:sz="4" w:space="0" w:color="auto"/>
            <w:bottom w:val="single" w:sz="4" w:space="0" w:color="auto"/>
            <w:insideH w:val="single" w:sz="4" w:space="0" w:color="auto"/>
          </w:tblBorders>
          <w:tblCellMar>
            <w:left w:w="108" w:type="dxa"/>
            <w:right w:w="108" w:type="dxa"/>
          </w:tblCellMar>
        </w:tblPrEx>
        <w:tc>
          <w:tcPr>
            <w:tcW w:w="1644" w:type="dxa"/>
          </w:tcPr>
          <w:p w:rsidR="00234376" w:rsidRPr="00537C3C" w:rsidRDefault="00234376" w:rsidP="008E03A7">
            <w:pPr>
              <w:keepNext/>
              <w:spacing w:before="40"/>
              <w:ind w:left="34"/>
              <w:rPr>
                <w:rFonts w:ascii="Arial Narrow" w:hAnsi="Arial Narrow" w:cs="Arial"/>
                <w:b/>
                <w:sz w:val="18"/>
                <w:szCs w:val="18"/>
              </w:rPr>
            </w:pPr>
            <w:r w:rsidRPr="00537C3C">
              <w:rPr>
                <w:rFonts w:ascii="Arial Narrow" w:hAnsi="Arial Narrow" w:cs="Arial"/>
                <w:b/>
                <w:sz w:val="18"/>
                <w:szCs w:val="18"/>
              </w:rPr>
              <w:t>Bolger et al. 2006</w:t>
            </w:r>
          </w:p>
          <w:p w:rsidR="00234376" w:rsidRPr="00537C3C" w:rsidRDefault="00234376" w:rsidP="008E03A7">
            <w:pPr>
              <w:keepNext/>
              <w:spacing w:before="40"/>
              <w:ind w:left="34"/>
              <w:rPr>
                <w:rFonts w:ascii="Arial Narrow" w:hAnsi="Arial Narrow" w:cs="Arial"/>
                <w:sz w:val="18"/>
                <w:szCs w:val="18"/>
              </w:rPr>
            </w:pPr>
            <w:smartTag w:uri="urn:schemas-microsoft-com:office:smarttags" w:element="place">
              <w:smartTag w:uri="urn:schemas-microsoft-com:office:smarttags" w:element="country-region">
                <w:r w:rsidRPr="00537C3C">
                  <w:rPr>
                    <w:rFonts w:ascii="Arial Narrow" w:hAnsi="Arial Narrow" w:cs="Arial"/>
                    <w:sz w:val="18"/>
                    <w:szCs w:val="18"/>
                  </w:rPr>
                  <w:t>Ireland</w:t>
                </w:r>
              </w:smartTag>
            </w:smartTag>
          </w:p>
          <w:p w:rsidR="00234376" w:rsidRPr="00537C3C" w:rsidRDefault="00234376" w:rsidP="008E03A7">
            <w:pPr>
              <w:keepNext/>
              <w:spacing w:before="40"/>
              <w:ind w:left="34"/>
              <w:rPr>
                <w:rFonts w:ascii="Arial Narrow" w:hAnsi="Arial Narrow" w:cs="Arial"/>
                <w:sz w:val="18"/>
                <w:szCs w:val="18"/>
              </w:rPr>
            </w:pPr>
            <w:r w:rsidRPr="00537C3C">
              <w:rPr>
                <w:rFonts w:ascii="Arial Narrow" w:hAnsi="Arial Narrow" w:cs="Arial"/>
                <w:sz w:val="18"/>
                <w:szCs w:val="18"/>
              </w:rPr>
              <w:t>One clinical site</w:t>
            </w:r>
          </w:p>
          <w:p w:rsidR="00234376" w:rsidRPr="00537C3C" w:rsidRDefault="00234376" w:rsidP="008E03A7">
            <w:pPr>
              <w:keepNext/>
              <w:spacing w:before="40"/>
              <w:ind w:left="34"/>
              <w:rPr>
                <w:rFonts w:ascii="Arial Narrow" w:hAnsi="Arial Narrow" w:cs="Arial"/>
                <w:sz w:val="18"/>
                <w:szCs w:val="18"/>
              </w:rPr>
            </w:pPr>
            <w:r w:rsidRPr="00537C3C">
              <w:rPr>
                <w:rFonts w:ascii="Arial Narrow" w:hAnsi="Arial Narrow" w:cs="Arial"/>
                <w:sz w:val="18"/>
                <w:szCs w:val="18"/>
              </w:rPr>
              <w:t>April 2004 – March 2005, second half of cases</w:t>
            </w:r>
          </w:p>
          <w:p w:rsidR="00234376" w:rsidRPr="00537C3C" w:rsidRDefault="00234376" w:rsidP="008E03A7">
            <w:pPr>
              <w:keepNext/>
              <w:spacing w:before="40"/>
              <w:ind w:left="34"/>
              <w:rPr>
                <w:rFonts w:ascii="Arial Narrow" w:hAnsi="Arial Narrow" w:cs="Arial"/>
                <w:sz w:val="18"/>
                <w:szCs w:val="18"/>
              </w:rPr>
            </w:pPr>
          </w:p>
        </w:tc>
        <w:tc>
          <w:tcPr>
            <w:tcW w:w="1653" w:type="dxa"/>
          </w:tcPr>
          <w:p w:rsidR="00234376" w:rsidRPr="00537C3C" w:rsidRDefault="00234376" w:rsidP="008E03A7">
            <w:pPr>
              <w:pStyle w:val="TableTextLessSpaceCharCharCharCharCharCharCharChar"/>
              <w:spacing w:before="40" w:after="40"/>
              <w:ind w:right="34"/>
              <w:rPr>
                <w:rFonts w:cs="Arial"/>
                <w:b/>
                <w:szCs w:val="18"/>
              </w:rPr>
            </w:pPr>
            <w:r w:rsidRPr="0030078D">
              <w:rPr>
                <w:rFonts w:cs="Arial"/>
                <w:b/>
                <w:i/>
                <w:szCs w:val="18"/>
              </w:rPr>
              <w:t>N</w:t>
            </w:r>
            <w:r w:rsidRPr="00537C3C">
              <w:rPr>
                <w:rFonts w:cs="Arial"/>
                <w:b/>
                <w:szCs w:val="18"/>
              </w:rPr>
              <w:t xml:space="preserve"> = 6000 (second study)</w:t>
            </w:r>
          </w:p>
          <w:p w:rsidR="00234376" w:rsidRPr="00537C3C" w:rsidRDefault="00234376" w:rsidP="008E03A7">
            <w:pPr>
              <w:pStyle w:val="TableTextLessSpaceCharCharCharCharCharCharCharChar"/>
              <w:spacing w:before="40" w:after="40"/>
              <w:ind w:right="34"/>
              <w:rPr>
                <w:rFonts w:cs="Arial"/>
                <w:b/>
                <w:szCs w:val="18"/>
              </w:rPr>
            </w:pPr>
          </w:p>
          <w:p w:rsidR="00234376" w:rsidRPr="00537C3C" w:rsidRDefault="00234376" w:rsidP="008E03A7">
            <w:pPr>
              <w:pStyle w:val="TableTextLessSpaceCharCharCharCharCharCharCharChar"/>
              <w:spacing w:before="0"/>
              <w:rPr>
                <w:b/>
              </w:rPr>
            </w:pPr>
            <w:r w:rsidRPr="00537C3C">
              <w:rPr>
                <w:b/>
              </w:rPr>
              <w:t>Inclusion criteria</w:t>
            </w:r>
          </w:p>
          <w:p w:rsidR="00234376" w:rsidRPr="00537C3C" w:rsidRDefault="00234376" w:rsidP="00600AC0">
            <w:pPr>
              <w:keepNext/>
              <w:numPr>
                <w:ilvl w:val="0"/>
                <w:numId w:val="5"/>
              </w:numPr>
              <w:tabs>
                <w:tab w:val="clear" w:pos="360"/>
                <w:tab w:val="num" w:pos="152"/>
              </w:tabs>
              <w:spacing w:before="40" w:after="0"/>
              <w:ind w:left="152" w:hanging="152"/>
              <w:rPr>
                <w:rFonts w:ascii="Arial Narrow" w:hAnsi="Arial Narrow" w:cs="Arial"/>
                <w:sz w:val="18"/>
                <w:szCs w:val="18"/>
              </w:rPr>
            </w:pPr>
            <w:r w:rsidRPr="00537C3C">
              <w:rPr>
                <w:rFonts w:ascii="Arial Narrow" w:hAnsi="Arial Narrow" w:cs="Arial"/>
                <w:sz w:val="18"/>
                <w:szCs w:val="18"/>
              </w:rPr>
              <w:t>routine samples</w:t>
            </w:r>
          </w:p>
          <w:p w:rsidR="00234376" w:rsidRPr="00537C3C" w:rsidRDefault="00234376" w:rsidP="00600AC0">
            <w:pPr>
              <w:pStyle w:val="TableTextLessSpaceCharCharCharCharCharCharCharChar"/>
              <w:numPr>
                <w:ilvl w:val="0"/>
                <w:numId w:val="6"/>
              </w:numPr>
              <w:tabs>
                <w:tab w:val="clear" w:pos="360"/>
                <w:tab w:val="num" w:pos="152"/>
              </w:tabs>
              <w:ind w:left="152" w:hanging="152"/>
              <w:rPr>
                <w:b/>
              </w:rPr>
            </w:pPr>
            <w:r w:rsidRPr="00537C3C">
              <w:rPr>
                <w:rFonts w:cs="Arial"/>
                <w:szCs w:val="18"/>
              </w:rPr>
              <w:t>likely screening and diagnostic population (unclear)</w:t>
            </w:r>
          </w:p>
          <w:p w:rsidR="00234376" w:rsidRPr="00537C3C" w:rsidRDefault="00234376" w:rsidP="008E03A7">
            <w:pPr>
              <w:pStyle w:val="TableTextLessSpaceCharCharCharCharCharCharCharChar"/>
              <w:rPr>
                <w:b/>
              </w:rPr>
            </w:pPr>
          </w:p>
          <w:p w:rsidR="00234376" w:rsidRPr="00537C3C" w:rsidRDefault="00234376" w:rsidP="008E03A7">
            <w:pPr>
              <w:pStyle w:val="TableTextLessSpaceCharCharCharCharCharCharCharChar"/>
              <w:spacing w:before="0"/>
              <w:rPr>
                <w:b/>
              </w:rPr>
            </w:pPr>
            <w:r w:rsidRPr="00537C3C">
              <w:rPr>
                <w:b/>
              </w:rPr>
              <w:t>Exclusion criteria</w:t>
            </w:r>
          </w:p>
          <w:p w:rsidR="00234376" w:rsidRPr="00537C3C" w:rsidRDefault="00234376" w:rsidP="008E03A7">
            <w:pPr>
              <w:pStyle w:val="TableTextLessSpaceCharCharCharCharCharCharCharChar"/>
              <w:spacing w:before="0"/>
            </w:pPr>
            <w:r w:rsidRPr="00537C3C">
              <w:rPr>
                <w:rFonts w:cs="Arial"/>
                <w:szCs w:val="18"/>
              </w:rPr>
              <w:t xml:space="preserve">slides not read by </w:t>
            </w:r>
            <w:r w:rsidRPr="00BB76D8">
              <w:rPr>
                <w:rFonts w:cs="Arial"/>
                <w:szCs w:val="18"/>
              </w:rPr>
              <w:t>TPI</w:t>
            </w:r>
            <w:r w:rsidRPr="00537C3C">
              <w:rPr>
                <w:rFonts w:cs="Arial"/>
                <w:szCs w:val="18"/>
              </w:rPr>
              <w:t xml:space="preserve"> (approx 3%)</w:t>
            </w:r>
          </w:p>
          <w:p w:rsidR="00234376" w:rsidRPr="00537C3C" w:rsidRDefault="00234376" w:rsidP="008E03A7">
            <w:pPr>
              <w:pStyle w:val="TableTextLessSpaceCharCharCharCharCharCharCharChar"/>
              <w:spacing w:before="40" w:after="40"/>
              <w:ind w:right="34"/>
              <w:rPr>
                <w:rFonts w:cs="Arial"/>
                <w:b/>
                <w:szCs w:val="18"/>
              </w:rPr>
            </w:pPr>
          </w:p>
        </w:tc>
        <w:tc>
          <w:tcPr>
            <w:tcW w:w="2202" w:type="dxa"/>
          </w:tcPr>
          <w:p w:rsidR="00234376" w:rsidRPr="00537C3C" w:rsidRDefault="00234376" w:rsidP="008E03A7">
            <w:pPr>
              <w:pStyle w:val="TableTextLessSpaceCharCharCharCharCharCharCharChar"/>
              <w:ind w:right="34"/>
              <w:rPr>
                <w:b/>
              </w:rPr>
            </w:pPr>
            <w:r w:rsidRPr="00537C3C">
              <w:rPr>
                <w:b/>
              </w:rPr>
              <w:t>Index test</w:t>
            </w:r>
          </w:p>
          <w:p w:rsidR="00234376" w:rsidRPr="00537C3C" w:rsidRDefault="00234376" w:rsidP="008E03A7">
            <w:pPr>
              <w:keepNext/>
              <w:spacing w:before="40" w:after="120"/>
              <w:ind w:left="0"/>
              <w:rPr>
                <w:rFonts w:ascii="Arial Narrow" w:hAnsi="Arial Narrow"/>
                <w:sz w:val="18"/>
              </w:rPr>
            </w:pPr>
            <w:r w:rsidRPr="00537C3C">
              <w:rPr>
                <w:rFonts w:ascii="Arial Narrow" w:hAnsi="Arial Narrow"/>
                <w:sz w:val="18"/>
              </w:rPr>
              <w:t xml:space="preserve">ThinPrep </w:t>
            </w:r>
            <w:r w:rsidRPr="00BB76D8">
              <w:rPr>
                <w:rFonts w:ascii="Arial Narrow" w:hAnsi="Arial Narrow"/>
                <w:sz w:val="18"/>
              </w:rPr>
              <w:t>LBC</w:t>
            </w:r>
            <w:r w:rsidRPr="00537C3C">
              <w:rPr>
                <w:rFonts w:ascii="Arial Narrow" w:hAnsi="Arial Narrow"/>
                <w:sz w:val="18"/>
              </w:rPr>
              <w:t xml:space="preserve"> with ThinPrep Imager reading</w:t>
            </w:r>
          </w:p>
          <w:p w:rsidR="00234376" w:rsidRPr="00537C3C" w:rsidRDefault="00234376" w:rsidP="008E03A7">
            <w:pPr>
              <w:pStyle w:val="TableTextLessSpaceCharCharCharCharCharCharCharChar"/>
              <w:ind w:right="34"/>
            </w:pPr>
            <w:r w:rsidRPr="00537C3C">
              <w:rPr>
                <w:b/>
              </w:rPr>
              <w:t>Comparator test</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 xml:space="preserve">Manual reading of </w:t>
            </w:r>
            <w:r w:rsidRPr="00BB76D8">
              <w:t>LBC</w:t>
            </w:r>
            <w:r w:rsidRPr="00537C3C">
              <w:t xml:space="preserve"> (</w:t>
            </w:r>
            <w:r w:rsidRPr="00BB76D8">
              <w:t>TP</w:t>
            </w:r>
            <w:r w:rsidRPr="00537C3C">
              <w:t>) samples</w:t>
            </w:r>
          </w:p>
        </w:tc>
        <w:tc>
          <w:tcPr>
            <w:tcW w:w="4670" w:type="dxa"/>
          </w:tcPr>
          <w:p w:rsidR="00234376" w:rsidRDefault="00234376" w:rsidP="00234376">
            <w:pPr>
              <w:pStyle w:val="TableTextLessSpaceCharCharCharCharCharCharCharChar"/>
              <w:spacing w:before="40" w:after="40"/>
              <w:ind w:right="34"/>
            </w:pPr>
            <w:r w:rsidRPr="00537C3C">
              <w:rPr>
                <w:b/>
              </w:rPr>
              <w:t>Study design:</w:t>
            </w:r>
            <w:r w:rsidRPr="00537C3C">
              <w:t xml:space="preserve"> </w:t>
            </w:r>
            <w:r w:rsidRPr="00537C3C">
              <w:rPr>
                <w:rFonts w:cs="Arial"/>
                <w:szCs w:val="18"/>
              </w:rPr>
              <w:t>Paired diagnostic accuracy study</w:t>
            </w:r>
          </w:p>
          <w:p w:rsidR="00234376" w:rsidRDefault="00234376" w:rsidP="00234376">
            <w:pPr>
              <w:pStyle w:val="TableTextLessSpaceCharCharCharCharCharCharCharChar"/>
              <w:spacing w:before="40" w:after="40"/>
              <w:ind w:right="34"/>
              <w:rPr>
                <w:rFonts w:cs="Arial"/>
                <w:szCs w:val="18"/>
              </w:rPr>
            </w:pPr>
            <w:r w:rsidRPr="00537C3C">
              <w:rPr>
                <w:b/>
              </w:rPr>
              <w:t>Test threshold:</w:t>
            </w:r>
            <w:r w:rsidRPr="00537C3C">
              <w:t xml:space="preserve"> </w:t>
            </w:r>
            <w:r w:rsidRPr="00537C3C">
              <w:rPr>
                <w:rFonts w:cs="Arial"/>
                <w:szCs w:val="18"/>
              </w:rPr>
              <w:t xml:space="preserve">Test: </w:t>
            </w:r>
            <w:r w:rsidRPr="00BB76D8">
              <w:rPr>
                <w:rFonts w:cs="Arial"/>
                <w:szCs w:val="18"/>
              </w:rPr>
              <w:t>NR</w:t>
            </w:r>
            <w:r w:rsidRPr="00537C3C">
              <w:rPr>
                <w:rFonts w:cs="Arial"/>
                <w:szCs w:val="18"/>
              </w:rPr>
              <w:t xml:space="preserve"> for sensitivity &amp; specificity</w:t>
            </w:r>
          </w:p>
          <w:p w:rsidR="00234376" w:rsidRPr="00537C3C" w:rsidRDefault="00234376" w:rsidP="008E03A7">
            <w:pPr>
              <w:pStyle w:val="TableTextLessSpaceCharCharCharCharCharCharCharChar"/>
              <w:ind w:right="34"/>
              <w:rPr>
                <w:rFonts w:cs="Arial"/>
                <w:szCs w:val="18"/>
              </w:rPr>
            </w:pPr>
            <w:r w:rsidRPr="00537C3C">
              <w:rPr>
                <w:rFonts w:cs="Arial"/>
                <w:szCs w:val="18"/>
              </w:rPr>
              <w:t xml:space="preserve">Reference standard: </w:t>
            </w:r>
            <w:r w:rsidRPr="00BB76D8">
              <w:rPr>
                <w:rFonts w:cs="Arial"/>
                <w:szCs w:val="18"/>
              </w:rPr>
              <w:t>NR</w:t>
            </w:r>
            <w:r w:rsidRPr="00537C3C">
              <w:rPr>
                <w:rFonts w:cs="Arial"/>
                <w:szCs w:val="18"/>
              </w:rPr>
              <w:t xml:space="preserve"> for sensitivity &amp; specificity</w:t>
            </w:r>
          </w:p>
          <w:p w:rsidR="00234376" w:rsidRPr="00537C3C" w:rsidRDefault="00234376" w:rsidP="008E03A7">
            <w:pPr>
              <w:pStyle w:val="TableTextLessSpaceCharCharCharCharCharCharCharChar"/>
              <w:ind w:right="34"/>
              <w:rPr>
                <w:rFonts w:cs="Arial"/>
                <w:b/>
                <w:szCs w:val="18"/>
              </w:rPr>
            </w:pPr>
            <w:r w:rsidRPr="00537C3C">
              <w:rPr>
                <w:rFonts w:cs="Arial"/>
                <w:szCs w:val="18"/>
              </w:rPr>
              <w:t>Contingency data provided</w:t>
            </w:r>
          </w:p>
          <w:p w:rsidR="00234376" w:rsidRPr="00537C3C" w:rsidRDefault="00234376" w:rsidP="008E03A7">
            <w:pPr>
              <w:pStyle w:val="TableTextLessSpaceCharCharCharCharCharCharCharChar"/>
              <w:ind w:right="34"/>
              <w:rPr>
                <w:rFonts w:cs="Arial"/>
                <w:szCs w:val="18"/>
              </w:rPr>
            </w:pPr>
            <w:r w:rsidRPr="00537C3C">
              <w:rPr>
                <w:b/>
              </w:rPr>
              <w:t>Reference standard:</w:t>
            </w:r>
            <w:r w:rsidRPr="00537C3C">
              <w:t xml:space="preserve"> </w:t>
            </w:r>
            <w:r w:rsidRPr="00537C3C">
              <w:rPr>
                <w:rFonts w:cs="Arial"/>
                <w:szCs w:val="18"/>
              </w:rPr>
              <w:t xml:space="preserve">Positive and discordant cases: adjudicated cytology (one senior cytologist + one </w:t>
            </w:r>
            <w:bookmarkStart w:id="451" w:name="OLE_LINK184"/>
            <w:bookmarkStart w:id="452" w:name="OLE_LINK185"/>
            <w:r w:rsidRPr="00537C3C">
              <w:rPr>
                <w:rFonts w:cs="Arial"/>
                <w:szCs w:val="18"/>
              </w:rPr>
              <w:t>cytopathologist</w:t>
            </w:r>
            <w:bookmarkEnd w:id="451"/>
            <w:bookmarkEnd w:id="452"/>
            <w:r w:rsidRPr="00537C3C">
              <w:rPr>
                <w:rFonts w:cs="Arial"/>
                <w:szCs w:val="18"/>
              </w:rPr>
              <w:t>)</w:t>
            </w:r>
          </w:p>
          <w:p w:rsidR="00234376" w:rsidRPr="00537C3C" w:rsidRDefault="00234376" w:rsidP="008E03A7">
            <w:pPr>
              <w:keepNext/>
              <w:spacing w:before="40" w:after="120"/>
              <w:ind w:left="0"/>
              <w:rPr>
                <w:rFonts w:ascii="Arial Narrow" w:eastAsia="Arial Unicode MS" w:hAnsi="Arial Narrow"/>
                <w:sz w:val="18"/>
                <w:lang w:eastAsia="en-AU"/>
              </w:rPr>
            </w:pPr>
            <w:r w:rsidRPr="00537C3C">
              <w:rPr>
                <w:rFonts w:ascii="Arial Narrow" w:hAnsi="Arial Narrow" w:cs="Arial"/>
                <w:sz w:val="18"/>
                <w:szCs w:val="18"/>
              </w:rPr>
              <w:t>Negative cases: nil</w:t>
            </w:r>
          </w:p>
          <w:p w:rsidR="00234376" w:rsidRPr="00537C3C" w:rsidRDefault="00234376" w:rsidP="008E03A7">
            <w:pPr>
              <w:pStyle w:val="TableTextLessSpaceCharCharCharCharCharCharCharChar"/>
              <w:spacing w:before="40" w:after="40"/>
              <w:ind w:right="34"/>
              <w:rPr>
                <w:b/>
              </w:rPr>
            </w:pPr>
            <w:r w:rsidRPr="00537C3C">
              <w:rPr>
                <w:b/>
              </w:rPr>
              <w:t>Outcomes</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t>Accuracy</w:t>
            </w:r>
            <w:r w:rsidRPr="00537C3C">
              <w:rPr>
                <w:rFonts w:cs="Arial"/>
                <w:szCs w:val="18"/>
              </w:rPr>
              <w:t xml:space="preserve"> (reference standard threshold </w:t>
            </w:r>
            <w:r w:rsidRPr="00BB76D8">
              <w:rPr>
                <w:rFonts w:cs="Arial"/>
                <w:szCs w:val="18"/>
              </w:rPr>
              <w:t>NR</w:t>
            </w:r>
            <w:r w:rsidRPr="00537C3C">
              <w:rPr>
                <w:rFonts w:cs="Arial"/>
                <w:szCs w:val="18"/>
              </w:rPr>
              <w:t>): sensitivity &amp; specificity </w:t>
            </w:r>
            <w:r w:rsidRPr="00537C3C">
              <w:rPr>
                <w:rFonts w:cs="Arial"/>
                <w:szCs w:val="18"/>
                <w:vertAlign w:val="superscript"/>
              </w:rPr>
              <w:t>b</w:t>
            </w:r>
            <w:r w:rsidRPr="00537C3C">
              <w:rPr>
                <w:rFonts w:cs="Arial"/>
                <w:szCs w:val="18"/>
              </w:rPr>
              <w:t xml:space="preserve">; categorical contingency data enabling relative </w:t>
            </w:r>
            <w:r w:rsidRPr="00BB76D8">
              <w:rPr>
                <w:rFonts w:cs="Arial"/>
                <w:szCs w:val="18"/>
              </w:rPr>
              <w:t>TP</w:t>
            </w:r>
            <w:r w:rsidRPr="00537C3C">
              <w:rPr>
                <w:rFonts w:cs="Arial"/>
                <w:szCs w:val="18"/>
              </w:rPr>
              <w:t xml:space="preserve"> and </w:t>
            </w:r>
            <w:r w:rsidRPr="00BB76D8">
              <w:rPr>
                <w:rFonts w:cs="Arial"/>
                <w:szCs w:val="18"/>
              </w:rPr>
              <w:t>FP</w:t>
            </w:r>
            <w:r w:rsidRPr="00537C3C">
              <w:rPr>
                <w:rFonts w:cs="Arial"/>
                <w:szCs w:val="18"/>
              </w:rPr>
              <w:t xml:space="preserve"> rates to be calculated for different thresholds</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Test yield</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Unsatisfactory rates</w:t>
            </w:r>
          </w:p>
        </w:tc>
        <w:tc>
          <w:tcPr>
            <w:tcW w:w="3094" w:type="dxa"/>
          </w:tcPr>
          <w:p w:rsidR="00234376" w:rsidRPr="00537C3C" w:rsidRDefault="00234376" w:rsidP="008E03A7">
            <w:pPr>
              <w:pStyle w:val="TableTextLessSpaceCharCharCharCharCharCharCharChar"/>
              <w:rPr>
                <w:b/>
              </w:rPr>
            </w:pPr>
            <w:r w:rsidRPr="00537C3C">
              <w:rPr>
                <w:b/>
              </w:rPr>
              <w:t>C1 P2 Q2</w:t>
            </w:r>
          </w:p>
          <w:p w:rsidR="00234376" w:rsidRPr="00537C3C" w:rsidRDefault="00234376" w:rsidP="008E03A7">
            <w:pPr>
              <w:pStyle w:val="TableTextLessSpaceCharCharCharCharCharCharCharChar"/>
              <w:rPr>
                <w:b/>
              </w:rPr>
            </w:pPr>
            <w:r w:rsidRPr="00537C3C">
              <w:rPr>
                <w:b/>
              </w:rPr>
              <w:t xml:space="preserve">Accuracy study </w:t>
            </w:r>
            <w:r w:rsidRPr="00BB76D8">
              <w:rPr>
                <w:b/>
              </w:rPr>
              <w:t>NHMRC</w:t>
            </w:r>
            <w:r w:rsidRPr="00537C3C">
              <w:rPr>
                <w:b/>
              </w:rPr>
              <w:t xml:space="preserve"> level </w:t>
            </w:r>
            <w:r w:rsidRPr="00BB76D8">
              <w:rPr>
                <w:b/>
              </w:rPr>
              <w:t>III</w:t>
            </w:r>
            <w:r w:rsidRPr="00537C3C">
              <w:rPr>
                <w:b/>
              </w:rPr>
              <w:t>-2</w:t>
            </w:r>
          </w:p>
          <w:p w:rsidR="00234376" w:rsidRPr="00537C3C" w:rsidRDefault="00234376" w:rsidP="008E03A7">
            <w:pPr>
              <w:pStyle w:val="TableTextLessSpaceCharCharCharCharCharCharCharChar"/>
              <w:rPr>
                <w:b/>
              </w:rPr>
            </w:pPr>
          </w:p>
          <w:p w:rsidR="00234376" w:rsidRPr="00537C3C" w:rsidRDefault="00234376" w:rsidP="008E03A7">
            <w:pPr>
              <w:pStyle w:val="TableTextLessSpaceCharCharCharCharCharCharCharChar"/>
              <w:rPr>
                <w:b/>
              </w:rPr>
            </w:pPr>
            <w:r w:rsidRPr="00537C3C">
              <w:rPr>
                <w:b/>
              </w:rPr>
              <w:t>Quality: fair</w:t>
            </w:r>
          </w:p>
          <w:p w:rsidR="00234376" w:rsidRPr="00537C3C" w:rsidRDefault="00234376" w:rsidP="008E03A7">
            <w:pPr>
              <w:pStyle w:val="TableTextLessSpaceCharCharCharCharCharCharCharChar"/>
            </w:pPr>
            <w:r w:rsidRPr="00537C3C">
              <w:t>Prospective, not consecutive, reference standard valid (suboptimal but acceptable for this comparison) applied to all positive and discordant participants. Excluded slides not read by imager</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rPr>
                <w:b/>
              </w:rPr>
            </w:pPr>
            <w:r w:rsidRPr="00537C3C">
              <w:rPr>
                <w:b/>
              </w:rPr>
              <w:t>Applicability unclear</w:t>
            </w:r>
          </w:p>
          <w:p w:rsidR="00234376" w:rsidRPr="00537C3C" w:rsidRDefault="00234376" w:rsidP="008E03A7">
            <w:pPr>
              <w:pStyle w:val="TableTextLessSpaceCharCharCharCharCharCharCharChar"/>
            </w:pPr>
            <w:r w:rsidRPr="00537C3C">
              <w:t>Applicable index test &amp; comparator, population applicability unclear</w:t>
            </w:r>
          </w:p>
          <w:p w:rsidR="00234376" w:rsidRPr="00537C3C" w:rsidRDefault="00234376" w:rsidP="008E03A7">
            <w:pPr>
              <w:pStyle w:val="TableTextLessSpaceCharCharCharCharCharCharCharChar"/>
            </w:pPr>
          </w:p>
        </w:tc>
      </w:tr>
      <w:tr w:rsidR="00234376" w:rsidRPr="00537C3C">
        <w:tblPrEx>
          <w:tblCellMar>
            <w:left w:w="108" w:type="dxa"/>
            <w:right w:w="108" w:type="dxa"/>
          </w:tblCellMar>
        </w:tblPrEx>
        <w:trPr>
          <w:trHeight w:val="3925"/>
        </w:trPr>
        <w:tc>
          <w:tcPr>
            <w:tcW w:w="1644" w:type="dxa"/>
            <w:tcBorders>
              <w:top w:val="single" w:sz="4" w:space="0" w:color="auto"/>
              <w:bottom w:val="single" w:sz="4" w:space="0" w:color="auto"/>
            </w:tcBorders>
          </w:tcPr>
          <w:p w:rsidR="00234376" w:rsidRPr="00537C3C" w:rsidRDefault="00234376" w:rsidP="008E03A7">
            <w:pPr>
              <w:keepNext/>
              <w:spacing w:before="40"/>
              <w:ind w:left="34"/>
              <w:rPr>
                <w:rFonts w:ascii="Arial Narrow" w:hAnsi="Arial Narrow" w:cs="Arial"/>
                <w:b/>
                <w:sz w:val="18"/>
                <w:szCs w:val="18"/>
              </w:rPr>
            </w:pPr>
            <w:r w:rsidRPr="00537C3C">
              <w:rPr>
                <w:rFonts w:ascii="Arial Narrow" w:hAnsi="Arial Narrow" w:cs="Arial"/>
                <w:b/>
                <w:sz w:val="18"/>
                <w:szCs w:val="18"/>
              </w:rPr>
              <w:lastRenderedPageBreak/>
              <w:t>Biscotti et al. 2005</w:t>
            </w:r>
          </w:p>
          <w:p w:rsidR="00234376" w:rsidRPr="00537C3C" w:rsidRDefault="00234376" w:rsidP="008E03A7">
            <w:pPr>
              <w:keepNext/>
              <w:spacing w:before="40"/>
              <w:ind w:left="34"/>
              <w:rPr>
                <w:rFonts w:ascii="Arial Narrow" w:hAnsi="Arial Narrow" w:cs="Arial"/>
                <w:sz w:val="18"/>
                <w:szCs w:val="18"/>
              </w:rPr>
            </w:pPr>
            <w:r w:rsidRPr="00537C3C">
              <w:rPr>
                <w:rFonts w:ascii="Arial Narrow" w:hAnsi="Arial Narrow" w:cs="Arial"/>
                <w:sz w:val="18"/>
                <w:szCs w:val="18"/>
              </w:rPr>
              <w:t>US</w:t>
            </w:r>
          </w:p>
          <w:p w:rsidR="00234376" w:rsidRPr="00537C3C" w:rsidRDefault="00234376" w:rsidP="008E03A7">
            <w:pPr>
              <w:keepNext/>
              <w:spacing w:before="40"/>
              <w:ind w:left="34"/>
              <w:rPr>
                <w:rFonts w:ascii="Arial Narrow" w:hAnsi="Arial Narrow" w:cs="Arial"/>
                <w:sz w:val="18"/>
                <w:szCs w:val="18"/>
              </w:rPr>
            </w:pPr>
            <w:r w:rsidRPr="00537C3C">
              <w:rPr>
                <w:rFonts w:ascii="Arial Narrow" w:hAnsi="Arial Narrow" w:cs="Arial"/>
                <w:sz w:val="18"/>
                <w:szCs w:val="18"/>
              </w:rPr>
              <w:t>4 clinical sites</w:t>
            </w:r>
          </w:p>
          <w:p w:rsidR="00234376" w:rsidRPr="00537C3C" w:rsidRDefault="00234376" w:rsidP="008E03A7">
            <w:pPr>
              <w:keepNext/>
              <w:spacing w:before="40"/>
              <w:ind w:left="34"/>
              <w:rPr>
                <w:rFonts w:ascii="Arial Narrow" w:hAnsi="Arial Narrow" w:cs="Arial"/>
                <w:sz w:val="18"/>
                <w:szCs w:val="18"/>
              </w:rPr>
            </w:pPr>
            <w:r w:rsidRPr="00537C3C">
              <w:rPr>
                <w:rFonts w:ascii="Arial Narrow" w:hAnsi="Arial Narrow" w:cs="Arial"/>
                <w:sz w:val="18"/>
                <w:szCs w:val="18"/>
              </w:rPr>
              <w:t>Dec 2000 – July 2001</w:t>
            </w:r>
          </w:p>
          <w:p w:rsidR="00234376" w:rsidRPr="00537C3C" w:rsidRDefault="00234376" w:rsidP="008E03A7">
            <w:pPr>
              <w:keepNext/>
              <w:spacing w:before="40"/>
              <w:ind w:left="34"/>
              <w:rPr>
                <w:rFonts w:ascii="Arial Narrow" w:hAnsi="Arial Narrow" w:cs="Arial"/>
                <w:sz w:val="18"/>
                <w:szCs w:val="18"/>
              </w:rPr>
            </w:pPr>
          </w:p>
        </w:tc>
        <w:tc>
          <w:tcPr>
            <w:tcW w:w="1653" w:type="dxa"/>
            <w:tcBorders>
              <w:top w:val="single" w:sz="4" w:space="0" w:color="auto"/>
              <w:bottom w:val="single" w:sz="4" w:space="0" w:color="auto"/>
            </w:tcBorders>
          </w:tcPr>
          <w:p w:rsidR="00234376" w:rsidRPr="00537C3C" w:rsidRDefault="00234376" w:rsidP="008E03A7">
            <w:pPr>
              <w:pStyle w:val="TableTextLessSpaceCharCharCharCharCharCharCharChar"/>
              <w:spacing w:before="40" w:after="40"/>
              <w:ind w:right="34"/>
              <w:rPr>
                <w:b/>
              </w:rPr>
            </w:pPr>
            <w:r w:rsidRPr="0030078D">
              <w:rPr>
                <w:b/>
                <w:i/>
              </w:rPr>
              <w:t>N</w:t>
            </w:r>
            <w:r w:rsidRPr="00537C3C">
              <w:rPr>
                <w:b/>
              </w:rPr>
              <w:t xml:space="preserve"> = 10 742</w:t>
            </w:r>
          </w:p>
          <w:p w:rsidR="00234376" w:rsidRPr="00537C3C" w:rsidRDefault="00234376" w:rsidP="008E03A7">
            <w:pPr>
              <w:pStyle w:val="TableTextLessSpaceCharCharCharCharCharCharCharChar"/>
              <w:spacing w:before="0"/>
              <w:rPr>
                <w:b/>
              </w:rPr>
            </w:pPr>
            <w:r w:rsidRPr="00537C3C">
              <w:rPr>
                <w:b/>
              </w:rPr>
              <w:t>Inclusion criteria</w:t>
            </w:r>
          </w:p>
          <w:p w:rsidR="00234376" w:rsidRPr="00537C3C" w:rsidRDefault="00234376" w:rsidP="00600AC0">
            <w:pPr>
              <w:keepNext/>
              <w:numPr>
                <w:ilvl w:val="0"/>
                <w:numId w:val="5"/>
              </w:numPr>
              <w:tabs>
                <w:tab w:val="clear" w:pos="360"/>
                <w:tab w:val="num" w:pos="222"/>
              </w:tabs>
              <w:spacing w:before="40" w:after="0"/>
              <w:ind w:left="222" w:hanging="222"/>
              <w:rPr>
                <w:rFonts w:ascii="Arial Narrow" w:hAnsi="Arial Narrow" w:cs="Arial"/>
                <w:sz w:val="18"/>
                <w:szCs w:val="18"/>
              </w:rPr>
            </w:pPr>
            <w:r w:rsidRPr="00537C3C">
              <w:rPr>
                <w:rFonts w:ascii="Arial Narrow" w:hAnsi="Arial Narrow" w:cs="Arial"/>
                <w:sz w:val="18"/>
                <w:szCs w:val="18"/>
              </w:rPr>
              <w:t>Routine screening &amp; diagnostic population (10 359)</w:t>
            </w:r>
          </w:p>
          <w:p w:rsidR="00234376" w:rsidRPr="00537C3C" w:rsidRDefault="00234376" w:rsidP="00600AC0">
            <w:pPr>
              <w:keepNext/>
              <w:numPr>
                <w:ilvl w:val="0"/>
                <w:numId w:val="5"/>
              </w:numPr>
              <w:tabs>
                <w:tab w:val="clear" w:pos="360"/>
                <w:tab w:val="num" w:pos="222"/>
              </w:tabs>
              <w:spacing w:before="40" w:after="0"/>
              <w:ind w:left="222" w:hanging="222"/>
              <w:rPr>
                <w:rFonts w:ascii="Arial Narrow" w:hAnsi="Arial Narrow" w:cs="Arial"/>
                <w:sz w:val="18"/>
                <w:szCs w:val="18"/>
              </w:rPr>
            </w:pPr>
            <w:r w:rsidRPr="00537C3C">
              <w:rPr>
                <w:rFonts w:ascii="Arial Narrow" w:hAnsi="Arial Narrow" w:cs="Arial"/>
                <w:sz w:val="18"/>
                <w:szCs w:val="18"/>
              </w:rPr>
              <w:t xml:space="preserve">Seeding with </w:t>
            </w:r>
            <w:r w:rsidRPr="00BB76D8">
              <w:rPr>
                <w:rFonts w:ascii="Arial Narrow" w:hAnsi="Arial Narrow" w:cs="Arial"/>
                <w:sz w:val="18"/>
                <w:szCs w:val="18"/>
              </w:rPr>
              <w:t>HSIL</w:t>
            </w:r>
            <w:r w:rsidRPr="00537C3C">
              <w:rPr>
                <w:rFonts w:ascii="Arial Narrow" w:hAnsi="Arial Narrow" w:cs="Arial"/>
                <w:sz w:val="18"/>
                <w:szCs w:val="18"/>
              </w:rPr>
              <w:t xml:space="preserve"> cases (</w:t>
            </w:r>
            <w:r w:rsidRPr="00BB76D8">
              <w:rPr>
                <w:rFonts w:ascii="Arial Narrow" w:hAnsi="Arial Narrow" w:cs="Arial"/>
                <w:sz w:val="18"/>
                <w:szCs w:val="18"/>
              </w:rPr>
              <w:t>NR</w:t>
            </w:r>
            <w:r w:rsidRPr="00537C3C">
              <w:rPr>
                <w:rFonts w:ascii="Arial Narrow" w:hAnsi="Arial Narrow" w:cs="Arial"/>
                <w:sz w:val="18"/>
                <w:szCs w:val="18"/>
              </w:rPr>
              <w:t>, likely 383, 3.6%)</w:t>
            </w:r>
          </w:p>
          <w:p w:rsidR="00234376" w:rsidRPr="00537C3C" w:rsidRDefault="00234376" w:rsidP="008E03A7">
            <w:pPr>
              <w:keepNext/>
              <w:spacing w:before="40" w:after="0"/>
              <w:rPr>
                <w:rFonts w:ascii="Arial Narrow" w:hAnsi="Arial Narrow" w:cs="Arial"/>
                <w:sz w:val="18"/>
                <w:szCs w:val="18"/>
              </w:rPr>
            </w:pPr>
          </w:p>
          <w:p w:rsidR="00234376" w:rsidRPr="00537C3C" w:rsidRDefault="00234376" w:rsidP="008E03A7">
            <w:pPr>
              <w:pStyle w:val="TableTextLessSpaceCharCharCharCharCharCharCharChar"/>
              <w:spacing w:before="0"/>
              <w:rPr>
                <w:b/>
              </w:rPr>
            </w:pPr>
            <w:r w:rsidRPr="00537C3C">
              <w:rPr>
                <w:b/>
              </w:rPr>
              <w:t>Exclusion criteria</w:t>
            </w:r>
          </w:p>
          <w:p w:rsidR="00234376" w:rsidRPr="00537C3C" w:rsidRDefault="00234376" w:rsidP="00600AC0">
            <w:pPr>
              <w:pStyle w:val="TableTextLessSpaceCharCharCharCharCharCharCharChar"/>
              <w:numPr>
                <w:ilvl w:val="0"/>
                <w:numId w:val="6"/>
              </w:numPr>
              <w:tabs>
                <w:tab w:val="clear" w:pos="360"/>
                <w:tab w:val="num" w:pos="152"/>
              </w:tabs>
              <w:ind w:left="152" w:hanging="152"/>
              <w:rPr>
                <w:b/>
              </w:rPr>
            </w:pPr>
            <w:r w:rsidRPr="00537C3C">
              <w:rPr>
                <w:rFonts w:cs="Arial"/>
                <w:szCs w:val="18"/>
              </w:rPr>
              <w:t xml:space="preserve">Slides not read by </w:t>
            </w:r>
            <w:r w:rsidRPr="00BB76D8">
              <w:rPr>
                <w:rFonts w:cs="Arial"/>
                <w:szCs w:val="18"/>
              </w:rPr>
              <w:t>TPI</w:t>
            </w:r>
            <w:r w:rsidRPr="00537C3C">
              <w:rPr>
                <w:rFonts w:cs="Arial"/>
                <w:szCs w:val="18"/>
              </w:rPr>
              <w:t xml:space="preserve"> (7.1%)</w:t>
            </w:r>
          </w:p>
          <w:p w:rsidR="00234376"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No consensus diagnosis on adjudicated review (6/361 concordant slides)</w:t>
            </w:r>
          </w:p>
          <w:p w:rsidR="00234376" w:rsidRPr="00537C3C" w:rsidRDefault="00234376" w:rsidP="008E03A7">
            <w:pPr>
              <w:pStyle w:val="TableTextLessSpaceCharCharCharCharCharCharCharChar"/>
              <w:spacing w:before="40" w:after="40"/>
              <w:ind w:right="34"/>
              <w:rPr>
                <w:rFonts w:cs="Arial"/>
                <w:b/>
                <w:szCs w:val="18"/>
              </w:rPr>
            </w:pPr>
          </w:p>
        </w:tc>
        <w:tc>
          <w:tcPr>
            <w:tcW w:w="2202" w:type="dxa"/>
            <w:tcBorders>
              <w:top w:val="single" w:sz="4" w:space="0" w:color="auto"/>
              <w:bottom w:val="single" w:sz="4" w:space="0" w:color="auto"/>
            </w:tcBorders>
          </w:tcPr>
          <w:p w:rsidR="00234376" w:rsidRPr="00537C3C" w:rsidRDefault="00234376" w:rsidP="008E03A7">
            <w:pPr>
              <w:pStyle w:val="TableTextLessSpaceCharCharCharCharCharCharCharChar"/>
              <w:ind w:right="34"/>
              <w:rPr>
                <w:b/>
              </w:rPr>
            </w:pPr>
            <w:r w:rsidRPr="00537C3C">
              <w:rPr>
                <w:b/>
              </w:rPr>
              <w:t>Index test</w:t>
            </w:r>
          </w:p>
          <w:p w:rsidR="00234376" w:rsidRPr="00537C3C" w:rsidRDefault="00234376" w:rsidP="008E03A7">
            <w:pPr>
              <w:pStyle w:val="TableTextLessSpaceCharCharCharCharCharCharCharChar"/>
              <w:ind w:right="34"/>
            </w:pPr>
            <w:r w:rsidRPr="00537C3C">
              <w:t xml:space="preserve">ThinPrep </w:t>
            </w:r>
            <w:r w:rsidRPr="00BB76D8">
              <w:t>LBC</w:t>
            </w:r>
            <w:r w:rsidRPr="00537C3C">
              <w:t xml:space="preserve"> with ThinPrep Imager reading</w:t>
            </w:r>
          </w:p>
          <w:p w:rsidR="00234376" w:rsidRPr="00537C3C" w:rsidRDefault="00234376" w:rsidP="008E03A7">
            <w:pPr>
              <w:pStyle w:val="TableTextLessSpaceCharCharCharCharCharCharCharChar"/>
              <w:ind w:right="34"/>
              <w:rPr>
                <w:rFonts w:cs="Arial"/>
                <w:szCs w:val="18"/>
              </w:rPr>
            </w:pPr>
          </w:p>
          <w:p w:rsidR="00234376" w:rsidRPr="00537C3C" w:rsidRDefault="00234376" w:rsidP="008E03A7">
            <w:pPr>
              <w:pStyle w:val="TableTextLessSpaceCharCharCharCharCharCharCharChar"/>
              <w:ind w:right="34"/>
            </w:pPr>
            <w:r w:rsidRPr="00537C3C">
              <w:rPr>
                <w:b/>
              </w:rPr>
              <w:t>Comparator test</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rPr>
                <w:rFonts w:cs="Arial"/>
                <w:szCs w:val="18"/>
              </w:rPr>
              <w:t xml:space="preserve">Manual reading of ThinPrep </w:t>
            </w:r>
            <w:r w:rsidRPr="00BB76D8">
              <w:rPr>
                <w:rFonts w:cs="Arial"/>
                <w:szCs w:val="18"/>
              </w:rPr>
              <w:t>LBC</w:t>
            </w:r>
            <w:r w:rsidRPr="00537C3C">
              <w:rPr>
                <w:rFonts w:cs="Arial"/>
                <w:szCs w:val="18"/>
              </w:rPr>
              <w:t xml:space="preserve"> slides (2000 or 3000 processor)</w:t>
            </w:r>
          </w:p>
        </w:tc>
        <w:tc>
          <w:tcPr>
            <w:tcW w:w="4670" w:type="dxa"/>
            <w:tcBorders>
              <w:top w:val="single" w:sz="4" w:space="0" w:color="auto"/>
              <w:bottom w:val="single" w:sz="4" w:space="0" w:color="auto"/>
            </w:tcBorders>
          </w:tcPr>
          <w:p w:rsidR="00234376" w:rsidRPr="00537C3C" w:rsidRDefault="00234376" w:rsidP="008E03A7">
            <w:pPr>
              <w:pStyle w:val="TableTextLessSpaceCharCharCharCharCharCharCharChar"/>
              <w:spacing w:before="40" w:after="40"/>
              <w:ind w:right="34"/>
              <w:rPr>
                <w:rFonts w:cs="Arial"/>
                <w:szCs w:val="18"/>
              </w:rPr>
            </w:pPr>
            <w:r w:rsidRPr="00537C3C">
              <w:rPr>
                <w:b/>
              </w:rPr>
              <w:t>Study design:</w:t>
            </w:r>
            <w:r w:rsidRPr="00537C3C">
              <w:t xml:space="preserve"> </w:t>
            </w:r>
            <w:r w:rsidRPr="00537C3C">
              <w:rPr>
                <w:rFonts w:cs="Arial"/>
                <w:szCs w:val="18"/>
              </w:rPr>
              <w:t>Masked, paired diagnostic accuracy study with seeded cases.</w:t>
            </w:r>
          </w:p>
          <w:p w:rsidR="00234376" w:rsidRDefault="00234376" w:rsidP="00234376">
            <w:pPr>
              <w:pStyle w:val="TableTextLessSpaceCharCharCharCharCharCharCharChar"/>
              <w:spacing w:before="40" w:after="40"/>
              <w:ind w:right="34"/>
              <w:rPr>
                <w:rFonts w:cs="Arial"/>
                <w:szCs w:val="18"/>
              </w:rPr>
            </w:pPr>
            <w:r w:rsidRPr="00537C3C">
              <w:rPr>
                <w:b/>
              </w:rPr>
              <w:t>Test threshold:</w:t>
            </w:r>
            <w:r w:rsidRPr="00537C3C">
              <w:t xml:space="preserve"> </w:t>
            </w:r>
            <w:r w:rsidRPr="00537C3C">
              <w:rPr>
                <w:rFonts w:cs="Arial"/>
                <w:szCs w:val="18"/>
              </w:rPr>
              <w:t xml:space="preserve">Test: </w:t>
            </w:r>
            <w:r w:rsidRPr="00BB76D8">
              <w:rPr>
                <w:rFonts w:cs="Arial"/>
                <w:szCs w:val="18"/>
              </w:rPr>
              <w:t>HPV</w:t>
            </w:r>
            <w:r w:rsidRPr="00537C3C">
              <w:rPr>
                <w:rFonts w:cs="Arial"/>
                <w:szCs w:val="18"/>
              </w:rPr>
              <w:t xml:space="preserve"> or reactive cell changes, epithelial abnormalities or malignant cells</w:t>
            </w:r>
          </w:p>
          <w:p w:rsidR="00234376" w:rsidRPr="00537C3C" w:rsidRDefault="00234376" w:rsidP="008E03A7">
            <w:pPr>
              <w:pStyle w:val="TableTextLessSpaceCharCharCharCharCharCharCharChar"/>
              <w:ind w:right="34"/>
              <w:rPr>
                <w:rFonts w:cs="Arial"/>
                <w:szCs w:val="18"/>
              </w:rPr>
            </w:pPr>
            <w:r w:rsidRPr="00537C3C">
              <w:rPr>
                <w:rFonts w:cs="Arial"/>
                <w:szCs w:val="18"/>
              </w:rPr>
              <w:t xml:space="preserve">Reference standard: </w:t>
            </w:r>
            <w:r w:rsidRPr="00BB76D8">
              <w:rPr>
                <w:rFonts w:cs="Arial"/>
                <w:szCs w:val="18"/>
              </w:rPr>
              <w:t>ASCUS</w:t>
            </w:r>
            <w:r w:rsidRPr="00537C3C">
              <w:rPr>
                <w:rFonts w:cs="Arial"/>
                <w:szCs w:val="18"/>
              </w:rPr>
              <w:t>+.</w:t>
            </w:r>
          </w:p>
          <w:p w:rsidR="00234376" w:rsidRPr="00537C3C" w:rsidRDefault="00234376" w:rsidP="008E03A7">
            <w:pPr>
              <w:pStyle w:val="TableTextLessSpaceCharCharCharCharCharCharCharChar"/>
              <w:ind w:right="34"/>
              <w:rPr>
                <w:rFonts w:cs="Arial"/>
                <w:b/>
                <w:szCs w:val="18"/>
              </w:rPr>
            </w:pPr>
            <w:r w:rsidRPr="00537C3C">
              <w:rPr>
                <w:rFonts w:cs="Arial"/>
                <w:szCs w:val="18"/>
              </w:rPr>
              <w:t>Contingency data provided.</w:t>
            </w:r>
          </w:p>
          <w:p w:rsidR="00234376" w:rsidRPr="00537C3C" w:rsidRDefault="00234376" w:rsidP="008E03A7">
            <w:pPr>
              <w:pStyle w:val="TableTextLessSpaceCharCharCharCharCharCharCharChar"/>
              <w:ind w:right="34"/>
              <w:rPr>
                <w:rFonts w:cs="Arial"/>
                <w:szCs w:val="18"/>
              </w:rPr>
            </w:pPr>
            <w:r w:rsidRPr="00537C3C">
              <w:rPr>
                <w:b/>
              </w:rPr>
              <w:t>Reference standard:</w:t>
            </w:r>
            <w:r w:rsidRPr="00537C3C">
              <w:t xml:space="preserve"> </w:t>
            </w:r>
            <w:r w:rsidRPr="00537C3C">
              <w:rPr>
                <w:rFonts w:cs="Arial"/>
                <w:szCs w:val="18"/>
              </w:rPr>
              <w:t xml:space="preserve">Positive: Cytological adjudication (3 independent pathologists) for all concordant </w:t>
            </w:r>
            <w:r w:rsidRPr="00BB76D8">
              <w:rPr>
                <w:rFonts w:cs="Arial"/>
                <w:szCs w:val="18"/>
              </w:rPr>
              <w:t>ASCUS</w:t>
            </w:r>
            <w:r w:rsidRPr="00537C3C">
              <w:rPr>
                <w:rFonts w:cs="Arial"/>
                <w:szCs w:val="18"/>
              </w:rPr>
              <w:t>+, and discordant ≥ 1 level</w:t>
            </w:r>
          </w:p>
          <w:p w:rsidR="00234376" w:rsidRPr="00537C3C" w:rsidRDefault="00234376" w:rsidP="008E03A7">
            <w:pPr>
              <w:pStyle w:val="TableTextLessSpaceCharCharCharCharCharCharCharChar"/>
              <w:ind w:right="34"/>
              <w:rPr>
                <w:rFonts w:cs="Arial"/>
                <w:szCs w:val="18"/>
              </w:rPr>
            </w:pPr>
            <w:r w:rsidRPr="00537C3C">
              <w:rPr>
                <w:rFonts w:cs="Arial"/>
                <w:szCs w:val="18"/>
              </w:rPr>
              <w:t>Negative: Cytological adjudication for 5% concordant negative</w:t>
            </w:r>
          </w:p>
          <w:p w:rsidR="00234376" w:rsidRPr="00537C3C" w:rsidRDefault="00234376" w:rsidP="008E03A7">
            <w:pPr>
              <w:pStyle w:val="TableTextLessSpaceCharCharCharCharCharCharCharChar"/>
              <w:ind w:right="34"/>
            </w:pPr>
            <w:r w:rsidRPr="00537C3C">
              <w:rPr>
                <w:rFonts w:cs="Arial"/>
                <w:szCs w:val="18"/>
              </w:rPr>
              <w:t>Adequacy: Independent cytologist for all concordant unsatisfactory, discordant adequacy, random 5% of concordant satisfactory or ‘satisfactory but limited by’</w:t>
            </w:r>
          </w:p>
          <w:p w:rsidR="00234376" w:rsidRPr="00537C3C" w:rsidRDefault="00234376" w:rsidP="008E03A7">
            <w:pPr>
              <w:pStyle w:val="TableTextLessSpaceCharCharCharCharCharCharCharChar"/>
              <w:spacing w:before="40" w:after="40"/>
              <w:ind w:right="34"/>
              <w:rPr>
                <w:b/>
              </w:rPr>
            </w:pPr>
            <w:r w:rsidRPr="00537C3C">
              <w:rPr>
                <w:b/>
              </w:rPr>
              <w:t>Outcomes</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t>Accuracy</w:t>
            </w:r>
            <w:r w:rsidRPr="00537C3C">
              <w:rPr>
                <w:rFonts w:cs="Arial"/>
                <w:szCs w:val="18"/>
              </w:rPr>
              <w:t xml:space="preserve">: sensitivity &amp; specificity; categorical contingency data for relative </w:t>
            </w:r>
            <w:r w:rsidRPr="00BB76D8">
              <w:rPr>
                <w:rFonts w:cs="Arial"/>
                <w:szCs w:val="18"/>
              </w:rPr>
              <w:t>TP</w:t>
            </w:r>
            <w:r w:rsidRPr="00537C3C">
              <w:rPr>
                <w:rFonts w:cs="Arial"/>
                <w:szCs w:val="18"/>
              </w:rPr>
              <w:t xml:space="preserve"> and </w:t>
            </w:r>
            <w:r w:rsidRPr="00BB76D8">
              <w:rPr>
                <w:rFonts w:cs="Arial"/>
                <w:szCs w:val="18"/>
              </w:rPr>
              <w:t>FP</w:t>
            </w:r>
            <w:r w:rsidRPr="00537C3C">
              <w:rPr>
                <w:rFonts w:cs="Arial"/>
                <w:szCs w:val="18"/>
              </w:rPr>
              <w:t xml:space="preserve"> rates</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t>Productivity: average slides screened per day and time expended</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Test yield</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rPr>
                <w:rFonts w:cs="Arial"/>
                <w:szCs w:val="18"/>
              </w:rPr>
              <w:t>Unsatisfactory rates</w:t>
            </w:r>
          </w:p>
        </w:tc>
        <w:tc>
          <w:tcPr>
            <w:tcW w:w="3094" w:type="dxa"/>
            <w:tcBorders>
              <w:top w:val="single" w:sz="4" w:space="0" w:color="auto"/>
              <w:bottom w:val="single" w:sz="4" w:space="0" w:color="auto"/>
            </w:tcBorders>
          </w:tcPr>
          <w:p w:rsidR="00234376" w:rsidRPr="00537C3C" w:rsidRDefault="00234376" w:rsidP="008E03A7">
            <w:pPr>
              <w:pStyle w:val="TableTextLessSpaceCharCharCharCharCharCharCharChar"/>
              <w:rPr>
                <w:b/>
              </w:rPr>
            </w:pPr>
            <w:r w:rsidRPr="00537C3C">
              <w:rPr>
                <w:b/>
              </w:rPr>
              <w:t>C1 P2 Q2</w:t>
            </w:r>
          </w:p>
          <w:p w:rsidR="00234376" w:rsidRPr="00537C3C" w:rsidRDefault="00234376" w:rsidP="008E03A7">
            <w:pPr>
              <w:pStyle w:val="TableTextLessSpaceCharCharCharCharCharCharCharChar"/>
              <w:rPr>
                <w:b/>
              </w:rPr>
            </w:pPr>
            <w:r w:rsidRPr="00537C3C">
              <w:rPr>
                <w:b/>
              </w:rPr>
              <w:t xml:space="preserve">Accuracy study </w:t>
            </w:r>
            <w:r w:rsidRPr="00BB76D8">
              <w:rPr>
                <w:b/>
              </w:rPr>
              <w:t>NHMRC</w:t>
            </w:r>
            <w:r w:rsidRPr="00537C3C">
              <w:rPr>
                <w:b/>
              </w:rPr>
              <w:t xml:space="preserve"> level </w:t>
            </w:r>
            <w:r w:rsidRPr="00BB76D8">
              <w:rPr>
                <w:b/>
              </w:rPr>
              <w:t>III</w:t>
            </w:r>
            <w:r w:rsidRPr="00537C3C">
              <w:rPr>
                <w:b/>
              </w:rPr>
              <w:t>-2</w:t>
            </w:r>
          </w:p>
          <w:p w:rsidR="00234376" w:rsidRPr="00537C3C" w:rsidRDefault="00234376" w:rsidP="008E03A7">
            <w:pPr>
              <w:pStyle w:val="TableTextLessSpaceCharCharCharCharCharCharCharChar"/>
              <w:rPr>
                <w:b/>
              </w:rPr>
            </w:pPr>
          </w:p>
          <w:p w:rsidR="00234376" w:rsidRPr="00537C3C" w:rsidRDefault="00234376" w:rsidP="008E03A7">
            <w:pPr>
              <w:pStyle w:val="TableTextLessSpaceCharCharCharCharCharCharCharChar"/>
              <w:rPr>
                <w:b/>
              </w:rPr>
            </w:pPr>
            <w:r w:rsidRPr="00537C3C">
              <w:rPr>
                <w:b/>
              </w:rPr>
              <w:t>Quality: fair</w:t>
            </w:r>
          </w:p>
          <w:p w:rsidR="00234376" w:rsidRPr="00537C3C" w:rsidRDefault="00234376" w:rsidP="008E03A7">
            <w:pPr>
              <w:pStyle w:val="TableTextLessSpaceCharCharCharCharCharCharCharChar"/>
            </w:pPr>
            <w:r w:rsidRPr="00537C3C">
              <w:t>Prospective, not consecutive, reference standard valid (suboptimal but acceptable for this comparison) applied to all positive, discordant and 5% negative participants. Excluded slides not read by imager</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rPr>
                <w:b/>
              </w:rPr>
            </w:pPr>
            <w:r w:rsidRPr="00537C3C">
              <w:rPr>
                <w:b/>
              </w:rPr>
              <w:t>Applicability limited</w:t>
            </w:r>
          </w:p>
          <w:p w:rsidR="00234376" w:rsidRPr="00537C3C" w:rsidRDefault="00234376" w:rsidP="008E03A7">
            <w:pPr>
              <w:pStyle w:val="TableTextLessSpaceCharCharCharCharCharCharCharChar"/>
            </w:pPr>
            <w:r w:rsidRPr="00537C3C">
              <w:t>Applicable index test &amp; comparator, population applicability limited owing to seeded cases</w:t>
            </w:r>
          </w:p>
          <w:p w:rsidR="00234376" w:rsidRPr="00537C3C" w:rsidRDefault="00234376" w:rsidP="008E03A7">
            <w:pPr>
              <w:pStyle w:val="TableTextLessSpaceCharCharCharCharCharCharCharChar"/>
            </w:pPr>
          </w:p>
        </w:tc>
      </w:tr>
      <w:tr w:rsidR="00234376" w:rsidRPr="00537C3C">
        <w:tc>
          <w:tcPr>
            <w:tcW w:w="1644" w:type="dxa"/>
          </w:tcPr>
          <w:p w:rsidR="00234376" w:rsidRPr="00537C3C" w:rsidRDefault="00234376" w:rsidP="008E03A7">
            <w:pPr>
              <w:keepNext/>
              <w:spacing w:before="40"/>
              <w:ind w:left="34"/>
              <w:rPr>
                <w:rFonts w:ascii="Arial Narrow" w:hAnsi="Arial Narrow" w:cs="Arial"/>
                <w:b/>
                <w:sz w:val="18"/>
                <w:szCs w:val="18"/>
              </w:rPr>
            </w:pPr>
            <w:r w:rsidRPr="00537C3C">
              <w:rPr>
                <w:rFonts w:ascii="Arial Narrow" w:hAnsi="Arial Narrow" w:cs="Arial"/>
                <w:b/>
                <w:sz w:val="18"/>
                <w:szCs w:val="18"/>
              </w:rPr>
              <w:t>Wilbur et al. 2002</w:t>
            </w:r>
          </w:p>
          <w:p w:rsidR="00234376" w:rsidRPr="00537C3C" w:rsidRDefault="00234376" w:rsidP="008E03A7">
            <w:pPr>
              <w:keepNext/>
              <w:spacing w:before="40"/>
              <w:ind w:left="34"/>
              <w:rPr>
                <w:rFonts w:ascii="Arial Narrow" w:hAnsi="Arial Narrow" w:cs="Arial"/>
                <w:sz w:val="18"/>
                <w:szCs w:val="18"/>
              </w:rPr>
            </w:pPr>
            <w:r w:rsidRPr="00537C3C">
              <w:rPr>
                <w:rFonts w:ascii="Arial Narrow" w:hAnsi="Arial Narrow" w:cs="Arial"/>
                <w:sz w:val="18"/>
                <w:szCs w:val="18"/>
              </w:rPr>
              <w:t>US</w:t>
            </w:r>
          </w:p>
          <w:p w:rsidR="00234376" w:rsidRPr="00537C3C" w:rsidRDefault="00234376" w:rsidP="008E03A7">
            <w:pPr>
              <w:keepNext/>
              <w:spacing w:before="40"/>
              <w:ind w:left="34"/>
              <w:rPr>
                <w:rFonts w:ascii="Arial Narrow" w:hAnsi="Arial Narrow" w:cs="Arial"/>
                <w:sz w:val="18"/>
                <w:szCs w:val="18"/>
              </w:rPr>
            </w:pPr>
            <w:r w:rsidRPr="00537C3C">
              <w:rPr>
                <w:rFonts w:ascii="Arial Narrow" w:hAnsi="Arial Narrow" w:cs="Arial"/>
                <w:sz w:val="18"/>
                <w:szCs w:val="18"/>
              </w:rPr>
              <w:t>1 cytopathology laboratory</w:t>
            </w:r>
          </w:p>
          <w:p w:rsidR="00234376" w:rsidRPr="00537C3C" w:rsidRDefault="00234376" w:rsidP="008E03A7">
            <w:pPr>
              <w:keepNext/>
              <w:spacing w:before="40"/>
              <w:ind w:left="34"/>
              <w:rPr>
                <w:rFonts w:ascii="Arial Narrow" w:hAnsi="Arial Narrow" w:cs="Arial"/>
                <w:sz w:val="18"/>
                <w:szCs w:val="18"/>
              </w:rPr>
            </w:pPr>
            <w:r w:rsidRPr="00537C3C">
              <w:rPr>
                <w:rFonts w:ascii="Arial Narrow" w:hAnsi="Arial Narrow" w:cs="Arial"/>
                <w:sz w:val="18"/>
                <w:szCs w:val="18"/>
              </w:rPr>
              <w:t xml:space="preserve">Recruitment period </w:t>
            </w:r>
            <w:r w:rsidRPr="00BB76D8">
              <w:rPr>
                <w:rFonts w:ascii="Arial Narrow" w:hAnsi="Arial Narrow" w:cs="Arial"/>
                <w:sz w:val="18"/>
                <w:szCs w:val="18"/>
              </w:rPr>
              <w:t>NR</w:t>
            </w:r>
          </w:p>
          <w:p w:rsidR="00234376" w:rsidRPr="00537C3C" w:rsidRDefault="00234376" w:rsidP="008E03A7">
            <w:pPr>
              <w:keepNext/>
              <w:spacing w:before="40"/>
              <w:ind w:left="34"/>
              <w:rPr>
                <w:rFonts w:ascii="Arial Narrow" w:hAnsi="Arial Narrow" w:cs="Arial"/>
                <w:b/>
                <w:sz w:val="18"/>
                <w:szCs w:val="18"/>
              </w:rPr>
            </w:pPr>
          </w:p>
        </w:tc>
        <w:tc>
          <w:tcPr>
            <w:tcW w:w="1653" w:type="dxa"/>
          </w:tcPr>
          <w:p w:rsidR="00234376" w:rsidRPr="00537C3C" w:rsidRDefault="00234376" w:rsidP="008E03A7">
            <w:pPr>
              <w:pStyle w:val="TableTextLessSpaceCharCharCharCharCharCharCharChar"/>
              <w:spacing w:before="40" w:after="40"/>
              <w:ind w:right="34"/>
              <w:rPr>
                <w:rFonts w:cs="Arial"/>
                <w:b/>
                <w:szCs w:val="18"/>
              </w:rPr>
            </w:pPr>
            <w:r w:rsidRPr="0030078D">
              <w:rPr>
                <w:rFonts w:cs="Arial"/>
                <w:b/>
                <w:i/>
                <w:szCs w:val="18"/>
              </w:rPr>
              <w:t>N</w:t>
            </w:r>
            <w:r w:rsidRPr="00537C3C">
              <w:rPr>
                <w:rFonts w:cs="Arial"/>
                <w:b/>
                <w:szCs w:val="18"/>
              </w:rPr>
              <w:t xml:space="preserve"> = 1275</w:t>
            </w:r>
          </w:p>
          <w:p w:rsidR="00234376" w:rsidRPr="00537C3C" w:rsidRDefault="00234376" w:rsidP="008E03A7">
            <w:pPr>
              <w:pStyle w:val="TableTextLessSpaceCharCharCharCharCharCharCharChar"/>
              <w:spacing w:before="0"/>
              <w:rPr>
                <w:b/>
              </w:rPr>
            </w:pPr>
            <w:r w:rsidRPr="00537C3C">
              <w:rPr>
                <w:b/>
              </w:rPr>
              <w:t>Inclusion criteria</w:t>
            </w:r>
          </w:p>
          <w:p w:rsidR="00234376" w:rsidRPr="00537C3C" w:rsidRDefault="00234376" w:rsidP="00600AC0">
            <w:pPr>
              <w:keepNext/>
              <w:numPr>
                <w:ilvl w:val="0"/>
                <w:numId w:val="5"/>
              </w:numPr>
              <w:tabs>
                <w:tab w:val="clear" w:pos="360"/>
                <w:tab w:val="num" w:pos="222"/>
              </w:tabs>
              <w:spacing w:before="40" w:after="0"/>
              <w:ind w:left="222" w:hanging="222"/>
              <w:rPr>
                <w:rFonts w:ascii="Arial Narrow" w:hAnsi="Arial Narrow" w:cs="Arial"/>
                <w:sz w:val="18"/>
                <w:szCs w:val="18"/>
              </w:rPr>
            </w:pPr>
            <w:r w:rsidRPr="00537C3C">
              <w:rPr>
                <w:rFonts w:ascii="Arial Narrow" w:hAnsi="Arial Narrow" w:cs="Arial"/>
                <w:sz w:val="18"/>
                <w:szCs w:val="18"/>
              </w:rPr>
              <w:t>1049 retrospective, consecutive routine samples + 251 seeded cases</w:t>
            </w:r>
          </w:p>
          <w:p w:rsidR="00234376" w:rsidRPr="00537C3C" w:rsidRDefault="00234376" w:rsidP="00600AC0">
            <w:pPr>
              <w:keepNext/>
              <w:numPr>
                <w:ilvl w:val="0"/>
                <w:numId w:val="5"/>
              </w:numPr>
              <w:tabs>
                <w:tab w:val="clear" w:pos="360"/>
                <w:tab w:val="num" w:pos="222"/>
              </w:tabs>
              <w:spacing w:before="40" w:after="0"/>
              <w:ind w:left="222" w:hanging="222"/>
              <w:rPr>
                <w:rFonts w:ascii="Arial Narrow" w:hAnsi="Arial Narrow" w:cs="Arial"/>
                <w:sz w:val="18"/>
                <w:szCs w:val="18"/>
              </w:rPr>
            </w:pPr>
            <w:r w:rsidRPr="00537C3C">
              <w:rPr>
                <w:rFonts w:ascii="Arial Narrow" w:hAnsi="Arial Narrow" w:cs="Arial"/>
                <w:sz w:val="18"/>
                <w:szCs w:val="18"/>
              </w:rPr>
              <w:t>Likely screening and diagnostic pop (unclear)</w:t>
            </w:r>
          </w:p>
          <w:p w:rsidR="00234376" w:rsidRPr="00537C3C" w:rsidRDefault="00234376" w:rsidP="008E03A7">
            <w:pPr>
              <w:pStyle w:val="TableTextLessSpaceCharCharCharCharCharCharCharChar"/>
              <w:spacing w:before="0"/>
              <w:rPr>
                <w:b/>
              </w:rPr>
            </w:pPr>
            <w:r w:rsidRPr="00537C3C">
              <w:rPr>
                <w:b/>
              </w:rPr>
              <w:t>Exclusion criteria</w:t>
            </w:r>
          </w:p>
          <w:p w:rsidR="00234376" w:rsidRPr="00537C3C" w:rsidRDefault="00234376" w:rsidP="00600AC0">
            <w:pPr>
              <w:keepNext/>
              <w:numPr>
                <w:ilvl w:val="0"/>
                <w:numId w:val="5"/>
              </w:numPr>
              <w:tabs>
                <w:tab w:val="clear" w:pos="360"/>
                <w:tab w:val="num" w:pos="222"/>
              </w:tabs>
              <w:spacing w:before="40" w:after="0"/>
              <w:ind w:left="222" w:hanging="222"/>
              <w:rPr>
                <w:rFonts w:ascii="Arial Narrow" w:hAnsi="Arial Narrow" w:cs="Arial"/>
                <w:sz w:val="18"/>
                <w:szCs w:val="18"/>
              </w:rPr>
            </w:pPr>
            <w:r w:rsidRPr="00537C3C">
              <w:rPr>
                <w:rFonts w:ascii="Arial Narrow" w:hAnsi="Arial Narrow" w:cs="Arial"/>
                <w:sz w:val="18"/>
                <w:szCs w:val="18"/>
              </w:rPr>
              <w:t>Slides not read by AutoPap (1.7%)</w:t>
            </w:r>
          </w:p>
          <w:p w:rsidR="00234376" w:rsidRPr="00537C3C" w:rsidRDefault="00234376" w:rsidP="00600AC0">
            <w:pPr>
              <w:keepNext/>
              <w:numPr>
                <w:ilvl w:val="0"/>
                <w:numId w:val="5"/>
              </w:numPr>
              <w:tabs>
                <w:tab w:val="clear" w:pos="360"/>
                <w:tab w:val="num" w:pos="222"/>
              </w:tabs>
              <w:spacing w:before="40" w:after="0"/>
              <w:ind w:left="222" w:hanging="222"/>
              <w:rPr>
                <w:rFonts w:ascii="Arial Narrow" w:hAnsi="Arial Narrow" w:cs="Arial"/>
                <w:b/>
                <w:i/>
                <w:sz w:val="18"/>
                <w:szCs w:val="18"/>
              </w:rPr>
            </w:pPr>
            <w:r w:rsidRPr="00537C3C">
              <w:rPr>
                <w:rFonts w:ascii="Arial Narrow" w:hAnsi="Arial Narrow" w:cs="Arial"/>
                <w:sz w:val="18"/>
                <w:szCs w:val="18"/>
              </w:rPr>
              <w:t>No AutoPap review (</w:t>
            </w:r>
            <w:r w:rsidRPr="0030078D">
              <w:rPr>
                <w:rFonts w:ascii="Arial Narrow" w:hAnsi="Arial Narrow" w:cs="Arial"/>
                <w:i/>
                <w:sz w:val="18"/>
                <w:szCs w:val="18"/>
              </w:rPr>
              <w:t>n</w:t>
            </w:r>
            <w:r w:rsidRPr="00537C3C">
              <w:rPr>
                <w:rFonts w:ascii="Arial Narrow" w:hAnsi="Arial Narrow" w:cs="Arial"/>
                <w:sz w:val="18"/>
                <w:szCs w:val="18"/>
              </w:rPr>
              <w:t xml:space="preserve"> = 2)</w:t>
            </w:r>
          </w:p>
          <w:p w:rsidR="00234376" w:rsidRPr="00537C3C" w:rsidRDefault="00234376" w:rsidP="00600AC0">
            <w:pPr>
              <w:keepNext/>
              <w:numPr>
                <w:ilvl w:val="0"/>
                <w:numId w:val="5"/>
              </w:numPr>
              <w:tabs>
                <w:tab w:val="clear" w:pos="360"/>
                <w:tab w:val="num" w:pos="222"/>
              </w:tabs>
              <w:spacing w:before="40" w:after="0"/>
              <w:ind w:left="222" w:hanging="222"/>
              <w:rPr>
                <w:rFonts w:cs="Arial"/>
                <w:b/>
                <w:sz w:val="18"/>
                <w:szCs w:val="18"/>
              </w:rPr>
            </w:pPr>
            <w:r w:rsidRPr="00537C3C">
              <w:rPr>
                <w:rFonts w:ascii="Arial Narrow" w:hAnsi="Arial Narrow" w:cs="Arial"/>
                <w:sz w:val="18"/>
                <w:szCs w:val="18"/>
              </w:rPr>
              <w:t>Slide read twice (</w:t>
            </w:r>
            <w:r w:rsidRPr="0030078D">
              <w:rPr>
                <w:rFonts w:ascii="Arial Narrow" w:hAnsi="Arial Narrow" w:cs="Arial"/>
                <w:i/>
                <w:sz w:val="18"/>
                <w:szCs w:val="18"/>
              </w:rPr>
              <w:t>n</w:t>
            </w:r>
            <w:r w:rsidRPr="00537C3C">
              <w:rPr>
                <w:rFonts w:ascii="Arial Narrow" w:hAnsi="Arial Narrow" w:cs="Arial"/>
                <w:sz w:val="18"/>
                <w:szCs w:val="18"/>
              </w:rPr>
              <w:t xml:space="preserve"> = 1)</w:t>
            </w:r>
          </w:p>
        </w:tc>
        <w:tc>
          <w:tcPr>
            <w:tcW w:w="2202" w:type="dxa"/>
          </w:tcPr>
          <w:p w:rsidR="00234376" w:rsidRPr="00537C3C" w:rsidRDefault="00234376" w:rsidP="008E03A7">
            <w:pPr>
              <w:pStyle w:val="TableTextLessSpaceCharCharCharCharCharCharCharChar"/>
              <w:ind w:right="34"/>
              <w:rPr>
                <w:b/>
              </w:rPr>
            </w:pPr>
            <w:r w:rsidRPr="00537C3C">
              <w:rPr>
                <w:b/>
              </w:rPr>
              <w:t>Index test</w:t>
            </w:r>
          </w:p>
          <w:p w:rsidR="00234376" w:rsidRPr="00537C3C" w:rsidRDefault="00234376" w:rsidP="008E03A7">
            <w:pPr>
              <w:pStyle w:val="TableTextLessSpaceCharCharCharCharCharCharCharChar"/>
              <w:ind w:right="34"/>
              <w:rPr>
                <w:rFonts w:cs="Arial"/>
                <w:szCs w:val="18"/>
              </w:rPr>
            </w:pPr>
            <w:r w:rsidRPr="00537C3C">
              <w:rPr>
                <w:rFonts w:cs="Arial"/>
                <w:szCs w:val="18"/>
              </w:rPr>
              <w:t>AutoPap reading of AutoCyte PREP slides (</w:t>
            </w:r>
            <w:bookmarkStart w:id="453" w:name="OLE_LINK188"/>
            <w:bookmarkStart w:id="454" w:name="OLE_LINK189"/>
            <w:r w:rsidRPr="00537C3C">
              <w:rPr>
                <w:rFonts w:cs="Arial"/>
                <w:szCs w:val="18"/>
              </w:rPr>
              <w:t xml:space="preserve">SlideWizard </w:t>
            </w:r>
            <w:bookmarkEnd w:id="453"/>
            <w:bookmarkEnd w:id="454"/>
            <w:r w:rsidRPr="00537C3C">
              <w:rPr>
                <w:rFonts w:cs="Arial"/>
                <w:szCs w:val="18"/>
              </w:rPr>
              <w:t xml:space="preserve">2), including designation as no further review, review slides indicate 10 </w:t>
            </w:r>
            <w:r w:rsidRPr="00BB76D8">
              <w:rPr>
                <w:rFonts w:cs="Arial"/>
                <w:szCs w:val="18"/>
              </w:rPr>
              <w:t>FOVs</w:t>
            </w:r>
            <w:r w:rsidRPr="00537C3C">
              <w:rPr>
                <w:rFonts w:cs="Arial"/>
                <w:szCs w:val="18"/>
              </w:rPr>
              <w:t>.</w:t>
            </w:r>
          </w:p>
          <w:p w:rsidR="00234376" w:rsidRPr="00537C3C" w:rsidRDefault="00234376" w:rsidP="008E03A7">
            <w:pPr>
              <w:pStyle w:val="TableTextLessSpaceCharCharCharCharCharCharCharChar"/>
              <w:ind w:right="34"/>
              <w:rPr>
                <w:rFonts w:cs="Arial"/>
                <w:szCs w:val="18"/>
              </w:rPr>
            </w:pPr>
          </w:p>
          <w:p w:rsidR="00234376" w:rsidRPr="00537C3C" w:rsidRDefault="00234376" w:rsidP="008E03A7">
            <w:pPr>
              <w:pStyle w:val="TableTextLessSpaceCharCharCharCharCharCharCharChar"/>
              <w:ind w:right="34"/>
            </w:pPr>
            <w:r w:rsidRPr="00537C3C">
              <w:rPr>
                <w:b/>
              </w:rPr>
              <w:t>Comparator test</w:t>
            </w:r>
          </w:p>
          <w:p w:rsidR="00234376" w:rsidRPr="00537C3C" w:rsidRDefault="00234376" w:rsidP="00600AC0">
            <w:pPr>
              <w:pStyle w:val="TableTextLessSpaceCharCharCharCharCharCharCharChar"/>
              <w:numPr>
                <w:ilvl w:val="0"/>
                <w:numId w:val="6"/>
              </w:numPr>
              <w:tabs>
                <w:tab w:val="clear" w:pos="360"/>
                <w:tab w:val="num" w:pos="152"/>
              </w:tabs>
              <w:ind w:left="152" w:hanging="152"/>
              <w:rPr>
                <w:rFonts w:cs="Arial"/>
                <w:szCs w:val="18"/>
              </w:rPr>
            </w:pPr>
            <w:r w:rsidRPr="00537C3C">
              <w:t>Manual</w:t>
            </w:r>
            <w:r w:rsidRPr="00537C3C">
              <w:rPr>
                <w:rFonts w:cs="Arial"/>
                <w:szCs w:val="18"/>
              </w:rPr>
              <w:t xml:space="preserve"> reading of AutoCyte PREP slides</w:t>
            </w:r>
          </w:p>
        </w:tc>
        <w:tc>
          <w:tcPr>
            <w:tcW w:w="4670" w:type="dxa"/>
          </w:tcPr>
          <w:p w:rsidR="00234376" w:rsidRPr="00537C3C" w:rsidRDefault="00234376" w:rsidP="008E03A7">
            <w:pPr>
              <w:pStyle w:val="TableTextLessSpaceCharCharCharCharCharCharCharChar"/>
              <w:spacing w:before="40" w:after="40"/>
              <w:ind w:right="34"/>
              <w:rPr>
                <w:rFonts w:cs="Arial"/>
                <w:szCs w:val="18"/>
              </w:rPr>
            </w:pPr>
            <w:r w:rsidRPr="00537C3C">
              <w:rPr>
                <w:b/>
              </w:rPr>
              <w:t>Study design:</w:t>
            </w:r>
            <w:r w:rsidRPr="00537C3C">
              <w:t xml:space="preserve"> </w:t>
            </w:r>
            <w:r w:rsidRPr="00537C3C">
              <w:rPr>
                <w:rFonts w:cs="Arial"/>
                <w:szCs w:val="18"/>
              </w:rPr>
              <w:t>Paired sample, masked diagnostic accuracy study, with retrospectively selected samples</w:t>
            </w:r>
          </w:p>
          <w:p w:rsidR="00234376" w:rsidRPr="00537C3C" w:rsidRDefault="00234376" w:rsidP="008E03A7">
            <w:pPr>
              <w:pStyle w:val="TableTextLessSpaceCharCharCharCharCharCharCharChar"/>
              <w:spacing w:before="40" w:after="40"/>
              <w:ind w:right="34"/>
            </w:pPr>
            <w:r w:rsidRPr="00537C3C">
              <w:rPr>
                <w:b/>
              </w:rPr>
              <w:t>Test threshold:</w:t>
            </w:r>
            <w:r w:rsidRPr="00537C3C">
              <w:t xml:space="preserve"> Test: </w:t>
            </w:r>
            <w:r w:rsidRPr="00BB76D8">
              <w:t xml:space="preserve">NR. </w:t>
            </w:r>
            <w:r w:rsidRPr="00537C3C">
              <w:t xml:space="preserve">Reference standard: </w:t>
            </w:r>
            <w:r w:rsidRPr="00BB76D8">
              <w:t>NR</w:t>
            </w:r>
            <w:r w:rsidRPr="00537C3C">
              <w:t xml:space="preserve"> (likely </w:t>
            </w:r>
            <w:r w:rsidRPr="00BB76D8">
              <w:t>ASCUS</w:t>
            </w:r>
            <w:r w:rsidRPr="00537C3C">
              <w:t>+)</w:t>
            </w:r>
          </w:p>
          <w:p w:rsidR="00234376" w:rsidRPr="00537C3C" w:rsidRDefault="00234376" w:rsidP="008E03A7">
            <w:pPr>
              <w:pStyle w:val="TableTextLessSpaceCharCharCharCharCharCharCharChar"/>
              <w:ind w:right="34"/>
            </w:pPr>
            <w:r w:rsidRPr="00537C3C">
              <w:rPr>
                <w:b/>
              </w:rPr>
              <w:t>Reference standard:</w:t>
            </w:r>
          </w:p>
          <w:p w:rsidR="00234376" w:rsidRPr="00537C3C" w:rsidRDefault="00234376" w:rsidP="008E03A7">
            <w:pPr>
              <w:pStyle w:val="TableTextLessSpaceCharCharCharCharCharCharCharChar"/>
              <w:spacing w:before="40" w:after="40"/>
              <w:ind w:right="34"/>
            </w:pPr>
            <w:r w:rsidRPr="00537C3C">
              <w:t>Discordant and positive: Cytological adjudication (1 cytopathologist)</w:t>
            </w:r>
          </w:p>
          <w:p w:rsidR="00234376" w:rsidRPr="00537C3C" w:rsidRDefault="00234376" w:rsidP="008E03A7">
            <w:pPr>
              <w:pStyle w:val="TableTextLessSpaceCharCharCharCharCharCharCharChar"/>
              <w:spacing w:before="40" w:after="40"/>
              <w:ind w:right="34"/>
            </w:pPr>
            <w:r w:rsidRPr="00537C3C">
              <w:t>Negative cases: Nil</w:t>
            </w:r>
          </w:p>
          <w:p w:rsidR="00234376" w:rsidRPr="00537C3C" w:rsidRDefault="00234376" w:rsidP="008E03A7">
            <w:pPr>
              <w:pStyle w:val="TableTextLessSpaceCharCharCharCharCharCharCharChar"/>
              <w:spacing w:before="40" w:after="40"/>
              <w:ind w:right="34"/>
            </w:pPr>
            <w:r w:rsidRPr="00537C3C">
              <w:t xml:space="preserve">Adequacy discrepancy: Cytological adjudication (1 senior </w:t>
            </w:r>
            <w:bookmarkStart w:id="455" w:name="OLE_LINK186"/>
            <w:bookmarkStart w:id="456" w:name="OLE_LINK187"/>
            <w:r w:rsidRPr="00537C3C">
              <w:t>cytotechnologist</w:t>
            </w:r>
            <w:bookmarkEnd w:id="455"/>
            <w:bookmarkEnd w:id="456"/>
            <w:r w:rsidRPr="00537C3C">
              <w:t>)</w:t>
            </w:r>
          </w:p>
          <w:p w:rsidR="00234376" w:rsidRPr="00537C3C" w:rsidRDefault="00234376" w:rsidP="008E03A7">
            <w:pPr>
              <w:pStyle w:val="TableTextLessSpaceCharCharCharCharCharCharCharChar"/>
              <w:spacing w:before="40" w:after="40"/>
              <w:ind w:right="34"/>
              <w:rPr>
                <w:b/>
              </w:rPr>
            </w:pPr>
            <w:r w:rsidRPr="00537C3C">
              <w:rPr>
                <w:b/>
              </w:rPr>
              <w:t>Outcomes</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t>Accuracy</w:t>
            </w:r>
            <w:r w:rsidRPr="00537C3C">
              <w:rPr>
                <w:rFonts w:cs="Arial"/>
                <w:szCs w:val="18"/>
              </w:rPr>
              <w:t xml:space="preserve"> (reference standard threshold </w:t>
            </w:r>
            <w:r w:rsidRPr="00BB76D8">
              <w:rPr>
                <w:rFonts w:cs="Arial"/>
                <w:szCs w:val="18"/>
              </w:rPr>
              <w:t>NR</w:t>
            </w:r>
            <w:r w:rsidRPr="00537C3C">
              <w:rPr>
                <w:rFonts w:cs="Arial"/>
                <w:szCs w:val="18"/>
              </w:rPr>
              <w:t>): sensitivity &amp; specificity </w:t>
            </w:r>
            <w:r w:rsidRPr="00537C3C">
              <w:rPr>
                <w:rFonts w:cs="Arial"/>
                <w:szCs w:val="18"/>
                <w:vertAlign w:val="superscript"/>
              </w:rPr>
              <w:t>b</w:t>
            </w:r>
            <w:r w:rsidRPr="00537C3C">
              <w:rPr>
                <w:rFonts w:cs="Arial"/>
                <w:szCs w:val="18"/>
              </w:rPr>
              <w:t xml:space="preserve">; categorical contingency data enabling relative </w:t>
            </w:r>
            <w:r w:rsidRPr="00BB76D8">
              <w:rPr>
                <w:rFonts w:cs="Arial"/>
                <w:szCs w:val="18"/>
              </w:rPr>
              <w:t>TP</w:t>
            </w:r>
            <w:r w:rsidRPr="00537C3C">
              <w:rPr>
                <w:rFonts w:cs="Arial"/>
                <w:szCs w:val="18"/>
              </w:rPr>
              <w:t xml:space="preserve"> and </w:t>
            </w:r>
            <w:r w:rsidRPr="00BB76D8">
              <w:rPr>
                <w:rFonts w:cs="Arial"/>
                <w:szCs w:val="18"/>
              </w:rPr>
              <w:t>FP</w:t>
            </w:r>
            <w:r w:rsidRPr="00537C3C">
              <w:rPr>
                <w:rFonts w:cs="Arial"/>
                <w:szCs w:val="18"/>
              </w:rPr>
              <w:t xml:space="preserve"> rates to be calculated for different test thresholds</w:t>
            </w:r>
          </w:p>
          <w:p w:rsidR="00234376" w:rsidRPr="00537C3C" w:rsidRDefault="00234376" w:rsidP="00600AC0">
            <w:pPr>
              <w:pStyle w:val="TableTextLessSpaceCharCharCharCharCharCharCharChar"/>
              <w:numPr>
                <w:ilvl w:val="0"/>
                <w:numId w:val="6"/>
              </w:numPr>
              <w:tabs>
                <w:tab w:val="clear" w:pos="360"/>
                <w:tab w:val="num" w:pos="152"/>
              </w:tabs>
              <w:ind w:left="152" w:hanging="152"/>
            </w:pPr>
            <w:r w:rsidRPr="00537C3C">
              <w:rPr>
                <w:rFonts w:cs="Arial"/>
                <w:szCs w:val="18"/>
              </w:rPr>
              <w:t>Proportion slides designated ‘no further review’</w:t>
            </w:r>
          </w:p>
        </w:tc>
        <w:tc>
          <w:tcPr>
            <w:tcW w:w="3094" w:type="dxa"/>
          </w:tcPr>
          <w:p w:rsidR="00234376" w:rsidRPr="00537C3C" w:rsidRDefault="00234376" w:rsidP="008E03A7">
            <w:pPr>
              <w:pStyle w:val="TableTextLessSpaceCharCharCharCharCharCharCharChar"/>
              <w:rPr>
                <w:b/>
              </w:rPr>
            </w:pPr>
            <w:r w:rsidRPr="00537C3C">
              <w:rPr>
                <w:b/>
              </w:rPr>
              <w:t>C1 P2 Q2</w:t>
            </w:r>
          </w:p>
          <w:p w:rsidR="00234376" w:rsidRPr="00537C3C" w:rsidRDefault="00234376" w:rsidP="008E03A7">
            <w:pPr>
              <w:pStyle w:val="TableTextLessSpaceCharCharCharCharCharCharCharChar"/>
              <w:rPr>
                <w:b/>
              </w:rPr>
            </w:pPr>
            <w:r w:rsidRPr="00537C3C">
              <w:rPr>
                <w:b/>
              </w:rPr>
              <w:t xml:space="preserve">Accuracy study </w:t>
            </w:r>
            <w:r w:rsidRPr="00BB76D8">
              <w:rPr>
                <w:b/>
              </w:rPr>
              <w:t>NHMRC</w:t>
            </w:r>
            <w:r w:rsidRPr="00537C3C">
              <w:rPr>
                <w:b/>
              </w:rPr>
              <w:t xml:space="preserve"> level </w:t>
            </w:r>
            <w:r w:rsidRPr="00BB76D8">
              <w:rPr>
                <w:b/>
              </w:rPr>
              <w:t>III</w:t>
            </w:r>
            <w:r w:rsidRPr="00537C3C">
              <w:rPr>
                <w:b/>
              </w:rPr>
              <w:t>-2</w:t>
            </w:r>
          </w:p>
          <w:p w:rsidR="00234376" w:rsidRPr="00537C3C" w:rsidRDefault="00234376" w:rsidP="008E03A7">
            <w:pPr>
              <w:pStyle w:val="TableTextLessSpaceCharCharCharCharCharCharCharChar"/>
              <w:rPr>
                <w:b/>
              </w:rPr>
            </w:pPr>
          </w:p>
          <w:p w:rsidR="00234376" w:rsidRPr="00537C3C" w:rsidRDefault="00234376" w:rsidP="008E03A7">
            <w:pPr>
              <w:pStyle w:val="TableTextLessSpaceCharCharCharCharCharCharCharChar"/>
              <w:rPr>
                <w:b/>
              </w:rPr>
            </w:pPr>
            <w:r w:rsidRPr="00537C3C">
              <w:rPr>
                <w:b/>
              </w:rPr>
              <w:t>Quality: fair</w:t>
            </w:r>
          </w:p>
          <w:p w:rsidR="00234376" w:rsidRPr="00537C3C" w:rsidRDefault="00234376" w:rsidP="008E03A7">
            <w:pPr>
              <w:pStyle w:val="TableTextLessSpaceCharCharCharCharCharCharCharChar"/>
            </w:pPr>
            <w:r w:rsidRPr="00537C3C">
              <w:t>Prospective, not consecutive, reference standard valid (suboptimal but acceptable for this comparison) applied to discordant positive participants. Excluded slides not read by AutoPap</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rPr>
                <w:b/>
              </w:rPr>
            </w:pPr>
            <w:r w:rsidRPr="00537C3C">
              <w:rPr>
                <w:b/>
              </w:rPr>
              <w:t>Applicability: limited</w:t>
            </w:r>
          </w:p>
          <w:p w:rsidR="00234376" w:rsidRPr="00537C3C" w:rsidRDefault="00234376" w:rsidP="008E03A7">
            <w:pPr>
              <w:pStyle w:val="TableTextLessSpaceCharCharCharCharCharCharCharChar"/>
            </w:pPr>
            <w:r w:rsidRPr="00537C3C">
              <w:t>Index test limited applicability</w:t>
            </w:r>
          </w:p>
          <w:p w:rsidR="00234376" w:rsidRPr="00537C3C" w:rsidRDefault="00234376" w:rsidP="008E03A7">
            <w:pPr>
              <w:pStyle w:val="TableTextLessSpaceCharCharCharCharCharCharCharChar"/>
            </w:pPr>
            <w:r w:rsidRPr="00537C3C">
              <w:t>Applicable comparator</w:t>
            </w:r>
          </w:p>
          <w:p w:rsidR="00234376" w:rsidRPr="00537C3C" w:rsidRDefault="00234376" w:rsidP="008E03A7">
            <w:pPr>
              <w:pStyle w:val="TableTextLessSpaceCharCharCharCharCharCharCharChar"/>
            </w:pPr>
            <w:r w:rsidRPr="00537C3C">
              <w:t>Population applicability limited owing to many seeded cases</w:t>
            </w:r>
          </w:p>
        </w:tc>
      </w:tr>
    </w:tbl>
    <w:p w:rsidR="00234376" w:rsidRPr="00537C3C" w:rsidRDefault="00234376" w:rsidP="008E03A7">
      <w:pPr>
        <w:pStyle w:val="TableNotes"/>
        <w:spacing w:after="0"/>
        <w:ind w:left="513" w:firstLine="207"/>
      </w:pPr>
      <w:r w:rsidRPr="00537C3C">
        <w:rPr>
          <w:vertAlign w:val="superscript"/>
        </w:rPr>
        <w:t xml:space="preserve">a </w:t>
      </w:r>
      <w:r w:rsidRPr="00537C3C">
        <w:t xml:space="preserve">Reported sensitivity invalid as not based on full reference standard. </w:t>
      </w:r>
      <w:r w:rsidRPr="00537C3C">
        <w:rPr>
          <w:vertAlign w:val="superscript"/>
        </w:rPr>
        <w:t>b</w:t>
      </w:r>
      <w:r w:rsidRPr="00537C3C">
        <w:t xml:space="preserve"> Test &amp; reference standard threshold not reported.</w:t>
      </w:r>
    </w:p>
    <w:p w:rsidR="00234376" w:rsidRPr="00537C3C" w:rsidRDefault="00234376" w:rsidP="008E03A7">
      <w:pPr>
        <w:pStyle w:val="TableNotes"/>
        <w:spacing w:after="0"/>
        <w:ind w:left="513" w:firstLine="207"/>
      </w:pPr>
      <w:r w:rsidRPr="00537C3C">
        <w:rPr>
          <w:i/>
        </w:rPr>
        <w:t>Abbreviations:</w:t>
      </w:r>
      <w:r w:rsidRPr="00BB76D8">
        <w:t>, LBC</w:t>
      </w:r>
      <w:r w:rsidRPr="00537C3C">
        <w:t xml:space="preserve"> = liquid-based cytology, </w:t>
      </w:r>
      <w:r w:rsidRPr="00BB76D8">
        <w:t>NR</w:t>
      </w:r>
      <w:r w:rsidRPr="00537C3C">
        <w:t xml:space="preserve"> = not reported, </w:t>
      </w:r>
      <w:r w:rsidRPr="00BB76D8">
        <w:t>TP</w:t>
      </w:r>
      <w:r w:rsidRPr="00537C3C">
        <w:t xml:space="preserve"> = ThinPrep, </w:t>
      </w:r>
      <w:r w:rsidRPr="00BB76D8">
        <w:t>TPI</w:t>
      </w:r>
      <w:r w:rsidRPr="00537C3C">
        <w:t xml:space="preserve"> = ThinPrep Imager, </w:t>
      </w:r>
      <w:r w:rsidRPr="00BB76D8">
        <w:t>TPM</w:t>
      </w:r>
      <w:r w:rsidRPr="00537C3C">
        <w:t xml:space="preserve"> = ThinPrep manual.</w:t>
      </w:r>
    </w:p>
    <w:p w:rsidR="00234376" w:rsidRPr="00537C3C" w:rsidRDefault="00234376" w:rsidP="008E03A7">
      <w:pPr>
        <w:sectPr w:rsidR="00234376" w:rsidRPr="00537C3C" w:rsidSect="008E03A7">
          <w:pgSz w:w="16838" w:h="11906" w:orient="landscape" w:code="9"/>
          <w:pgMar w:top="1440" w:right="1440" w:bottom="1440" w:left="1440" w:header="720" w:footer="720" w:gutter="0"/>
          <w:paperSrc w:first="15" w:other="15"/>
          <w:cols w:space="720"/>
        </w:sectPr>
      </w:pPr>
    </w:p>
    <w:p w:rsidR="00234376" w:rsidRDefault="00234376" w:rsidP="00234376">
      <w:pPr>
        <w:pStyle w:val="Heading3"/>
      </w:pPr>
      <w:r w:rsidRPr="00537C3C">
        <w:lastRenderedPageBreak/>
        <w:t>Test accuracy</w:t>
      </w:r>
    </w:p>
    <w:p w:rsidR="00234376" w:rsidRPr="00537C3C" w:rsidRDefault="00234376" w:rsidP="008E03A7">
      <w:r>
        <w:fldChar w:fldCharType="begin"/>
      </w:r>
      <w:r>
        <w:instrText xml:space="preserve"> REF _Ref198451926 \h  \* MERGEFORMAT </w:instrText>
      </w:r>
      <w:r>
        <w:fldChar w:fldCharType="separate"/>
      </w:r>
      <w:r w:rsidR="007D3DFF" w:rsidRPr="00537C3C">
        <w:t xml:space="preserve">Table </w:t>
      </w:r>
      <w:r w:rsidR="007D3DFF">
        <w:rPr>
          <w:noProof/>
        </w:rPr>
        <w:t>23</w:t>
      </w:r>
      <w:r>
        <w:fldChar w:fldCharType="end"/>
      </w:r>
      <w:r w:rsidRPr="00537C3C">
        <w:t xml:space="preserve"> summarises the true and false positive rates of Thin-Prep Imager-assisted reading of ThinPrep slides compared to manual reading of ThinPrep slides.</w:t>
      </w:r>
    </w:p>
    <w:p w:rsidR="00234376" w:rsidRPr="00537C3C" w:rsidRDefault="00234376" w:rsidP="008E03A7">
      <w:r w:rsidRPr="00537C3C">
        <w:t xml:space="preserve">The data from Roberts et al. (2007) and Bolger et al. (2006) do not include seeded cases. The data from Biscotti et al. (2005) includes seeded </w:t>
      </w:r>
      <w:r w:rsidRPr="00BB76D8">
        <w:t>HSIL</w:t>
      </w:r>
      <w:r w:rsidRPr="00537C3C">
        <w:t xml:space="preserve"> cases, although the known prevalence is not different to that in Bolger et al. (2006). The data from Roberts et al. (2007) has incomplete verification, therefore the data from the Bolger et al. (2006) study is considered the most reliable.</w:t>
      </w:r>
    </w:p>
    <w:p w:rsidR="00234376" w:rsidRPr="00537C3C" w:rsidRDefault="00234376" w:rsidP="008E03A7">
      <w:r w:rsidRPr="00537C3C">
        <w:t xml:space="preserve">There were no statistically significant differences in the number of true positive cases detected by the ThinPrep Imager system and manual reading of </w:t>
      </w:r>
      <w:r w:rsidRPr="00BB76D8">
        <w:t>LBC</w:t>
      </w:r>
      <w:r w:rsidRPr="00537C3C">
        <w:t xml:space="preserve"> slides in any of the three studies (</w:t>
      </w:r>
      <w:r>
        <w:fldChar w:fldCharType="begin"/>
      </w:r>
      <w:r>
        <w:instrText xml:space="preserve"> REF _Ref198451926 \h  \* MERGEFORMAT </w:instrText>
      </w:r>
      <w:r>
        <w:fldChar w:fldCharType="separate"/>
      </w:r>
      <w:r w:rsidR="007D3DFF" w:rsidRPr="00537C3C">
        <w:t xml:space="preserve">Table </w:t>
      </w:r>
      <w:r w:rsidR="007D3DFF">
        <w:rPr>
          <w:noProof/>
        </w:rPr>
        <w:t>23</w:t>
      </w:r>
      <w:r>
        <w:fldChar w:fldCharType="end"/>
      </w:r>
      <w:r w:rsidRPr="00537C3C">
        <w:t>). There was not a consistent trend across studies, for true positive cases, either. In two of three studies the ThinPrep Imager detected slightly fewer true positive cases than ThinPrep slide with manual reading; In one study with seeded cases the ThinPrep Imager detected slightly more true positives (Bolger et al. 2006).</w:t>
      </w:r>
    </w:p>
    <w:p w:rsidR="00234376" w:rsidRPr="00537C3C" w:rsidRDefault="00234376" w:rsidP="008E03A7">
      <w:r w:rsidRPr="00537C3C">
        <w:t xml:space="preserve">In the studies by Roberts et al. (2007) and Biscotti et al. (2005), the ThinPrep Imager detected significantly fewer false positive cases than manual reading of ThinPrep, for a </w:t>
      </w:r>
      <w:r w:rsidRPr="00BB76D8">
        <w:t>pHSIL</w:t>
      </w:r>
      <w:r w:rsidRPr="00537C3C">
        <w:t xml:space="preserve"> and </w:t>
      </w:r>
      <w:r w:rsidRPr="00BB76D8">
        <w:t>HSIL</w:t>
      </w:r>
      <w:r w:rsidRPr="00537C3C">
        <w:t xml:space="preserve"> threshold, respectively (</w:t>
      </w:r>
      <w:r>
        <w:fldChar w:fldCharType="begin"/>
      </w:r>
      <w:r>
        <w:instrText xml:space="preserve"> REF _Ref198451926 \h  \* MERGEFORMAT </w:instrText>
      </w:r>
      <w:r>
        <w:fldChar w:fldCharType="separate"/>
      </w:r>
      <w:r w:rsidR="007D3DFF" w:rsidRPr="00537C3C">
        <w:t xml:space="preserve">Table </w:t>
      </w:r>
      <w:r w:rsidR="007D3DFF">
        <w:rPr>
          <w:noProof/>
        </w:rPr>
        <w:t>23</w:t>
      </w:r>
      <w:r>
        <w:fldChar w:fldCharType="end"/>
      </w:r>
      <w:r w:rsidRPr="00537C3C">
        <w:t xml:space="preserve">). Although Biscotti et al. (2005) includes seeded cases, these are all </w:t>
      </w:r>
      <w:r w:rsidRPr="00BB76D8">
        <w:t>HSIL</w:t>
      </w:r>
      <w:r w:rsidRPr="00537C3C">
        <w:t xml:space="preserve"> cases thus this cannot affect the false positive rates in the study.</w:t>
      </w:r>
    </w:p>
    <w:p w:rsidR="00234376" w:rsidRPr="00537C3C" w:rsidRDefault="00234376" w:rsidP="008E03A7">
      <w:r w:rsidRPr="00537C3C">
        <w:t xml:space="preserve">There was significant heterogeneity between studies for the difference in true positive and false positive findings between ThinPrep Imager and manual reading of </w:t>
      </w:r>
      <w:r w:rsidRPr="00BB76D8">
        <w:t>TP</w:t>
      </w:r>
      <w:r w:rsidRPr="00537C3C">
        <w:t xml:space="preserve"> slides (</w:t>
      </w:r>
      <w:r w:rsidRPr="0030078D">
        <w:rPr>
          <w:i/>
        </w:rPr>
        <w:t>P</w:t>
      </w:r>
      <w:r w:rsidR="00181ED0">
        <w:rPr>
          <w:i/>
        </w:rPr>
        <w:t> </w:t>
      </w:r>
      <w:r w:rsidRPr="00537C3C">
        <w:t>&lt; 0.001).</w:t>
      </w:r>
    </w:p>
    <w:p w:rsidR="00234376" w:rsidRPr="00537C3C" w:rsidRDefault="00234376" w:rsidP="008E03A7">
      <w:r w:rsidRPr="00537C3C">
        <w:t>Bolger et al. (2006) reported the accuracy of test classification to detect adjudicated glandular lesions. There were 2 glandular lesions according to adjudicated review. These were classified as glandular by both automation-assisted reading and manual reading.</w:t>
      </w:r>
    </w:p>
    <w:p w:rsidR="00234376" w:rsidRPr="00537C3C" w:rsidRDefault="00234376" w:rsidP="008E03A7">
      <w:pPr>
        <w:rPr>
          <w:snapToGrid w:val="0"/>
          <w:szCs w:val="24"/>
        </w:rPr>
      </w:pPr>
      <w:r w:rsidRPr="00537C3C">
        <w:t xml:space="preserve">One included study of AutoPap-assisted reading of </w:t>
      </w:r>
      <w:r w:rsidRPr="00BB76D8">
        <w:t>LBC</w:t>
      </w:r>
      <w:r w:rsidRPr="00537C3C">
        <w:t xml:space="preserve"> slides by Wilbur et al. (2002) includes a high proportion of seeded cases, Therefore the spectrum of disease in this study is likely to differ greatly from that in a screening population. In addition, the use of the AutoPap system does not reflect current recommendations of use of the FocalPoint system. The data are considered of highly limited applicability. Whilst AutoPap detected an additional 30 true positive cases for adjudicated </w:t>
      </w:r>
      <w:r w:rsidRPr="00BB76D8">
        <w:t>HSIL</w:t>
      </w:r>
      <w:r w:rsidRPr="00537C3C">
        <w:t xml:space="preserve">, with a test threshold of </w:t>
      </w:r>
      <w:r w:rsidRPr="00BB76D8">
        <w:t>HSIL</w:t>
      </w:r>
      <w:r w:rsidRPr="00537C3C">
        <w:t xml:space="preserve">, compared to manual screening (AutoPap 103 </w:t>
      </w:r>
      <w:bookmarkStart w:id="457" w:name="OLE_LINK190"/>
      <w:bookmarkStart w:id="458" w:name="OLE_LINK191"/>
      <w:r w:rsidRPr="00B94BF8">
        <w:t>TPs</w:t>
      </w:r>
      <w:bookmarkEnd w:id="457"/>
      <w:bookmarkEnd w:id="458"/>
      <w:r w:rsidRPr="00537C3C">
        <w:t xml:space="preserve">, manual 73 </w:t>
      </w:r>
      <w:r w:rsidRPr="00BB76D8">
        <w:t>TP</w:t>
      </w:r>
      <w:r w:rsidRPr="00537C3C">
        <w:t xml:space="preserve">s; </w:t>
      </w:r>
      <w:r w:rsidRPr="0030078D">
        <w:rPr>
          <w:i/>
        </w:rPr>
        <w:t>P</w:t>
      </w:r>
      <w:r w:rsidRPr="00537C3C">
        <w:t xml:space="preserve"> = 0.02), the false positive rates for the same reference standard and test threshold were not clearly reported. Given these major limitations, the data are of limited value for informing the relative accuracy of AutoPap versus manual reading of AutoCyte </w:t>
      </w:r>
      <w:r w:rsidRPr="00BB76D8">
        <w:t>LBC</w:t>
      </w:r>
      <w:r w:rsidRPr="00537C3C">
        <w:t xml:space="preserve"> slides.</w:t>
      </w:r>
    </w:p>
    <w:p w:rsidR="00181ED0" w:rsidRDefault="00234376" w:rsidP="008E03A7">
      <w:r>
        <w:fldChar w:fldCharType="begin"/>
      </w:r>
      <w:r>
        <w:instrText xml:space="preserve"> REF _Ref199754227 \h  \* MERGEFORMAT </w:instrText>
      </w:r>
      <w:r>
        <w:fldChar w:fldCharType="separate"/>
      </w:r>
      <w:r w:rsidR="007D3DFF" w:rsidRPr="00537C3C">
        <w:t xml:space="preserve">Table </w:t>
      </w:r>
      <w:r w:rsidR="007D3DFF">
        <w:rPr>
          <w:noProof/>
        </w:rPr>
        <w:t>24</w:t>
      </w:r>
      <w:r>
        <w:fldChar w:fldCharType="end"/>
      </w:r>
      <w:r w:rsidRPr="00537C3C">
        <w:t xml:space="preserve"> displays the estimated differences in sensitivity and specificity of ThinPrep Imager reading of ThinPrep slides compared to manual reading of ThinPrep slides. These measures cannot be calculated from the </w:t>
      </w:r>
      <w:r w:rsidRPr="000F7617">
        <w:t>study by Roberts et al. (2007) as not all discordant positive slides were verified. The differences for the HSIL threshold from Biscotti et al. (2005) are as reported in the study. All values from Bolger et al. (2006) are calculated from the contingency table provided</w:t>
      </w:r>
      <w:r w:rsidR="0055726B" w:rsidRPr="000F7617">
        <w:t xml:space="preserve"> in the study</w:t>
      </w:r>
      <w:r w:rsidRPr="000F7617">
        <w:t>, as described in ‘</w:t>
      </w:r>
      <w:r w:rsidRPr="000F7617">
        <w:fldChar w:fldCharType="begin"/>
      </w:r>
      <w:r w:rsidRPr="000F7617">
        <w:instrText xml:space="preserve"> REF _Ref199667978 \h  \* MERGEFORMAT </w:instrText>
      </w:r>
      <w:r w:rsidRPr="000F7617">
        <w:fldChar w:fldCharType="separate"/>
      </w:r>
      <w:r w:rsidR="007D3DFF" w:rsidRPr="00537C3C">
        <w:t>Statistical methods</w:t>
      </w:r>
      <w:r w:rsidRPr="000F7617">
        <w:fldChar w:fldCharType="end"/>
      </w:r>
      <w:r w:rsidRPr="000F7617">
        <w:t xml:space="preserve">‘, page </w:t>
      </w:r>
      <w:r w:rsidRPr="000F7617">
        <w:fldChar w:fldCharType="begin"/>
      </w:r>
      <w:r w:rsidRPr="000F7617">
        <w:instrText xml:space="preserve"> PAGEREF _Ref199667982 \h </w:instrText>
      </w:r>
      <w:r w:rsidRPr="000F7617">
        <w:fldChar w:fldCharType="separate"/>
      </w:r>
      <w:r w:rsidR="007D3DFF">
        <w:rPr>
          <w:noProof/>
        </w:rPr>
        <w:t>23</w:t>
      </w:r>
      <w:r w:rsidRPr="000F7617">
        <w:fldChar w:fldCharType="end"/>
      </w:r>
      <w:r w:rsidRPr="000F7617">
        <w:t xml:space="preserve">. </w:t>
      </w:r>
    </w:p>
    <w:p w:rsidR="00234376" w:rsidRPr="00537C3C" w:rsidRDefault="00234376" w:rsidP="008E03A7">
      <w:r w:rsidRPr="000F7617">
        <w:lastRenderedPageBreak/>
        <w:t>The estimated differences in sensitivity and specificity determined</w:t>
      </w:r>
      <w:r w:rsidRPr="00537C3C">
        <w:t xml:space="preserve"> from Bolger et al. (2006) were not consistent with the differences reported in Biscotti et al. (2005). Statistical comparisons were performed and reported for the number of true and false positive cases detected (</w:t>
      </w:r>
      <w:r>
        <w:fldChar w:fldCharType="begin"/>
      </w:r>
      <w:r>
        <w:instrText xml:space="preserve"> REF _Ref198451926 \h  \* MERGEFORMAT </w:instrText>
      </w:r>
      <w:r>
        <w:fldChar w:fldCharType="separate"/>
      </w:r>
      <w:r w:rsidR="007D3DFF" w:rsidRPr="00537C3C">
        <w:t xml:space="preserve">Table </w:t>
      </w:r>
      <w:r w:rsidR="007D3DFF">
        <w:rPr>
          <w:noProof/>
        </w:rPr>
        <w:t>23</w:t>
      </w:r>
      <w:r>
        <w:fldChar w:fldCharType="end"/>
      </w:r>
      <w:r w:rsidRPr="00537C3C">
        <w:t>).</w:t>
      </w:r>
    </w:p>
    <w:p w:rsidR="00234376" w:rsidRPr="00537C3C" w:rsidRDefault="00234376" w:rsidP="008E03A7">
      <w:pPr>
        <w:pStyle w:val="TableNotes"/>
        <w:sectPr w:rsidR="00234376" w:rsidRPr="00537C3C" w:rsidSect="008E03A7">
          <w:headerReference w:type="even" r:id="rId40"/>
          <w:headerReference w:type="default" r:id="rId41"/>
          <w:footerReference w:type="even" r:id="rId42"/>
          <w:headerReference w:type="first" r:id="rId43"/>
          <w:pgSz w:w="11906" w:h="16838"/>
          <w:pgMar w:top="1440" w:right="1440" w:bottom="1440" w:left="1440" w:header="720" w:footer="720" w:gutter="0"/>
          <w:paperSrc w:first="7" w:other="7"/>
          <w:cols w:space="720"/>
        </w:sectPr>
      </w:pPr>
    </w:p>
    <w:p w:rsidR="00234376" w:rsidRPr="00537C3C" w:rsidRDefault="00234376" w:rsidP="008E03A7">
      <w:pPr>
        <w:pStyle w:val="TableNamea"/>
        <w:ind w:left="1644"/>
      </w:pPr>
      <w:bookmarkStart w:id="459" w:name="_Ref198451926"/>
      <w:bookmarkStart w:id="460" w:name="_Toc95971259"/>
      <w:bookmarkStart w:id="461" w:name="_Ref222541231"/>
      <w:r w:rsidRPr="00537C3C">
        <w:lastRenderedPageBreak/>
        <w:t xml:space="preserve">Table </w:t>
      </w:r>
      <w:fldSimple w:instr=" SEQ Table \* ARABIC ">
        <w:r w:rsidR="007D3DFF">
          <w:rPr>
            <w:noProof/>
          </w:rPr>
          <w:t>23</w:t>
        </w:r>
      </w:fldSimple>
      <w:bookmarkEnd w:id="459"/>
      <w:r w:rsidRPr="00537C3C">
        <w:tab/>
        <w:t xml:space="preserve">Estimates of the relative true &amp; false positive rates of Thin Prep Imager–assisted versus manual reading of </w:t>
      </w:r>
      <w:r w:rsidRPr="00BB76D8">
        <w:t>LBC</w:t>
      </w:r>
      <w:r w:rsidRPr="00537C3C">
        <w:t xml:space="preserve"> for </w:t>
      </w:r>
      <w:r w:rsidRPr="00BB76D8">
        <w:t>CIN</w:t>
      </w:r>
      <w:r w:rsidRPr="00537C3C">
        <w:t xml:space="preserve"> 2+.</w:t>
      </w:r>
      <w:bookmarkEnd w:id="460"/>
      <w:bookmarkEnd w:id="461"/>
    </w:p>
    <w:tbl>
      <w:tblPr>
        <w:tblW w:w="4650" w:type="pct"/>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11"/>
        <w:gridCol w:w="585"/>
        <w:gridCol w:w="1421"/>
        <w:gridCol w:w="140"/>
        <w:gridCol w:w="994"/>
        <w:gridCol w:w="1321"/>
        <w:gridCol w:w="1084"/>
        <w:gridCol w:w="788"/>
        <w:gridCol w:w="18"/>
        <w:gridCol w:w="709"/>
        <w:gridCol w:w="836"/>
        <w:gridCol w:w="849"/>
        <w:gridCol w:w="849"/>
        <w:gridCol w:w="714"/>
        <w:gridCol w:w="841"/>
        <w:gridCol w:w="915"/>
      </w:tblGrid>
      <w:tr w:rsidR="00234376" w:rsidRPr="00537C3C">
        <w:trPr>
          <w:trHeight w:val="270"/>
          <w:tblHeader/>
        </w:trPr>
        <w:tc>
          <w:tcPr>
            <w:tcW w:w="424" w:type="pct"/>
            <w:gridSpan w:val="2"/>
            <w:vMerge w:val="restart"/>
            <w:tcBorders>
              <w:left w:val="nil"/>
              <w:right w:val="nil"/>
            </w:tcBorders>
          </w:tcPr>
          <w:p w:rsidR="00234376" w:rsidRPr="00537C3C" w:rsidRDefault="00234376" w:rsidP="008E03A7">
            <w:pPr>
              <w:pStyle w:val="TableHeading"/>
            </w:pPr>
            <w:r w:rsidRPr="00537C3C">
              <w:t>Study</w:t>
            </w:r>
          </w:p>
          <w:p w:rsidR="00234376" w:rsidRPr="00537C3C" w:rsidRDefault="00234376" w:rsidP="008E03A7">
            <w:pPr>
              <w:pStyle w:val="TableHeading"/>
            </w:pPr>
            <w:r w:rsidRPr="0030078D">
              <w:rPr>
                <w:i/>
              </w:rPr>
              <w:t>N</w:t>
            </w:r>
          </w:p>
          <w:p w:rsidR="00234376" w:rsidRPr="00537C3C" w:rsidRDefault="00234376" w:rsidP="008E03A7">
            <w:pPr>
              <w:pStyle w:val="TableHeading"/>
            </w:pPr>
          </w:p>
        </w:tc>
        <w:tc>
          <w:tcPr>
            <w:tcW w:w="222" w:type="pct"/>
            <w:vMerge w:val="restart"/>
            <w:tcBorders>
              <w:left w:val="nil"/>
              <w:right w:val="nil"/>
            </w:tcBorders>
          </w:tcPr>
          <w:p w:rsidR="00234376" w:rsidRPr="00537C3C" w:rsidRDefault="00234376" w:rsidP="008E03A7">
            <w:pPr>
              <w:pStyle w:val="TableTextCharChar"/>
              <w:rPr>
                <w:b/>
              </w:rPr>
            </w:pPr>
            <w:r w:rsidRPr="00537C3C">
              <w:rPr>
                <w:b/>
              </w:rPr>
              <w:t xml:space="preserve">Min </w:t>
            </w:r>
            <w:bookmarkStart w:id="462" w:name="OLE_LINK192"/>
            <w:bookmarkStart w:id="463" w:name="OLE_LINK193"/>
            <w:r w:rsidRPr="00537C3C">
              <w:rPr>
                <w:b/>
              </w:rPr>
              <w:t xml:space="preserve">prev </w:t>
            </w:r>
            <w:bookmarkEnd w:id="462"/>
            <w:bookmarkEnd w:id="463"/>
            <w:r w:rsidRPr="00537C3C">
              <w:rPr>
                <w:b/>
              </w:rPr>
              <w:t>%</w:t>
            </w:r>
            <w:r w:rsidRPr="00537C3C">
              <w:rPr>
                <w:b/>
                <w:vertAlign w:val="superscript"/>
              </w:rPr>
              <w:t>c</w:t>
            </w:r>
          </w:p>
        </w:tc>
        <w:tc>
          <w:tcPr>
            <w:tcW w:w="592" w:type="pct"/>
            <w:gridSpan w:val="2"/>
            <w:vMerge w:val="restart"/>
            <w:tcBorders>
              <w:left w:val="nil"/>
              <w:right w:val="nil"/>
            </w:tcBorders>
          </w:tcPr>
          <w:p w:rsidR="00234376" w:rsidRDefault="00234376" w:rsidP="00234376">
            <w:pPr>
              <w:pStyle w:val="TableHeading"/>
            </w:pPr>
            <w:r w:rsidRPr="00537C3C">
              <w:t>Test threshold</w:t>
            </w:r>
          </w:p>
        </w:tc>
        <w:tc>
          <w:tcPr>
            <w:tcW w:w="1289" w:type="pct"/>
            <w:gridSpan w:val="3"/>
            <w:vMerge w:val="restart"/>
            <w:tcBorders>
              <w:left w:val="nil"/>
              <w:right w:val="nil"/>
            </w:tcBorders>
          </w:tcPr>
          <w:p w:rsidR="00234376" w:rsidRPr="00537C3C" w:rsidRDefault="00234376" w:rsidP="008E03A7">
            <w:pPr>
              <w:pStyle w:val="TableHeading"/>
              <w:jc w:val="center"/>
            </w:pPr>
            <w:r w:rsidRPr="00537C3C">
              <w:t>Automation-assisted reading, additional positives per 1000 screened</w:t>
            </w:r>
          </w:p>
        </w:tc>
        <w:tc>
          <w:tcPr>
            <w:tcW w:w="1807" w:type="pct"/>
            <w:gridSpan w:val="7"/>
            <w:tcBorders>
              <w:left w:val="nil"/>
              <w:right w:val="nil"/>
            </w:tcBorders>
          </w:tcPr>
          <w:p w:rsidR="00234376" w:rsidRPr="00537C3C" w:rsidRDefault="00234376" w:rsidP="008E03A7">
            <w:pPr>
              <w:pStyle w:val="TableHeading"/>
              <w:jc w:val="center"/>
            </w:pPr>
            <w:r w:rsidRPr="00537C3C">
              <w:t>Positives</w:t>
            </w:r>
          </w:p>
        </w:tc>
        <w:tc>
          <w:tcPr>
            <w:tcW w:w="666" w:type="pct"/>
            <w:gridSpan w:val="2"/>
            <w:vMerge w:val="restart"/>
            <w:tcBorders>
              <w:left w:val="nil"/>
              <w:right w:val="nil"/>
            </w:tcBorders>
          </w:tcPr>
          <w:p w:rsidR="00234376" w:rsidRPr="00537C3C" w:rsidRDefault="00234376" w:rsidP="008E03A7">
            <w:pPr>
              <w:pStyle w:val="TableHeading"/>
              <w:jc w:val="center"/>
            </w:pPr>
            <w:r w:rsidRPr="00537C3C">
              <w:rPr>
                <w:szCs w:val="18"/>
              </w:rPr>
              <w:sym w:font="Symbol" w:char="F063"/>
            </w:r>
            <w:r w:rsidRPr="00537C3C">
              <w:rPr>
                <w:szCs w:val="18"/>
                <w:vertAlign w:val="superscript"/>
              </w:rPr>
              <w:t>2</w:t>
            </w:r>
            <w:r w:rsidRPr="0030078D">
              <w:rPr>
                <w:szCs w:val="18"/>
              </w:rPr>
              <w:t>-</w:t>
            </w:r>
            <w:r w:rsidRPr="00537C3C">
              <w:rPr>
                <w:szCs w:val="18"/>
              </w:rPr>
              <w:t>test</w:t>
            </w:r>
            <w:r w:rsidRPr="00537C3C">
              <w:t>, cases</w:t>
            </w:r>
          </w:p>
          <w:p w:rsidR="00234376" w:rsidRPr="00537C3C" w:rsidRDefault="00234376" w:rsidP="008E03A7">
            <w:pPr>
              <w:pStyle w:val="TableHeading"/>
              <w:jc w:val="center"/>
            </w:pPr>
            <w:r w:rsidRPr="0030078D">
              <w:rPr>
                <w:i/>
              </w:rPr>
              <w:t>P</w:t>
            </w:r>
          </w:p>
        </w:tc>
      </w:tr>
      <w:tr w:rsidR="00234376" w:rsidRPr="00537C3C">
        <w:trPr>
          <w:trHeight w:val="285"/>
          <w:tblHeader/>
        </w:trPr>
        <w:tc>
          <w:tcPr>
            <w:tcW w:w="424" w:type="pct"/>
            <w:gridSpan w:val="2"/>
            <w:vMerge/>
            <w:tcBorders>
              <w:left w:val="nil"/>
              <w:right w:val="nil"/>
            </w:tcBorders>
          </w:tcPr>
          <w:p w:rsidR="00234376" w:rsidRPr="00537C3C" w:rsidRDefault="00234376" w:rsidP="008E03A7">
            <w:pPr>
              <w:pStyle w:val="TableHeading"/>
            </w:pPr>
          </w:p>
        </w:tc>
        <w:tc>
          <w:tcPr>
            <w:tcW w:w="222" w:type="pct"/>
            <w:vMerge/>
            <w:tcBorders>
              <w:left w:val="nil"/>
              <w:right w:val="nil"/>
            </w:tcBorders>
          </w:tcPr>
          <w:p w:rsidR="00234376" w:rsidRPr="00537C3C" w:rsidRDefault="00234376" w:rsidP="008E03A7">
            <w:pPr>
              <w:pStyle w:val="TableTextCharChar"/>
              <w:rPr>
                <w:b/>
              </w:rPr>
            </w:pPr>
          </w:p>
        </w:tc>
        <w:tc>
          <w:tcPr>
            <w:tcW w:w="592" w:type="pct"/>
            <w:gridSpan w:val="2"/>
            <w:vMerge/>
            <w:tcBorders>
              <w:left w:val="nil"/>
              <w:right w:val="nil"/>
            </w:tcBorders>
          </w:tcPr>
          <w:p w:rsidR="00234376" w:rsidRPr="00537C3C" w:rsidRDefault="00234376" w:rsidP="008E03A7">
            <w:pPr>
              <w:pStyle w:val="TableHeading"/>
              <w:jc w:val="center"/>
            </w:pPr>
          </w:p>
        </w:tc>
        <w:tc>
          <w:tcPr>
            <w:tcW w:w="1289" w:type="pct"/>
            <w:gridSpan w:val="3"/>
            <w:vMerge/>
            <w:tcBorders>
              <w:left w:val="nil"/>
              <w:right w:val="nil"/>
            </w:tcBorders>
          </w:tcPr>
          <w:p w:rsidR="00234376" w:rsidRPr="00537C3C" w:rsidRDefault="00234376" w:rsidP="008E03A7">
            <w:pPr>
              <w:pStyle w:val="TableHeading"/>
              <w:jc w:val="center"/>
            </w:pPr>
          </w:p>
        </w:tc>
        <w:tc>
          <w:tcPr>
            <w:tcW w:w="892" w:type="pct"/>
            <w:gridSpan w:val="4"/>
            <w:tcBorders>
              <w:left w:val="nil"/>
              <w:right w:val="nil"/>
            </w:tcBorders>
          </w:tcPr>
          <w:p w:rsidR="00234376" w:rsidRPr="00537C3C" w:rsidRDefault="00234376" w:rsidP="008E03A7">
            <w:pPr>
              <w:pStyle w:val="TableHeading"/>
              <w:jc w:val="center"/>
            </w:pPr>
            <w:r w:rsidRPr="00537C3C">
              <w:t>Automation-assisted reading</w:t>
            </w:r>
          </w:p>
        </w:tc>
        <w:tc>
          <w:tcPr>
            <w:tcW w:w="915" w:type="pct"/>
            <w:gridSpan w:val="3"/>
            <w:tcBorders>
              <w:left w:val="nil"/>
              <w:right w:val="nil"/>
            </w:tcBorders>
          </w:tcPr>
          <w:p w:rsidR="00234376" w:rsidRPr="00537C3C" w:rsidRDefault="00234376" w:rsidP="008E03A7">
            <w:pPr>
              <w:pStyle w:val="TableHeading"/>
              <w:jc w:val="center"/>
            </w:pPr>
            <w:r w:rsidRPr="00537C3C">
              <w:t xml:space="preserve">Manual reading </w:t>
            </w:r>
          </w:p>
        </w:tc>
        <w:tc>
          <w:tcPr>
            <w:tcW w:w="666" w:type="pct"/>
            <w:gridSpan w:val="2"/>
            <w:vMerge/>
            <w:tcBorders>
              <w:left w:val="nil"/>
              <w:right w:val="nil"/>
            </w:tcBorders>
          </w:tcPr>
          <w:p w:rsidR="00234376" w:rsidRPr="00537C3C" w:rsidRDefault="00234376" w:rsidP="008E03A7">
            <w:pPr>
              <w:pStyle w:val="TableHeading"/>
              <w:jc w:val="center"/>
            </w:pPr>
          </w:p>
        </w:tc>
      </w:tr>
      <w:tr w:rsidR="00234376" w:rsidRPr="00537C3C">
        <w:trPr>
          <w:trHeight w:val="367"/>
          <w:tblHeader/>
        </w:trPr>
        <w:tc>
          <w:tcPr>
            <w:tcW w:w="424" w:type="pct"/>
            <w:gridSpan w:val="2"/>
            <w:vMerge/>
            <w:tcBorders>
              <w:left w:val="nil"/>
              <w:right w:val="nil"/>
            </w:tcBorders>
          </w:tcPr>
          <w:p w:rsidR="00234376" w:rsidRPr="00537C3C" w:rsidRDefault="00234376" w:rsidP="008E03A7">
            <w:pPr>
              <w:pStyle w:val="TableHeading"/>
            </w:pPr>
          </w:p>
        </w:tc>
        <w:tc>
          <w:tcPr>
            <w:tcW w:w="222" w:type="pct"/>
            <w:vMerge/>
            <w:tcBorders>
              <w:left w:val="nil"/>
              <w:right w:val="nil"/>
            </w:tcBorders>
          </w:tcPr>
          <w:p w:rsidR="00234376" w:rsidRPr="00537C3C" w:rsidRDefault="00234376" w:rsidP="008E03A7">
            <w:pPr>
              <w:pStyle w:val="TableHeading"/>
              <w:spacing w:after="0"/>
            </w:pPr>
          </w:p>
        </w:tc>
        <w:tc>
          <w:tcPr>
            <w:tcW w:w="592" w:type="pct"/>
            <w:gridSpan w:val="2"/>
            <w:vMerge/>
            <w:tcBorders>
              <w:left w:val="nil"/>
              <w:right w:val="nil"/>
            </w:tcBorders>
          </w:tcPr>
          <w:p w:rsidR="00234376" w:rsidRPr="00537C3C" w:rsidRDefault="00234376" w:rsidP="008E03A7">
            <w:pPr>
              <w:pStyle w:val="TableTextCharChar"/>
            </w:pPr>
          </w:p>
        </w:tc>
        <w:tc>
          <w:tcPr>
            <w:tcW w:w="377" w:type="pct"/>
            <w:tcBorders>
              <w:left w:val="nil"/>
              <w:right w:val="nil"/>
            </w:tcBorders>
          </w:tcPr>
          <w:p w:rsidR="00234376" w:rsidRPr="00537C3C" w:rsidRDefault="00234376" w:rsidP="008E03A7">
            <w:pPr>
              <w:pStyle w:val="TableHeading"/>
              <w:jc w:val="center"/>
            </w:pPr>
            <w:r w:rsidRPr="00BB76D8">
              <w:t>TP</w:t>
            </w:r>
          </w:p>
        </w:tc>
        <w:tc>
          <w:tcPr>
            <w:tcW w:w="501" w:type="pct"/>
            <w:tcBorders>
              <w:left w:val="nil"/>
              <w:right w:val="nil"/>
            </w:tcBorders>
          </w:tcPr>
          <w:p w:rsidR="00234376" w:rsidRPr="00537C3C" w:rsidRDefault="00234376" w:rsidP="008E03A7">
            <w:pPr>
              <w:pStyle w:val="TableHeading"/>
              <w:jc w:val="center"/>
            </w:pPr>
            <w:r w:rsidRPr="00BB76D8">
              <w:t>FP</w:t>
            </w:r>
          </w:p>
        </w:tc>
        <w:tc>
          <w:tcPr>
            <w:tcW w:w="411" w:type="pct"/>
            <w:tcBorders>
              <w:left w:val="nil"/>
              <w:right w:val="nil"/>
            </w:tcBorders>
          </w:tcPr>
          <w:p w:rsidR="00234376" w:rsidRPr="00537C3C" w:rsidRDefault="00234376" w:rsidP="008E03A7">
            <w:pPr>
              <w:pStyle w:val="TableTextCharChar"/>
              <w:jc w:val="center"/>
              <w:rPr>
                <w:b/>
              </w:rPr>
            </w:pPr>
            <w:r w:rsidRPr="00BB76D8">
              <w:rPr>
                <w:b/>
              </w:rPr>
              <w:t>TP</w:t>
            </w:r>
            <w:r w:rsidRPr="00537C3C">
              <w:rPr>
                <w:b/>
              </w:rPr>
              <w:t>:</w:t>
            </w:r>
            <w:r w:rsidRPr="00BB76D8">
              <w:rPr>
                <w:b/>
              </w:rPr>
              <w:t>FP</w:t>
            </w:r>
          </w:p>
        </w:tc>
        <w:tc>
          <w:tcPr>
            <w:tcW w:w="306" w:type="pct"/>
            <w:gridSpan w:val="2"/>
            <w:tcBorders>
              <w:left w:val="nil"/>
              <w:right w:val="nil"/>
            </w:tcBorders>
          </w:tcPr>
          <w:p w:rsidR="00234376" w:rsidRPr="00537C3C" w:rsidRDefault="00234376" w:rsidP="008E03A7">
            <w:pPr>
              <w:pStyle w:val="TableTextCharChar"/>
              <w:jc w:val="center"/>
            </w:pPr>
            <w:r w:rsidRPr="00BB76D8">
              <w:t>TP</w:t>
            </w:r>
          </w:p>
        </w:tc>
        <w:tc>
          <w:tcPr>
            <w:tcW w:w="269" w:type="pct"/>
            <w:tcBorders>
              <w:left w:val="nil"/>
              <w:right w:val="nil"/>
            </w:tcBorders>
          </w:tcPr>
          <w:p w:rsidR="00234376" w:rsidRPr="00537C3C" w:rsidRDefault="00234376" w:rsidP="008E03A7">
            <w:pPr>
              <w:pStyle w:val="TableTextCharChar"/>
              <w:jc w:val="center"/>
            </w:pPr>
            <w:r w:rsidRPr="00BB76D8">
              <w:t>FP</w:t>
            </w:r>
          </w:p>
        </w:tc>
        <w:tc>
          <w:tcPr>
            <w:tcW w:w="317" w:type="pct"/>
            <w:tcBorders>
              <w:left w:val="nil"/>
              <w:right w:val="nil"/>
            </w:tcBorders>
          </w:tcPr>
          <w:p w:rsidR="00234376" w:rsidRPr="00537C3C" w:rsidRDefault="00234376" w:rsidP="008E03A7">
            <w:pPr>
              <w:pStyle w:val="TableTextCharChar"/>
              <w:jc w:val="center"/>
            </w:pPr>
            <w:r w:rsidRPr="00BB76D8">
              <w:t>TP</w:t>
            </w:r>
            <w:r w:rsidRPr="00537C3C">
              <w:t>:</w:t>
            </w:r>
            <w:r w:rsidRPr="00BB76D8">
              <w:t>FP</w:t>
            </w:r>
          </w:p>
        </w:tc>
        <w:tc>
          <w:tcPr>
            <w:tcW w:w="322" w:type="pct"/>
            <w:tcBorders>
              <w:left w:val="nil"/>
              <w:right w:val="nil"/>
            </w:tcBorders>
          </w:tcPr>
          <w:p w:rsidR="00234376" w:rsidRPr="00537C3C" w:rsidRDefault="00234376" w:rsidP="008E03A7">
            <w:pPr>
              <w:pStyle w:val="TableTextCharChar"/>
              <w:jc w:val="center"/>
            </w:pPr>
            <w:r w:rsidRPr="00BB76D8">
              <w:t>TP</w:t>
            </w:r>
          </w:p>
        </w:tc>
        <w:tc>
          <w:tcPr>
            <w:tcW w:w="322" w:type="pct"/>
            <w:tcBorders>
              <w:left w:val="nil"/>
              <w:right w:val="nil"/>
            </w:tcBorders>
          </w:tcPr>
          <w:p w:rsidR="00234376" w:rsidRPr="00537C3C" w:rsidRDefault="00234376" w:rsidP="008E03A7">
            <w:pPr>
              <w:pStyle w:val="TableTextCharChar"/>
              <w:jc w:val="center"/>
            </w:pPr>
            <w:r w:rsidRPr="00BB76D8">
              <w:t>FP</w:t>
            </w:r>
          </w:p>
        </w:tc>
        <w:tc>
          <w:tcPr>
            <w:tcW w:w="271" w:type="pct"/>
            <w:tcBorders>
              <w:left w:val="nil"/>
              <w:right w:val="nil"/>
            </w:tcBorders>
          </w:tcPr>
          <w:p w:rsidR="00234376" w:rsidRPr="00537C3C" w:rsidRDefault="00234376" w:rsidP="008E03A7">
            <w:pPr>
              <w:pStyle w:val="TableTextCharChar"/>
              <w:jc w:val="center"/>
            </w:pPr>
            <w:r w:rsidRPr="00BB76D8">
              <w:t>TP</w:t>
            </w:r>
            <w:r w:rsidRPr="00537C3C">
              <w:t>:</w:t>
            </w:r>
            <w:r w:rsidRPr="00BB76D8">
              <w:t>FP</w:t>
            </w:r>
          </w:p>
        </w:tc>
        <w:tc>
          <w:tcPr>
            <w:tcW w:w="319" w:type="pct"/>
            <w:tcBorders>
              <w:left w:val="nil"/>
              <w:right w:val="nil"/>
            </w:tcBorders>
          </w:tcPr>
          <w:p w:rsidR="00234376" w:rsidRPr="00537C3C" w:rsidRDefault="00234376" w:rsidP="008E03A7">
            <w:pPr>
              <w:pStyle w:val="TableHeading"/>
              <w:jc w:val="center"/>
              <w:rPr>
                <w:szCs w:val="18"/>
              </w:rPr>
            </w:pPr>
            <w:r w:rsidRPr="00BB76D8">
              <w:rPr>
                <w:szCs w:val="18"/>
              </w:rPr>
              <w:t>TP</w:t>
            </w:r>
          </w:p>
        </w:tc>
        <w:tc>
          <w:tcPr>
            <w:tcW w:w="347" w:type="pct"/>
            <w:tcBorders>
              <w:left w:val="nil"/>
              <w:right w:val="nil"/>
            </w:tcBorders>
          </w:tcPr>
          <w:p w:rsidR="00234376" w:rsidRPr="00537C3C" w:rsidRDefault="00234376" w:rsidP="008E03A7">
            <w:pPr>
              <w:pStyle w:val="TableHeading"/>
              <w:jc w:val="center"/>
              <w:rPr>
                <w:szCs w:val="18"/>
              </w:rPr>
            </w:pPr>
            <w:r w:rsidRPr="00BB76D8">
              <w:rPr>
                <w:szCs w:val="18"/>
              </w:rPr>
              <w:t>FP</w:t>
            </w:r>
          </w:p>
        </w:tc>
      </w:tr>
      <w:tr w:rsidR="00234376" w:rsidRPr="00537C3C">
        <w:tc>
          <w:tcPr>
            <w:tcW w:w="2527" w:type="pct"/>
            <w:gridSpan w:val="8"/>
            <w:tcBorders>
              <w:left w:val="nil"/>
              <w:bottom w:val="nil"/>
              <w:right w:val="nil"/>
            </w:tcBorders>
          </w:tcPr>
          <w:p w:rsidR="00234376" w:rsidRPr="00537C3C" w:rsidRDefault="00234376" w:rsidP="008E03A7">
            <w:pPr>
              <w:pStyle w:val="TableTextLessSpaceCharCharCharCharCharCharCharChar"/>
              <w:rPr>
                <w:b/>
                <w:i/>
              </w:rPr>
            </w:pPr>
            <w:r w:rsidRPr="00537C3C">
              <w:rPr>
                <w:b/>
                <w:i/>
              </w:rPr>
              <w:t>Without seeded cases</w:t>
            </w:r>
          </w:p>
        </w:tc>
        <w:tc>
          <w:tcPr>
            <w:tcW w:w="892" w:type="pct"/>
            <w:gridSpan w:val="4"/>
            <w:tcBorders>
              <w:left w:val="nil"/>
              <w:bottom w:val="nil"/>
              <w:right w:val="nil"/>
            </w:tcBorders>
          </w:tcPr>
          <w:p w:rsidR="00234376" w:rsidRPr="00537C3C" w:rsidRDefault="00234376" w:rsidP="008E03A7">
            <w:pPr>
              <w:pStyle w:val="TableTextLessSpaceCharCharCharCharCharCharCharChar"/>
              <w:jc w:val="center"/>
              <w:rPr>
                <w:i/>
                <w:sz w:val="16"/>
                <w:szCs w:val="16"/>
              </w:rPr>
            </w:pPr>
          </w:p>
        </w:tc>
        <w:tc>
          <w:tcPr>
            <w:tcW w:w="915" w:type="pct"/>
            <w:gridSpan w:val="3"/>
            <w:tcBorders>
              <w:left w:val="nil"/>
              <w:bottom w:val="nil"/>
              <w:right w:val="nil"/>
            </w:tcBorders>
          </w:tcPr>
          <w:p w:rsidR="00234376" w:rsidRPr="00537C3C" w:rsidRDefault="00234376" w:rsidP="008E03A7">
            <w:pPr>
              <w:pStyle w:val="TableTextLessSpaceCharCharCharCharCharCharCharChar"/>
              <w:jc w:val="center"/>
              <w:rPr>
                <w:i/>
                <w:sz w:val="16"/>
                <w:szCs w:val="16"/>
              </w:rPr>
            </w:pPr>
          </w:p>
        </w:tc>
        <w:tc>
          <w:tcPr>
            <w:tcW w:w="319" w:type="pct"/>
            <w:tcBorders>
              <w:left w:val="nil"/>
              <w:right w:val="nil"/>
            </w:tcBorders>
          </w:tcPr>
          <w:p w:rsidR="00234376" w:rsidRPr="00537C3C" w:rsidRDefault="00234376" w:rsidP="008E03A7">
            <w:pPr>
              <w:spacing w:after="0"/>
              <w:ind w:left="0"/>
              <w:rPr>
                <w:i/>
              </w:rPr>
            </w:pPr>
          </w:p>
        </w:tc>
        <w:tc>
          <w:tcPr>
            <w:tcW w:w="347" w:type="pct"/>
            <w:tcBorders>
              <w:left w:val="nil"/>
              <w:right w:val="nil"/>
            </w:tcBorders>
          </w:tcPr>
          <w:p w:rsidR="00234376" w:rsidRPr="00537C3C" w:rsidRDefault="00234376" w:rsidP="008E03A7">
            <w:pPr>
              <w:spacing w:after="0"/>
              <w:ind w:left="0"/>
              <w:rPr>
                <w:i/>
              </w:rPr>
            </w:pPr>
          </w:p>
        </w:tc>
      </w:tr>
      <w:tr w:rsidR="00234376" w:rsidRPr="00537C3C">
        <w:tc>
          <w:tcPr>
            <w:tcW w:w="420" w:type="pct"/>
            <w:vMerge w:val="restart"/>
            <w:tcBorders>
              <w:left w:val="nil"/>
              <w:right w:val="nil"/>
            </w:tcBorders>
          </w:tcPr>
          <w:p w:rsidR="00234376" w:rsidRPr="00537C3C" w:rsidRDefault="00234376" w:rsidP="008E03A7">
            <w:pPr>
              <w:pStyle w:val="TableTextLessSpaceCharCharCharCharCharCharCharChar"/>
            </w:pPr>
            <w:r w:rsidRPr="00537C3C">
              <w:t>Roberts et al. 2007</w:t>
            </w:r>
          </w:p>
          <w:p w:rsidR="00234376" w:rsidRPr="00537C3C" w:rsidRDefault="00234376" w:rsidP="008E03A7">
            <w:pPr>
              <w:pStyle w:val="TableTextLessSpaceCharCharCharCharCharCharCharChar"/>
            </w:pPr>
          </w:p>
          <w:p w:rsidR="00234376" w:rsidRPr="00537C3C" w:rsidRDefault="00234376" w:rsidP="008E03A7">
            <w:pPr>
              <w:pStyle w:val="TableTextLessSpaceCharCharCharCharCharCharCharChar"/>
            </w:pPr>
            <w:r w:rsidRPr="00537C3C">
              <w:rPr>
                <w:rFonts w:cs="Garamond"/>
                <w:szCs w:val="18"/>
              </w:rPr>
              <w:t>11 416</w:t>
            </w:r>
          </w:p>
        </w:tc>
        <w:tc>
          <w:tcPr>
            <w:tcW w:w="226" w:type="pct"/>
            <w:gridSpan w:val="2"/>
            <w:tcBorders>
              <w:left w:val="nil"/>
              <w:bottom w:val="nil"/>
              <w:right w:val="nil"/>
            </w:tcBorders>
          </w:tcPr>
          <w:p w:rsidR="00234376" w:rsidRPr="00537C3C" w:rsidRDefault="00234376" w:rsidP="008E03A7">
            <w:pPr>
              <w:pStyle w:val="TableTextLessSpaceCharCharCharCharCharCharCharChar"/>
              <w:rPr>
                <w:rFonts w:cs="Garamond"/>
                <w:szCs w:val="18"/>
              </w:rPr>
            </w:pPr>
            <w:r w:rsidRPr="00537C3C">
              <w:rPr>
                <w:rFonts w:cs="Garamond"/>
                <w:szCs w:val="18"/>
              </w:rPr>
              <w:t>0.95</w:t>
            </w:r>
          </w:p>
        </w:tc>
        <w:tc>
          <w:tcPr>
            <w:tcW w:w="539" w:type="pct"/>
            <w:tcBorders>
              <w:left w:val="nil"/>
              <w:bottom w:val="nil"/>
              <w:right w:val="nil"/>
            </w:tcBorders>
          </w:tcPr>
          <w:p w:rsidR="00234376" w:rsidRPr="00537C3C" w:rsidRDefault="00234376" w:rsidP="008E03A7">
            <w:pPr>
              <w:pStyle w:val="TableTextLessSpaceCharCharCharCharCharCharCharChar"/>
              <w:rPr>
                <w:rFonts w:cs="Garamond"/>
                <w:szCs w:val="18"/>
              </w:rPr>
            </w:pPr>
            <w:r w:rsidRPr="00BB76D8">
              <w:rPr>
                <w:rFonts w:cs="Garamond"/>
                <w:szCs w:val="18"/>
              </w:rPr>
              <w:t>pHSIL</w:t>
            </w:r>
            <w:r w:rsidRPr="00537C3C">
              <w:rPr>
                <w:rFonts w:cs="Garamond"/>
                <w:szCs w:val="18"/>
              </w:rPr>
              <w:t xml:space="preserve">/ </w:t>
            </w:r>
            <w:r w:rsidRPr="00BB76D8">
              <w:rPr>
                <w:rFonts w:cs="Garamond"/>
                <w:szCs w:val="18"/>
              </w:rPr>
              <w:t>HSIL</w:t>
            </w:r>
            <w:r w:rsidRPr="00537C3C">
              <w:rPr>
                <w:rFonts w:cs="Garamond"/>
                <w:szCs w:val="18"/>
              </w:rPr>
              <w:t>, incl glandular</w:t>
            </w:r>
          </w:p>
        </w:tc>
        <w:tc>
          <w:tcPr>
            <w:tcW w:w="430" w:type="pct"/>
            <w:gridSpan w:val="2"/>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–1.31</w:t>
            </w:r>
          </w:p>
        </w:tc>
        <w:tc>
          <w:tcPr>
            <w:tcW w:w="501"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–2.45</w:t>
            </w:r>
          </w:p>
        </w:tc>
        <w:tc>
          <w:tcPr>
            <w:tcW w:w="411"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 : –1.87</w:t>
            </w:r>
          </w:p>
        </w:tc>
        <w:tc>
          <w:tcPr>
            <w:tcW w:w="299"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80</w:t>
            </w:r>
          </w:p>
        </w:tc>
        <w:tc>
          <w:tcPr>
            <w:tcW w:w="276" w:type="pct"/>
            <w:gridSpan w:val="2"/>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42</w:t>
            </w:r>
          </w:p>
        </w:tc>
        <w:tc>
          <w:tcPr>
            <w:tcW w:w="317"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1:0.53</w:t>
            </w:r>
          </w:p>
        </w:tc>
        <w:tc>
          <w:tcPr>
            <w:tcW w:w="322"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95</w:t>
            </w:r>
          </w:p>
        </w:tc>
        <w:tc>
          <w:tcPr>
            <w:tcW w:w="322"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70</w:t>
            </w:r>
          </w:p>
        </w:tc>
        <w:tc>
          <w:tcPr>
            <w:tcW w:w="271"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1:0.74</w:t>
            </w:r>
          </w:p>
        </w:tc>
        <w:tc>
          <w:tcPr>
            <w:tcW w:w="319"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0.26</w:t>
            </w:r>
          </w:p>
        </w:tc>
        <w:tc>
          <w:tcPr>
            <w:tcW w:w="347" w:type="pct"/>
            <w:tcBorders>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 xml:space="preserve"> &lt; 0.001</w:t>
            </w:r>
          </w:p>
        </w:tc>
      </w:tr>
      <w:tr w:rsidR="00234376" w:rsidRPr="00537C3C">
        <w:trPr>
          <w:trHeight w:val="631"/>
        </w:trPr>
        <w:tc>
          <w:tcPr>
            <w:tcW w:w="420" w:type="pct"/>
            <w:vMerge/>
            <w:tcBorders>
              <w:left w:val="nil"/>
              <w:right w:val="nil"/>
            </w:tcBorders>
          </w:tcPr>
          <w:p w:rsidR="00234376" w:rsidRPr="00537C3C" w:rsidRDefault="00234376" w:rsidP="008E03A7">
            <w:pPr>
              <w:pStyle w:val="TableTextLessSpaceCharCharCharCharCharCharCharChar"/>
              <w:rPr>
                <w:rFonts w:cs="Arial"/>
                <w:szCs w:val="18"/>
              </w:rPr>
            </w:pPr>
          </w:p>
        </w:tc>
        <w:tc>
          <w:tcPr>
            <w:tcW w:w="226" w:type="pct"/>
            <w:gridSpan w:val="2"/>
            <w:tcBorders>
              <w:top w:val="nil"/>
              <w:left w:val="nil"/>
              <w:bottom w:val="nil"/>
              <w:right w:val="nil"/>
            </w:tcBorders>
          </w:tcPr>
          <w:p w:rsidR="00234376" w:rsidRPr="00537C3C" w:rsidRDefault="00234376" w:rsidP="008E03A7">
            <w:pPr>
              <w:pStyle w:val="TableTextLessSpaceCharCharCharCharCharCharCharChar"/>
              <w:rPr>
                <w:rFonts w:cs="Garamond"/>
                <w:szCs w:val="18"/>
              </w:rPr>
            </w:pPr>
          </w:p>
        </w:tc>
        <w:tc>
          <w:tcPr>
            <w:tcW w:w="539" w:type="pct"/>
            <w:tcBorders>
              <w:top w:val="nil"/>
              <w:left w:val="nil"/>
              <w:bottom w:val="nil"/>
              <w:right w:val="nil"/>
            </w:tcBorders>
          </w:tcPr>
          <w:p w:rsidR="00234376" w:rsidRPr="00537C3C" w:rsidRDefault="00234376" w:rsidP="008E03A7">
            <w:pPr>
              <w:pStyle w:val="TableTextLessSpaceCharCharCharCharCharCharCharChar"/>
              <w:rPr>
                <w:rFonts w:cs="Garamond"/>
                <w:szCs w:val="18"/>
              </w:rPr>
            </w:pPr>
            <w:r w:rsidRPr="00BB76D8">
              <w:rPr>
                <w:rFonts w:cs="Garamond"/>
                <w:szCs w:val="18"/>
              </w:rPr>
              <w:t>pHSIL</w:t>
            </w:r>
            <w:r w:rsidRPr="00537C3C">
              <w:rPr>
                <w:rFonts w:cs="Garamond"/>
                <w:szCs w:val="18"/>
              </w:rPr>
              <w:t xml:space="preserve">/ </w:t>
            </w:r>
            <w:r w:rsidRPr="00BB76D8">
              <w:rPr>
                <w:rFonts w:cs="Garamond"/>
                <w:szCs w:val="18"/>
              </w:rPr>
              <w:t>HSIL</w:t>
            </w:r>
            <w:r w:rsidRPr="00537C3C">
              <w:rPr>
                <w:rFonts w:cs="Garamond"/>
                <w:szCs w:val="18"/>
              </w:rPr>
              <w:t>, excl glandular</w:t>
            </w:r>
          </w:p>
        </w:tc>
        <w:tc>
          <w:tcPr>
            <w:tcW w:w="430" w:type="pct"/>
            <w:gridSpan w:val="2"/>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–1.14</w:t>
            </w:r>
          </w:p>
        </w:tc>
        <w:tc>
          <w:tcPr>
            <w:tcW w:w="50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41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299"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78</w:t>
            </w:r>
          </w:p>
        </w:tc>
        <w:tc>
          <w:tcPr>
            <w:tcW w:w="276" w:type="pct"/>
            <w:gridSpan w:val="2"/>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317"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322"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91</w:t>
            </w:r>
          </w:p>
        </w:tc>
        <w:tc>
          <w:tcPr>
            <w:tcW w:w="322"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27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319"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0.32</w:t>
            </w:r>
          </w:p>
        </w:tc>
        <w:tc>
          <w:tcPr>
            <w:tcW w:w="347"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r>
      <w:tr w:rsidR="00234376" w:rsidRPr="00537C3C">
        <w:tc>
          <w:tcPr>
            <w:tcW w:w="420" w:type="pct"/>
            <w:tcBorders>
              <w:left w:val="nil"/>
              <w:bottom w:val="nil"/>
              <w:right w:val="nil"/>
            </w:tcBorders>
          </w:tcPr>
          <w:p w:rsidR="00234376" w:rsidRPr="00537C3C" w:rsidRDefault="00234376" w:rsidP="008E03A7">
            <w:pPr>
              <w:pStyle w:val="TableTextLessSpaceCharCharCharCharCharCharCharChar"/>
              <w:rPr>
                <w:rFonts w:cs="Garamond"/>
                <w:szCs w:val="18"/>
              </w:rPr>
            </w:pPr>
            <w:r w:rsidRPr="00537C3C">
              <w:rPr>
                <w:rFonts w:cs="Garamond"/>
                <w:szCs w:val="18"/>
              </w:rPr>
              <w:t>Bolger, 2006</w:t>
            </w:r>
          </w:p>
        </w:tc>
        <w:tc>
          <w:tcPr>
            <w:tcW w:w="226" w:type="pct"/>
            <w:gridSpan w:val="2"/>
            <w:tcBorders>
              <w:left w:val="nil"/>
              <w:bottom w:val="nil"/>
              <w:right w:val="nil"/>
            </w:tcBorders>
          </w:tcPr>
          <w:p w:rsidR="00234376" w:rsidRPr="00537C3C" w:rsidRDefault="00234376" w:rsidP="008E03A7">
            <w:pPr>
              <w:pStyle w:val="TableTextLessSpaceCharCharCharCharCharCharCharChar"/>
              <w:rPr>
                <w:rFonts w:cs="Garamond"/>
                <w:szCs w:val="18"/>
                <w:vertAlign w:val="superscript"/>
              </w:rPr>
            </w:pPr>
            <w:r w:rsidRPr="00537C3C">
              <w:rPr>
                <w:rFonts w:cs="Garamond"/>
                <w:szCs w:val="18"/>
              </w:rPr>
              <w:t>1.4</w:t>
            </w:r>
          </w:p>
        </w:tc>
        <w:tc>
          <w:tcPr>
            <w:tcW w:w="539" w:type="pct"/>
            <w:tcBorders>
              <w:left w:val="nil"/>
              <w:bottom w:val="nil"/>
              <w:right w:val="nil"/>
            </w:tcBorders>
          </w:tcPr>
          <w:p w:rsidR="00234376" w:rsidRPr="00537C3C" w:rsidRDefault="00234376" w:rsidP="008E03A7">
            <w:pPr>
              <w:pStyle w:val="TableTextLessSpaceCharCharCharCharCharCharCharChar"/>
              <w:rPr>
                <w:rFonts w:cs="Garamond"/>
                <w:szCs w:val="18"/>
                <w:vertAlign w:val="superscript"/>
              </w:rPr>
            </w:pPr>
            <w:r w:rsidRPr="00BB76D8">
              <w:rPr>
                <w:rFonts w:cs="Garamond"/>
                <w:szCs w:val="18"/>
              </w:rPr>
              <w:t>HSIL</w:t>
            </w:r>
            <w:r w:rsidRPr="00537C3C">
              <w:rPr>
                <w:rFonts w:cs="Garamond"/>
                <w:szCs w:val="18"/>
              </w:rPr>
              <w:t xml:space="preserve"> </w:t>
            </w:r>
            <w:r w:rsidRPr="00537C3C">
              <w:rPr>
                <w:rFonts w:cs="Garamond"/>
                <w:szCs w:val="18"/>
                <w:vertAlign w:val="superscript"/>
              </w:rPr>
              <w:t>a</w:t>
            </w:r>
          </w:p>
        </w:tc>
        <w:tc>
          <w:tcPr>
            <w:tcW w:w="430" w:type="pct"/>
            <w:gridSpan w:val="2"/>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–0.83</w:t>
            </w:r>
          </w:p>
        </w:tc>
        <w:tc>
          <w:tcPr>
            <w:tcW w:w="501"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–0.33</w:t>
            </w:r>
          </w:p>
        </w:tc>
        <w:tc>
          <w:tcPr>
            <w:tcW w:w="411"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 : –0.4</w:t>
            </w:r>
          </w:p>
        </w:tc>
        <w:tc>
          <w:tcPr>
            <w:tcW w:w="299"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69</w:t>
            </w:r>
          </w:p>
        </w:tc>
        <w:tc>
          <w:tcPr>
            <w:tcW w:w="276" w:type="pct"/>
            <w:gridSpan w:val="2"/>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5</w:t>
            </w:r>
          </w:p>
        </w:tc>
        <w:tc>
          <w:tcPr>
            <w:tcW w:w="317"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1:0.07</w:t>
            </w:r>
          </w:p>
        </w:tc>
        <w:tc>
          <w:tcPr>
            <w:tcW w:w="322"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74</w:t>
            </w:r>
          </w:p>
        </w:tc>
        <w:tc>
          <w:tcPr>
            <w:tcW w:w="322"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7</w:t>
            </w:r>
          </w:p>
        </w:tc>
        <w:tc>
          <w:tcPr>
            <w:tcW w:w="271"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1:0.09</w:t>
            </w:r>
          </w:p>
        </w:tc>
        <w:tc>
          <w:tcPr>
            <w:tcW w:w="319"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0.67</w:t>
            </w:r>
          </w:p>
        </w:tc>
        <w:tc>
          <w:tcPr>
            <w:tcW w:w="347" w:type="pct"/>
            <w:tcBorders>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0.56</w:t>
            </w:r>
          </w:p>
        </w:tc>
      </w:tr>
      <w:tr w:rsidR="00234376" w:rsidRPr="00537C3C">
        <w:tc>
          <w:tcPr>
            <w:tcW w:w="420" w:type="pct"/>
            <w:tcBorders>
              <w:top w:val="nil"/>
              <w:left w:val="nil"/>
              <w:bottom w:val="nil"/>
              <w:right w:val="nil"/>
            </w:tcBorders>
          </w:tcPr>
          <w:p w:rsidR="00234376" w:rsidRPr="00537C3C" w:rsidRDefault="00234376" w:rsidP="008E03A7">
            <w:pPr>
              <w:pStyle w:val="TableTextLessSpaceCharCharCharCharCharCharCharChar"/>
            </w:pPr>
            <w:r w:rsidRPr="00537C3C">
              <w:rPr>
                <w:rFonts w:cs="Garamond"/>
                <w:szCs w:val="18"/>
              </w:rPr>
              <w:t>6000</w:t>
            </w:r>
          </w:p>
        </w:tc>
        <w:tc>
          <w:tcPr>
            <w:tcW w:w="226" w:type="pct"/>
            <w:gridSpan w:val="2"/>
            <w:tcBorders>
              <w:top w:val="nil"/>
              <w:left w:val="nil"/>
              <w:bottom w:val="nil"/>
              <w:right w:val="nil"/>
            </w:tcBorders>
          </w:tcPr>
          <w:p w:rsidR="00234376" w:rsidRPr="00537C3C" w:rsidRDefault="00234376" w:rsidP="008E03A7">
            <w:pPr>
              <w:pStyle w:val="TableTextLessSpaceCharCharCharCharCharCharCharChar"/>
              <w:rPr>
                <w:sz w:val="16"/>
                <w:szCs w:val="16"/>
              </w:rPr>
            </w:pPr>
          </w:p>
        </w:tc>
        <w:tc>
          <w:tcPr>
            <w:tcW w:w="539" w:type="pct"/>
            <w:tcBorders>
              <w:top w:val="nil"/>
              <w:left w:val="nil"/>
              <w:bottom w:val="nil"/>
              <w:right w:val="nil"/>
            </w:tcBorders>
          </w:tcPr>
          <w:p w:rsidR="00234376" w:rsidRPr="00537C3C" w:rsidRDefault="00234376" w:rsidP="008E03A7">
            <w:pPr>
              <w:pStyle w:val="TableTextLessSpaceCharCharCharCharCharCharCharChar"/>
              <w:rPr>
                <w:rFonts w:cs="Garamond"/>
                <w:szCs w:val="18"/>
                <w:vertAlign w:val="superscript"/>
              </w:rPr>
            </w:pPr>
            <w:r w:rsidRPr="00BB76D8">
              <w:rPr>
                <w:rFonts w:cs="Garamond"/>
                <w:szCs w:val="18"/>
              </w:rPr>
              <w:t>CIN</w:t>
            </w:r>
            <w:r w:rsidRPr="00537C3C">
              <w:rPr>
                <w:rFonts w:cs="Garamond"/>
                <w:szCs w:val="18"/>
              </w:rPr>
              <w:t xml:space="preserve"> 1</w:t>
            </w:r>
          </w:p>
        </w:tc>
        <w:tc>
          <w:tcPr>
            <w:tcW w:w="430" w:type="pct"/>
            <w:gridSpan w:val="2"/>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–0.17</w:t>
            </w:r>
          </w:p>
        </w:tc>
        <w:tc>
          <w:tcPr>
            <w:tcW w:w="50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–0.83</w:t>
            </w:r>
          </w:p>
        </w:tc>
        <w:tc>
          <w:tcPr>
            <w:tcW w:w="41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 : –5.0</w:t>
            </w:r>
          </w:p>
        </w:tc>
        <w:tc>
          <w:tcPr>
            <w:tcW w:w="299"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80</w:t>
            </w:r>
          </w:p>
        </w:tc>
        <w:tc>
          <w:tcPr>
            <w:tcW w:w="276" w:type="pct"/>
            <w:gridSpan w:val="2"/>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370</w:t>
            </w:r>
          </w:p>
        </w:tc>
        <w:tc>
          <w:tcPr>
            <w:tcW w:w="317"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1:4.63</w:t>
            </w:r>
          </w:p>
        </w:tc>
        <w:tc>
          <w:tcPr>
            <w:tcW w:w="322"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81</w:t>
            </w:r>
          </w:p>
        </w:tc>
        <w:tc>
          <w:tcPr>
            <w:tcW w:w="322"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375</w:t>
            </w:r>
          </w:p>
        </w:tc>
        <w:tc>
          <w:tcPr>
            <w:tcW w:w="27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1:4.63</w:t>
            </w:r>
          </w:p>
        </w:tc>
        <w:tc>
          <w:tcPr>
            <w:tcW w:w="319"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0.94</w:t>
            </w:r>
          </w:p>
        </w:tc>
        <w:tc>
          <w:tcPr>
            <w:tcW w:w="347"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0.85</w:t>
            </w:r>
          </w:p>
        </w:tc>
      </w:tr>
      <w:tr w:rsidR="00234376" w:rsidRPr="00537C3C">
        <w:tc>
          <w:tcPr>
            <w:tcW w:w="420" w:type="pct"/>
            <w:tcBorders>
              <w:top w:val="nil"/>
              <w:left w:val="nil"/>
              <w:right w:val="nil"/>
            </w:tcBorders>
          </w:tcPr>
          <w:p w:rsidR="00234376" w:rsidRPr="00537C3C" w:rsidRDefault="00234376" w:rsidP="008E03A7">
            <w:pPr>
              <w:pStyle w:val="TableTextLessSpaceCharCharCharCharCharCharCharChar"/>
            </w:pPr>
          </w:p>
        </w:tc>
        <w:tc>
          <w:tcPr>
            <w:tcW w:w="226" w:type="pct"/>
            <w:gridSpan w:val="2"/>
            <w:tcBorders>
              <w:top w:val="nil"/>
              <w:left w:val="nil"/>
              <w:right w:val="nil"/>
            </w:tcBorders>
          </w:tcPr>
          <w:p w:rsidR="00234376" w:rsidRPr="00537C3C" w:rsidRDefault="00234376" w:rsidP="008E03A7">
            <w:pPr>
              <w:pStyle w:val="TableTextLessSpaceCharCharCharCharCharCharCharChar"/>
              <w:rPr>
                <w:sz w:val="16"/>
                <w:szCs w:val="16"/>
              </w:rPr>
            </w:pPr>
          </w:p>
        </w:tc>
        <w:tc>
          <w:tcPr>
            <w:tcW w:w="539" w:type="pct"/>
            <w:tcBorders>
              <w:top w:val="nil"/>
              <w:left w:val="nil"/>
              <w:right w:val="nil"/>
            </w:tcBorders>
          </w:tcPr>
          <w:p w:rsidR="00234376" w:rsidRPr="00537C3C" w:rsidRDefault="00234376" w:rsidP="008E03A7">
            <w:pPr>
              <w:pStyle w:val="TableTextLessSpaceCharCharCharCharCharCharCharChar"/>
              <w:rPr>
                <w:rFonts w:cs="Garamond"/>
                <w:szCs w:val="18"/>
                <w:vertAlign w:val="superscript"/>
              </w:rPr>
            </w:pPr>
            <w:r w:rsidRPr="00BB76D8">
              <w:rPr>
                <w:rFonts w:cs="Garamond"/>
                <w:szCs w:val="18"/>
              </w:rPr>
              <w:t>pLSIL</w:t>
            </w:r>
            <w:r w:rsidRPr="00537C3C">
              <w:rPr>
                <w:rFonts w:cs="Garamond"/>
                <w:szCs w:val="18"/>
              </w:rPr>
              <w:t xml:space="preserve"> </w:t>
            </w:r>
            <w:r w:rsidRPr="00537C3C">
              <w:rPr>
                <w:rFonts w:cs="Garamond"/>
                <w:szCs w:val="18"/>
                <w:vertAlign w:val="superscript"/>
              </w:rPr>
              <w:t>b</w:t>
            </w:r>
          </w:p>
        </w:tc>
        <w:tc>
          <w:tcPr>
            <w:tcW w:w="430" w:type="pct"/>
            <w:gridSpan w:val="2"/>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w:t>
            </w:r>
          </w:p>
        </w:tc>
        <w:tc>
          <w:tcPr>
            <w:tcW w:w="501"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–0.83</w:t>
            </w:r>
          </w:p>
        </w:tc>
        <w:tc>
          <w:tcPr>
            <w:tcW w:w="411"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299"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82</w:t>
            </w:r>
          </w:p>
        </w:tc>
        <w:tc>
          <w:tcPr>
            <w:tcW w:w="276" w:type="pct"/>
            <w:gridSpan w:val="2"/>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706</w:t>
            </w:r>
          </w:p>
        </w:tc>
        <w:tc>
          <w:tcPr>
            <w:tcW w:w="317"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1:8.61</w:t>
            </w:r>
          </w:p>
        </w:tc>
        <w:tc>
          <w:tcPr>
            <w:tcW w:w="322"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82</w:t>
            </w:r>
          </w:p>
        </w:tc>
        <w:tc>
          <w:tcPr>
            <w:tcW w:w="322"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711</w:t>
            </w:r>
          </w:p>
        </w:tc>
        <w:tc>
          <w:tcPr>
            <w:tcW w:w="271"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1:8.67</w:t>
            </w:r>
          </w:p>
        </w:tc>
        <w:tc>
          <w:tcPr>
            <w:tcW w:w="319"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1.0</w:t>
            </w:r>
          </w:p>
        </w:tc>
        <w:tc>
          <w:tcPr>
            <w:tcW w:w="347"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0.89</w:t>
            </w:r>
          </w:p>
        </w:tc>
      </w:tr>
      <w:tr w:rsidR="00234376" w:rsidRPr="00537C3C">
        <w:tc>
          <w:tcPr>
            <w:tcW w:w="2527" w:type="pct"/>
            <w:gridSpan w:val="8"/>
            <w:tcBorders>
              <w:left w:val="nil"/>
              <w:bottom w:val="nil"/>
              <w:right w:val="nil"/>
            </w:tcBorders>
          </w:tcPr>
          <w:p w:rsidR="00234376" w:rsidRPr="00537C3C" w:rsidRDefault="00234376" w:rsidP="008E03A7">
            <w:pPr>
              <w:pStyle w:val="TableTextLessSpaceCharCharCharCharCharCharCharChar"/>
              <w:rPr>
                <w:b/>
                <w:i/>
              </w:rPr>
            </w:pPr>
            <w:r w:rsidRPr="00537C3C">
              <w:rPr>
                <w:b/>
                <w:i/>
              </w:rPr>
              <w:t>Including seeded cases</w:t>
            </w:r>
          </w:p>
        </w:tc>
        <w:tc>
          <w:tcPr>
            <w:tcW w:w="892" w:type="pct"/>
            <w:gridSpan w:val="4"/>
            <w:tcBorders>
              <w:left w:val="nil"/>
              <w:bottom w:val="nil"/>
              <w:right w:val="nil"/>
            </w:tcBorders>
          </w:tcPr>
          <w:p w:rsidR="00234376" w:rsidRPr="00537C3C" w:rsidRDefault="00234376" w:rsidP="008E03A7">
            <w:pPr>
              <w:pStyle w:val="TableTextLessSpaceCharCharCharCharCharCharCharChar"/>
              <w:jc w:val="center"/>
              <w:rPr>
                <w:i/>
                <w:sz w:val="16"/>
                <w:szCs w:val="16"/>
              </w:rPr>
            </w:pPr>
          </w:p>
        </w:tc>
        <w:tc>
          <w:tcPr>
            <w:tcW w:w="915" w:type="pct"/>
            <w:gridSpan w:val="3"/>
            <w:tcBorders>
              <w:left w:val="nil"/>
              <w:bottom w:val="nil"/>
              <w:right w:val="nil"/>
            </w:tcBorders>
          </w:tcPr>
          <w:p w:rsidR="00234376" w:rsidRPr="00537C3C" w:rsidRDefault="00234376" w:rsidP="008E03A7">
            <w:pPr>
              <w:pStyle w:val="TableTextLessSpaceCharCharCharCharCharCharCharChar"/>
              <w:jc w:val="center"/>
              <w:rPr>
                <w:i/>
                <w:sz w:val="16"/>
                <w:szCs w:val="16"/>
              </w:rPr>
            </w:pPr>
          </w:p>
        </w:tc>
        <w:tc>
          <w:tcPr>
            <w:tcW w:w="319" w:type="pct"/>
            <w:tcBorders>
              <w:left w:val="nil"/>
              <w:right w:val="nil"/>
            </w:tcBorders>
          </w:tcPr>
          <w:p w:rsidR="00234376" w:rsidRPr="00537C3C" w:rsidRDefault="00234376" w:rsidP="008E03A7">
            <w:pPr>
              <w:spacing w:after="0"/>
              <w:ind w:left="0"/>
              <w:rPr>
                <w:i/>
              </w:rPr>
            </w:pPr>
          </w:p>
        </w:tc>
        <w:tc>
          <w:tcPr>
            <w:tcW w:w="347" w:type="pct"/>
            <w:tcBorders>
              <w:left w:val="nil"/>
              <w:right w:val="nil"/>
            </w:tcBorders>
          </w:tcPr>
          <w:p w:rsidR="00234376" w:rsidRPr="00537C3C" w:rsidRDefault="00234376" w:rsidP="008E03A7">
            <w:pPr>
              <w:spacing w:after="0"/>
              <w:ind w:left="0"/>
              <w:rPr>
                <w:i/>
              </w:rPr>
            </w:pPr>
          </w:p>
        </w:tc>
      </w:tr>
      <w:tr w:rsidR="00234376" w:rsidRPr="00537C3C">
        <w:tc>
          <w:tcPr>
            <w:tcW w:w="420" w:type="pct"/>
            <w:tcBorders>
              <w:left w:val="nil"/>
              <w:bottom w:val="nil"/>
              <w:right w:val="nil"/>
            </w:tcBorders>
          </w:tcPr>
          <w:p w:rsidR="00234376" w:rsidRPr="00537C3C" w:rsidRDefault="00234376" w:rsidP="008E03A7">
            <w:pPr>
              <w:pStyle w:val="TableTextLessSpaceCharCharCharCharCharCharCharChar"/>
            </w:pPr>
            <w:r w:rsidRPr="00537C3C">
              <w:t>Biscotti, 2005</w:t>
            </w:r>
          </w:p>
        </w:tc>
        <w:tc>
          <w:tcPr>
            <w:tcW w:w="226" w:type="pct"/>
            <w:gridSpan w:val="2"/>
            <w:tcBorders>
              <w:left w:val="nil"/>
              <w:bottom w:val="nil"/>
              <w:right w:val="nil"/>
            </w:tcBorders>
          </w:tcPr>
          <w:p w:rsidR="00234376" w:rsidRPr="00537C3C" w:rsidRDefault="00234376" w:rsidP="008E03A7">
            <w:pPr>
              <w:pStyle w:val="TableTextLessSpaceCharCharCharCharCharCharCharChar"/>
              <w:rPr>
                <w:rFonts w:cs="Garamond"/>
                <w:szCs w:val="18"/>
                <w:vertAlign w:val="superscript"/>
              </w:rPr>
            </w:pPr>
            <w:r w:rsidRPr="00537C3C">
              <w:rPr>
                <w:rFonts w:cs="Garamond"/>
                <w:szCs w:val="18"/>
              </w:rPr>
              <w:t>1.3</w:t>
            </w:r>
            <w:r w:rsidRPr="00537C3C">
              <w:rPr>
                <w:rFonts w:cs="Garamond"/>
                <w:szCs w:val="18"/>
                <w:vertAlign w:val="superscript"/>
              </w:rPr>
              <w:t>d</w:t>
            </w:r>
          </w:p>
        </w:tc>
        <w:tc>
          <w:tcPr>
            <w:tcW w:w="539" w:type="pct"/>
            <w:tcBorders>
              <w:left w:val="nil"/>
              <w:bottom w:val="nil"/>
              <w:right w:val="nil"/>
            </w:tcBorders>
          </w:tcPr>
          <w:p w:rsidR="00234376" w:rsidRPr="00537C3C" w:rsidRDefault="00234376" w:rsidP="008E03A7">
            <w:pPr>
              <w:pStyle w:val="TableTextLessSpaceCharCharCharCharCharCharCharChar"/>
              <w:rPr>
                <w:rFonts w:cs="Garamond"/>
                <w:szCs w:val="18"/>
              </w:rPr>
            </w:pPr>
            <w:r w:rsidRPr="00BB76D8">
              <w:rPr>
                <w:rFonts w:cs="Garamond"/>
                <w:szCs w:val="18"/>
              </w:rPr>
              <w:t>HSIL</w:t>
            </w:r>
            <w:r w:rsidRPr="00537C3C">
              <w:rPr>
                <w:rFonts w:cs="Garamond"/>
                <w:szCs w:val="18"/>
              </w:rPr>
              <w:t xml:space="preserve">, excl </w:t>
            </w:r>
            <w:r w:rsidRPr="00BB76D8">
              <w:rPr>
                <w:rFonts w:cs="Garamond"/>
                <w:szCs w:val="18"/>
              </w:rPr>
              <w:t>AGUS</w:t>
            </w:r>
          </w:p>
        </w:tc>
        <w:tc>
          <w:tcPr>
            <w:tcW w:w="430" w:type="pct"/>
            <w:gridSpan w:val="2"/>
            <w:tcBorders>
              <w:left w:val="nil"/>
              <w:bottom w:val="nil"/>
              <w:right w:val="nil"/>
            </w:tcBorders>
          </w:tcPr>
          <w:p w:rsidR="00234376" w:rsidRPr="00537C3C" w:rsidRDefault="00234376" w:rsidP="008E03A7">
            <w:pPr>
              <w:pStyle w:val="TableTextLessSpaceCharCharCharCharCharCharCharChar"/>
              <w:jc w:val="center"/>
              <w:rPr>
                <w:rFonts w:cs="Garamond"/>
                <w:szCs w:val="18"/>
              </w:rPr>
            </w:pPr>
            <w:r w:rsidRPr="00537C3C">
              <w:rPr>
                <w:rFonts w:cs="Garamond"/>
                <w:szCs w:val="18"/>
              </w:rPr>
              <w:t>0.74</w:t>
            </w:r>
          </w:p>
        </w:tc>
        <w:tc>
          <w:tcPr>
            <w:tcW w:w="501" w:type="pct"/>
            <w:tcBorders>
              <w:left w:val="nil"/>
              <w:bottom w:val="nil"/>
              <w:right w:val="nil"/>
            </w:tcBorders>
          </w:tcPr>
          <w:p w:rsidR="00234376" w:rsidRPr="00537C3C" w:rsidRDefault="00234376" w:rsidP="008E03A7">
            <w:pPr>
              <w:pStyle w:val="TableTextLessSpaceCharCharCharCharCharCharCharChar"/>
              <w:jc w:val="center"/>
              <w:rPr>
                <w:rFonts w:cs="Garamond"/>
                <w:szCs w:val="18"/>
              </w:rPr>
            </w:pPr>
            <w:r w:rsidRPr="00537C3C">
              <w:rPr>
                <w:rFonts w:cs="Garamond"/>
                <w:szCs w:val="18"/>
              </w:rPr>
              <w:t>–1.68</w:t>
            </w:r>
          </w:p>
        </w:tc>
        <w:tc>
          <w:tcPr>
            <w:tcW w:w="411" w:type="pct"/>
            <w:tcBorders>
              <w:left w:val="nil"/>
              <w:bottom w:val="nil"/>
              <w:right w:val="nil"/>
            </w:tcBorders>
          </w:tcPr>
          <w:p w:rsidR="00234376" w:rsidRPr="00537C3C" w:rsidRDefault="00234376" w:rsidP="008E03A7">
            <w:pPr>
              <w:pStyle w:val="TableTextLessSpaceCharCharCharCharCharCharCharChar"/>
              <w:jc w:val="center"/>
              <w:rPr>
                <w:rFonts w:cs="Garamond"/>
                <w:szCs w:val="18"/>
              </w:rPr>
            </w:pPr>
            <w:r w:rsidRPr="00537C3C">
              <w:rPr>
                <w:rFonts w:cs="Arial"/>
                <w:szCs w:val="18"/>
              </w:rPr>
              <w:t>1 : –2.3</w:t>
            </w:r>
          </w:p>
        </w:tc>
        <w:tc>
          <w:tcPr>
            <w:tcW w:w="299" w:type="pct"/>
            <w:tcBorders>
              <w:left w:val="nil"/>
              <w:bottom w:val="nil"/>
              <w:right w:val="nil"/>
            </w:tcBorders>
          </w:tcPr>
          <w:p w:rsidR="00234376" w:rsidRPr="00537C3C" w:rsidRDefault="00234376" w:rsidP="008E03A7">
            <w:pPr>
              <w:pStyle w:val="TableTextLessSpaceCharCharCharCharCharCharCharChar"/>
              <w:jc w:val="center"/>
              <w:rPr>
                <w:rFonts w:cs="Garamond"/>
                <w:szCs w:val="18"/>
              </w:rPr>
            </w:pPr>
            <w:r w:rsidRPr="00537C3C">
              <w:rPr>
                <w:rFonts w:cs="Garamond"/>
                <w:szCs w:val="18"/>
              </w:rPr>
              <w:t>111</w:t>
            </w:r>
          </w:p>
        </w:tc>
        <w:tc>
          <w:tcPr>
            <w:tcW w:w="276" w:type="pct"/>
            <w:gridSpan w:val="2"/>
            <w:tcBorders>
              <w:left w:val="nil"/>
              <w:bottom w:val="nil"/>
              <w:right w:val="nil"/>
            </w:tcBorders>
          </w:tcPr>
          <w:p w:rsidR="00234376" w:rsidRPr="00537C3C" w:rsidRDefault="00234376" w:rsidP="008E03A7">
            <w:pPr>
              <w:pStyle w:val="TableTextLessSpaceCharCharCharCharCharCharCharChar"/>
              <w:jc w:val="center"/>
              <w:rPr>
                <w:rFonts w:cs="Garamond"/>
                <w:szCs w:val="18"/>
              </w:rPr>
            </w:pPr>
            <w:r w:rsidRPr="00537C3C">
              <w:rPr>
                <w:rFonts w:cs="Garamond"/>
                <w:szCs w:val="18"/>
              </w:rPr>
              <w:t>32</w:t>
            </w:r>
          </w:p>
        </w:tc>
        <w:tc>
          <w:tcPr>
            <w:tcW w:w="317" w:type="pct"/>
            <w:tcBorders>
              <w:left w:val="nil"/>
              <w:bottom w:val="nil"/>
              <w:right w:val="nil"/>
            </w:tcBorders>
          </w:tcPr>
          <w:p w:rsidR="00234376" w:rsidRPr="00537C3C" w:rsidRDefault="00234376" w:rsidP="008E03A7">
            <w:pPr>
              <w:pStyle w:val="TableTextLessSpaceCharCharCharCharCharCharCharChar"/>
              <w:jc w:val="center"/>
              <w:rPr>
                <w:rFonts w:cs="Garamond"/>
                <w:szCs w:val="18"/>
              </w:rPr>
            </w:pPr>
            <w:r w:rsidRPr="00537C3C">
              <w:rPr>
                <w:rFonts w:cs="Garamond"/>
                <w:szCs w:val="18"/>
              </w:rPr>
              <w:t>1:0.29</w:t>
            </w:r>
          </w:p>
        </w:tc>
        <w:tc>
          <w:tcPr>
            <w:tcW w:w="322" w:type="pct"/>
            <w:tcBorders>
              <w:left w:val="nil"/>
              <w:bottom w:val="nil"/>
              <w:right w:val="nil"/>
            </w:tcBorders>
          </w:tcPr>
          <w:p w:rsidR="00234376" w:rsidRPr="00537C3C" w:rsidRDefault="00234376" w:rsidP="008E03A7">
            <w:pPr>
              <w:pStyle w:val="TableTextLessSpaceCharCharCharCharCharCharCharChar"/>
              <w:jc w:val="center"/>
              <w:rPr>
                <w:rFonts w:cs="Garamond"/>
                <w:szCs w:val="18"/>
              </w:rPr>
            </w:pPr>
            <w:r w:rsidRPr="00537C3C">
              <w:rPr>
                <w:rFonts w:cs="Garamond"/>
                <w:szCs w:val="18"/>
              </w:rPr>
              <w:t>103</w:t>
            </w:r>
          </w:p>
        </w:tc>
        <w:tc>
          <w:tcPr>
            <w:tcW w:w="322" w:type="pct"/>
            <w:tcBorders>
              <w:left w:val="nil"/>
              <w:bottom w:val="nil"/>
              <w:right w:val="nil"/>
            </w:tcBorders>
          </w:tcPr>
          <w:p w:rsidR="00234376" w:rsidRPr="00537C3C" w:rsidRDefault="00234376" w:rsidP="008E03A7">
            <w:pPr>
              <w:pStyle w:val="TableTextLessSpaceCharCharCharCharCharCharCharChar"/>
              <w:jc w:val="center"/>
              <w:rPr>
                <w:rFonts w:cs="Garamond"/>
                <w:szCs w:val="18"/>
              </w:rPr>
            </w:pPr>
            <w:r w:rsidRPr="00537C3C">
              <w:rPr>
                <w:rFonts w:cs="Garamond"/>
                <w:szCs w:val="18"/>
              </w:rPr>
              <w:t>50</w:t>
            </w:r>
          </w:p>
        </w:tc>
        <w:tc>
          <w:tcPr>
            <w:tcW w:w="271" w:type="pct"/>
            <w:tcBorders>
              <w:left w:val="nil"/>
              <w:bottom w:val="nil"/>
              <w:right w:val="nil"/>
            </w:tcBorders>
          </w:tcPr>
          <w:p w:rsidR="00234376" w:rsidRPr="00537C3C" w:rsidRDefault="00234376" w:rsidP="008E03A7">
            <w:pPr>
              <w:pStyle w:val="TableTextLessSpaceCharCharCharCharCharCharCharChar"/>
              <w:rPr>
                <w:rFonts w:cs="Garamond"/>
                <w:szCs w:val="18"/>
              </w:rPr>
            </w:pPr>
            <w:r w:rsidRPr="00537C3C">
              <w:rPr>
                <w:rFonts w:cs="Garamond"/>
                <w:szCs w:val="18"/>
              </w:rPr>
              <w:t>1:0.49</w:t>
            </w:r>
          </w:p>
        </w:tc>
        <w:tc>
          <w:tcPr>
            <w:tcW w:w="319" w:type="pct"/>
            <w:tcBorders>
              <w:left w:val="nil"/>
              <w:bottom w:val="nil"/>
              <w:right w:val="nil"/>
            </w:tcBorders>
          </w:tcPr>
          <w:p w:rsidR="00234376" w:rsidRPr="00537C3C" w:rsidRDefault="00234376" w:rsidP="008E03A7">
            <w:pPr>
              <w:pStyle w:val="TableTextLessSpaceCharCharCharCharCharCharCharChar"/>
              <w:spacing w:before="60"/>
              <w:jc w:val="center"/>
            </w:pPr>
            <w:r w:rsidRPr="00537C3C">
              <w:rPr>
                <w:szCs w:val="18"/>
              </w:rPr>
              <w:t>0.58</w:t>
            </w:r>
          </w:p>
        </w:tc>
        <w:tc>
          <w:tcPr>
            <w:tcW w:w="347" w:type="pct"/>
            <w:tcBorders>
              <w:left w:val="nil"/>
              <w:bottom w:val="nil"/>
              <w:right w:val="nil"/>
            </w:tcBorders>
          </w:tcPr>
          <w:p w:rsidR="00234376" w:rsidRPr="00537C3C" w:rsidRDefault="00234376" w:rsidP="008E03A7">
            <w:pPr>
              <w:pStyle w:val="TableTextLessSpaceCharCharCharCharCharCharCharChar"/>
              <w:spacing w:before="60"/>
              <w:jc w:val="center"/>
            </w:pPr>
            <w:r w:rsidRPr="0030078D">
              <w:rPr>
                <w:i/>
              </w:rPr>
              <w:t>P</w:t>
            </w:r>
            <w:r w:rsidRPr="00537C3C">
              <w:t xml:space="preserve"> &lt; 0.01</w:t>
            </w:r>
          </w:p>
        </w:tc>
      </w:tr>
      <w:tr w:rsidR="00234376" w:rsidRPr="00537C3C">
        <w:tc>
          <w:tcPr>
            <w:tcW w:w="420" w:type="pct"/>
            <w:tcBorders>
              <w:top w:val="nil"/>
              <w:left w:val="nil"/>
              <w:bottom w:val="nil"/>
              <w:right w:val="nil"/>
            </w:tcBorders>
          </w:tcPr>
          <w:p w:rsidR="00234376" w:rsidRPr="00537C3C" w:rsidRDefault="00234376" w:rsidP="008E03A7">
            <w:pPr>
              <w:pStyle w:val="TableTextLessSpaceCharCharCharCharCharCharCharChar"/>
              <w:rPr>
                <w:vertAlign w:val="superscript"/>
              </w:rPr>
            </w:pPr>
            <w:r w:rsidRPr="00537C3C">
              <w:rPr>
                <w:rFonts w:cs="Garamond"/>
                <w:szCs w:val="18"/>
              </w:rPr>
              <w:t>10 742</w:t>
            </w:r>
            <w:r w:rsidRPr="00537C3C">
              <w:rPr>
                <w:rFonts w:cs="Garamond"/>
                <w:szCs w:val="18"/>
                <w:vertAlign w:val="superscript"/>
              </w:rPr>
              <w:t>e</w:t>
            </w:r>
          </w:p>
        </w:tc>
        <w:tc>
          <w:tcPr>
            <w:tcW w:w="226" w:type="pct"/>
            <w:gridSpan w:val="2"/>
            <w:tcBorders>
              <w:top w:val="nil"/>
              <w:left w:val="nil"/>
              <w:bottom w:val="nil"/>
              <w:right w:val="nil"/>
            </w:tcBorders>
          </w:tcPr>
          <w:p w:rsidR="00234376" w:rsidRPr="00537C3C" w:rsidRDefault="00234376" w:rsidP="008E03A7">
            <w:pPr>
              <w:pStyle w:val="TableTextLessSpaceCharCharCharCharCharCharCharChar"/>
              <w:rPr>
                <w:sz w:val="16"/>
                <w:szCs w:val="16"/>
              </w:rPr>
            </w:pPr>
          </w:p>
        </w:tc>
        <w:tc>
          <w:tcPr>
            <w:tcW w:w="539" w:type="pct"/>
            <w:tcBorders>
              <w:top w:val="nil"/>
              <w:left w:val="nil"/>
              <w:bottom w:val="nil"/>
              <w:right w:val="nil"/>
            </w:tcBorders>
          </w:tcPr>
          <w:p w:rsidR="00234376" w:rsidRPr="00537C3C" w:rsidRDefault="00234376" w:rsidP="008E03A7">
            <w:pPr>
              <w:pStyle w:val="TableTextLessSpaceCharCharCharCharCharCharCharChar"/>
              <w:rPr>
                <w:rFonts w:cs="Garamond"/>
                <w:szCs w:val="18"/>
              </w:rPr>
            </w:pPr>
            <w:r w:rsidRPr="00BB76D8">
              <w:rPr>
                <w:rFonts w:cs="Garamond"/>
                <w:szCs w:val="18"/>
              </w:rPr>
              <w:t>LSIL</w:t>
            </w:r>
            <w:r w:rsidRPr="00537C3C">
              <w:rPr>
                <w:rFonts w:cs="Garamond"/>
                <w:szCs w:val="18"/>
              </w:rPr>
              <w:t xml:space="preserve">, excl </w:t>
            </w:r>
            <w:r w:rsidRPr="00BB76D8">
              <w:rPr>
                <w:rFonts w:cs="Garamond"/>
                <w:szCs w:val="18"/>
              </w:rPr>
              <w:t>AGUS</w:t>
            </w:r>
          </w:p>
        </w:tc>
        <w:tc>
          <w:tcPr>
            <w:tcW w:w="430" w:type="pct"/>
            <w:gridSpan w:val="2"/>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0.37</w:t>
            </w:r>
          </w:p>
        </w:tc>
        <w:tc>
          <w:tcPr>
            <w:tcW w:w="50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–1.12</w:t>
            </w:r>
          </w:p>
        </w:tc>
        <w:tc>
          <w:tcPr>
            <w:tcW w:w="41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 : –3.0</w:t>
            </w:r>
          </w:p>
        </w:tc>
        <w:tc>
          <w:tcPr>
            <w:tcW w:w="299"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128</w:t>
            </w:r>
          </w:p>
        </w:tc>
        <w:tc>
          <w:tcPr>
            <w:tcW w:w="276" w:type="pct"/>
            <w:gridSpan w:val="2"/>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253</w:t>
            </w:r>
          </w:p>
        </w:tc>
        <w:tc>
          <w:tcPr>
            <w:tcW w:w="317"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1:1.98</w:t>
            </w:r>
          </w:p>
        </w:tc>
        <w:tc>
          <w:tcPr>
            <w:tcW w:w="322"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124</w:t>
            </w:r>
          </w:p>
        </w:tc>
        <w:tc>
          <w:tcPr>
            <w:tcW w:w="322"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265</w:t>
            </w:r>
          </w:p>
        </w:tc>
        <w:tc>
          <w:tcPr>
            <w:tcW w:w="27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p>
        </w:tc>
        <w:tc>
          <w:tcPr>
            <w:tcW w:w="319" w:type="pct"/>
            <w:tcBorders>
              <w:top w:val="nil"/>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0.80</w:t>
            </w:r>
          </w:p>
        </w:tc>
        <w:tc>
          <w:tcPr>
            <w:tcW w:w="347" w:type="pct"/>
            <w:tcBorders>
              <w:top w:val="nil"/>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0.59</w:t>
            </w:r>
          </w:p>
        </w:tc>
      </w:tr>
      <w:tr w:rsidR="00234376" w:rsidRPr="00537C3C">
        <w:tc>
          <w:tcPr>
            <w:tcW w:w="420" w:type="pct"/>
            <w:tcBorders>
              <w:top w:val="nil"/>
              <w:left w:val="nil"/>
              <w:bottom w:val="nil"/>
              <w:right w:val="nil"/>
            </w:tcBorders>
          </w:tcPr>
          <w:p w:rsidR="00234376" w:rsidRPr="00537C3C" w:rsidRDefault="00234376" w:rsidP="008E03A7">
            <w:pPr>
              <w:pStyle w:val="TableTextLessSpaceCharCharCharCharCharCharCharChar"/>
            </w:pPr>
          </w:p>
        </w:tc>
        <w:tc>
          <w:tcPr>
            <w:tcW w:w="226" w:type="pct"/>
            <w:gridSpan w:val="2"/>
            <w:tcBorders>
              <w:top w:val="nil"/>
              <w:left w:val="nil"/>
              <w:bottom w:val="nil"/>
              <w:right w:val="nil"/>
            </w:tcBorders>
          </w:tcPr>
          <w:p w:rsidR="00234376" w:rsidRPr="00537C3C" w:rsidRDefault="00234376" w:rsidP="008E03A7">
            <w:pPr>
              <w:pStyle w:val="TableTextLessSpaceCharCharCharCharCharCharCharChar"/>
              <w:rPr>
                <w:sz w:val="16"/>
                <w:szCs w:val="16"/>
              </w:rPr>
            </w:pPr>
          </w:p>
        </w:tc>
        <w:tc>
          <w:tcPr>
            <w:tcW w:w="539" w:type="pct"/>
            <w:tcBorders>
              <w:top w:val="nil"/>
              <w:left w:val="nil"/>
              <w:bottom w:val="nil"/>
              <w:right w:val="nil"/>
            </w:tcBorders>
          </w:tcPr>
          <w:p w:rsidR="00234376" w:rsidRPr="00537C3C" w:rsidRDefault="00234376" w:rsidP="008E03A7">
            <w:pPr>
              <w:pStyle w:val="TableTextLessSpaceCharCharCharCharCharCharCharChar"/>
              <w:rPr>
                <w:rFonts w:cs="Garamond"/>
                <w:szCs w:val="18"/>
              </w:rPr>
            </w:pPr>
            <w:r w:rsidRPr="00BB76D8">
              <w:rPr>
                <w:rFonts w:cs="Garamond"/>
                <w:szCs w:val="18"/>
              </w:rPr>
              <w:t>ASCUS</w:t>
            </w:r>
            <w:r w:rsidRPr="00537C3C">
              <w:rPr>
                <w:rFonts w:cs="Garamond"/>
                <w:szCs w:val="18"/>
              </w:rPr>
              <w:t xml:space="preserve">, excl </w:t>
            </w:r>
            <w:r w:rsidRPr="00BB76D8">
              <w:rPr>
                <w:rFonts w:cs="Garamond"/>
                <w:szCs w:val="18"/>
              </w:rPr>
              <w:t>AGUS</w:t>
            </w:r>
          </w:p>
        </w:tc>
        <w:tc>
          <w:tcPr>
            <w:tcW w:w="430" w:type="pct"/>
            <w:gridSpan w:val="2"/>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0.47</w:t>
            </w:r>
          </w:p>
        </w:tc>
        <w:tc>
          <w:tcPr>
            <w:tcW w:w="50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2.51</w:t>
            </w:r>
          </w:p>
        </w:tc>
        <w:tc>
          <w:tcPr>
            <w:tcW w:w="41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 : 5.4</w:t>
            </w:r>
          </w:p>
        </w:tc>
        <w:tc>
          <w:tcPr>
            <w:tcW w:w="299"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137</w:t>
            </w:r>
          </w:p>
        </w:tc>
        <w:tc>
          <w:tcPr>
            <w:tcW w:w="276" w:type="pct"/>
            <w:gridSpan w:val="2"/>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618</w:t>
            </w:r>
          </w:p>
        </w:tc>
        <w:tc>
          <w:tcPr>
            <w:tcW w:w="317"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1:4.51</w:t>
            </w:r>
          </w:p>
        </w:tc>
        <w:tc>
          <w:tcPr>
            <w:tcW w:w="322"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132</w:t>
            </w:r>
          </w:p>
        </w:tc>
        <w:tc>
          <w:tcPr>
            <w:tcW w:w="322"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591</w:t>
            </w:r>
          </w:p>
        </w:tc>
        <w:tc>
          <w:tcPr>
            <w:tcW w:w="27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p>
        </w:tc>
        <w:tc>
          <w:tcPr>
            <w:tcW w:w="319" w:type="pct"/>
            <w:tcBorders>
              <w:top w:val="nil"/>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0.76</w:t>
            </w:r>
          </w:p>
        </w:tc>
        <w:tc>
          <w:tcPr>
            <w:tcW w:w="347" w:type="pct"/>
            <w:tcBorders>
              <w:top w:val="nil"/>
              <w:left w:val="nil"/>
              <w:bottom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0.42</w:t>
            </w:r>
          </w:p>
        </w:tc>
      </w:tr>
      <w:tr w:rsidR="00234376" w:rsidRPr="00537C3C">
        <w:tc>
          <w:tcPr>
            <w:tcW w:w="420" w:type="pct"/>
            <w:tcBorders>
              <w:top w:val="nil"/>
              <w:left w:val="nil"/>
              <w:right w:val="nil"/>
            </w:tcBorders>
          </w:tcPr>
          <w:p w:rsidR="00234376" w:rsidRPr="00537C3C" w:rsidRDefault="00234376" w:rsidP="008E03A7">
            <w:pPr>
              <w:pStyle w:val="TableTextLessSpaceCharCharCharCharCharCharCharChar"/>
            </w:pPr>
          </w:p>
        </w:tc>
        <w:tc>
          <w:tcPr>
            <w:tcW w:w="226" w:type="pct"/>
            <w:gridSpan w:val="2"/>
            <w:tcBorders>
              <w:top w:val="nil"/>
              <w:left w:val="nil"/>
              <w:right w:val="nil"/>
            </w:tcBorders>
          </w:tcPr>
          <w:p w:rsidR="00234376" w:rsidRPr="00537C3C" w:rsidRDefault="00234376" w:rsidP="008E03A7">
            <w:pPr>
              <w:pStyle w:val="TableTextLessSpaceCharCharCharCharCharCharCharChar"/>
              <w:rPr>
                <w:sz w:val="16"/>
                <w:szCs w:val="16"/>
              </w:rPr>
            </w:pPr>
          </w:p>
        </w:tc>
        <w:tc>
          <w:tcPr>
            <w:tcW w:w="539" w:type="pct"/>
            <w:tcBorders>
              <w:top w:val="nil"/>
              <w:left w:val="nil"/>
              <w:right w:val="nil"/>
            </w:tcBorders>
          </w:tcPr>
          <w:p w:rsidR="00234376" w:rsidRPr="00537C3C" w:rsidRDefault="00234376" w:rsidP="008E03A7">
            <w:pPr>
              <w:pStyle w:val="TableTextLessSpaceCharCharCharCharCharCharCharChar"/>
              <w:rPr>
                <w:rFonts w:cs="Garamond"/>
                <w:szCs w:val="18"/>
              </w:rPr>
            </w:pPr>
            <w:r w:rsidRPr="00BB76D8">
              <w:rPr>
                <w:rFonts w:cs="Garamond"/>
                <w:szCs w:val="18"/>
              </w:rPr>
              <w:t>AGUS</w:t>
            </w:r>
            <w:r w:rsidRPr="00537C3C">
              <w:rPr>
                <w:rFonts w:cs="Garamond"/>
                <w:szCs w:val="18"/>
              </w:rPr>
              <w:t xml:space="preserve"> alone</w:t>
            </w:r>
          </w:p>
        </w:tc>
        <w:tc>
          <w:tcPr>
            <w:tcW w:w="430" w:type="pct"/>
            <w:gridSpan w:val="2"/>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w:t>
            </w:r>
          </w:p>
        </w:tc>
        <w:tc>
          <w:tcPr>
            <w:tcW w:w="501"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w:t>
            </w:r>
          </w:p>
        </w:tc>
        <w:tc>
          <w:tcPr>
            <w:tcW w:w="411"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299"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2</w:t>
            </w:r>
          </w:p>
        </w:tc>
        <w:tc>
          <w:tcPr>
            <w:tcW w:w="276" w:type="pct"/>
            <w:gridSpan w:val="2"/>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w:t>
            </w:r>
          </w:p>
        </w:tc>
        <w:tc>
          <w:tcPr>
            <w:tcW w:w="317"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22"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2</w:t>
            </w:r>
          </w:p>
        </w:tc>
        <w:tc>
          <w:tcPr>
            <w:tcW w:w="322"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0</w:t>
            </w:r>
          </w:p>
        </w:tc>
        <w:tc>
          <w:tcPr>
            <w:tcW w:w="271"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c>
          <w:tcPr>
            <w:tcW w:w="319" w:type="pct"/>
            <w:tcBorders>
              <w:top w:val="nil"/>
              <w:left w:val="nil"/>
              <w:right w:val="nil"/>
            </w:tcBorders>
          </w:tcPr>
          <w:p w:rsidR="00234376" w:rsidRPr="00537C3C" w:rsidRDefault="00234376" w:rsidP="008E03A7">
            <w:pPr>
              <w:pStyle w:val="TableTextLessSpaceCharCharCharCharCharCharCharChar"/>
              <w:spacing w:before="60"/>
              <w:jc w:val="center"/>
              <w:rPr>
                <w:szCs w:val="18"/>
              </w:rPr>
            </w:pPr>
            <w:r w:rsidRPr="00537C3C">
              <w:rPr>
                <w:szCs w:val="18"/>
              </w:rPr>
              <w:t>1.0</w:t>
            </w:r>
          </w:p>
        </w:tc>
        <w:tc>
          <w:tcPr>
            <w:tcW w:w="347"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w:t>
            </w:r>
          </w:p>
        </w:tc>
      </w:tr>
    </w:tbl>
    <w:p w:rsidR="00234376" w:rsidRPr="00537C3C" w:rsidRDefault="00234376" w:rsidP="008E03A7">
      <w:pPr>
        <w:pStyle w:val="TableNotesMiddle"/>
        <w:ind w:left="567" w:firstLine="0"/>
      </w:pPr>
      <w:r w:rsidRPr="00537C3C">
        <w:rPr>
          <w:i/>
        </w:rPr>
        <w:t xml:space="preserve">Abbreviations: </w:t>
      </w:r>
      <w:r w:rsidRPr="00537C3C">
        <w:t xml:space="preserve">bx = biopsy, </w:t>
      </w:r>
      <w:r w:rsidRPr="00BB76D8">
        <w:t>FP</w:t>
      </w:r>
      <w:r w:rsidRPr="00537C3C">
        <w:t xml:space="preserve"> = false positive, min = minimum, prev = prevalence, ref std = reference standard, </w:t>
      </w:r>
      <w:r w:rsidRPr="00BB76D8">
        <w:t>TP</w:t>
      </w:r>
      <w:r w:rsidRPr="00537C3C">
        <w:t xml:space="preserve"> = true positive, </w:t>
      </w:r>
      <w:r w:rsidRPr="00BB76D8">
        <w:t>TPI</w:t>
      </w:r>
      <w:r w:rsidRPr="00537C3C">
        <w:t xml:space="preserve"> = ThinPrep Imager.</w:t>
      </w:r>
    </w:p>
    <w:p w:rsidR="00234376" w:rsidRPr="00537C3C" w:rsidRDefault="00234376" w:rsidP="008E03A7">
      <w:pPr>
        <w:pStyle w:val="TableNotes"/>
        <w:sectPr w:rsidR="00234376" w:rsidRPr="00537C3C" w:rsidSect="008E03A7">
          <w:headerReference w:type="even" r:id="rId44"/>
          <w:headerReference w:type="default" r:id="rId45"/>
          <w:footerReference w:type="even" r:id="rId46"/>
          <w:headerReference w:type="first" r:id="rId47"/>
          <w:pgSz w:w="16838" w:h="11906" w:orient="landscape"/>
          <w:pgMar w:top="1440" w:right="1440" w:bottom="1440" w:left="1440" w:header="720" w:footer="720" w:gutter="0"/>
          <w:paperSrc w:first="15" w:other="15"/>
          <w:cols w:space="720"/>
        </w:sectPr>
      </w:pPr>
      <w:r w:rsidRPr="00537C3C">
        <w:rPr>
          <w:vertAlign w:val="superscript"/>
        </w:rPr>
        <w:t xml:space="preserve">a </w:t>
      </w:r>
      <w:r w:rsidRPr="00BB76D8">
        <w:t>CIN</w:t>
      </w:r>
      <w:r w:rsidRPr="00537C3C">
        <w:t xml:space="preserve"> 2. </w:t>
      </w:r>
      <w:r w:rsidRPr="00537C3C">
        <w:rPr>
          <w:vertAlign w:val="superscript"/>
        </w:rPr>
        <w:t xml:space="preserve">b </w:t>
      </w:r>
      <w:r w:rsidRPr="00537C3C">
        <w:t xml:space="preserve">Borderline nuclear abnormality. </w:t>
      </w:r>
      <w:r w:rsidRPr="00537C3C">
        <w:rPr>
          <w:vertAlign w:val="superscript"/>
        </w:rPr>
        <w:t>c</w:t>
      </w:r>
      <w:r w:rsidRPr="00537C3C">
        <w:t xml:space="preserve"> Reference standard positives. </w:t>
      </w:r>
      <w:r w:rsidRPr="00537C3C">
        <w:rPr>
          <w:vertAlign w:val="superscript"/>
        </w:rPr>
        <w:t>d</w:t>
      </w:r>
      <w:r w:rsidRPr="00537C3C">
        <w:t xml:space="preserve"> Includes seeded cases. </w:t>
      </w:r>
      <w:r w:rsidRPr="00537C3C">
        <w:rPr>
          <w:vertAlign w:val="superscript"/>
        </w:rPr>
        <w:t xml:space="preserve">e </w:t>
      </w:r>
      <w:r w:rsidRPr="00537C3C">
        <w:t>Total slides unclear: Methods refers to 10 742, Results to</w:t>
      </w:r>
      <w:r w:rsidRPr="00537C3C">
        <w:rPr>
          <w:vertAlign w:val="superscript"/>
        </w:rPr>
        <w:t xml:space="preserve"> </w:t>
      </w:r>
      <w:r w:rsidRPr="00537C3C">
        <w:t>10 359.</w:t>
      </w:r>
    </w:p>
    <w:p w:rsidR="00234376" w:rsidRPr="00537C3C" w:rsidRDefault="00234376" w:rsidP="008E03A7">
      <w:bookmarkStart w:id="464" w:name="_Ref199657315"/>
      <w:bookmarkStart w:id="465" w:name="_Ref190705515"/>
      <w:bookmarkStart w:id="466" w:name="_Ref190705519"/>
      <w:r w:rsidRPr="00537C3C">
        <w:lastRenderedPageBreak/>
        <w:t xml:space="preserve">Biscotti et al. (2005) reported sensitivity and specificity for </w:t>
      </w:r>
      <w:r w:rsidRPr="00BB76D8">
        <w:t>HSIL</w:t>
      </w:r>
      <w:r w:rsidRPr="00537C3C">
        <w:t xml:space="preserve">+ test diagnoses to detect adjudicated cytology of </w:t>
      </w:r>
      <w:r w:rsidRPr="00BB76D8">
        <w:t>HSIL</w:t>
      </w:r>
      <w:r w:rsidRPr="00537C3C">
        <w:t xml:space="preserve">+. In this study, ThinPrep Imager reading of </w:t>
      </w:r>
      <w:r w:rsidRPr="00BB76D8">
        <w:t>LBC</w:t>
      </w:r>
      <w:r w:rsidRPr="00537C3C">
        <w:t xml:space="preserve"> had a sensitivity of 79.9 per cent (72.2%–86.2%) and a specificity of 99.6 per cent (99.5%–99.7%) compared to manual reading of </w:t>
      </w:r>
      <w:r w:rsidRPr="00BB76D8">
        <w:t>LBC</w:t>
      </w:r>
      <w:r w:rsidRPr="00537C3C">
        <w:t xml:space="preserve"> slides with a sensitivity of 74.1 per cent (66.0%–81.2%) and a specificity of 99.4 per cent (99.2%–99.6%). This equates to a 5.8 per cent (–1.1% to +12.6%) higher sensitivity and 0.2 per cent (0.06%</w:t>
      </w:r>
      <w:r w:rsidRPr="00537C3C" w:rsidDel="0030078D">
        <w:t>–</w:t>
      </w:r>
      <w:r w:rsidRPr="00537C3C">
        <w:t xml:space="preserve">0.4%) higher specificity of the ThinPrep Imager, however these differences were not statistically different. The study also reported the sensitivity </w:t>
      </w:r>
      <w:r w:rsidRPr="00537C3C" w:rsidDel="00B94BF8">
        <w:t>and</w:t>
      </w:r>
      <w:r w:rsidRPr="00537C3C">
        <w:t xml:space="preserve"> specificity of </w:t>
      </w:r>
      <w:r w:rsidRPr="00BB76D8">
        <w:t>LSIL</w:t>
      </w:r>
      <w:r w:rsidRPr="00537C3C">
        <w:t xml:space="preserve">+ diagnoses </w:t>
      </w:r>
      <w:r w:rsidRPr="00537C3C" w:rsidDel="00B94BF8">
        <w:t>for</w:t>
      </w:r>
      <w:r w:rsidRPr="00537C3C">
        <w:t xml:space="preserve"> detecting </w:t>
      </w:r>
      <w:r w:rsidRPr="00BB76D8">
        <w:t>LSIL</w:t>
      </w:r>
      <w:r w:rsidRPr="00537C3C">
        <w:t xml:space="preserve">+ adjudicated cytology and of </w:t>
      </w:r>
      <w:r w:rsidRPr="00BB76D8">
        <w:t>ASCUS</w:t>
      </w:r>
      <w:r w:rsidRPr="00537C3C">
        <w:t xml:space="preserve">+ diagnoses </w:t>
      </w:r>
      <w:r w:rsidRPr="00537C3C" w:rsidDel="00B94BF8">
        <w:t>for</w:t>
      </w:r>
      <w:r w:rsidRPr="00537C3C">
        <w:t xml:space="preserve"> detecting </w:t>
      </w:r>
      <w:r w:rsidRPr="00BB76D8">
        <w:t>ASCUS</w:t>
      </w:r>
      <w:r w:rsidRPr="00537C3C">
        <w:t xml:space="preserve">+ adjudicated cytology (see </w:t>
      </w:r>
      <w:r w:rsidRPr="00537C3C">
        <w:fldChar w:fldCharType="begin"/>
      </w:r>
      <w:r w:rsidRPr="00537C3C">
        <w:instrText xml:space="preserve"> REF _Ref219868752 \h </w:instrText>
      </w:r>
      <w:r w:rsidRPr="00537C3C">
        <w:fldChar w:fldCharType="separate"/>
      </w:r>
      <w:r w:rsidR="007D3DFF" w:rsidRPr="00537C3C">
        <w:t xml:space="preserve">Appendix </w:t>
      </w:r>
      <w:r w:rsidR="007D3DFF">
        <w:rPr>
          <w:noProof/>
        </w:rPr>
        <w:t>F</w:t>
      </w:r>
      <w:r w:rsidRPr="00537C3C">
        <w:fldChar w:fldCharType="end"/>
      </w:r>
      <w:r w:rsidRPr="00537C3C">
        <w:t xml:space="preserve">). The current review, however, is concerned with the accuracy of different slide reading methods </w:t>
      </w:r>
      <w:r w:rsidRPr="00537C3C" w:rsidDel="00B94BF8">
        <w:t>at</w:t>
      </w:r>
      <w:r w:rsidRPr="00537C3C">
        <w:t xml:space="preserve"> detecting </w:t>
      </w:r>
      <w:r w:rsidRPr="00BB76D8">
        <w:t>HSIL</w:t>
      </w:r>
      <w:r w:rsidRPr="00537C3C">
        <w:t xml:space="preserve">+ at different test thresholds, and thus the differences in sensitivity </w:t>
      </w:r>
      <w:r w:rsidRPr="00537C3C" w:rsidDel="00B94BF8">
        <w:t>and</w:t>
      </w:r>
      <w:r w:rsidRPr="00537C3C">
        <w:t xml:space="preserve"> specificity for this reference standard threshold have been calculated from the contingency table provided in the publication (</w:t>
      </w:r>
      <w:r>
        <w:fldChar w:fldCharType="begin"/>
      </w:r>
      <w:r>
        <w:instrText xml:space="preserve"> REF _Ref199754227 \h  \* MERGEFORMAT </w:instrText>
      </w:r>
      <w:r>
        <w:fldChar w:fldCharType="separate"/>
      </w:r>
      <w:r w:rsidR="007D3DFF" w:rsidRPr="00537C3C">
        <w:t xml:space="preserve">Table </w:t>
      </w:r>
      <w:r w:rsidR="007D3DFF">
        <w:rPr>
          <w:noProof/>
        </w:rPr>
        <w:t>24</w:t>
      </w:r>
      <w:r>
        <w:fldChar w:fldCharType="end"/>
      </w:r>
      <w:r w:rsidRPr="00537C3C">
        <w:t>).</w:t>
      </w:r>
    </w:p>
    <w:p w:rsidR="00234376" w:rsidRPr="00537C3C" w:rsidRDefault="00234376" w:rsidP="008E03A7">
      <w:pPr>
        <w:pStyle w:val="TableNamea"/>
        <w:ind w:left="1797"/>
      </w:pPr>
      <w:bookmarkStart w:id="467" w:name="_Ref199754227"/>
      <w:bookmarkStart w:id="468" w:name="_Toc95971260"/>
      <w:r w:rsidRPr="00537C3C">
        <w:t xml:space="preserve">Table </w:t>
      </w:r>
      <w:fldSimple w:instr=" SEQ Table \* ARABIC ">
        <w:r w:rsidR="007D3DFF">
          <w:rPr>
            <w:noProof/>
          </w:rPr>
          <w:t>24</w:t>
        </w:r>
      </w:fldSimple>
      <w:bookmarkEnd w:id="464"/>
      <w:bookmarkEnd w:id="467"/>
      <w:r w:rsidRPr="00537C3C">
        <w:tab/>
        <w:t xml:space="preserve">Estimates of the relative accuracy of manual versus ThinPrep Imager-assisted reading of </w:t>
      </w:r>
      <w:r w:rsidRPr="00BB76D8">
        <w:t>LBC</w:t>
      </w:r>
      <w:r w:rsidRPr="00537C3C">
        <w:t xml:space="preserve"> for </w:t>
      </w:r>
      <w:r w:rsidRPr="00BB76D8">
        <w:t>HSIL</w:t>
      </w:r>
      <w:r w:rsidRPr="00537C3C">
        <w:t>/</w:t>
      </w:r>
      <w:r w:rsidRPr="00BB76D8">
        <w:t>CIN</w:t>
      </w:r>
      <w:r w:rsidRPr="00537C3C">
        <w:t xml:space="preserve"> 2+.</w:t>
      </w:r>
      <w:bookmarkEnd w:id="468"/>
    </w:p>
    <w:tbl>
      <w:tblPr>
        <w:tblW w:w="4141" w:type="pct"/>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101"/>
        <w:gridCol w:w="1166"/>
        <w:gridCol w:w="1277"/>
        <w:gridCol w:w="1326"/>
        <w:gridCol w:w="1367"/>
      </w:tblGrid>
      <w:tr w:rsidR="00234376" w:rsidRPr="00537C3C">
        <w:trPr>
          <w:trHeight w:val="367"/>
          <w:tblHeader/>
        </w:trPr>
        <w:tc>
          <w:tcPr>
            <w:tcW w:w="926" w:type="pct"/>
            <w:vMerge w:val="restart"/>
            <w:tcBorders>
              <w:left w:val="nil"/>
              <w:right w:val="nil"/>
            </w:tcBorders>
          </w:tcPr>
          <w:p w:rsidR="00234376" w:rsidRPr="00537C3C" w:rsidRDefault="00234376" w:rsidP="008E03A7">
            <w:pPr>
              <w:pStyle w:val="TableHeading0"/>
            </w:pPr>
            <w:r w:rsidRPr="00537C3C">
              <w:t>Study</w:t>
            </w:r>
          </w:p>
          <w:p w:rsidR="00234376" w:rsidRPr="00537C3C" w:rsidRDefault="00234376" w:rsidP="008E03A7">
            <w:pPr>
              <w:pStyle w:val="TableHeading0"/>
            </w:pPr>
            <w:r w:rsidRPr="0030078D">
              <w:rPr>
                <w:i/>
              </w:rPr>
              <w:t>N</w:t>
            </w:r>
            <w:r w:rsidRPr="00537C3C">
              <w:t xml:space="preserve"> </w:t>
            </w:r>
          </w:p>
        </w:tc>
        <w:tc>
          <w:tcPr>
            <w:tcW w:w="719" w:type="pct"/>
            <w:vMerge w:val="restart"/>
            <w:tcBorders>
              <w:left w:val="nil"/>
              <w:right w:val="nil"/>
            </w:tcBorders>
          </w:tcPr>
          <w:p w:rsidR="00234376" w:rsidRPr="00537C3C" w:rsidRDefault="00234376" w:rsidP="008E03A7">
            <w:pPr>
              <w:pStyle w:val="TableHeading0"/>
            </w:pPr>
            <w:r w:rsidRPr="00537C3C">
              <w:t>Test threshold</w:t>
            </w:r>
          </w:p>
        </w:tc>
        <w:tc>
          <w:tcPr>
            <w:tcW w:w="3355" w:type="pct"/>
            <w:gridSpan w:val="4"/>
            <w:tcBorders>
              <w:left w:val="nil"/>
              <w:right w:val="nil"/>
            </w:tcBorders>
          </w:tcPr>
          <w:p w:rsidR="00234376" w:rsidRPr="00537C3C" w:rsidRDefault="00234376" w:rsidP="008E03A7">
            <w:pPr>
              <w:pStyle w:val="TableHeading"/>
              <w:jc w:val="center"/>
              <w:rPr>
                <w:rFonts w:ascii="Arial" w:hAnsi="Arial"/>
              </w:rPr>
            </w:pPr>
            <w:r w:rsidRPr="00537C3C">
              <w:rPr>
                <w:rFonts w:ascii="Arial" w:hAnsi="Arial"/>
              </w:rPr>
              <w:t>Accuracy difference:</w:t>
            </w:r>
          </w:p>
          <w:p w:rsidR="00234376" w:rsidRPr="00537C3C" w:rsidRDefault="00234376" w:rsidP="008E03A7">
            <w:pPr>
              <w:pStyle w:val="TableHeading"/>
              <w:jc w:val="center"/>
              <w:rPr>
                <w:rFonts w:ascii="Arial" w:hAnsi="Arial"/>
              </w:rPr>
            </w:pPr>
            <w:r w:rsidRPr="00537C3C">
              <w:rPr>
                <w:rFonts w:ascii="Arial" w:hAnsi="Arial"/>
              </w:rPr>
              <w:t>automated – manual</w:t>
            </w:r>
          </w:p>
        </w:tc>
      </w:tr>
      <w:tr w:rsidR="00234376" w:rsidRPr="00537C3C">
        <w:trPr>
          <w:trHeight w:val="279"/>
          <w:tblHeader/>
        </w:trPr>
        <w:tc>
          <w:tcPr>
            <w:tcW w:w="926" w:type="pct"/>
            <w:vMerge/>
            <w:tcBorders>
              <w:left w:val="nil"/>
              <w:right w:val="nil"/>
            </w:tcBorders>
          </w:tcPr>
          <w:p w:rsidR="00234376" w:rsidRPr="00537C3C" w:rsidRDefault="00234376" w:rsidP="008E03A7">
            <w:pPr>
              <w:pStyle w:val="TableHeading"/>
            </w:pPr>
          </w:p>
        </w:tc>
        <w:tc>
          <w:tcPr>
            <w:tcW w:w="719" w:type="pct"/>
            <w:vMerge/>
            <w:tcBorders>
              <w:left w:val="nil"/>
              <w:right w:val="nil"/>
            </w:tcBorders>
          </w:tcPr>
          <w:p w:rsidR="00234376" w:rsidRPr="00537C3C" w:rsidRDefault="00234376" w:rsidP="008E03A7">
            <w:pPr>
              <w:pStyle w:val="TableHeading"/>
              <w:spacing w:after="0"/>
            </w:pPr>
          </w:p>
        </w:tc>
        <w:tc>
          <w:tcPr>
            <w:tcW w:w="1596" w:type="pct"/>
            <w:gridSpan w:val="2"/>
            <w:tcBorders>
              <w:left w:val="nil"/>
              <w:bottom w:val="nil"/>
              <w:right w:val="nil"/>
            </w:tcBorders>
          </w:tcPr>
          <w:p w:rsidR="00234376" w:rsidRPr="00537C3C" w:rsidRDefault="00234376" w:rsidP="008E03A7">
            <w:pPr>
              <w:pStyle w:val="TableText0"/>
              <w:jc w:val="center"/>
              <w:rPr>
                <w:rFonts w:cs="Arial"/>
                <w:szCs w:val="18"/>
              </w:rPr>
            </w:pPr>
            <w:r w:rsidRPr="00537C3C">
              <w:rPr>
                <w:rFonts w:cs="Arial"/>
                <w:szCs w:val="18"/>
              </w:rPr>
              <w:t>Sensitivity</w:t>
            </w:r>
          </w:p>
        </w:tc>
        <w:tc>
          <w:tcPr>
            <w:tcW w:w="1759" w:type="pct"/>
            <w:gridSpan w:val="2"/>
            <w:tcBorders>
              <w:left w:val="nil"/>
              <w:bottom w:val="nil"/>
              <w:right w:val="nil"/>
            </w:tcBorders>
          </w:tcPr>
          <w:p w:rsidR="00234376" w:rsidRPr="00537C3C" w:rsidRDefault="00234376" w:rsidP="008E03A7">
            <w:pPr>
              <w:pStyle w:val="TableText0"/>
              <w:jc w:val="center"/>
              <w:rPr>
                <w:rFonts w:cs="Arial"/>
                <w:szCs w:val="18"/>
              </w:rPr>
            </w:pPr>
            <w:r w:rsidRPr="00537C3C">
              <w:rPr>
                <w:rFonts w:cs="Arial"/>
                <w:szCs w:val="18"/>
              </w:rPr>
              <w:t>Specificity</w:t>
            </w:r>
          </w:p>
        </w:tc>
      </w:tr>
      <w:tr w:rsidR="00234376" w:rsidRPr="00537C3C">
        <w:trPr>
          <w:trHeight w:val="283"/>
          <w:tblHeader/>
        </w:trPr>
        <w:tc>
          <w:tcPr>
            <w:tcW w:w="926" w:type="pct"/>
            <w:vMerge/>
            <w:tcBorders>
              <w:left w:val="nil"/>
              <w:right w:val="nil"/>
            </w:tcBorders>
          </w:tcPr>
          <w:p w:rsidR="00234376" w:rsidRPr="00537C3C" w:rsidRDefault="00234376" w:rsidP="008E03A7">
            <w:pPr>
              <w:pStyle w:val="TableHeading"/>
            </w:pPr>
          </w:p>
        </w:tc>
        <w:tc>
          <w:tcPr>
            <w:tcW w:w="719" w:type="pct"/>
            <w:vMerge/>
            <w:tcBorders>
              <w:left w:val="nil"/>
              <w:right w:val="nil"/>
            </w:tcBorders>
          </w:tcPr>
          <w:p w:rsidR="00234376" w:rsidRPr="00537C3C" w:rsidRDefault="00234376" w:rsidP="008E03A7">
            <w:pPr>
              <w:pStyle w:val="TableHeading"/>
              <w:spacing w:after="0"/>
            </w:pPr>
          </w:p>
        </w:tc>
        <w:tc>
          <w:tcPr>
            <w:tcW w:w="762" w:type="pct"/>
            <w:tcBorders>
              <w:top w:val="nil"/>
              <w:left w:val="nil"/>
              <w:right w:val="nil"/>
            </w:tcBorders>
          </w:tcPr>
          <w:p w:rsidR="00234376" w:rsidRPr="00537C3C" w:rsidRDefault="00234376" w:rsidP="008E03A7">
            <w:pPr>
              <w:pStyle w:val="TableText0"/>
              <w:jc w:val="center"/>
              <w:rPr>
                <w:rFonts w:cs="Arial"/>
                <w:szCs w:val="18"/>
              </w:rPr>
            </w:pPr>
            <w:r w:rsidRPr="00537C3C">
              <w:rPr>
                <w:rFonts w:cs="Arial"/>
                <w:szCs w:val="18"/>
              </w:rPr>
              <w:t>%</w:t>
            </w:r>
          </w:p>
        </w:tc>
        <w:tc>
          <w:tcPr>
            <w:tcW w:w="834" w:type="pct"/>
            <w:tcBorders>
              <w:top w:val="nil"/>
              <w:left w:val="nil"/>
              <w:right w:val="nil"/>
            </w:tcBorders>
          </w:tcPr>
          <w:p w:rsidR="00234376" w:rsidRPr="00537C3C" w:rsidRDefault="00234376" w:rsidP="008E03A7">
            <w:pPr>
              <w:pStyle w:val="TableText0"/>
              <w:jc w:val="center"/>
              <w:rPr>
                <w:rFonts w:cs="Arial"/>
                <w:szCs w:val="18"/>
              </w:rPr>
            </w:pPr>
            <w:r w:rsidRPr="00537C3C">
              <w:rPr>
                <w:rFonts w:cs="Arial"/>
                <w:szCs w:val="18"/>
              </w:rPr>
              <w:t xml:space="preserve">(95% </w:t>
            </w:r>
            <w:r w:rsidRPr="00BB76D8">
              <w:rPr>
                <w:rFonts w:cs="Arial"/>
                <w:szCs w:val="18"/>
              </w:rPr>
              <w:t>CI</w:t>
            </w:r>
            <w:r w:rsidRPr="00537C3C">
              <w:rPr>
                <w:rFonts w:cs="Arial"/>
                <w:szCs w:val="18"/>
              </w:rPr>
              <w:t>)</w:t>
            </w:r>
          </w:p>
        </w:tc>
        <w:tc>
          <w:tcPr>
            <w:tcW w:w="866" w:type="pct"/>
            <w:tcBorders>
              <w:top w:val="nil"/>
              <w:left w:val="nil"/>
              <w:right w:val="nil"/>
            </w:tcBorders>
          </w:tcPr>
          <w:p w:rsidR="00234376" w:rsidRPr="00537C3C" w:rsidRDefault="00234376" w:rsidP="008E03A7">
            <w:pPr>
              <w:pStyle w:val="TableText0"/>
              <w:jc w:val="center"/>
              <w:rPr>
                <w:rFonts w:cs="Arial"/>
                <w:szCs w:val="18"/>
              </w:rPr>
            </w:pPr>
            <w:r w:rsidRPr="00537C3C">
              <w:rPr>
                <w:rFonts w:cs="Arial"/>
                <w:szCs w:val="18"/>
              </w:rPr>
              <w:t>%</w:t>
            </w:r>
          </w:p>
        </w:tc>
        <w:tc>
          <w:tcPr>
            <w:tcW w:w="893" w:type="pct"/>
            <w:tcBorders>
              <w:top w:val="nil"/>
              <w:left w:val="nil"/>
              <w:right w:val="nil"/>
            </w:tcBorders>
          </w:tcPr>
          <w:p w:rsidR="00234376" w:rsidRPr="00537C3C" w:rsidRDefault="00234376" w:rsidP="008E03A7">
            <w:pPr>
              <w:pStyle w:val="TableText0"/>
              <w:jc w:val="center"/>
              <w:rPr>
                <w:rFonts w:cs="Arial"/>
                <w:szCs w:val="18"/>
              </w:rPr>
            </w:pPr>
            <w:r w:rsidRPr="00537C3C">
              <w:rPr>
                <w:rFonts w:cs="Arial"/>
                <w:szCs w:val="18"/>
              </w:rPr>
              <w:t xml:space="preserve">(95% </w:t>
            </w:r>
            <w:r w:rsidRPr="00BB76D8">
              <w:rPr>
                <w:rFonts w:cs="Arial"/>
                <w:szCs w:val="18"/>
              </w:rPr>
              <w:t>CI</w:t>
            </w:r>
            <w:r w:rsidRPr="00537C3C">
              <w:rPr>
                <w:rFonts w:cs="Arial"/>
                <w:szCs w:val="18"/>
              </w:rPr>
              <w:t>)</w:t>
            </w:r>
          </w:p>
        </w:tc>
      </w:tr>
      <w:tr w:rsidR="00234376" w:rsidRPr="00537C3C">
        <w:tc>
          <w:tcPr>
            <w:tcW w:w="926" w:type="pct"/>
            <w:vMerge w:val="restart"/>
            <w:tcBorders>
              <w:left w:val="nil"/>
              <w:bottom w:val="nil"/>
              <w:right w:val="nil"/>
            </w:tcBorders>
          </w:tcPr>
          <w:p w:rsidR="00234376" w:rsidRPr="00537C3C" w:rsidRDefault="00234376" w:rsidP="008E03A7">
            <w:pPr>
              <w:pStyle w:val="TableText0"/>
            </w:pPr>
            <w:r w:rsidRPr="00537C3C">
              <w:t>Biscotti, 2005</w:t>
            </w:r>
          </w:p>
          <w:p w:rsidR="00234376" w:rsidRPr="00537C3C" w:rsidRDefault="00234376" w:rsidP="008E03A7">
            <w:pPr>
              <w:pStyle w:val="TableText0"/>
            </w:pPr>
            <w:r w:rsidRPr="00537C3C">
              <w:t>10</w:t>
            </w:r>
            <w:r w:rsidRPr="00537C3C" w:rsidDel="00A316F5">
              <w:t> </w:t>
            </w:r>
            <w:r w:rsidRPr="00537C3C">
              <w:t>742</w:t>
            </w:r>
          </w:p>
        </w:tc>
        <w:tc>
          <w:tcPr>
            <w:tcW w:w="719" w:type="pct"/>
            <w:tcBorders>
              <w:left w:val="nil"/>
              <w:bottom w:val="nil"/>
              <w:right w:val="nil"/>
            </w:tcBorders>
          </w:tcPr>
          <w:p w:rsidR="00234376" w:rsidRPr="00537C3C" w:rsidRDefault="00234376" w:rsidP="008E03A7">
            <w:pPr>
              <w:pStyle w:val="TableText0"/>
              <w:rPr>
                <w:sz w:val="16"/>
                <w:szCs w:val="16"/>
                <w:vertAlign w:val="superscript"/>
              </w:rPr>
            </w:pPr>
            <w:r w:rsidRPr="00BB76D8">
              <w:rPr>
                <w:sz w:val="16"/>
                <w:szCs w:val="16"/>
              </w:rPr>
              <w:t>HSIL</w:t>
            </w:r>
            <w:r w:rsidRPr="00537C3C">
              <w:rPr>
                <w:sz w:val="16"/>
                <w:szCs w:val="16"/>
              </w:rPr>
              <w:t xml:space="preserve"> </w:t>
            </w:r>
            <w:r w:rsidRPr="00537C3C">
              <w:rPr>
                <w:sz w:val="16"/>
                <w:szCs w:val="16"/>
                <w:vertAlign w:val="superscript"/>
              </w:rPr>
              <w:t>c</w:t>
            </w:r>
          </w:p>
        </w:tc>
        <w:tc>
          <w:tcPr>
            <w:tcW w:w="762" w:type="pct"/>
            <w:tcBorders>
              <w:left w:val="nil"/>
              <w:bottom w:val="nil"/>
              <w:right w:val="nil"/>
            </w:tcBorders>
          </w:tcPr>
          <w:p w:rsidR="00234376" w:rsidRPr="00537C3C" w:rsidRDefault="00234376" w:rsidP="008E03A7">
            <w:pPr>
              <w:pStyle w:val="TableText0"/>
              <w:jc w:val="center"/>
              <w:rPr>
                <w:rFonts w:cs="Arial"/>
                <w:szCs w:val="18"/>
              </w:rPr>
            </w:pPr>
            <w:r w:rsidRPr="00537C3C">
              <w:rPr>
                <w:rFonts w:cs="Arial"/>
                <w:szCs w:val="18"/>
              </w:rPr>
              <w:t>5.8</w:t>
            </w:r>
          </w:p>
        </w:tc>
        <w:tc>
          <w:tcPr>
            <w:tcW w:w="834" w:type="pct"/>
            <w:tcBorders>
              <w:left w:val="nil"/>
              <w:bottom w:val="nil"/>
              <w:right w:val="nil"/>
            </w:tcBorders>
          </w:tcPr>
          <w:p w:rsidR="00234376" w:rsidRPr="00537C3C" w:rsidRDefault="00234376" w:rsidP="008E03A7">
            <w:pPr>
              <w:pStyle w:val="TableText0"/>
              <w:jc w:val="center"/>
              <w:rPr>
                <w:sz w:val="16"/>
                <w:szCs w:val="16"/>
              </w:rPr>
            </w:pPr>
            <w:r w:rsidRPr="00537C3C">
              <w:rPr>
                <w:rFonts w:cs="Arial"/>
                <w:szCs w:val="18"/>
              </w:rPr>
              <w:t>(–1.1, 12.6)</w:t>
            </w:r>
          </w:p>
        </w:tc>
        <w:tc>
          <w:tcPr>
            <w:tcW w:w="866" w:type="pct"/>
            <w:tcBorders>
              <w:left w:val="nil"/>
              <w:bottom w:val="nil"/>
              <w:right w:val="nil"/>
            </w:tcBorders>
          </w:tcPr>
          <w:p w:rsidR="00234376" w:rsidRPr="00537C3C" w:rsidRDefault="00234376" w:rsidP="008E03A7">
            <w:pPr>
              <w:pStyle w:val="TableText0"/>
              <w:jc w:val="center"/>
              <w:rPr>
                <w:rFonts w:cs="Arial"/>
                <w:szCs w:val="18"/>
              </w:rPr>
            </w:pPr>
            <w:r w:rsidRPr="00537C3C">
              <w:rPr>
                <w:rFonts w:cs="Arial"/>
                <w:szCs w:val="18"/>
              </w:rPr>
              <w:t>0.2</w:t>
            </w:r>
          </w:p>
        </w:tc>
        <w:tc>
          <w:tcPr>
            <w:tcW w:w="893" w:type="pct"/>
            <w:tcBorders>
              <w:left w:val="nil"/>
              <w:bottom w:val="nil"/>
              <w:right w:val="nil"/>
            </w:tcBorders>
          </w:tcPr>
          <w:p w:rsidR="00234376" w:rsidRPr="00537C3C" w:rsidRDefault="00234376" w:rsidP="008E03A7">
            <w:pPr>
              <w:pStyle w:val="TableText0"/>
              <w:jc w:val="center"/>
              <w:rPr>
                <w:rFonts w:cs="Arial"/>
                <w:szCs w:val="18"/>
              </w:rPr>
            </w:pPr>
            <w:r w:rsidRPr="00537C3C">
              <w:rPr>
                <w:rFonts w:cs="Arial"/>
                <w:szCs w:val="18"/>
              </w:rPr>
              <w:t>(0.06, 0.4)</w:t>
            </w:r>
          </w:p>
        </w:tc>
      </w:tr>
      <w:tr w:rsidR="00234376" w:rsidRPr="00537C3C">
        <w:tc>
          <w:tcPr>
            <w:tcW w:w="926" w:type="pct"/>
            <w:vMerge/>
            <w:tcBorders>
              <w:top w:val="nil"/>
              <w:left w:val="nil"/>
              <w:bottom w:val="nil"/>
              <w:right w:val="nil"/>
            </w:tcBorders>
          </w:tcPr>
          <w:p w:rsidR="00234376" w:rsidRPr="00537C3C" w:rsidRDefault="00234376" w:rsidP="008E03A7">
            <w:pPr>
              <w:pStyle w:val="TableText0"/>
            </w:pPr>
          </w:p>
        </w:tc>
        <w:tc>
          <w:tcPr>
            <w:tcW w:w="719" w:type="pct"/>
            <w:tcBorders>
              <w:top w:val="nil"/>
              <w:left w:val="nil"/>
              <w:bottom w:val="nil"/>
              <w:right w:val="nil"/>
            </w:tcBorders>
          </w:tcPr>
          <w:p w:rsidR="00234376" w:rsidRPr="00537C3C" w:rsidRDefault="00234376" w:rsidP="008E03A7">
            <w:pPr>
              <w:pStyle w:val="TableText0"/>
              <w:rPr>
                <w:sz w:val="16"/>
                <w:szCs w:val="16"/>
                <w:vertAlign w:val="superscript"/>
              </w:rPr>
            </w:pPr>
            <w:r w:rsidRPr="00BB76D8">
              <w:rPr>
                <w:sz w:val="16"/>
                <w:szCs w:val="16"/>
              </w:rPr>
              <w:t>LSIL</w:t>
            </w:r>
            <w:r w:rsidRPr="00537C3C">
              <w:rPr>
                <w:sz w:val="16"/>
                <w:szCs w:val="16"/>
              </w:rPr>
              <w:t xml:space="preserve"> </w:t>
            </w:r>
            <w:r w:rsidRPr="00537C3C">
              <w:rPr>
                <w:sz w:val="16"/>
                <w:szCs w:val="16"/>
                <w:vertAlign w:val="superscript"/>
              </w:rPr>
              <w:t>c</w:t>
            </w:r>
          </w:p>
        </w:tc>
        <w:tc>
          <w:tcPr>
            <w:tcW w:w="762" w:type="pct"/>
            <w:tcBorders>
              <w:top w:val="nil"/>
              <w:left w:val="nil"/>
              <w:bottom w:val="nil"/>
              <w:right w:val="nil"/>
            </w:tcBorders>
          </w:tcPr>
          <w:p w:rsidR="00234376" w:rsidRPr="00537C3C" w:rsidRDefault="00234376" w:rsidP="008E03A7">
            <w:pPr>
              <w:pStyle w:val="TableText0"/>
              <w:jc w:val="center"/>
              <w:rPr>
                <w:sz w:val="16"/>
                <w:szCs w:val="16"/>
              </w:rPr>
            </w:pPr>
            <w:r w:rsidRPr="00537C3C">
              <w:rPr>
                <w:rFonts w:cs="Arial"/>
                <w:szCs w:val="18"/>
              </w:rPr>
              <w:t>2.9</w:t>
            </w:r>
          </w:p>
        </w:tc>
        <w:tc>
          <w:tcPr>
            <w:tcW w:w="834" w:type="pct"/>
            <w:tcBorders>
              <w:top w:val="nil"/>
              <w:left w:val="nil"/>
              <w:bottom w:val="nil"/>
              <w:right w:val="nil"/>
            </w:tcBorders>
          </w:tcPr>
          <w:p w:rsidR="00234376" w:rsidRPr="00537C3C" w:rsidRDefault="00234376" w:rsidP="008E03A7">
            <w:pPr>
              <w:pStyle w:val="TableText0"/>
              <w:jc w:val="center"/>
              <w:rPr>
                <w:rFonts w:cs="Arial"/>
                <w:szCs w:val="18"/>
              </w:rPr>
            </w:pPr>
          </w:p>
        </w:tc>
        <w:tc>
          <w:tcPr>
            <w:tcW w:w="866" w:type="pct"/>
            <w:tcBorders>
              <w:top w:val="nil"/>
              <w:left w:val="nil"/>
              <w:bottom w:val="nil"/>
              <w:right w:val="nil"/>
            </w:tcBorders>
          </w:tcPr>
          <w:p w:rsidR="00234376" w:rsidRPr="00537C3C" w:rsidRDefault="00234376" w:rsidP="008E03A7">
            <w:pPr>
              <w:pStyle w:val="TableText0"/>
              <w:jc w:val="center"/>
              <w:rPr>
                <w:rFonts w:cs="Arial"/>
                <w:szCs w:val="18"/>
              </w:rPr>
            </w:pPr>
            <w:r w:rsidRPr="00537C3C">
              <w:rPr>
                <w:rFonts w:cs="Arial"/>
                <w:szCs w:val="18"/>
              </w:rPr>
              <w:t>0.13</w:t>
            </w:r>
          </w:p>
        </w:tc>
        <w:tc>
          <w:tcPr>
            <w:tcW w:w="893" w:type="pct"/>
            <w:tcBorders>
              <w:top w:val="nil"/>
              <w:left w:val="nil"/>
              <w:bottom w:val="nil"/>
              <w:right w:val="nil"/>
            </w:tcBorders>
          </w:tcPr>
          <w:p w:rsidR="00234376" w:rsidRPr="00537C3C" w:rsidRDefault="00234376" w:rsidP="008E03A7">
            <w:pPr>
              <w:pStyle w:val="TableText0"/>
              <w:jc w:val="center"/>
              <w:rPr>
                <w:rFonts w:cs="Arial"/>
                <w:szCs w:val="18"/>
              </w:rPr>
            </w:pPr>
          </w:p>
        </w:tc>
      </w:tr>
      <w:tr w:rsidR="00234376" w:rsidRPr="00537C3C">
        <w:tc>
          <w:tcPr>
            <w:tcW w:w="926" w:type="pct"/>
            <w:vMerge/>
            <w:tcBorders>
              <w:top w:val="nil"/>
              <w:left w:val="nil"/>
              <w:right w:val="nil"/>
            </w:tcBorders>
          </w:tcPr>
          <w:p w:rsidR="00234376" w:rsidRPr="00537C3C" w:rsidRDefault="00234376" w:rsidP="008E03A7">
            <w:pPr>
              <w:pStyle w:val="TableText0"/>
            </w:pPr>
          </w:p>
        </w:tc>
        <w:tc>
          <w:tcPr>
            <w:tcW w:w="719" w:type="pct"/>
            <w:tcBorders>
              <w:top w:val="nil"/>
              <w:left w:val="nil"/>
              <w:right w:val="nil"/>
            </w:tcBorders>
          </w:tcPr>
          <w:p w:rsidR="00234376" w:rsidRPr="00537C3C" w:rsidRDefault="00234376" w:rsidP="008E03A7">
            <w:pPr>
              <w:pStyle w:val="TableText0"/>
              <w:rPr>
                <w:sz w:val="16"/>
                <w:szCs w:val="16"/>
                <w:vertAlign w:val="superscript"/>
              </w:rPr>
            </w:pPr>
            <w:r w:rsidRPr="00BB76D8">
              <w:rPr>
                <w:sz w:val="16"/>
                <w:szCs w:val="16"/>
              </w:rPr>
              <w:t>ASCUS</w:t>
            </w:r>
            <w:r w:rsidRPr="00537C3C">
              <w:rPr>
                <w:sz w:val="16"/>
                <w:szCs w:val="16"/>
              </w:rPr>
              <w:t xml:space="preserve"> </w:t>
            </w:r>
            <w:r w:rsidRPr="00537C3C">
              <w:rPr>
                <w:sz w:val="16"/>
                <w:szCs w:val="16"/>
                <w:vertAlign w:val="superscript"/>
              </w:rPr>
              <w:t>c</w:t>
            </w:r>
          </w:p>
        </w:tc>
        <w:tc>
          <w:tcPr>
            <w:tcW w:w="762" w:type="pct"/>
            <w:tcBorders>
              <w:top w:val="nil"/>
              <w:left w:val="nil"/>
              <w:right w:val="nil"/>
            </w:tcBorders>
          </w:tcPr>
          <w:p w:rsidR="00234376" w:rsidRPr="00537C3C" w:rsidRDefault="00234376" w:rsidP="008E03A7">
            <w:pPr>
              <w:pStyle w:val="TableText0"/>
              <w:jc w:val="center"/>
              <w:rPr>
                <w:rFonts w:cs="Garamond"/>
                <w:szCs w:val="18"/>
              </w:rPr>
            </w:pPr>
            <w:r w:rsidRPr="00537C3C">
              <w:rPr>
                <w:rFonts w:cs="Garamond"/>
                <w:szCs w:val="18"/>
              </w:rPr>
              <w:t>3.6</w:t>
            </w:r>
          </w:p>
        </w:tc>
        <w:tc>
          <w:tcPr>
            <w:tcW w:w="834" w:type="pct"/>
            <w:tcBorders>
              <w:top w:val="nil"/>
              <w:left w:val="nil"/>
              <w:right w:val="nil"/>
            </w:tcBorders>
          </w:tcPr>
          <w:p w:rsidR="00234376" w:rsidRPr="00537C3C" w:rsidRDefault="00234376" w:rsidP="008E03A7">
            <w:pPr>
              <w:pStyle w:val="TableText0"/>
              <w:jc w:val="center"/>
              <w:rPr>
                <w:rFonts w:cs="Arial"/>
                <w:szCs w:val="18"/>
              </w:rPr>
            </w:pPr>
          </w:p>
        </w:tc>
        <w:tc>
          <w:tcPr>
            <w:tcW w:w="866" w:type="pct"/>
            <w:tcBorders>
              <w:top w:val="nil"/>
              <w:left w:val="nil"/>
              <w:right w:val="nil"/>
            </w:tcBorders>
          </w:tcPr>
          <w:p w:rsidR="00234376" w:rsidRPr="00537C3C" w:rsidRDefault="00234376" w:rsidP="008E03A7">
            <w:pPr>
              <w:pStyle w:val="TableText0"/>
              <w:jc w:val="center"/>
              <w:rPr>
                <w:rFonts w:cs="Arial"/>
                <w:szCs w:val="18"/>
              </w:rPr>
            </w:pPr>
            <w:r w:rsidRPr="00537C3C">
              <w:rPr>
                <w:rFonts w:cs="Arial"/>
                <w:szCs w:val="18"/>
              </w:rPr>
              <w:t>–0.29</w:t>
            </w:r>
          </w:p>
        </w:tc>
        <w:tc>
          <w:tcPr>
            <w:tcW w:w="893" w:type="pct"/>
            <w:tcBorders>
              <w:top w:val="nil"/>
              <w:left w:val="nil"/>
              <w:right w:val="nil"/>
            </w:tcBorders>
          </w:tcPr>
          <w:p w:rsidR="00234376" w:rsidRPr="00537C3C" w:rsidRDefault="00234376" w:rsidP="008E03A7">
            <w:pPr>
              <w:pStyle w:val="TableText0"/>
              <w:jc w:val="center"/>
              <w:rPr>
                <w:rFonts w:cs="Arial"/>
                <w:szCs w:val="18"/>
              </w:rPr>
            </w:pPr>
          </w:p>
        </w:tc>
      </w:tr>
      <w:tr w:rsidR="00234376" w:rsidRPr="00537C3C">
        <w:tc>
          <w:tcPr>
            <w:tcW w:w="926" w:type="pct"/>
            <w:tcBorders>
              <w:top w:val="nil"/>
              <w:left w:val="nil"/>
              <w:bottom w:val="nil"/>
              <w:right w:val="nil"/>
            </w:tcBorders>
          </w:tcPr>
          <w:p w:rsidR="00234376" w:rsidRPr="00537C3C" w:rsidRDefault="00234376" w:rsidP="008E03A7">
            <w:pPr>
              <w:pStyle w:val="TableText0"/>
            </w:pPr>
            <w:r w:rsidRPr="00537C3C">
              <w:rPr>
                <w:rFonts w:cs="Garamond"/>
                <w:szCs w:val="18"/>
              </w:rPr>
              <w:t>Bolger, 2006</w:t>
            </w:r>
          </w:p>
        </w:tc>
        <w:tc>
          <w:tcPr>
            <w:tcW w:w="719" w:type="pct"/>
            <w:tcBorders>
              <w:top w:val="nil"/>
              <w:left w:val="nil"/>
              <w:bottom w:val="nil"/>
              <w:right w:val="nil"/>
            </w:tcBorders>
          </w:tcPr>
          <w:p w:rsidR="00234376" w:rsidRPr="00537C3C" w:rsidRDefault="00234376" w:rsidP="008E03A7">
            <w:pPr>
              <w:pStyle w:val="TableText0"/>
              <w:rPr>
                <w:sz w:val="16"/>
                <w:szCs w:val="16"/>
                <w:vertAlign w:val="superscript"/>
              </w:rPr>
            </w:pPr>
            <w:r w:rsidRPr="00BB76D8">
              <w:rPr>
                <w:sz w:val="16"/>
                <w:szCs w:val="16"/>
              </w:rPr>
              <w:t>HSIL</w:t>
            </w:r>
            <w:r w:rsidRPr="00537C3C">
              <w:rPr>
                <w:sz w:val="16"/>
                <w:szCs w:val="16"/>
              </w:rPr>
              <w:t xml:space="preserve"> </w:t>
            </w:r>
            <w:r w:rsidRPr="00537C3C">
              <w:rPr>
                <w:sz w:val="16"/>
                <w:szCs w:val="16"/>
                <w:vertAlign w:val="superscript"/>
              </w:rPr>
              <w:t>a</w:t>
            </w:r>
          </w:p>
        </w:tc>
        <w:tc>
          <w:tcPr>
            <w:tcW w:w="762" w:type="pct"/>
            <w:tcBorders>
              <w:top w:val="nil"/>
              <w:left w:val="nil"/>
              <w:bottom w:val="nil"/>
              <w:right w:val="nil"/>
            </w:tcBorders>
          </w:tcPr>
          <w:p w:rsidR="00234376" w:rsidRPr="00537C3C" w:rsidRDefault="00234376" w:rsidP="008E03A7">
            <w:pPr>
              <w:pStyle w:val="TableText0"/>
              <w:jc w:val="center"/>
              <w:rPr>
                <w:rFonts w:cs="Garamond"/>
                <w:szCs w:val="18"/>
              </w:rPr>
            </w:pPr>
            <w:r w:rsidRPr="00537C3C">
              <w:rPr>
                <w:rFonts w:cs="Garamond"/>
                <w:szCs w:val="18"/>
              </w:rPr>
              <w:t>–6.0</w:t>
            </w:r>
          </w:p>
        </w:tc>
        <w:tc>
          <w:tcPr>
            <w:tcW w:w="834" w:type="pct"/>
            <w:tcBorders>
              <w:top w:val="nil"/>
              <w:left w:val="nil"/>
              <w:bottom w:val="nil"/>
              <w:right w:val="nil"/>
            </w:tcBorders>
          </w:tcPr>
          <w:p w:rsidR="00234376" w:rsidRPr="00537C3C" w:rsidRDefault="00234376" w:rsidP="008E03A7">
            <w:pPr>
              <w:pStyle w:val="TableText0"/>
              <w:jc w:val="center"/>
              <w:rPr>
                <w:rFonts w:cs="Arial"/>
                <w:szCs w:val="18"/>
              </w:rPr>
            </w:pPr>
          </w:p>
        </w:tc>
        <w:tc>
          <w:tcPr>
            <w:tcW w:w="866" w:type="pct"/>
            <w:tcBorders>
              <w:top w:val="nil"/>
              <w:left w:val="nil"/>
              <w:bottom w:val="nil"/>
              <w:right w:val="nil"/>
            </w:tcBorders>
          </w:tcPr>
          <w:p w:rsidR="00234376" w:rsidRPr="00537C3C" w:rsidRDefault="00234376" w:rsidP="008E03A7">
            <w:pPr>
              <w:pStyle w:val="TableText0"/>
              <w:jc w:val="center"/>
              <w:rPr>
                <w:rFonts w:cs="Garamond"/>
                <w:szCs w:val="18"/>
              </w:rPr>
            </w:pPr>
            <w:r w:rsidRPr="00537C3C">
              <w:rPr>
                <w:rFonts w:cs="Garamond"/>
                <w:szCs w:val="18"/>
              </w:rPr>
              <w:t>0.03</w:t>
            </w:r>
          </w:p>
        </w:tc>
        <w:tc>
          <w:tcPr>
            <w:tcW w:w="893" w:type="pct"/>
            <w:tcBorders>
              <w:top w:val="nil"/>
              <w:left w:val="nil"/>
              <w:bottom w:val="nil"/>
              <w:right w:val="nil"/>
            </w:tcBorders>
          </w:tcPr>
          <w:p w:rsidR="00234376" w:rsidRPr="00537C3C" w:rsidRDefault="00234376" w:rsidP="008E03A7">
            <w:pPr>
              <w:pStyle w:val="TableText0"/>
              <w:jc w:val="center"/>
              <w:rPr>
                <w:rFonts w:cs="Arial"/>
                <w:szCs w:val="18"/>
              </w:rPr>
            </w:pPr>
          </w:p>
        </w:tc>
      </w:tr>
      <w:tr w:rsidR="00234376" w:rsidRPr="00537C3C">
        <w:tc>
          <w:tcPr>
            <w:tcW w:w="926" w:type="pct"/>
            <w:tcBorders>
              <w:top w:val="nil"/>
              <w:left w:val="nil"/>
              <w:bottom w:val="nil"/>
              <w:right w:val="nil"/>
            </w:tcBorders>
          </w:tcPr>
          <w:p w:rsidR="00234376" w:rsidRPr="00537C3C" w:rsidRDefault="00234376" w:rsidP="008E03A7">
            <w:pPr>
              <w:pStyle w:val="TableText0"/>
              <w:rPr>
                <w:rFonts w:cs="Garamond"/>
                <w:szCs w:val="18"/>
              </w:rPr>
            </w:pPr>
            <w:r w:rsidRPr="00537C3C">
              <w:rPr>
                <w:rFonts w:cs="Garamond"/>
                <w:szCs w:val="18"/>
              </w:rPr>
              <w:t>6000</w:t>
            </w:r>
          </w:p>
        </w:tc>
        <w:tc>
          <w:tcPr>
            <w:tcW w:w="719" w:type="pct"/>
            <w:tcBorders>
              <w:top w:val="nil"/>
              <w:left w:val="nil"/>
              <w:bottom w:val="nil"/>
              <w:right w:val="nil"/>
            </w:tcBorders>
          </w:tcPr>
          <w:p w:rsidR="00234376" w:rsidRPr="00537C3C" w:rsidRDefault="00234376" w:rsidP="008E03A7">
            <w:pPr>
              <w:pStyle w:val="TableText0"/>
              <w:rPr>
                <w:sz w:val="16"/>
                <w:szCs w:val="16"/>
              </w:rPr>
            </w:pPr>
            <w:r w:rsidRPr="00BB76D8">
              <w:rPr>
                <w:sz w:val="16"/>
                <w:szCs w:val="16"/>
              </w:rPr>
              <w:t>CIN</w:t>
            </w:r>
            <w:r w:rsidRPr="00537C3C">
              <w:rPr>
                <w:sz w:val="16"/>
                <w:szCs w:val="16"/>
              </w:rPr>
              <w:t xml:space="preserve"> 1</w:t>
            </w:r>
          </w:p>
        </w:tc>
        <w:tc>
          <w:tcPr>
            <w:tcW w:w="762" w:type="pct"/>
            <w:tcBorders>
              <w:top w:val="nil"/>
              <w:left w:val="nil"/>
              <w:bottom w:val="nil"/>
              <w:right w:val="nil"/>
            </w:tcBorders>
          </w:tcPr>
          <w:p w:rsidR="00234376" w:rsidRPr="00537C3C" w:rsidRDefault="00234376" w:rsidP="008E03A7">
            <w:pPr>
              <w:pStyle w:val="TableText0"/>
              <w:jc w:val="center"/>
              <w:rPr>
                <w:rFonts w:cs="Garamond"/>
                <w:szCs w:val="18"/>
              </w:rPr>
            </w:pPr>
            <w:r w:rsidRPr="00537C3C">
              <w:rPr>
                <w:rFonts w:cs="Garamond"/>
                <w:szCs w:val="18"/>
              </w:rPr>
              <w:t>–1.2</w:t>
            </w:r>
          </w:p>
        </w:tc>
        <w:tc>
          <w:tcPr>
            <w:tcW w:w="834" w:type="pct"/>
            <w:tcBorders>
              <w:top w:val="nil"/>
              <w:left w:val="nil"/>
              <w:bottom w:val="nil"/>
              <w:right w:val="nil"/>
            </w:tcBorders>
          </w:tcPr>
          <w:p w:rsidR="00234376" w:rsidRPr="00537C3C" w:rsidRDefault="00234376" w:rsidP="008E03A7">
            <w:pPr>
              <w:pStyle w:val="TableText0"/>
              <w:jc w:val="center"/>
              <w:rPr>
                <w:rFonts w:cs="Garamond"/>
                <w:szCs w:val="18"/>
              </w:rPr>
            </w:pPr>
          </w:p>
        </w:tc>
        <w:tc>
          <w:tcPr>
            <w:tcW w:w="866" w:type="pct"/>
            <w:tcBorders>
              <w:top w:val="nil"/>
              <w:left w:val="nil"/>
              <w:bottom w:val="nil"/>
              <w:right w:val="nil"/>
            </w:tcBorders>
          </w:tcPr>
          <w:p w:rsidR="00234376" w:rsidRPr="00537C3C" w:rsidRDefault="00234376" w:rsidP="008E03A7">
            <w:pPr>
              <w:pStyle w:val="TableText0"/>
              <w:jc w:val="center"/>
              <w:rPr>
                <w:rFonts w:cs="Garamond"/>
                <w:szCs w:val="18"/>
              </w:rPr>
            </w:pPr>
            <w:r w:rsidRPr="00537C3C">
              <w:rPr>
                <w:rFonts w:cs="Garamond"/>
                <w:szCs w:val="18"/>
              </w:rPr>
              <w:t>0.09</w:t>
            </w:r>
          </w:p>
        </w:tc>
        <w:tc>
          <w:tcPr>
            <w:tcW w:w="893" w:type="pct"/>
            <w:tcBorders>
              <w:top w:val="nil"/>
              <w:left w:val="nil"/>
              <w:bottom w:val="nil"/>
              <w:right w:val="nil"/>
            </w:tcBorders>
          </w:tcPr>
          <w:p w:rsidR="00234376" w:rsidRPr="00537C3C" w:rsidRDefault="00234376" w:rsidP="008E03A7">
            <w:pPr>
              <w:pStyle w:val="TableText0"/>
              <w:jc w:val="center"/>
              <w:rPr>
                <w:rFonts w:cs="Arial"/>
                <w:szCs w:val="18"/>
              </w:rPr>
            </w:pPr>
          </w:p>
        </w:tc>
      </w:tr>
      <w:tr w:rsidR="00234376" w:rsidRPr="00537C3C">
        <w:tc>
          <w:tcPr>
            <w:tcW w:w="926" w:type="pct"/>
            <w:tcBorders>
              <w:top w:val="nil"/>
              <w:left w:val="nil"/>
              <w:right w:val="nil"/>
            </w:tcBorders>
          </w:tcPr>
          <w:p w:rsidR="00234376" w:rsidRPr="00537C3C" w:rsidRDefault="00234376" w:rsidP="008E03A7">
            <w:pPr>
              <w:pStyle w:val="TableText0"/>
              <w:rPr>
                <w:rFonts w:cs="Arial"/>
                <w:szCs w:val="18"/>
              </w:rPr>
            </w:pPr>
          </w:p>
        </w:tc>
        <w:tc>
          <w:tcPr>
            <w:tcW w:w="719" w:type="pct"/>
            <w:tcBorders>
              <w:top w:val="nil"/>
              <w:left w:val="nil"/>
              <w:right w:val="nil"/>
            </w:tcBorders>
          </w:tcPr>
          <w:p w:rsidR="00234376" w:rsidRPr="00537C3C" w:rsidRDefault="00234376" w:rsidP="008E03A7">
            <w:pPr>
              <w:pStyle w:val="TableText0"/>
              <w:rPr>
                <w:rFonts w:cs="Arial"/>
                <w:szCs w:val="18"/>
              </w:rPr>
            </w:pPr>
            <w:r w:rsidRPr="00BB76D8">
              <w:rPr>
                <w:rFonts w:cs="Arial"/>
                <w:szCs w:val="18"/>
              </w:rPr>
              <w:t>pLSIL</w:t>
            </w:r>
            <w:r w:rsidRPr="00537C3C">
              <w:rPr>
                <w:rFonts w:cs="Arial"/>
                <w:szCs w:val="18"/>
              </w:rPr>
              <w:t xml:space="preserve"> </w:t>
            </w:r>
            <w:r w:rsidRPr="00537C3C">
              <w:rPr>
                <w:rFonts w:cs="Arial"/>
                <w:szCs w:val="18"/>
                <w:vertAlign w:val="superscript"/>
              </w:rPr>
              <w:t>b</w:t>
            </w:r>
          </w:p>
        </w:tc>
        <w:tc>
          <w:tcPr>
            <w:tcW w:w="762" w:type="pct"/>
            <w:tcBorders>
              <w:top w:val="nil"/>
              <w:left w:val="nil"/>
              <w:right w:val="nil"/>
            </w:tcBorders>
          </w:tcPr>
          <w:p w:rsidR="00234376" w:rsidRPr="00537C3C" w:rsidRDefault="00234376" w:rsidP="008E03A7">
            <w:pPr>
              <w:pStyle w:val="TableText0"/>
              <w:jc w:val="center"/>
              <w:rPr>
                <w:rFonts w:cs="Arial"/>
                <w:szCs w:val="18"/>
              </w:rPr>
            </w:pPr>
            <w:r w:rsidRPr="00537C3C">
              <w:rPr>
                <w:rFonts w:cs="Arial"/>
                <w:szCs w:val="18"/>
              </w:rPr>
              <w:t>0</w:t>
            </w:r>
          </w:p>
        </w:tc>
        <w:tc>
          <w:tcPr>
            <w:tcW w:w="834" w:type="pct"/>
            <w:tcBorders>
              <w:top w:val="nil"/>
              <w:left w:val="nil"/>
              <w:right w:val="nil"/>
            </w:tcBorders>
          </w:tcPr>
          <w:p w:rsidR="00234376" w:rsidRPr="00537C3C" w:rsidRDefault="00234376" w:rsidP="008E03A7">
            <w:pPr>
              <w:pStyle w:val="TableText0"/>
              <w:jc w:val="center"/>
              <w:rPr>
                <w:rFonts w:cs="Arial"/>
                <w:szCs w:val="18"/>
              </w:rPr>
            </w:pPr>
          </w:p>
        </w:tc>
        <w:tc>
          <w:tcPr>
            <w:tcW w:w="866" w:type="pct"/>
            <w:tcBorders>
              <w:top w:val="nil"/>
              <w:left w:val="nil"/>
              <w:right w:val="nil"/>
            </w:tcBorders>
          </w:tcPr>
          <w:p w:rsidR="00234376" w:rsidRPr="00537C3C" w:rsidRDefault="00234376" w:rsidP="008E03A7">
            <w:pPr>
              <w:pStyle w:val="TableText0"/>
              <w:jc w:val="center"/>
              <w:rPr>
                <w:rFonts w:cs="Arial"/>
                <w:szCs w:val="18"/>
              </w:rPr>
            </w:pPr>
            <w:r w:rsidRPr="00537C3C">
              <w:rPr>
                <w:rFonts w:cs="Arial"/>
                <w:szCs w:val="18"/>
              </w:rPr>
              <w:t>0.09</w:t>
            </w:r>
          </w:p>
        </w:tc>
        <w:tc>
          <w:tcPr>
            <w:tcW w:w="893" w:type="pct"/>
            <w:tcBorders>
              <w:top w:val="nil"/>
              <w:left w:val="nil"/>
              <w:right w:val="nil"/>
            </w:tcBorders>
          </w:tcPr>
          <w:p w:rsidR="00234376" w:rsidRPr="00537C3C" w:rsidRDefault="00234376" w:rsidP="008E03A7">
            <w:pPr>
              <w:pStyle w:val="TableText0"/>
              <w:jc w:val="center"/>
              <w:rPr>
                <w:rFonts w:cs="Arial"/>
                <w:szCs w:val="18"/>
              </w:rPr>
            </w:pPr>
          </w:p>
        </w:tc>
      </w:tr>
    </w:tbl>
    <w:p w:rsidR="00234376" w:rsidRDefault="00234376" w:rsidP="00234376">
      <w:pPr>
        <w:pStyle w:val="TableNotes"/>
        <w:spacing w:after="120"/>
        <w:ind w:left="862" w:firstLine="11"/>
      </w:pPr>
      <w:r w:rsidRPr="00537C3C">
        <w:rPr>
          <w:vertAlign w:val="superscript"/>
        </w:rPr>
        <w:t xml:space="preserve">a </w:t>
      </w:r>
      <w:r w:rsidRPr="00BB76D8">
        <w:t>CIN</w:t>
      </w:r>
      <w:r w:rsidRPr="00537C3C">
        <w:t xml:space="preserve"> 2+. </w:t>
      </w:r>
      <w:r w:rsidRPr="00537C3C">
        <w:rPr>
          <w:vertAlign w:val="superscript"/>
        </w:rPr>
        <w:t xml:space="preserve">b </w:t>
      </w:r>
      <w:r w:rsidRPr="00537C3C">
        <w:t xml:space="preserve">Borderline nuclear abnormality. </w:t>
      </w:r>
      <w:r w:rsidRPr="00537C3C">
        <w:rPr>
          <w:vertAlign w:val="superscript"/>
        </w:rPr>
        <w:t xml:space="preserve">c </w:t>
      </w:r>
      <w:r w:rsidRPr="00537C3C">
        <w:t xml:space="preserve">Excluding 10 adjudicated </w:t>
      </w:r>
      <w:r w:rsidRPr="00BB76D8">
        <w:t>AGUS</w:t>
      </w:r>
      <w:r w:rsidRPr="00537C3C">
        <w:t xml:space="preserve"> cases .</w:t>
      </w:r>
      <w:r w:rsidRPr="00537C3C">
        <w:br/>
      </w:r>
      <w:r w:rsidRPr="00537C3C">
        <w:rPr>
          <w:i/>
        </w:rPr>
        <w:t xml:space="preserve">Abbreviations: </w:t>
      </w:r>
      <w:r w:rsidRPr="00BB76D8">
        <w:t>CI</w:t>
      </w:r>
      <w:r w:rsidRPr="00537C3C">
        <w:t xml:space="preserve"> = confidence interval.</w:t>
      </w:r>
    </w:p>
    <w:p w:rsidR="00234376" w:rsidRDefault="00234376" w:rsidP="00234376">
      <w:pPr>
        <w:pStyle w:val="Heading3"/>
      </w:pPr>
      <w:r w:rsidRPr="00537C3C">
        <w:t>Process outcomes</w:t>
      </w:r>
    </w:p>
    <w:p w:rsidR="00234376" w:rsidRPr="00537C3C" w:rsidRDefault="00234376" w:rsidP="008E03A7">
      <w:r w:rsidRPr="00537C3C">
        <w:t xml:space="preserve">The cytological classification of slides by automation-assisted reading and manual reading is summarised in </w:t>
      </w:r>
      <w:r>
        <w:fldChar w:fldCharType="begin"/>
      </w:r>
      <w:r>
        <w:instrText xml:space="preserve"> REF _Ref200987620 \h  \* MERGEFORMAT </w:instrText>
      </w:r>
      <w:r>
        <w:fldChar w:fldCharType="separate"/>
      </w:r>
      <w:r w:rsidR="007D3DFF" w:rsidRPr="00537C3C">
        <w:t xml:space="preserve">Table </w:t>
      </w:r>
      <w:r w:rsidR="007D3DFF">
        <w:rPr>
          <w:noProof/>
        </w:rPr>
        <w:t>25</w:t>
      </w:r>
      <w:r>
        <w:fldChar w:fldCharType="end"/>
      </w:r>
      <w:r w:rsidRPr="00537C3C">
        <w:t xml:space="preserve">. In the study by Roberts et al. (2007), significantly fewer slides were classified as </w:t>
      </w:r>
      <w:r w:rsidRPr="00BB76D8">
        <w:t>pLSIL</w:t>
      </w:r>
      <w:r w:rsidRPr="00537C3C">
        <w:t xml:space="preserve"> and </w:t>
      </w:r>
      <w:r w:rsidRPr="00BB76D8">
        <w:t>pHSIL</w:t>
      </w:r>
      <w:r w:rsidRPr="00537C3C">
        <w:t xml:space="preserve"> than by manual reading of </w:t>
      </w:r>
      <w:r w:rsidRPr="00BB76D8">
        <w:t>LBC</w:t>
      </w:r>
      <w:r w:rsidRPr="00537C3C">
        <w:t xml:space="preserve"> slides. In the other studies, </w:t>
      </w:r>
      <w:r w:rsidRPr="00BB76D8">
        <w:t>LBC</w:t>
      </w:r>
      <w:r w:rsidRPr="00537C3C">
        <w:t xml:space="preserve"> slide classification was similar between reading methods.</w:t>
      </w:r>
    </w:p>
    <w:p w:rsidR="00234376" w:rsidRPr="00537C3C" w:rsidRDefault="00234376" w:rsidP="008E03A7">
      <w:r w:rsidRPr="00537C3C">
        <w:t xml:space="preserve">In the study by Wilbur et al. (2002) of the AutoPap screening of </w:t>
      </w:r>
      <w:bookmarkStart w:id="469" w:name="OLE_LINK194"/>
      <w:bookmarkStart w:id="470" w:name="OLE_LINK195"/>
      <w:r w:rsidRPr="00537C3C">
        <w:t xml:space="preserve">AutoCytePrep </w:t>
      </w:r>
      <w:bookmarkEnd w:id="469"/>
      <w:bookmarkEnd w:id="470"/>
      <w:r w:rsidRPr="00537C3C">
        <w:t>slides, 1.7 per cent of cases could not be processed by the automated screening system. The AutoPap system designated 17.1 per cent of slides as ‘no further review’ which were classified as within normal limits without any cytologist screening. Unsatisfactory and total cytological classifications were not reported according to screening method used.</w:t>
      </w:r>
    </w:p>
    <w:p w:rsidR="00234376" w:rsidRPr="00537C3C" w:rsidRDefault="00234376" w:rsidP="008E03A7">
      <w:pPr>
        <w:sectPr w:rsidR="00234376" w:rsidRPr="00537C3C" w:rsidSect="008E03A7">
          <w:headerReference w:type="even" r:id="rId48"/>
          <w:headerReference w:type="default" r:id="rId49"/>
          <w:footerReference w:type="even" r:id="rId50"/>
          <w:headerReference w:type="first" r:id="rId51"/>
          <w:pgSz w:w="11906" w:h="16838"/>
          <w:pgMar w:top="1440" w:right="1440" w:bottom="1440" w:left="1440" w:header="720" w:footer="720" w:gutter="0"/>
          <w:cols w:space="720"/>
        </w:sectPr>
      </w:pPr>
    </w:p>
    <w:p w:rsidR="00234376" w:rsidRPr="00537C3C" w:rsidRDefault="00234376" w:rsidP="008E03A7">
      <w:pPr>
        <w:pStyle w:val="Caption"/>
      </w:pPr>
      <w:bookmarkStart w:id="471" w:name="_Ref200987620"/>
      <w:bookmarkStart w:id="472" w:name="_Ref212958829"/>
      <w:bookmarkStart w:id="473" w:name="_Ref212958924"/>
      <w:bookmarkStart w:id="474" w:name="_Toc95971261"/>
      <w:r w:rsidRPr="00537C3C">
        <w:lastRenderedPageBreak/>
        <w:t xml:space="preserve">Table </w:t>
      </w:r>
      <w:fldSimple w:instr=" SEQ Table \* ARABIC ">
        <w:r w:rsidR="007D3DFF">
          <w:rPr>
            <w:noProof/>
          </w:rPr>
          <w:t>25</w:t>
        </w:r>
      </w:fldSimple>
      <w:bookmarkEnd w:id="471"/>
      <w:r w:rsidRPr="00537C3C">
        <w:tab/>
        <w:t xml:space="preserve">Process outcomes of automation-assisted versus manual reading of cervical </w:t>
      </w:r>
      <w:r w:rsidRPr="00BB76D8">
        <w:t>LBC</w:t>
      </w:r>
      <w:r w:rsidRPr="00537C3C">
        <w:t xml:space="preserve"> samples</w:t>
      </w:r>
      <w:bookmarkEnd w:id="472"/>
      <w:bookmarkEnd w:id="473"/>
      <w:r w:rsidRPr="00537C3C">
        <w:t>.</w:t>
      </w:r>
      <w:bookmarkEnd w:id="474"/>
    </w:p>
    <w:tbl>
      <w:tblPr>
        <w:tblW w:w="14177" w:type="dxa"/>
        <w:tblInd w:w="730" w:type="dxa"/>
        <w:tblCellMar>
          <w:left w:w="57" w:type="dxa"/>
          <w:right w:w="57" w:type="dxa"/>
        </w:tblCellMar>
        <w:tblLook w:val="01E0" w:firstRow="1" w:lastRow="1" w:firstColumn="1" w:lastColumn="1" w:noHBand="0" w:noVBand="0"/>
      </w:tblPr>
      <w:tblGrid>
        <w:gridCol w:w="1122"/>
        <w:gridCol w:w="248"/>
        <w:gridCol w:w="420"/>
        <w:gridCol w:w="235"/>
        <w:gridCol w:w="803"/>
        <w:gridCol w:w="215"/>
        <w:gridCol w:w="386"/>
        <w:gridCol w:w="204"/>
        <w:gridCol w:w="400"/>
        <w:gridCol w:w="193"/>
        <w:gridCol w:w="409"/>
        <w:gridCol w:w="182"/>
        <w:gridCol w:w="423"/>
        <w:gridCol w:w="171"/>
        <w:gridCol w:w="456"/>
        <w:gridCol w:w="159"/>
        <w:gridCol w:w="431"/>
        <w:gridCol w:w="148"/>
        <w:gridCol w:w="438"/>
        <w:gridCol w:w="137"/>
        <w:gridCol w:w="506"/>
        <w:gridCol w:w="125"/>
        <w:gridCol w:w="465"/>
        <w:gridCol w:w="114"/>
        <w:gridCol w:w="701"/>
        <w:gridCol w:w="99"/>
        <w:gridCol w:w="536"/>
        <w:gridCol w:w="87"/>
        <w:gridCol w:w="540"/>
        <w:gridCol w:w="75"/>
        <w:gridCol w:w="500"/>
        <w:gridCol w:w="64"/>
        <w:gridCol w:w="507"/>
        <w:gridCol w:w="53"/>
        <w:gridCol w:w="590"/>
        <w:gridCol w:w="41"/>
        <w:gridCol w:w="534"/>
        <w:gridCol w:w="30"/>
        <w:gridCol w:w="785"/>
        <w:gridCol w:w="15"/>
        <w:gridCol w:w="630"/>
      </w:tblGrid>
      <w:tr w:rsidR="00234376" w:rsidRPr="00537C3C">
        <w:tc>
          <w:tcPr>
            <w:tcW w:w="1122" w:type="dxa"/>
            <w:tcBorders>
              <w:top w:val="single" w:sz="4" w:space="0" w:color="auto"/>
            </w:tcBorders>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Study</w:t>
            </w:r>
          </w:p>
        </w:tc>
        <w:tc>
          <w:tcPr>
            <w:tcW w:w="668" w:type="dxa"/>
            <w:gridSpan w:val="2"/>
            <w:tcBorders>
              <w:top w:val="single" w:sz="4" w:space="0" w:color="auto"/>
            </w:tcBorders>
          </w:tcPr>
          <w:p w:rsidR="00234376" w:rsidRDefault="00234376" w:rsidP="00234376">
            <w:pPr>
              <w:pStyle w:val="TableHeading0"/>
              <w:spacing w:before="0" w:after="0"/>
              <w:jc w:val="center"/>
              <w:rPr>
                <w:rFonts w:ascii="Arial Narrow" w:hAnsi="Arial Narrow"/>
                <w:bCs/>
                <w:sz w:val="20"/>
              </w:rPr>
            </w:pPr>
            <w:r w:rsidRPr="0030078D">
              <w:rPr>
                <w:rFonts w:ascii="Arial Narrow" w:hAnsi="Arial Narrow"/>
                <w:bCs/>
                <w:i/>
                <w:sz w:val="20"/>
              </w:rPr>
              <w:t>N</w:t>
            </w:r>
          </w:p>
        </w:tc>
        <w:tc>
          <w:tcPr>
            <w:tcW w:w="1038" w:type="dxa"/>
            <w:gridSpan w:val="2"/>
            <w:tcBorders>
              <w:top w:val="single" w:sz="4" w:space="0" w:color="auto"/>
            </w:tcBorders>
          </w:tcPr>
          <w:p w:rsidR="00234376" w:rsidRDefault="00234376" w:rsidP="00234376">
            <w:pPr>
              <w:pStyle w:val="TableHeading0"/>
              <w:spacing w:before="0" w:after="0"/>
              <w:jc w:val="center"/>
              <w:rPr>
                <w:rFonts w:ascii="Arial Narrow" w:hAnsi="Arial Narrow"/>
                <w:bCs/>
                <w:sz w:val="20"/>
              </w:rPr>
            </w:pPr>
            <w:r w:rsidRPr="00BB76D8">
              <w:rPr>
                <w:rFonts w:ascii="Arial Narrow" w:hAnsi="Arial Narrow"/>
                <w:bCs/>
                <w:sz w:val="20"/>
              </w:rPr>
              <w:t>TPI</w:t>
            </w:r>
            <w:r w:rsidRPr="00537C3C">
              <w:rPr>
                <w:rFonts w:ascii="Arial Narrow" w:hAnsi="Arial Narrow"/>
                <w:bCs/>
                <w:sz w:val="20"/>
              </w:rPr>
              <w:t xml:space="preserve"> not processed (%)</w:t>
            </w:r>
          </w:p>
        </w:tc>
        <w:tc>
          <w:tcPr>
            <w:tcW w:w="1205" w:type="dxa"/>
            <w:gridSpan w:val="4"/>
            <w:tcBorders>
              <w:top w:val="single" w:sz="4" w:space="0" w:color="auto"/>
              <w:bottom w:val="single" w:sz="4" w:space="0" w:color="auto"/>
            </w:tcBorders>
          </w:tcPr>
          <w:p w:rsidR="00234376" w:rsidRPr="00537C3C" w:rsidRDefault="00234376" w:rsidP="008E03A7">
            <w:pPr>
              <w:pStyle w:val="TableHeading0"/>
              <w:spacing w:before="0" w:after="0"/>
              <w:jc w:val="center"/>
              <w:rPr>
                <w:rFonts w:ascii="Arial Narrow" w:hAnsi="Arial Narrow"/>
                <w:bCs/>
                <w:sz w:val="20"/>
              </w:rPr>
            </w:pPr>
            <w:r w:rsidRPr="00537C3C">
              <w:rPr>
                <w:rFonts w:ascii="Arial Narrow" w:hAnsi="Arial Narrow"/>
                <w:bCs/>
                <w:sz w:val="20"/>
              </w:rPr>
              <w:t>Unsat</w:t>
            </w:r>
          </w:p>
          <w:p w:rsidR="00234376" w:rsidRPr="00537C3C" w:rsidRDefault="00234376" w:rsidP="008E03A7">
            <w:pPr>
              <w:pStyle w:val="TableText0"/>
              <w:jc w:val="center"/>
              <w:rPr>
                <w:b/>
              </w:rPr>
            </w:pPr>
            <w:r w:rsidRPr="00537C3C">
              <w:rPr>
                <w:rFonts w:ascii="Arial Narrow" w:hAnsi="Arial Narrow"/>
                <w:b/>
                <w:bCs/>
                <w:sz w:val="20"/>
              </w:rPr>
              <w:t>(%)</w:t>
            </w:r>
          </w:p>
        </w:tc>
        <w:tc>
          <w:tcPr>
            <w:tcW w:w="1207" w:type="dxa"/>
            <w:gridSpan w:val="4"/>
            <w:tcBorders>
              <w:top w:val="single" w:sz="4" w:space="0" w:color="auto"/>
              <w:bottom w:val="single" w:sz="4" w:space="0" w:color="auto"/>
            </w:tcBorders>
          </w:tcPr>
          <w:p w:rsidR="00234376" w:rsidRPr="00537C3C" w:rsidRDefault="00234376" w:rsidP="008E03A7">
            <w:pPr>
              <w:pStyle w:val="TableText0"/>
              <w:jc w:val="center"/>
            </w:pPr>
            <w:r w:rsidRPr="00537C3C">
              <w:rPr>
                <w:rFonts w:ascii="Arial Narrow" w:hAnsi="Arial Narrow"/>
                <w:b/>
                <w:bCs/>
                <w:sz w:val="20"/>
              </w:rPr>
              <w:t>Reading time</w:t>
            </w:r>
            <w:r w:rsidRPr="00537C3C">
              <w:rPr>
                <w:rFonts w:ascii="Arial Narrow" w:hAnsi="Arial Narrow"/>
                <w:bCs/>
                <w:sz w:val="20"/>
              </w:rPr>
              <w:t xml:space="preserve"> </w:t>
            </w:r>
            <w:r w:rsidRPr="00537C3C">
              <w:rPr>
                <w:rFonts w:ascii="Arial Narrow" w:hAnsi="Arial Narrow"/>
                <w:b/>
                <w:bCs/>
                <w:sz w:val="20"/>
              </w:rPr>
              <w:t>(min)</w:t>
            </w:r>
          </w:p>
        </w:tc>
        <w:tc>
          <w:tcPr>
            <w:tcW w:w="4486" w:type="dxa"/>
            <w:gridSpan w:val="14"/>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bCs/>
                <w:sz w:val="20"/>
              </w:rPr>
            </w:pPr>
            <w:r w:rsidRPr="00537C3C">
              <w:rPr>
                <w:rFonts w:ascii="Arial Narrow" w:hAnsi="Arial Narrow"/>
                <w:b/>
                <w:bCs/>
                <w:sz w:val="20"/>
              </w:rPr>
              <w:t>Automation-assisted reading yield</w:t>
            </w:r>
          </w:p>
          <w:p w:rsidR="00234376" w:rsidRPr="00537C3C" w:rsidRDefault="00234376" w:rsidP="008E03A7">
            <w:pPr>
              <w:pStyle w:val="TableText0"/>
              <w:jc w:val="center"/>
              <w:rPr>
                <w:b/>
              </w:rPr>
            </w:pPr>
            <w:r w:rsidRPr="00537C3C">
              <w:rPr>
                <w:rFonts w:ascii="Arial Narrow" w:hAnsi="Arial Narrow"/>
                <w:b/>
                <w:bCs/>
                <w:sz w:val="20"/>
              </w:rPr>
              <w:t>(%)</w:t>
            </w:r>
          </w:p>
        </w:tc>
        <w:tc>
          <w:tcPr>
            <w:tcW w:w="4451" w:type="dxa"/>
            <w:gridSpan w:val="14"/>
            <w:tcBorders>
              <w:top w:val="single" w:sz="4" w:space="0" w:color="auto"/>
              <w:bottom w:val="single" w:sz="4" w:space="0" w:color="auto"/>
            </w:tcBorders>
          </w:tcPr>
          <w:p w:rsidR="00234376" w:rsidRPr="00537C3C" w:rsidRDefault="00234376" w:rsidP="008E03A7">
            <w:pPr>
              <w:pStyle w:val="TableHeading0"/>
              <w:spacing w:before="0" w:after="0"/>
              <w:jc w:val="center"/>
              <w:rPr>
                <w:rFonts w:ascii="Arial Narrow" w:hAnsi="Arial Narrow"/>
                <w:bCs/>
                <w:sz w:val="20"/>
              </w:rPr>
            </w:pPr>
            <w:r w:rsidRPr="00537C3C">
              <w:rPr>
                <w:rFonts w:ascii="Arial Narrow" w:hAnsi="Arial Narrow"/>
                <w:bCs/>
                <w:sz w:val="20"/>
              </w:rPr>
              <w:t>Manual reading yield</w:t>
            </w:r>
          </w:p>
          <w:p w:rsidR="00234376" w:rsidRPr="00537C3C" w:rsidRDefault="00234376" w:rsidP="008E03A7">
            <w:pPr>
              <w:pStyle w:val="TableText0"/>
              <w:jc w:val="center"/>
            </w:pPr>
            <w:r w:rsidRPr="00537C3C">
              <w:rPr>
                <w:rFonts w:ascii="Arial Narrow" w:hAnsi="Arial Narrow"/>
                <w:b/>
                <w:bCs/>
                <w:sz w:val="20"/>
              </w:rPr>
              <w:t>(%)</w:t>
            </w:r>
          </w:p>
        </w:tc>
      </w:tr>
      <w:tr w:rsidR="00234376" w:rsidRPr="00537C3C">
        <w:tc>
          <w:tcPr>
            <w:tcW w:w="1122" w:type="dxa"/>
            <w:tcBorders>
              <w:bottom w:val="single" w:sz="4" w:space="0" w:color="auto"/>
            </w:tcBorders>
          </w:tcPr>
          <w:p w:rsidR="00234376" w:rsidRPr="00537C3C" w:rsidRDefault="00234376" w:rsidP="008E03A7">
            <w:pPr>
              <w:pStyle w:val="TableText0"/>
              <w:rPr>
                <w:rFonts w:ascii="Arial Narrow" w:hAnsi="Arial Narrow"/>
              </w:rPr>
            </w:pPr>
          </w:p>
        </w:tc>
        <w:tc>
          <w:tcPr>
            <w:tcW w:w="668" w:type="dxa"/>
            <w:gridSpan w:val="2"/>
            <w:tcBorders>
              <w:bottom w:val="single" w:sz="4" w:space="0" w:color="auto"/>
            </w:tcBorders>
          </w:tcPr>
          <w:p w:rsidR="00234376" w:rsidRPr="00537C3C" w:rsidRDefault="00234376" w:rsidP="008E03A7">
            <w:pPr>
              <w:pStyle w:val="TableText0"/>
              <w:rPr>
                <w:rFonts w:ascii="Arial Narrow" w:hAnsi="Arial Narrow"/>
                <w:b/>
              </w:rPr>
            </w:pPr>
          </w:p>
        </w:tc>
        <w:tc>
          <w:tcPr>
            <w:tcW w:w="1038" w:type="dxa"/>
            <w:gridSpan w:val="2"/>
            <w:tcBorders>
              <w:bottom w:val="single" w:sz="4" w:space="0" w:color="auto"/>
            </w:tcBorders>
          </w:tcPr>
          <w:p w:rsidR="00234376" w:rsidRPr="00537C3C" w:rsidRDefault="00234376" w:rsidP="008E03A7">
            <w:pPr>
              <w:pStyle w:val="TableText0"/>
              <w:jc w:val="center"/>
              <w:rPr>
                <w:rFonts w:ascii="Arial Narrow" w:hAnsi="Arial Narrow"/>
              </w:rPr>
            </w:pPr>
          </w:p>
        </w:tc>
        <w:tc>
          <w:tcPr>
            <w:tcW w:w="601"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537C3C">
              <w:rPr>
                <w:rFonts w:ascii="Arial Narrow" w:hAnsi="Arial Narrow"/>
                <w:b/>
              </w:rPr>
              <w:t>Auto</w:t>
            </w:r>
          </w:p>
        </w:tc>
        <w:tc>
          <w:tcPr>
            <w:tcW w:w="604"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537C3C">
              <w:rPr>
                <w:rFonts w:ascii="Arial Narrow" w:hAnsi="Arial Narrow"/>
                <w:b/>
              </w:rPr>
              <w:t>Man</w:t>
            </w:r>
          </w:p>
        </w:tc>
        <w:tc>
          <w:tcPr>
            <w:tcW w:w="602"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537C3C">
              <w:rPr>
                <w:rFonts w:ascii="Arial Narrow" w:hAnsi="Arial Narrow"/>
                <w:b/>
              </w:rPr>
              <w:t>Auto</w:t>
            </w:r>
          </w:p>
        </w:tc>
        <w:tc>
          <w:tcPr>
            <w:tcW w:w="605"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537C3C">
              <w:rPr>
                <w:rFonts w:ascii="Arial Narrow" w:hAnsi="Arial Narrow"/>
                <w:b/>
              </w:rPr>
              <w:t>Man</w:t>
            </w:r>
          </w:p>
        </w:tc>
        <w:tc>
          <w:tcPr>
            <w:tcW w:w="627"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pLSIL</w:t>
            </w:r>
          </w:p>
        </w:tc>
        <w:tc>
          <w:tcPr>
            <w:tcW w:w="590"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CIN</w:t>
            </w:r>
            <w:r w:rsidRPr="00537C3C">
              <w:rPr>
                <w:rFonts w:ascii="Arial Narrow" w:hAnsi="Arial Narrow"/>
                <w:b/>
              </w:rPr>
              <w:t xml:space="preserve"> 1</w:t>
            </w:r>
          </w:p>
        </w:tc>
        <w:tc>
          <w:tcPr>
            <w:tcW w:w="586"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LSIL</w:t>
            </w:r>
          </w:p>
        </w:tc>
        <w:tc>
          <w:tcPr>
            <w:tcW w:w="643"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pHSIL</w:t>
            </w:r>
          </w:p>
        </w:tc>
        <w:tc>
          <w:tcPr>
            <w:tcW w:w="590"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HSIL</w:t>
            </w:r>
          </w:p>
        </w:tc>
        <w:tc>
          <w:tcPr>
            <w:tcW w:w="815"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AIS</w:t>
            </w:r>
            <w:r w:rsidRPr="00537C3C">
              <w:rPr>
                <w:rFonts w:ascii="Arial Narrow" w:hAnsi="Arial Narrow"/>
                <w:b/>
              </w:rPr>
              <w:t>/</w:t>
            </w:r>
            <w:r w:rsidRPr="00BB76D8">
              <w:rPr>
                <w:rFonts w:ascii="Arial Narrow" w:hAnsi="Arial Narrow"/>
                <w:b/>
              </w:rPr>
              <w:t>SCC</w:t>
            </w:r>
          </w:p>
        </w:tc>
        <w:tc>
          <w:tcPr>
            <w:tcW w:w="635"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537C3C">
              <w:rPr>
                <w:rFonts w:ascii="Arial Narrow" w:hAnsi="Arial Narrow"/>
                <w:b/>
              </w:rPr>
              <w:t>Gland</w:t>
            </w:r>
          </w:p>
        </w:tc>
        <w:tc>
          <w:tcPr>
            <w:tcW w:w="627"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pLSIL</w:t>
            </w:r>
          </w:p>
        </w:tc>
        <w:tc>
          <w:tcPr>
            <w:tcW w:w="575"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CIN</w:t>
            </w:r>
            <w:r w:rsidRPr="00537C3C">
              <w:rPr>
                <w:rFonts w:ascii="Arial Narrow" w:hAnsi="Arial Narrow"/>
                <w:b/>
              </w:rPr>
              <w:t xml:space="preserve"> 1</w:t>
            </w:r>
          </w:p>
        </w:tc>
        <w:tc>
          <w:tcPr>
            <w:tcW w:w="571"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LSIL</w:t>
            </w:r>
          </w:p>
        </w:tc>
        <w:tc>
          <w:tcPr>
            <w:tcW w:w="643"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pHSIL</w:t>
            </w:r>
          </w:p>
        </w:tc>
        <w:tc>
          <w:tcPr>
            <w:tcW w:w="575"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HSIL</w:t>
            </w:r>
          </w:p>
        </w:tc>
        <w:tc>
          <w:tcPr>
            <w:tcW w:w="815"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BB76D8">
              <w:rPr>
                <w:rFonts w:ascii="Arial Narrow" w:hAnsi="Arial Narrow"/>
                <w:b/>
              </w:rPr>
              <w:t>AIS</w:t>
            </w:r>
            <w:r w:rsidRPr="00537C3C">
              <w:rPr>
                <w:rFonts w:ascii="Arial Narrow" w:hAnsi="Arial Narrow"/>
                <w:b/>
              </w:rPr>
              <w:t>/</w:t>
            </w:r>
            <w:r w:rsidRPr="00BB76D8">
              <w:rPr>
                <w:rFonts w:ascii="Arial Narrow" w:hAnsi="Arial Narrow"/>
                <w:b/>
              </w:rPr>
              <w:t>SCC</w:t>
            </w:r>
          </w:p>
        </w:tc>
        <w:tc>
          <w:tcPr>
            <w:tcW w:w="645" w:type="dxa"/>
            <w:gridSpan w:val="2"/>
            <w:tcBorders>
              <w:top w:val="single" w:sz="4" w:space="0" w:color="auto"/>
              <w:bottom w:val="single" w:sz="4" w:space="0" w:color="auto"/>
            </w:tcBorders>
          </w:tcPr>
          <w:p w:rsidR="00234376" w:rsidRPr="00537C3C" w:rsidRDefault="00234376" w:rsidP="008E03A7">
            <w:pPr>
              <w:pStyle w:val="TableText0"/>
              <w:jc w:val="center"/>
              <w:rPr>
                <w:rFonts w:ascii="Arial Narrow" w:hAnsi="Arial Narrow"/>
                <w:b/>
              </w:rPr>
            </w:pPr>
            <w:r w:rsidRPr="00537C3C">
              <w:rPr>
                <w:rFonts w:ascii="Arial Narrow" w:hAnsi="Arial Narrow"/>
                <w:b/>
              </w:rPr>
              <w:t>Gland</w:t>
            </w:r>
          </w:p>
        </w:tc>
      </w:tr>
      <w:tr w:rsidR="00234376" w:rsidRPr="00537C3C">
        <w:tc>
          <w:tcPr>
            <w:tcW w:w="14177" w:type="dxa"/>
            <w:gridSpan w:val="41"/>
            <w:tcBorders>
              <w:top w:val="single" w:sz="4" w:space="0" w:color="auto"/>
            </w:tcBorders>
          </w:tcPr>
          <w:p w:rsidR="00234376" w:rsidRPr="00537C3C" w:rsidRDefault="00234376" w:rsidP="008E03A7">
            <w:pPr>
              <w:pStyle w:val="TableText0"/>
              <w:rPr>
                <w:rFonts w:ascii="Arial Narrow" w:hAnsi="Arial Narrow"/>
                <w:b/>
                <w:i/>
              </w:rPr>
            </w:pPr>
            <w:r w:rsidRPr="00BB76D8">
              <w:rPr>
                <w:rFonts w:ascii="Arial Narrow" w:hAnsi="Arial Narrow"/>
                <w:b/>
                <w:i/>
              </w:rPr>
              <w:t>TPI</w:t>
            </w:r>
            <w:r w:rsidRPr="00537C3C">
              <w:rPr>
                <w:rFonts w:ascii="Arial Narrow" w:hAnsi="Arial Narrow"/>
                <w:b/>
                <w:i/>
              </w:rPr>
              <w:t xml:space="preserve">-assisted versus manual reading of </w:t>
            </w:r>
            <w:r w:rsidRPr="00BB76D8">
              <w:rPr>
                <w:rFonts w:ascii="Arial Narrow" w:hAnsi="Arial Narrow"/>
                <w:b/>
                <w:i/>
              </w:rPr>
              <w:t>TP</w:t>
            </w:r>
            <w:r w:rsidRPr="00537C3C">
              <w:rPr>
                <w:rFonts w:ascii="Arial Narrow" w:hAnsi="Arial Narrow"/>
                <w:b/>
                <w:i/>
              </w:rPr>
              <w:t xml:space="preserve"> slides</w:t>
            </w:r>
          </w:p>
        </w:tc>
      </w:tr>
      <w:tr w:rsidR="00234376" w:rsidRPr="00537C3C">
        <w:tc>
          <w:tcPr>
            <w:tcW w:w="1370" w:type="dxa"/>
            <w:gridSpan w:val="2"/>
          </w:tcPr>
          <w:p w:rsidR="00234376" w:rsidRPr="00537C3C" w:rsidRDefault="00234376" w:rsidP="008E03A7">
            <w:pPr>
              <w:pStyle w:val="TableText0"/>
              <w:rPr>
                <w:rFonts w:ascii="Arial Narrow" w:hAnsi="Arial Narrow"/>
              </w:rPr>
            </w:pPr>
            <w:r w:rsidRPr="00537C3C">
              <w:rPr>
                <w:rFonts w:ascii="Arial Narrow" w:hAnsi="Arial Narrow"/>
              </w:rPr>
              <w:t>Roberts et al. 2007</w:t>
            </w:r>
          </w:p>
        </w:tc>
        <w:tc>
          <w:tcPr>
            <w:tcW w:w="655" w:type="dxa"/>
            <w:gridSpan w:val="2"/>
          </w:tcPr>
          <w:p w:rsidR="00234376" w:rsidRDefault="00234376" w:rsidP="00234376">
            <w:pPr>
              <w:pStyle w:val="TableText0"/>
              <w:jc w:val="center"/>
              <w:rPr>
                <w:rFonts w:ascii="Arial Narrow" w:hAnsi="Arial Narrow"/>
              </w:rPr>
            </w:pPr>
            <w:r w:rsidRPr="00537C3C">
              <w:rPr>
                <w:rFonts w:ascii="Arial Narrow" w:hAnsi="Arial Narrow"/>
              </w:rPr>
              <w:t>11 416</w:t>
            </w:r>
          </w:p>
        </w:tc>
        <w:tc>
          <w:tcPr>
            <w:tcW w:w="1018"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3.7</w:t>
            </w:r>
          </w:p>
        </w:tc>
        <w:tc>
          <w:tcPr>
            <w:tcW w:w="590"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93"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91" w:type="dxa"/>
            <w:gridSpan w:val="2"/>
          </w:tcPr>
          <w:p w:rsidR="00234376" w:rsidRPr="00537C3C" w:rsidRDefault="00234376" w:rsidP="008E03A7">
            <w:pPr>
              <w:pStyle w:val="TableTextLessSpaceCharCharCharCharCharCharCharChar"/>
              <w:jc w:val="center"/>
              <w:rPr>
                <w:szCs w:val="18"/>
              </w:rPr>
            </w:pPr>
            <w:r w:rsidRPr="00537C3C">
              <w:rPr>
                <w:szCs w:val="18"/>
              </w:rPr>
              <w:t>3.42</w:t>
            </w:r>
          </w:p>
        </w:tc>
        <w:tc>
          <w:tcPr>
            <w:tcW w:w="594" w:type="dxa"/>
            <w:gridSpan w:val="2"/>
          </w:tcPr>
          <w:p w:rsidR="00234376" w:rsidRPr="00537C3C" w:rsidRDefault="00234376" w:rsidP="008E03A7">
            <w:pPr>
              <w:pStyle w:val="TableTextLessSpaceCharCharCharCharCharCharCharChar"/>
              <w:jc w:val="center"/>
              <w:rPr>
                <w:szCs w:val="18"/>
              </w:rPr>
            </w:pPr>
            <w:r w:rsidRPr="00537C3C">
              <w:rPr>
                <w:szCs w:val="18"/>
              </w:rPr>
              <w:t>4.71</w:t>
            </w:r>
          </w:p>
        </w:tc>
        <w:tc>
          <w:tcPr>
            <w:tcW w:w="615"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3.8**</w:t>
            </w:r>
          </w:p>
        </w:tc>
        <w:tc>
          <w:tcPr>
            <w:tcW w:w="579"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75"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2.9</w:t>
            </w:r>
          </w:p>
        </w:tc>
        <w:tc>
          <w:tcPr>
            <w:tcW w:w="631" w:type="dxa"/>
            <w:gridSpan w:val="2"/>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0.43**</w:t>
            </w:r>
          </w:p>
        </w:tc>
        <w:tc>
          <w:tcPr>
            <w:tcW w:w="579" w:type="dxa"/>
            <w:gridSpan w:val="2"/>
          </w:tcPr>
          <w:p w:rsidR="00234376" w:rsidRPr="00537C3C" w:rsidRDefault="00234376" w:rsidP="008E03A7">
            <w:pPr>
              <w:pStyle w:val="TableTextLessSpaceCharCharCharCharCharCharCharChar"/>
              <w:jc w:val="center"/>
              <w:rPr>
                <w:szCs w:val="18"/>
              </w:rPr>
            </w:pPr>
            <w:r w:rsidRPr="00537C3C">
              <w:rPr>
                <w:szCs w:val="18"/>
              </w:rPr>
              <w:t>0.74</w:t>
            </w:r>
          </w:p>
        </w:tc>
        <w:tc>
          <w:tcPr>
            <w:tcW w:w="800"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softHyphen/>
              <w:t>–</w:t>
            </w:r>
          </w:p>
        </w:tc>
        <w:tc>
          <w:tcPr>
            <w:tcW w:w="623"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softHyphen/>
              <w:t>–</w:t>
            </w:r>
          </w:p>
        </w:tc>
        <w:tc>
          <w:tcPr>
            <w:tcW w:w="615"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4.5</w:t>
            </w:r>
          </w:p>
        </w:tc>
        <w:tc>
          <w:tcPr>
            <w:tcW w:w="564"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60"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2.7</w:t>
            </w:r>
          </w:p>
        </w:tc>
        <w:tc>
          <w:tcPr>
            <w:tcW w:w="631"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0.72</w:t>
            </w:r>
          </w:p>
        </w:tc>
        <w:tc>
          <w:tcPr>
            <w:tcW w:w="564" w:type="dxa"/>
            <w:gridSpan w:val="2"/>
          </w:tcPr>
          <w:p w:rsidR="00234376" w:rsidRPr="00537C3C" w:rsidRDefault="00234376" w:rsidP="008E03A7">
            <w:pPr>
              <w:pStyle w:val="TableTextLessSpaceCharCharCharCharCharCharCharChar"/>
              <w:jc w:val="center"/>
              <w:rPr>
                <w:szCs w:val="18"/>
              </w:rPr>
            </w:pPr>
            <w:r w:rsidRPr="00537C3C">
              <w:rPr>
                <w:szCs w:val="18"/>
              </w:rPr>
              <w:t>0.86</w:t>
            </w:r>
          </w:p>
        </w:tc>
        <w:tc>
          <w:tcPr>
            <w:tcW w:w="800"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softHyphen/>
              <w:t>–</w:t>
            </w:r>
          </w:p>
        </w:tc>
        <w:tc>
          <w:tcPr>
            <w:tcW w:w="630" w:type="dxa"/>
          </w:tcPr>
          <w:p w:rsidR="00234376" w:rsidRPr="00537C3C" w:rsidRDefault="00234376" w:rsidP="008E03A7">
            <w:pPr>
              <w:pStyle w:val="TableText0"/>
              <w:jc w:val="center"/>
              <w:rPr>
                <w:rFonts w:ascii="Arial Narrow" w:hAnsi="Arial Narrow"/>
              </w:rPr>
            </w:pPr>
            <w:r w:rsidRPr="00537C3C">
              <w:rPr>
                <w:rFonts w:ascii="Arial Narrow" w:hAnsi="Arial Narrow"/>
              </w:rPr>
              <w:t>–</w:t>
            </w:r>
          </w:p>
        </w:tc>
      </w:tr>
      <w:tr w:rsidR="00234376" w:rsidRPr="00537C3C">
        <w:tc>
          <w:tcPr>
            <w:tcW w:w="1370" w:type="dxa"/>
            <w:gridSpan w:val="2"/>
          </w:tcPr>
          <w:p w:rsidR="00234376" w:rsidRPr="00537C3C" w:rsidRDefault="00234376" w:rsidP="008E03A7">
            <w:pPr>
              <w:pStyle w:val="TableText0"/>
              <w:rPr>
                <w:rFonts w:ascii="Arial Narrow" w:hAnsi="Arial Narrow"/>
              </w:rPr>
            </w:pPr>
            <w:r w:rsidRPr="00537C3C">
              <w:rPr>
                <w:rFonts w:ascii="Arial Narrow" w:hAnsi="Arial Narrow"/>
              </w:rPr>
              <w:t>Bolger et al. 2006</w:t>
            </w:r>
          </w:p>
        </w:tc>
        <w:tc>
          <w:tcPr>
            <w:tcW w:w="655" w:type="dxa"/>
            <w:gridSpan w:val="2"/>
          </w:tcPr>
          <w:p w:rsidR="00234376" w:rsidRDefault="00234376" w:rsidP="00234376">
            <w:pPr>
              <w:pStyle w:val="TableText0"/>
              <w:jc w:val="center"/>
              <w:rPr>
                <w:rFonts w:ascii="Arial Narrow" w:hAnsi="Arial Narrow"/>
              </w:rPr>
            </w:pPr>
            <w:r w:rsidRPr="00537C3C">
              <w:rPr>
                <w:rFonts w:ascii="Arial Narrow" w:hAnsi="Arial Narrow"/>
              </w:rPr>
              <w:t>6000</w:t>
            </w:r>
          </w:p>
        </w:tc>
        <w:tc>
          <w:tcPr>
            <w:tcW w:w="1018"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~3</w:t>
            </w:r>
          </w:p>
        </w:tc>
        <w:tc>
          <w:tcPr>
            <w:tcW w:w="590"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1.05</w:t>
            </w:r>
          </w:p>
        </w:tc>
        <w:tc>
          <w:tcPr>
            <w:tcW w:w="593"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1.07</w:t>
            </w:r>
          </w:p>
        </w:tc>
        <w:tc>
          <w:tcPr>
            <w:tcW w:w="591"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94"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15" w:type="dxa"/>
            <w:gridSpan w:val="2"/>
          </w:tcPr>
          <w:p w:rsidR="00234376" w:rsidRPr="00537C3C" w:rsidRDefault="00234376" w:rsidP="008E03A7">
            <w:pPr>
              <w:pStyle w:val="TableText0"/>
              <w:jc w:val="center"/>
              <w:rPr>
                <w:rFonts w:ascii="Arial Narrow" w:hAnsi="Arial Narrow"/>
              </w:rPr>
            </w:pPr>
            <w:smartTag w:uri="urn:schemas-microsoft-com:office:smarttags" w:element="metricconverter">
              <w:smartTagPr>
                <w:attr w:name="ProductID" w:val="5.7 a"/>
              </w:smartTagPr>
              <w:r w:rsidRPr="00537C3C">
                <w:rPr>
                  <w:rFonts w:ascii="Arial Narrow" w:hAnsi="Arial Narrow"/>
                </w:rPr>
                <w:t>5.7</w:t>
              </w:r>
              <w:r w:rsidRPr="00537C3C">
                <w:rPr>
                  <w:rFonts w:ascii="Arial Narrow" w:hAnsi="Arial Narrow"/>
                  <w:vertAlign w:val="superscript"/>
                </w:rPr>
                <w:t xml:space="preserve"> a</w:t>
              </w:r>
            </w:smartTag>
          </w:p>
        </w:tc>
        <w:tc>
          <w:tcPr>
            <w:tcW w:w="579"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6.3</w:t>
            </w:r>
          </w:p>
        </w:tc>
        <w:tc>
          <w:tcPr>
            <w:tcW w:w="575" w:type="dxa"/>
            <w:gridSpan w:val="2"/>
          </w:tcPr>
          <w:p w:rsidR="00234376" w:rsidRPr="00537C3C" w:rsidRDefault="00234376" w:rsidP="008E03A7">
            <w:pPr>
              <w:pStyle w:val="TableText0"/>
              <w:jc w:val="center"/>
              <w:rPr>
                <w:rFonts w:ascii="Arial Narrow" w:hAnsi="Arial Narrow"/>
              </w:rPr>
            </w:pPr>
          </w:p>
        </w:tc>
        <w:tc>
          <w:tcPr>
            <w:tcW w:w="631" w:type="dxa"/>
            <w:gridSpan w:val="2"/>
          </w:tcPr>
          <w:p w:rsidR="00234376" w:rsidRPr="00537C3C" w:rsidRDefault="00234376" w:rsidP="008E03A7">
            <w:pPr>
              <w:pStyle w:val="TableText0"/>
              <w:jc w:val="center"/>
              <w:rPr>
                <w:rFonts w:ascii="Arial Narrow" w:hAnsi="Arial Narrow"/>
              </w:rPr>
            </w:pPr>
          </w:p>
        </w:tc>
        <w:tc>
          <w:tcPr>
            <w:tcW w:w="579"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1.23</w:t>
            </w:r>
          </w:p>
        </w:tc>
        <w:tc>
          <w:tcPr>
            <w:tcW w:w="800"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0</w:t>
            </w:r>
          </w:p>
        </w:tc>
        <w:tc>
          <w:tcPr>
            <w:tcW w:w="623"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0.03</w:t>
            </w:r>
          </w:p>
        </w:tc>
        <w:tc>
          <w:tcPr>
            <w:tcW w:w="615" w:type="dxa"/>
            <w:gridSpan w:val="2"/>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5.6</w:t>
            </w:r>
            <w:r w:rsidRPr="00537C3C">
              <w:rPr>
                <w:rFonts w:ascii="Arial Narrow" w:hAnsi="Arial Narrow"/>
                <w:vertAlign w:val="superscript"/>
              </w:rPr>
              <w:t>a</w:t>
            </w:r>
          </w:p>
        </w:tc>
        <w:tc>
          <w:tcPr>
            <w:tcW w:w="564"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6.3</w:t>
            </w:r>
          </w:p>
        </w:tc>
        <w:tc>
          <w:tcPr>
            <w:tcW w:w="560" w:type="dxa"/>
            <w:gridSpan w:val="2"/>
          </w:tcPr>
          <w:p w:rsidR="00234376" w:rsidRPr="00537C3C" w:rsidRDefault="00234376" w:rsidP="008E03A7">
            <w:pPr>
              <w:pStyle w:val="TableText0"/>
              <w:jc w:val="center"/>
              <w:rPr>
                <w:rFonts w:ascii="Arial Narrow" w:hAnsi="Arial Narrow"/>
              </w:rPr>
            </w:pPr>
          </w:p>
        </w:tc>
        <w:tc>
          <w:tcPr>
            <w:tcW w:w="631" w:type="dxa"/>
            <w:gridSpan w:val="2"/>
          </w:tcPr>
          <w:p w:rsidR="00234376" w:rsidRPr="00537C3C" w:rsidRDefault="00234376" w:rsidP="008E03A7">
            <w:pPr>
              <w:pStyle w:val="TableText0"/>
              <w:jc w:val="center"/>
              <w:rPr>
                <w:rFonts w:ascii="Arial Narrow" w:hAnsi="Arial Narrow"/>
              </w:rPr>
            </w:pPr>
          </w:p>
        </w:tc>
        <w:tc>
          <w:tcPr>
            <w:tcW w:w="564"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1.35</w:t>
            </w:r>
          </w:p>
        </w:tc>
        <w:tc>
          <w:tcPr>
            <w:tcW w:w="800" w:type="dxa"/>
            <w:gridSpan w:val="2"/>
          </w:tcPr>
          <w:p w:rsidR="00234376" w:rsidRPr="00537C3C" w:rsidRDefault="00234376" w:rsidP="008E03A7">
            <w:pPr>
              <w:pStyle w:val="TableText0"/>
              <w:jc w:val="center"/>
              <w:rPr>
                <w:rFonts w:ascii="Arial Narrow" w:hAnsi="Arial Narrow"/>
              </w:rPr>
            </w:pPr>
            <w:r w:rsidRPr="00537C3C">
              <w:rPr>
                <w:rFonts w:ascii="Arial Narrow" w:hAnsi="Arial Narrow"/>
              </w:rPr>
              <w:t>0</w:t>
            </w:r>
          </w:p>
        </w:tc>
        <w:tc>
          <w:tcPr>
            <w:tcW w:w="630" w:type="dxa"/>
          </w:tcPr>
          <w:p w:rsidR="00234376" w:rsidRPr="00537C3C" w:rsidRDefault="00234376" w:rsidP="008E03A7">
            <w:pPr>
              <w:pStyle w:val="TableText0"/>
              <w:jc w:val="center"/>
              <w:rPr>
                <w:rFonts w:ascii="Arial Narrow" w:hAnsi="Arial Narrow"/>
              </w:rPr>
            </w:pPr>
            <w:r w:rsidRPr="00537C3C">
              <w:rPr>
                <w:rFonts w:ascii="Arial Narrow" w:hAnsi="Arial Narrow"/>
              </w:rPr>
              <w:t>0.03</w:t>
            </w:r>
          </w:p>
        </w:tc>
      </w:tr>
      <w:tr w:rsidR="00234376" w:rsidRPr="00537C3C">
        <w:tc>
          <w:tcPr>
            <w:tcW w:w="1370" w:type="dxa"/>
            <w:gridSpan w:val="2"/>
            <w:tcBorders>
              <w:bottom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Biscotti et al. 2005</w:t>
            </w:r>
          </w:p>
        </w:tc>
        <w:tc>
          <w:tcPr>
            <w:tcW w:w="655" w:type="dxa"/>
            <w:gridSpan w:val="2"/>
            <w:tcBorders>
              <w:bottom w:val="single" w:sz="4" w:space="0" w:color="auto"/>
            </w:tcBorders>
          </w:tcPr>
          <w:p w:rsidR="00234376" w:rsidRDefault="00234376" w:rsidP="00234376">
            <w:pPr>
              <w:pStyle w:val="TableText0"/>
              <w:jc w:val="center"/>
              <w:rPr>
                <w:rFonts w:ascii="Arial Narrow" w:hAnsi="Arial Narrow"/>
              </w:rPr>
            </w:pPr>
            <w:r w:rsidRPr="00537C3C">
              <w:rPr>
                <w:rFonts w:ascii="Arial Narrow" w:hAnsi="Arial Narrow"/>
              </w:rPr>
              <w:t>10 359</w:t>
            </w:r>
          </w:p>
        </w:tc>
        <w:tc>
          <w:tcPr>
            <w:tcW w:w="1018" w:type="dxa"/>
            <w:gridSpan w:val="2"/>
            <w:tcBorders>
              <w:bottom w:val="single" w:sz="4" w:space="0" w:color="auto"/>
            </w:tcBorders>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6.8</w:t>
            </w:r>
            <w:r w:rsidRPr="00537C3C">
              <w:rPr>
                <w:rFonts w:ascii="Arial Narrow" w:hAnsi="Arial Narrow"/>
                <w:vertAlign w:val="superscript"/>
              </w:rPr>
              <w:t>c</w:t>
            </w:r>
          </w:p>
        </w:tc>
        <w:tc>
          <w:tcPr>
            <w:tcW w:w="590" w:type="dxa"/>
            <w:gridSpan w:val="2"/>
            <w:tcBorders>
              <w:bottom w:val="single" w:sz="4" w:space="0" w:color="auto"/>
            </w:tcBorders>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0.27</w:t>
            </w:r>
            <w:r w:rsidRPr="00537C3C">
              <w:rPr>
                <w:rFonts w:ascii="Arial Narrow" w:hAnsi="Arial Narrow"/>
                <w:vertAlign w:val="superscript"/>
              </w:rPr>
              <w:t>c</w:t>
            </w:r>
          </w:p>
        </w:tc>
        <w:tc>
          <w:tcPr>
            <w:tcW w:w="593" w:type="dxa"/>
            <w:gridSpan w:val="2"/>
            <w:tcBorders>
              <w:bottom w:val="single" w:sz="4" w:space="0" w:color="auto"/>
            </w:tcBorders>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0.61</w:t>
            </w:r>
            <w:r w:rsidRPr="00537C3C">
              <w:rPr>
                <w:rFonts w:ascii="Arial Narrow" w:hAnsi="Arial Narrow"/>
                <w:vertAlign w:val="superscript"/>
              </w:rPr>
              <w:t>c</w:t>
            </w:r>
          </w:p>
        </w:tc>
        <w:tc>
          <w:tcPr>
            <w:tcW w:w="591"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3.2</w:t>
            </w:r>
          </w:p>
        </w:tc>
        <w:tc>
          <w:tcPr>
            <w:tcW w:w="594"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6.7</w:t>
            </w:r>
          </w:p>
        </w:tc>
        <w:tc>
          <w:tcPr>
            <w:tcW w:w="615" w:type="dxa"/>
            <w:gridSpan w:val="2"/>
            <w:tcBorders>
              <w:bottom w:val="single" w:sz="4" w:space="0" w:color="auto"/>
            </w:tcBorders>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3.90</w:t>
            </w:r>
            <w:r w:rsidRPr="00537C3C">
              <w:rPr>
                <w:rFonts w:ascii="Arial Narrow" w:hAnsi="Arial Narrow"/>
                <w:vertAlign w:val="superscript"/>
              </w:rPr>
              <w:t>b</w:t>
            </w:r>
          </w:p>
        </w:tc>
        <w:tc>
          <w:tcPr>
            <w:tcW w:w="579" w:type="dxa"/>
            <w:gridSpan w:val="2"/>
            <w:tcBorders>
              <w:bottom w:val="single" w:sz="4" w:space="0" w:color="auto"/>
            </w:tcBorders>
          </w:tcPr>
          <w:p w:rsidR="00234376" w:rsidRPr="00537C3C" w:rsidRDefault="00234376" w:rsidP="008E03A7">
            <w:pPr>
              <w:pStyle w:val="TableText0"/>
              <w:jc w:val="center"/>
              <w:rPr>
                <w:rFonts w:ascii="Arial Narrow" w:hAnsi="Arial Narrow"/>
              </w:rPr>
            </w:pPr>
          </w:p>
        </w:tc>
        <w:tc>
          <w:tcPr>
            <w:tcW w:w="575"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2.47</w:t>
            </w:r>
          </w:p>
        </w:tc>
        <w:tc>
          <w:tcPr>
            <w:tcW w:w="631" w:type="dxa"/>
            <w:gridSpan w:val="2"/>
            <w:tcBorders>
              <w:bottom w:val="single" w:sz="4" w:space="0" w:color="auto"/>
            </w:tcBorders>
          </w:tcPr>
          <w:p w:rsidR="00234376" w:rsidRPr="00537C3C" w:rsidRDefault="00234376" w:rsidP="008E03A7">
            <w:pPr>
              <w:pStyle w:val="TableText0"/>
              <w:jc w:val="center"/>
              <w:rPr>
                <w:rFonts w:ascii="Arial Narrow" w:hAnsi="Arial Narrow"/>
              </w:rPr>
            </w:pPr>
          </w:p>
        </w:tc>
        <w:tc>
          <w:tcPr>
            <w:tcW w:w="579"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1.44</w:t>
            </w:r>
          </w:p>
        </w:tc>
        <w:tc>
          <w:tcPr>
            <w:tcW w:w="800"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0.04</w:t>
            </w:r>
          </w:p>
        </w:tc>
        <w:tc>
          <w:tcPr>
            <w:tcW w:w="623"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0.10</w:t>
            </w:r>
          </w:p>
        </w:tc>
        <w:tc>
          <w:tcPr>
            <w:tcW w:w="615" w:type="dxa"/>
            <w:gridSpan w:val="2"/>
            <w:tcBorders>
              <w:bottom w:val="single" w:sz="4" w:space="0" w:color="auto"/>
            </w:tcBorders>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3.49</w:t>
            </w:r>
            <w:r w:rsidRPr="00537C3C">
              <w:rPr>
                <w:rFonts w:ascii="Arial Narrow" w:hAnsi="Arial Narrow"/>
                <w:vertAlign w:val="superscript"/>
              </w:rPr>
              <w:t>b</w:t>
            </w:r>
          </w:p>
        </w:tc>
        <w:tc>
          <w:tcPr>
            <w:tcW w:w="564" w:type="dxa"/>
            <w:gridSpan w:val="2"/>
            <w:tcBorders>
              <w:bottom w:val="single" w:sz="4" w:space="0" w:color="auto"/>
            </w:tcBorders>
          </w:tcPr>
          <w:p w:rsidR="00234376" w:rsidRPr="00537C3C" w:rsidRDefault="00234376" w:rsidP="008E03A7">
            <w:pPr>
              <w:pStyle w:val="TableText0"/>
              <w:jc w:val="center"/>
              <w:rPr>
                <w:rFonts w:ascii="Arial Narrow" w:hAnsi="Arial Narrow"/>
              </w:rPr>
            </w:pPr>
          </w:p>
        </w:tc>
        <w:tc>
          <w:tcPr>
            <w:tcW w:w="560"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2.45</w:t>
            </w:r>
          </w:p>
        </w:tc>
        <w:tc>
          <w:tcPr>
            <w:tcW w:w="631" w:type="dxa"/>
            <w:gridSpan w:val="2"/>
            <w:tcBorders>
              <w:bottom w:val="single" w:sz="4" w:space="0" w:color="auto"/>
            </w:tcBorders>
          </w:tcPr>
          <w:p w:rsidR="00234376" w:rsidRPr="00537C3C" w:rsidRDefault="00234376" w:rsidP="008E03A7">
            <w:pPr>
              <w:pStyle w:val="TableText0"/>
              <w:jc w:val="center"/>
              <w:rPr>
                <w:rFonts w:ascii="Arial Narrow" w:hAnsi="Arial Narrow"/>
              </w:rPr>
            </w:pPr>
          </w:p>
        </w:tc>
        <w:tc>
          <w:tcPr>
            <w:tcW w:w="564"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1.54</w:t>
            </w:r>
          </w:p>
        </w:tc>
        <w:tc>
          <w:tcPr>
            <w:tcW w:w="800"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0.06</w:t>
            </w:r>
          </w:p>
        </w:tc>
        <w:tc>
          <w:tcPr>
            <w:tcW w:w="630" w:type="dxa"/>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0.12</w:t>
            </w:r>
          </w:p>
        </w:tc>
      </w:tr>
      <w:tr w:rsidR="00234376" w:rsidRPr="00537C3C">
        <w:tc>
          <w:tcPr>
            <w:tcW w:w="14177" w:type="dxa"/>
            <w:gridSpan w:val="41"/>
            <w:tcBorders>
              <w:top w:val="single" w:sz="4" w:space="0" w:color="auto"/>
            </w:tcBorders>
          </w:tcPr>
          <w:p w:rsidR="00234376" w:rsidRPr="00537C3C" w:rsidRDefault="00234376" w:rsidP="008E03A7">
            <w:pPr>
              <w:pStyle w:val="TableText0"/>
              <w:rPr>
                <w:rFonts w:ascii="Arial Narrow" w:hAnsi="Arial Narrow"/>
                <w:b/>
                <w:i/>
              </w:rPr>
            </w:pPr>
            <w:r w:rsidRPr="00537C3C">
              <w:rPr>
                <w:rFonts w:ascii="Arial Narrow" w:hAnsi="Arial Narrow"/>
                <w:b/>
                <w:i/>
              </w:rPr>
              <w:t>AutoPap-assisted versus manual reading of AutoCytePrep slides</w:t>
            </w:r>
          </w:p>
        </w:tc>
      </w:tr>
      <w:tr w:rsidR="00234376" w:rsidRPr="00537C3C">
        <w:tc>
          <w:tcPr>
            <w:tcW w:w="1122" w:type="dxa"/>
            <w:tcBorders>
              <w:bottom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Wilbur et al. 2002</w:t>
            </w:r>
          </w:p>
        </w:tc>
        <w:tc>
          <w:tcPr>
            <w:tcW w:w="668" w:type="dxa"/>
            <w:gridSpan w:val="2"/>
            <w:tcBorders>
              <w:bottom w:val="single" w:sz="4" w:space="0" w:color="auto"/>
            </w:tcBorders>
          </w:tcPr>
          <w:p w:rsidR="00234376" w:rsidRDefault="00234376" w:rsidP="00234376">
            <w:pPr>
              <w:pStyle w:val="TableText0"/>
              <w:jc w:val="center"/>
              <w:rPr>
                <w:rFonts w:ascii="Arial Narrow" w:hAnsi="Arial Narrow"/>
              </w:rPr>
            </w:pPr>
            <w:r w:rsidRPr="00537C3C">
              <w:rPr>
                <w:rFonts w:ascii="Arial Narrow" w:hAnsi="Arial Narrow"/>
              </w:rPr>
              <w:t>1275</w:t>
            </w:r>
          </w:p>
        </w:tc>
        <w:tc>
          <w:tcPr>
            <w:tcW w:w="1038"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1.7</w:t>
            </w:r>
          </w:p>
        </w:tc>
        <w:tc>
          <w:tcPr>
            <w:tcW w:w="601"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04"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02"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05"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27"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90"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86"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43"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90"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815"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35"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27"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75"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71"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43"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575"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815"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c>
          <w:tcPr>
            <w:tcW w:w="645" w:type="dxa"/>
            <w:gridSpan w:val="2"/>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w:t>
            </w:r>
          </w:p>
        </w:tc>
      </w:tr>
    </w:tbl>
    <w:p w:rsidR="00234376" w:rsidRPr="00537C3C" w:rsidRDefault="00234376" w:rsidP="008E03A7">
      <w:pPr>
        <w:pStyle w:val="TableNotes"/>
        <w:spacing w:after="0"/>
      </w:pPr>
      <w:r w:rsidRPr="00537C3C">
        <w:rPr>
          <w:i/>
        </w:rPr>
        <w:t xml:space="preserve">Abbreviations: </w:t>
      </w:r>
      <w:r w:rsidRPr="00537C3C">
        <w:t>Gland = glandular, Unsat = unsatisfactory.</w:t>
      </w:r>
    </w:p>
    <w:p w:rsidR="00234376" w:rsidRPr="00537C3C" w:rsidRDefault="00234376" w:rsidP="008E03A7">
      <w:pPr>
        <w:pStyle w:val="TableNotes"/>
        <w:spacing w:after="0"/>
        <w:ind w:left="720" w:firstLine="0"/>
      </w:pPr>
      <w:r w:rsidRPr="00537C3C">
        <w:rPr>
          <w:vertAlign w:val="superscript"/>
        </w:rPr>
        <w:t xml:space="preserve">a </w:t>
      </w:r>
      <w:r w:rsidRPr="00537C3C">
        <w:t xml:space="preserve">Borderline nuclear abnormality. </w:t>
      </w:r>
      <w:r w:rsidRPr="00537C3C">
        <w:rPr>
          <w:vertAlign w:val="superscript"/>
        </w:rPr>
        <w:t>b</w:t>
      </w:r>
      <w:r w:rsidRPr="00537C3C">
        <w:t xml:space="preserve"> </w:t>
      </w:r>
      <w:r w:rsidRPr="00BB76D8">
        <w:t>ASCUS.</w:t>
      </w:r>
      <w:r w:rsidRPr="00537C3C">
        <w:t xml:space="preserve"> </w:t>
      </w:r>
      <w:r w:rsidRPr="00537C3C">
        <w:rPr>
          <w:vertAlign w:val="superscript"/>
        </w:rPr>
        <w:t xml:space="preserve">c </w:t>
      </w:r>
      <w:r w:rsidRPr="00537C3C">
        <w:t>Assuming total</w:t>
      </w:r>
      <w:r w:rsidRPr="00537C3C">
        <w:rPr>
          <w:vertAlign w:val="superscript"/>
        </w:rPr>
        <w:t xml:space="preserve"> </w:t>
      </w:r>
      <w:r w:rsidRPr="00537C3C">
        <w:t>of 10 742.</w:t>
      </w:r>
    </w:p>
    <w:p w:rsidR="00234376" w:rsidRPr="00537C3C" w:rsidRDefault="00234376" w:rsidP="008E03A7">
      <w:pPr>
        <w:pStyle w:val="TableNotes"/>
        <w:spacing w:after="0"/>
        <w:ind w:left="720" w:firstLine="0"/>
      </w:pPr>
      <w:r w:rsidRPr="00537C3C">
        <w:t>**</w:t>
      </w:r>
      <w:r w:rsidRPr="0030078D">
        <w:rPr>
          <w:i/>
        </w:rPr>
        <w:t>P</w:t>
      </w:r>
      <w:r w:rsidRPr="00537C3C">
        <w:t xml:space="preserve"> &lt; 0.01 vs manual reading.</w:t>
      </w:r>
    </w:p>
    <w:p w:rsidR="00234376" w:rsidRPr="00537C3C" w:rsidRDefault="00234376" w:rsidP="008E03A7">
      <w:pPr>
        <w:sectPr w:rsidR="00234376" w:rsidRPr="00537C3C" w:rsidSect="008E03A7">
          <w:pgSz w:w="16838" w:h="11906" w:orient="landscape"/>
          <w:pgMar w:top="1440" w:right="1440" w:bottom="1440" w:left="1440" w:header="720" w:footer="720" w:gutter="0"/>
          <w:paperSrc w:first="15" w:other="15"/>
          <w:cols w:space="720"/>
        </w:sectPr>
      </w:pPr>
    </w:p>
    <w:p w:rsidR="00234376" w:rsidRPr="00537C3C" w:rsidRDefault="00234376" w:rsidP="008E03A7">
      <w:pPr>
        <w:pStyle w:val="Heading2"/>
        <w:ind w:left="0"/>
        <w:rPr>
          <w:bCs/>
        </w:rPr>
      </w:pPr>
      <w:bookmarkStart w:id="475" w:name="_Ref200943996"/>
      <w:bookmarkStart w:id="476" w:name="_Toc95971088"/>
      <w:bookmarkStart w:id="477" w:name="_Toc241658187"/>
      <w:r w:rsidRPr="00537C3C">
        <w:rPr>
          <w:bCs/>
        </w:rPr>
        <w:lastRenderedPageBreak/>
        <w:t xml:space="preserve">Direct comparison of </w:t>
      </w:r>
      <w:r w:rsidRPr="00BB76D8">
        <w:rPr>
          <w:bCs/>
        </w:rPr>
        <w:t>LBC</w:t>
      </w:r>
      <w:r w:rsidRPr="00537C3C">
        <w:rPr>
          <w:bCs/>
        </w:rPr>
        <w:t xml:space="preserve">, automated </w:t>
      </w:r>
      <w:r w:rsidRPr="00BB76D8">
        <w:rPr>
          <w:bCs/>
        </w:rPr>
        <w:t>LBC</w:t>
      </w:r>
      <w:r w:rsidRPr="00537C3C">
        <w:rPr>
          <w:bCs/>
        </w:rPr>
        <w:t xml:space="preserve"> reading and conventional Pap cytology</w:t>
      </w:r>
      <w:bookmarkEnd w:id="465"/>
      <w:bookmarkEnd w:id="466"/>
      <w:bookmarkEnd w:id="475"/>
      <w:bookmarkEnd w:id="476"/>
      <w:bookmarkEnd w:id="477"/>
    </w:p>
    <w:p w:rsidR="00234376" w:rsidRPr="00537C3C" w:rsidRDefault="00234376" w:rsidP="008E03A7">
      <w:r w:rsidRPr="00537C3C">
        <w:t>One study (Roberts et al. 2007) provided a direct comparison of all three alternative screening technologies in 11, 416 cervical samples. Roberts et al. (2007) reported the relative performance of ThinPrep cytology with manual reading, ThinPrep</w:t>
      </w:r>
      <w:r w:rsidR="00F91C6A">
        <w:t xml:space="preserve"> </w:t>
      </w:r>
      <w:r w:rsidRPr="00537C3C">
        <w:t xml:space="preserve">Imager reading of ThinPrep slides and manual reading of conventional cytology slides. The characteristics of this study are summarised in </w:t>
      </w:r>
      <w:r>
        <w:fldChar w:fldCharType="begin"/>
      </w:r>
      <w:r>
        <w:instrText xml:space="preserve"> REF _Ref190595297 \h  \* MERGEFORMAT </w:instrText>
      </w:r>
      <w:r>
        <w:fldChar w:fldCharType="separate"/>
      </w:r>
      <w:r w:rsidR="007D3DFF" w:rsidRPr="00537C3C">
        <w:t xml:space="preserve">Table </w:t>
      </w:r>
      <w:r w:rsidR="007D3DFF">
        <w:rPr>
          <w:noProof/>
        </w:rPr>
        <w:t>16</w:t>
      </w:r>
      <w:r>
        <w:fldChar w:fldCharType="end"/>
      </w:r>
      <w:r w:rsidRPr="00537C3C">
        <w:t>. The study is a split-sample paired diagnostic accuracy study in which 89.0 per cent of positive ThinPrep Imager read slides, 91.7</w:t>
      </w:r>
      <w:r w:rsidR="001068C2">
        <w:t xml:space="preserve"> </w:t>
      </w:r>
      <w:r w:rsidRPr="00537C3C">
        <w:t xml:space="preserve">per cent of </w:t>
      </w:r>
      <w:r w:rsidRPr="00BB76D8">
        <w:t>LBC</w:t>
      </w:r>
      <w:r w:rsidRPr="00537C3C">
        <w:t xml:space="preserve"> slides read manually and 89.2 per cent of conventional slides with a </w:t>
      </w:r>
      <w:r w:rsidRPr="00BB76D8">
        <w:t>pHSIL</w:t>
      </w:r>
      <w:r w:rsidRPr="00537C3C">
        <w:t>/</w:t>
      </w:r>
      <w:r w:rsidRPr="00BB76D8">
        <w:t>HSIL</w:t>
      </w:r>
      <w:r w:rsidRPr="00537C3C">
        <w:t xml:space="preserve"> cytology result had a histological reference standard. The data from this study comparing </w:t>
      </w:r>
      <w:r w:rsidRPr="00BB76D8">
        <w:t>LBC</w:t>
      </w:r>
      <w:r w:rsidRPr="00537C3C">
        <w:t xml:space="preserve"> and conventional cytology did not meet the inclusion criteria for the systematic review by Arbyn et al. (2008) and are therefore not included in the data presented on the relative performance of </w:t>
      </w:r>
      <w:r w:rsidRPr="00BB76D8">
        <w:t>LBC</w:t>
      </w:r>
      <w:r w:rsidRPr="00537C3C">
        <w:t xml:space="preserve"> and conventional cytology above (from page </w:t>
      </w:r>
      <w:r w:rsidRPr="00537C3C">
        <w:fldChar w:fldCharType="begin"/>
      </w:r>
      <w:r w:rsidRPr="00537C3C">
        <w:instrText xml:space="preserve"> PAGEREF _Ref190678105 \h </w:instrText>
      </w:r>
      <w:r w:rsidRPr="00537C3C">
        <w:fldChar w:fldCharType="separate"/>
      </w:r>
      <w:r w:rsidR="007D3DFF">
        <w:rPr>
          <w:noProof/>
        </w:rPr>
        <w:t>25</w:t>
      </w:r>
      <w:r w:rsidRPr="00537C3C">
        <w:fldChar w:fldCharType="end"/>
      </w:r>
      <w:r w:rsidRPr="00537C3C">
        <w:t xml:space="preserve">). The results from this study are summarised in </w:t>
      </w:r>
      <w:r w:rsidRPr="00537C3C">
        <w:fldChar w:fldCharType="begin"/>
      </w:r>
      <w:r w:rsidRPr="00537C3C">
        <w:instrText xml:space="preserve"> REF _Ref190678179 \h </w:instrText>
      </w:r>
      <w:r w:rsidRPr="00537C3C">
        <w:fldChar w:fldCharType="separate"/>
      </w:r>
      <w:r w:rsidR="007D3DFF" w:rsidRPr="00537C3C">
        <w:t xml:space="preserve">Table </w:t>
      </w:r>
      <w:r w:rsidR="007D3DFF">
        <w:rPr>
          <w:noProof/>
        </w:rPr>
        <w:t>27</w:t>
      </w:r>
      <w:r w:rsidRPr="00537C3C">
        <w:fldChar w:fldCharType="end"/>
      </w:r>
      <w:r w:rsidRPr="00537C3C">
        <w:t>.</w:t>
      </w:r>
    </w:p>
    <w:p w:rsidR="00234376" w:rsidRPr="00537C3C" w:rsidRDefault="00234376" w:rsidP="008E03A7">
      <w:r w:rsidRPr="00537C3C">
        <w:t xml:space="preserve">This head-to-head comparison of the three alternatives demonstrated that manual reading of ThinPrep slides detected 2.8 more cases of high-grade histology per 1000 women screened than conventional cytology, a significant increase in the detection rate (95/11 416 vs 63/11 416 cases, </w:t>
      </w:r>
      <w:r w:rsidRPr="0030078D">
        <w:rPr>
          <w:i/>
        </w:rPr>
        <w:t>P</w:t>
      </w:r>
      <w:r w:rsidRPr="00537C3C">
        <w:t xml:space="preserve"> = 0.01, </w:t>
      </w:r>
      <w:r w:rsidRPr="00537C3C">
        <w:rPr>
          <w:szCs w:val="24"/>
        </w:rPr>
        <w:sym w:font="Symbol" w:char="F063"/>
      </w:r>
      <w:r w:rsidRPr="00537C3C">
        <w:rPr>
          <w:vertAlign w:val="superscript"/>
        </w:rPr>
        <w:t>2</w:t>
      </w:r>
      <w:r w:rsidRPr="00537C3C">
        <w:t xml:space="preserve">-test). Automated reading of </w:t>
      </w:r>
      <w:r w:rsidRPr="00BB76D8">
        <w:t>LBC</w:t>
      </w:r>
      <w:r w:rsidRPr="00537C3C">
        <w:t xml:space="preserve"> slides detected 1.5 additional cases per 1000 women screened, but this difference was not statistically significant.</w:t>
      </w:r>
    </w:p>
    <w:p w:rsidR="00234376" w:rsidRPr="00537C3C" w:rsidRDefault="00234376" w:rsidP="008E03A7">
      <w:r w:rsidRPr="00537C3C">
        <w:t xml:space="preserve">These results are difficult to interpret in the context of the evidence presented above that </w:t>
      </w:r>
      <w:r w:rsidRPr="00BB76D8">
        <w:t>LBC</w:t>
      </w:r>
      <w:r w:rsidRPr="00537C3C">
        <w:t xml:space="preserve"> was not </w:t>
      </w:r>
      <w:r w:rsidRPr="00537C3C" w:rsidDel="00110B9C">
        <w:t xml:space="preserve">more </w:t>
      </w:r>
      <w:r w:rsidRPr="00537C3C">
        <w:t xml:space="preserve">accurate than conventional cytology. There was no significant difference in the relative sensitivity </w:t>
      </w:r>
      <w:r w:rsidR="001068C2">
        <w:t xml:space="preserve">of </w:t>
      </w:r>
      <w:r w:rsidRPr="00BB76D8">
        <w:t>LBC</w:t>
      </w:r>
      <w:r w:rsidRPr="00537C3C">
        <w:t xml:space="preserve"> over that of </w:t>
      </w:r>
      <w:r w:rsidR="0055726B" w:rsidRPr="009A6D49">
        <w:t xml:space="preserve">conventional cytology </w:t>
      </w:r>
      <w:r w:rsidRPr="00537C3C">
        <w:t xml:space="preserve">when all studies were pooled in Arbyn et al.’s </w:t>
      </w:r>
      <w:r w:rsidR="00F91C6A">
        <w:t xml:space="preserve">(2008) </w:t>
      </w:r>
      <w:r w:rsidRPr="00537C3C">
        <w:t xml:space="preserve">meta-analysis, or when only the Italian </w:t>
      </w:r>
      <w:r w:rsidRPr="00BB76D8">
        <w:t>RCT</w:t>
      </w:r>
      <w:r w:rsidRPr="00537C3C">
        <w:t xml:space="preserve"> was considered, at up to three different threshold levels for test positivity. Studies comparing automated </w:t>
      </w:r>
      <w:r w:rsidRPr="00BB76D8">
        <w:t>LBC</w:t>
      </w:r>
      <w:r w:rsidRPr="00537C3C">
        <w:t xml:space="preserve"> with manual </w:t>
      </w:r>
      <w:r w:rsidRPr="00BB76D8">
        <w:t>LBC</w:t>
      </w:r>
      <w:r w:rsidRPr="00537C3C">
        <w:t xml:space="preserve"> did not provide clear evidence of a difference between these approaches either (see </w:t>
      </w:r>
      <w:r>
        <w:fldChar w:fldCharType="begin"/>
      </w:r>
      <w:r>
        <w:instrText xml:space="preserve"> REF _Ref198451926 \h  \* MERGEFORMAT </w:instrText>
      </w:r>
      <w:r>
        <w:fldChar w:fldCharType="separate"/>
      </w:r>
      <w:r w:rsidR="007D3DFF" w:rsidRPr="00537C3C">
        <w:t xml:space="preserve">Table </w:t>
      </w:r>
      <w:r w:rsidR="007D3DFF">
        <w:rPr>
          <w:noProof/>
        </w:rPr>
        <w:t>23</w:t>
      </w:r>
      <w:r>
        <w:fldChar w:fldCharType="end"/>
      </w:r>
      <w:r w:rsidRPr="00537C3C">
        <w:t>).</w:t>
      </w:r>
    </w:p>
    <w:p w:rsidR="00234376" w:rsidRPr="00537C3C" w:rsidRDefault="00234376" w:rsidP="008E03A7">
      <w:r w:rsidRPr="00537C3C">
        <w:t xml:space="preserve">The evidence presented in the section comparing manual </w:t>
      </w:r>
      <w:r w:rsidRPr="00BB76D8">
        <w:t>LBC</w:t>
      </w:r>
      <w:r w:rsidRPr="00537C3C">
        <w:t xml:space="preserve"> to conventional cytology (from page </w:t>
      </w:r>
      <w:r w:rsidRPr="00537C3C">
        <w:fldChar w:fldCharType="begin"/>
      </w:r>
      <w:r w:rsidRPr="00537C3C">
        <w:instrText xml:space="preserve"> PAGEREF _Ref190678105 \h </w:instrText>
      </w:r>
      <w:r w:rsidRPr="00537C3C">
        <w:fldChar w:fldCharType="separate"/>
      </w:r>
      <w:r w:rsidR="007D3DFF">
        <w:rPr>
          <w:noProof/>
        </w:rPr>
        <w:t>25</w:t>
      </w:r>
      <w:r w:rsidRPr="00537C3C">
        <w:fldChar w:fldCharType="end"/>
      </w:r>
      <w:r w:rsidRPr="00537C3C">
        <w:t>) comes from a systematic review including non-randomised studies in which all patients received appropriate verification of positive cytology results, and a large randomised trial in a screening setting of 45</w:t>
      </w:r>
      <w:r w:rsidRPr="00537C3C" w:rsidDel="00110B9C">
        <w:t> </w:t>
      </w:r>
      <w:r w:rsidRPr="00537C3C">
        <w:t xml:space="preserve">174 women. In the </w:t>
      </w:r>
      <w:r w:rsidRPr="00BB76D8">
        <w:t>RCT</w:t>
      </w:r>
      <w:r w:rsidRPr="00537C3C">
        <w:t xml:space="preserve">, a reference standard of colposcopy ± biopsy was available for 91 per cent of women receiving </w:t>
      </w:r>
      <w:r w:rsidRPr="00537C3C">
        <w:rPr>
          <w:rFonts w:cs="Arial"/>
        </w:rPr>
        <w:t>CC</w:t>
      </w:r>
      <w:r w:rsidRPr="00537C3C">
        <w:t xml:space="preserve"> and 93 per cent receiving </w:t>
      </w:r>
      <w:r w:rsidRPr="00BB76D8">
        <w:t>LBC</w:t>
      </w:r>
      <w:r w:rsidRPr="00537C3C">
        <w:t xml:space="preserve">, and a cytology result of </w:t>
      </w:r>
      <w:r w:rsidRPr="00BB76D8">
        <w:t>pLSIL</w:t>
      </w:r>
      <w:r w:rsidRPr="00537C3C">
        <w:t xml:space="preserve"> (</w:t>
      </w:r>
      <w:r w:rsidRPr="00BB76D8">
        <w:t>ASCUS</w:t>
      </w:r>
      <w:r w:rsidRPr="00537C3C">
        <w:t xml:space="preserve">) was used as the test positivity threshold. In both arms of the </w:t>
      </w:r>
      <w:r w:rsidRPr="00BB76D8">
        <w:t>RCT</w:t>
      </w:r>
      <w:r w:rsidRPr="00537C3C">
        <w:t xml:space="preserve"> the median age of the women was 41 years, and 49 per cent had had a cervical cytology test in the previous 4 years. This </w:t>
      </w:r>
      <w:r w:rsidRPr="00BB76D8">
        <w:t>RCT</w:t>
      </w:r>
      <w:r w:rsidRPr="00537C3C">
        <w:t xml:space="preserve"> had over 80 per cent power to detect a 50 per cent increase in sensitivity (relative detection of 1.5), indicating that it was not adequately powered to demonstrate significant differences in smaller increases in sensitivity.</w:t>
      </w:r>
    </w:p>
    <w:p w:rsidR="00234376" w:rsidRPr="00537C3C" w:rsidRDefault="00234376" w:rsidP="008E03A7">
      <w:r w:rsidRPr="00537C3C">
        <w:t xml:space="preserve">In the Roberts et al. (2007) study, high-grade lesions were detected in 0.55 per cent (63/11 416) of slides in the conventional arm. In the Italian </w:t>
      </w:r>
      <w:r w:rsidRPr="00BB76D8">
        <w:t>RCT</w:t>
      </w:r>
      <w:r w:rsidRPr="00537C3C">
        <w:t xml:space="preserve">, 0.37 per cent (84/22466) of women in the conventional arm were diagnosed with </w:t>
      </w:r>
      <w:r w:rsidRPr="00BB76D8">
        <w:t>CIN</w:t>
      </w:r>
      <w:r w:rsidRPr="00537C3C">
        <w:t xml:space="preserve"> 2+ histology.</w:t>
      </w:r>
    </w:p>
    <w:p w:rsidR="00234376" w:rsidRPr="00537C3C" w:rsidRDefault="00234376" w:rsidP="008E03A7">
      <w:r w:rsidRPr="00537C3C">
        <w:t xml:space="preserve">In the three-armed study by Roberts et al. (2007) the number of false positive findings per true case detected was significantly higher in manual reading of </w:t>
      </w:r>
      <w:r w:rsidRPr="00BB76D8">
        <w:t>LBC</w:t>
      </w:r>
      <w:r w:rsidRPr="00537C3C">
        <w:t xml:space="preserve"> than conventional cytology (1:0.74 vs 1:0.32, </w:t>
      </w:r>
      <w:r w:rsidRPr="0030078D">
        <w:rPr>
          <w:i/>
        </w:rPr>
        <w:t>P</w:t>
      </w:r>
      <w:r w:rsidRPr="00537C3C">
        <w:t xml:space="preserve"> = 0.005, </w:t>
      </w:r>
      <w:r w:rsidRPr="00537C3C">
        <w:rPr>
          <w:szCs w:val="24"/>
        </w:rPr>
        <w:sym w:font="Symbol" w:char="F063"/>
      </w:r>
      <w:r w:rsidRPr="00537C3C">
        <w:rPr>
          <w:vertAlign w:val="superscript"/>
        </w:rPr>
        <w:t>2</w:t>
      </w:r>
      <w:r w:rsidRPr="00537C3C">
        <w:t xml:space="preserve">-test) but did not significantly differ </w:t>
      </w:r>
      <w:r w:rsidRPr="00537C3C">
        <w:lastRenderedPageBreak/>
        <w:t xml:space="preserve">between automated reading of </w:t>
      </w:r>
      <w:r w:rsidRPr="00BB76D8">
        <w:t>LBC</w:t>
      </w:r>
      <w:r w:rsidRPr="00537C3C">
        <w:t xml:space="preserve"> and conventional cytology (1:0.53 vs 1:0.32, </w:t>
      </w:r>
      <w:r w:rsidRPr="0030078D">
        <w:rPr>
          <w:i/>
        </w:rPr>
        <w:t>P</w:t>
      </w:r>
      <w:r w:rsidRPr="00537C3C">
        <w:t xml:space="preserve"> = 0.11, </w:t>
      </w:r>
      <w:r w:rsidRPr="00537C3C">
        <w:rPr>
          <w:szCs w:val="24"/>
        </w:rPr>
        <w:sym w:font="Symbol" w:char="F063"/>
      </w:r>
      <w:r w:rsidRPr="00537C3C">
        <w:rPr>
          <w:vertAlign w:val="superscript"/>
        </w:rPr>
        <w:t>2</w:t>
      </w:r>
      <w:r w:rsidRPr="00537C3C">
        <w:t>-test)</w:t>
      </w:r>
      <w:r w:rsidR="00FB56F0">
        <w:t xml:space="preserve">. </w:t>
      </w:r>
    </w:p>
    <w:p w:rsidR="00234376" w:rsidRPr="00537C3C" w:rsidRDefault="00234376" w:rsidP="008E03A7">
      <w:r w:rsidRPr="00537C3C">
        <w:t>Correspondence with an author of the Davey et al. (2007</w:t>
      </w:r>
      <w:r w:rsidR="00F91C6A">
        <w:t>a</w:t>
      </w:r>
      <w:r w:rsidRPr="00537C3C">
        <w:t>) study confirmed that there were no data available for a three-way comparison.</w:t>
      </w:r>
    </w:p>
    <w:p w:rsidR="00234376" w:rsidRPr="00537C3C" w:rsidRDefault="00234376" w:rsidP="008E03A7">
      <w:r w:rsidRPr="00537C3C">
        <w:t xml:space="preserve">The three-way direct comparison for process outcomes reported in Roberts et al. is presented in </w:t>
      </w:r>
      <w:r w:rsidRPr="00537C3C">
        <w:fldChar w:fldCharType="begin"/>
      </w:r>
      <w:r w:rsidRPr="00537C3C">
        <w:instrText xml:space="preserve"> REF _Ref190684913 \h  \* MERGEFORMAT </w:instrText>
      </w:r>
      <w:r w:rsidRPr="00537C3C">
        <w:fldChar w:fldCharType="separate"/>
      </w:r>
      <w:r w:rsidR="007D3DFF" w:rsidRPr="00537C3C">
        <w:t xml:space="preserve">Table </w:t>
      </w:r>
      <w:r w:rsidR="007D3DFF">
        <w:rPr>
          <w:noProof/>
        </w:rPr>
        <w:t>26</w:t>
      </w:r>
      <w:r w:rsidRPr="00537C3C">
        <w:fldChar w:fldCharType="end"/>
      </w:r>
      <w:r w:rsidRPr="00537C3C">
        <w:t>. These data have been presented separately in the relevant sections above. Manual reading of ThinPrep slides classified more slides as possible high-grade lesions than manual reading of conventional slides (</w:t>
      </w:r>
      <w:r w:rsidRPr="0030078D">
        <w:rPr>
          <w:i/>
        </w:rPr>
        <w:t>P</w:t>
      </w:r>
      <w:r w:rsidRPr="00537C3C">
        <w:t xml:space="preserve"> = 0.023, </w:t>
      </w:r>
      <w:r w:rsidRPr="00537C3C">
        <w:rPr>
          <w:szCs w:val="24"/>
        </w:rPr>
        <w:sym w:font="Symbol" w:char="F063"/>
      </w:r>
      <w:r w:rsidRPr="00537C3C">
        <w:rPr>
          <w:vertAlign w:val="superscript"/>
        </w:rPr>
        <w:t>2</w:t>
      </w:r>
      <w:r w:rsidRPr="00537C3C">
        <w:t>-test).</w:t>
      </w:r>
    </w:p>
    <w:p w:rsidR="00234376" w:rsidRPr="00537C3C" w:rsidRDefault="00234376" w:rsidP="008E03A7">
      <w:pPr>
        <w:pStyle w:val="Caption"/>
      </w:pPr>
      <w:bookmarkStart w:id="478" w:name="_Ref190684913"/>
      <w:bookmarkStart w:id="479" w:name="_Toc190744377"/>
      <w:bookmarkStart w:id="480" w:name="_Toc95971262"/>
      <w:r w:rsidRPr="00537C3C">
        <w:t xml:space="preserve">Table </w:t>
      </w:r>
      <w:fldSimple w:instr=" SEQ Table \* ARABIC ">
        <w:r w:rsidR="007D3DFF">
          <w:rPr>
            <w:noProof/>
          </w:rPr>
          <w:t>26</w:t>
        </w:r>
      </w:fldSimple>
      <w:bookmarkEnd w:id="478"/>
      <w:r w:rsidRPr="00537C3C">
        <w:tab/>
        <w:t xml:space="preserve">Process outcomes of </w:t>
      </w:r>
      <w:r w:rsidRPr="00BB76D8">
        <w:t>LBC</w:t>
      </w:r>
      <w:r w:rsidRPr="00537C3C">
        <w:t xml:space="preserve">, automation-assisted reading of </w:t>
      </w:r>
      <w:r w:rsidRPr="00BB76D8">
        <w:t>LBC</w:t>
      </w:r>
      <w:r w:rsidRPr="00537C3C">
        <w:t xml:space="preserve"> and manual reading of conventional cervical cytology (Roberts et al. 2007)</w:t>
      </w:r>
      <w:bookmarkEnd w:id="479"/>
      <w:r w:rsidRPr="00537C3C">
        <w:t>.</w:t>
      </w:r>
      <w:bookmarkEnd w:id="480"/>
    </w:p>
    <w:tbl>
      <w:tblPr>
        <w:tblW w:w="0" w:type="auto"/>
        <w:tblInd w:w="817" w:type="dxa"/>
        <w:tblLook w:val="01E0" w:firstRow="1" w:lastRow="1" w:firstColumn="1" w:lastColumn="1" w:noHBand="0" w:noVBand="0"/>
      </w:tblPr>
      <w:tblGrid>
        <w:gridCol w:w="927"/>
        <w:gridCol w:w="932"/>
        <w:gridCol w:w="1469"/>
        <w:gridCol w:w="1582"/>
        <w:gridCol w:w="2262"/>
      </w:tblGrid>
      <w:tr w:rsidR="00234376" w:rsidRPr="00537C3C">
        <w:tc>
          <w:tcPr>
            <w:tcW w:w="785" w:type="dxa"/>
            <w:tcBorders>
              <w:top w:val="single" w:sz="4" w:space="0" w:color="auto"/>
              <w:bottom w:val="single" w:sz="4" w:space="0" w:color="auto"/>
            </w:tcBorders>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Outcome</w:t>
            </w:r>
          </w:p>
        </w:tc>
        <w:tc>
          <w:tcPr>
            <w:tcW w:w="932" w:type="dxa"/>
            <w:tcBorders>
              <w:top w:val="single" w:sz="4" w:space="0" w:color="auto"/>
              <w:bottom w:val="single" w:sz="4" w:space="0" w:color="auto"/>
            </w:tcBorders>
          </w:tcPr>
          <w:p w:rsidR="00234376" w:rsidRPr="00537C3C" w:rsidRDefault="00234376" w:rsidP="008E03A7">
            <w:pPr>
              <w:pStyle w:val="TableHeading0"/>
              <w:spacing w:before="0" w:after="0"/>
              <w:jc w:val="center"/>
            </w:pPr>
          </w:p>
        </w:tc>
        <w:tc>
          <w:tcPr>
            <w:tcW w:w="1469" w:type="dxa"/>
            <w:tcBorders>
              <w:top w:val="single" w:sz="4" w:space="0" w:color="auto"/>
              <w:bottom w:val="single" w:sz="4" w:space="0" w:color="auto"/>
            </w:tcBorders>
          </w:tcPr>
          <w:p w:rsidR="00234376" w:rsidRPr="00537C3C" w:rsidRDefault="00234376" w:rsidP="008E03A7">
            <w:pPr>
              <w:pStyle w:val="TableHeading0"/>
              <w:spacing w:before="0" w:after="0"/>
              <w:jc w:val="center"/>
              <w:rPr>
                <w:rFonts w:ascii="Arial Narrow" w:hAnsi="Arial Narrow"/>
                <w:bCs/>
                <w:sz w:val="20"/>
              </w:rPr>
            </w:pPr>
            <w:r w:rsidRPr="00537C3C">
              <w:t>ThinPrep Imager</w:t>
            </w:r>
          </w:p>
        </w:tc>
        <w:tc>
          <w:tcPr>
            <w:tcW w:w="1582" w:type="dxa"/>
            <w:tcBorders>
              <w:top w:val="single" w:sz="4" w:space="0" w:color="auto"/>
              <w:bottom w:val="single" w:sz="4" w:space="0" w:color="auto"/>
            </w:tcBorders>
          </w:tcPr>
          <w:p w:rsidR="00234376" w:rsidRPr="00537C3C" w:rsidRDefault="00234376" w:rsidP="008E03A7">
            <w:pPr>
              <w:pStyle w:val="TableHeading0"/>
              <w:spacing w:before="0" w:after="0"/>
              <w:jc w:val="center"/>
            </w:pPr>
            <w:r w:rsidRPr="00537C3C">
              <w:t>Manual reading ThinPrep slides</w:t>
            </w:r>
          </w:p>
        </w:tc>
        <w:tc>
          <w:tcPr>
            <w:tcW w:w="2262" w:type="dxa"/>
            <w:tcBorders>
              <w:top w:val="single" w:sz="4" w:space="0" w:color="auto"/>
              <w:bottom w:val="single" w:sz="4" w:space="0" w:color="auto"/>
            </w:tcBorders>
          </w:tcPr>
          <w:p w:rsidR="00234376" w:rsidRPr="00537C3C" w:rsidRDefault="00234376" w:rsidP="008E03A7">
            <w:pPr>
              <w:pStyle w:val="TableHeading0"/>
              <w:spacing w:before="0" w:after="0"/>
              <w:jc w:val="center"/>
              <w:rPr>
                <w:rFonts w:ascii="Arial Narrow" w:hAnsi="Arial Narrow"/>
                <w:bCs/>
                <w:sz w:val="20"/>
              </w:rPr>
            </w:pPr>
            <w:r w:rsidRPr="00537C3C">
              <w:t>Manual reading conventional slides</w:t>
            </w:r>
          </w:p>
        </w:tc>
      </w:tr>
      <w:tr w:rsidR="00234376" w:rsidRPr="00537C3C">
        <w:tc>
          <w:tcPr>
            <w:tcW w:w="785" w:type="dxa"/>
            <w:tcBorders>
              <w:top w:val="single" w:sz="4" w:space="0" w:color="auto"/>
            </w:tcBorders>
          </w:tcPr>
          <w:p w:rsidR="00234376" w:rsidRDefault="00234376" w:rsidP="00234376">
            <w:pPr>
              <w:pStyle w:val="TableText0"/>
              <w:jc w:val="right"/>
              <w:rPr>
                <w:rFonts w:ascii="Arial Narrow" w:hAnsi="Arial Narrow"/>
                <w:b/>
              </w:rPr>
            </w:pPr>
            <w:r w:rsidRPr="00537C3C">
              <w:rPr>
                <w:rFonts w:ascii="Arial Narrow" w:hAnsi="Arial Narrow"/>
                <w:b/>
              </w:rPr>
              <w:t>Yield</w:t>
            </w:r>
          </w:p>
        </w:tc>
        <w:tc>
          <w:tcPr>
            <w:tcW w:w="932" w:type="dxa"/>
            <w:tcBorders>
              <w:top w:val="single" w:sz="4" w:space="0" w:color="auto"/>
            </w:tcBorders>
          </w:tcPr>
          <w:p w:rsidR="00234376" w:rsidRPr="00537C3C" w:rsidRDefault="00234376" w:rsidP="008E03A7">
            <w:pPr>
              <w:pStyle w:val="TableText0"/>
              <w:jc w:val="center"/>
              <w:rPr>
                <w:rFonts w:ascii="Arial Narrow" w:hAnsi="Arial Narrow"/>
              </w:rPr>
            </w:pPr>
            <w:r w:rsidRPr="00BB76D8">
              <w:rPr>
                <w:rFonts w:ascii="Arial Narrow" w:hAnsi="Arial Narrow"/>
              </w:rPr>
              <w:t>pLSIL</w:t>
            </w:r>
          </w:p>
        </w:tc>
        <w:tc>
          <w:tcPr>
            <w:tcW w:w="1469" w:type="dxa"/>
            <w:tcBorders>
              <w:top w:val="single" w:sz="4" w:space="0" w:color="auto"/>
            </w:tcBorders>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3.8%</w:t>
            </w:r>
            <w:r w:rsidRPr="00537C3C">
              <w:rPr>
                <w:rFonts w:ascii="Arial Narrow" w:hAnsi="Arial Narrow"/>
                <w:vertAlign w:val="superscript"/>
              </w:rPr>
              <w:t>#</w:t>
            </w:r>
          </w:p>
        </w:tc>
        <w:tc>
          <w:tcPr>
            <w:tcW w:w="1582" w:type="dxa"/>
            <w:tcBorders>
              <w:top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4.5%</w:t>
            </w:r>
          </w:p>
        </w:tc>
        <w:tc>
          <w:tcPr>
            <w:tcW w:w="2262" w:type="dxa"/>
            <w:tcBorders>
              <w:top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1.8%</w:t>
            </w:r>
          </w:p>
        </w:tc>
      </w:tr>
      <w:tr w:rsidR="00234376" w:rsidRPr="00537C3C">
        <w:tc>
          <w:tcPr>
            <w:tcW w:w="785" w:type="dxa"/>
          </w:tcPr>
          <w:p w:rsidR="00234376" w:rsidRPr="00537C3C" w:rsidRDefault="00234376" w:rsidP="008E03A7">
            <w:pPr>
              <w:pStyle w:val="TableText0"/>
              <w:jc w:val="right"/>
              <w:rPr>
                <w:rFonts w:ascii="Arial Narrow" w:hAnsi="Arial Narrow"/>
              </w:rPr>
            </w:pPr>
          </w:p>
        </w:tc>
        <w:tc>
          <w:tcPr>
            <w:tcW w:w="932" w:type="dxa"/>
          </w:tcPr>
          <w:p w:rsidR="00234376" w:rsidRPr="00537C3C" w:rsidRDefault="00234376" w:rsidP="008E03A7">
            <w:pPr>
              <w:pStyle w:val="TableText0"/>
              <w:jc w:val="center"/>
              <w:rPr>
                <w:rFonts w:ascii="Arial Narrow" w:hAnsi="Arial Narrow"/>
              </w:rPr>
            </w:pPr>
            <w:r w:rsidRPr="00BB76D8">
              <w:rPr>
                <w:rFonts w:ascii="Arial Narrow" w:hAnsi="Arial Narrow"/>
              </w:rPr>
              <w:t>LSIL</w:t>
            </w:r>
          </w:p>
        </w:tc>
        <w:tc>
          <w:tcPr>
            <w:tcW w:w="1469" w:type="dxa"/>
          </w:tcPr>
          <w:p w:rsidR="00234376" w:rsidRPr="00537C3C" w:rsidRDefault="00234376" w:rsidP="008E03A7">
            <w:pPr>
              <w:pStyle w:val="TableText0"/>
              <w:jc w:val="center"/>
              <w:rPr>
                <w:rFonts w:ascii="Arial Narrow" w:hAnsi="Arial Narrow"/>
                <w:vertAlign w:val="superscript"/>
              </w:rPr>
            </w:pPr>
            <w:r w:rsidRPr="00537C3C">
              <w:rPr>
                <w:rFonts w:ascii="Arial Narrow" w:hAnsi="Arial Narrow"/>
              </w:rPr>
              <w:t>2.9%</w:t>
            </w:r>
            <w:r w:rsidRPr="00537C3C">
              <w:rPr>
                <w:rFonts w:ascii="Arial Narrow" w:hAnsi="Arial Narrow"/>
                <w:vertAlign w:val="superscript"/>
              </w:rPr>
              <w:t>#</w:t>
            </w:r>
          </w:p>
        </w:tc>
        <w:tc>
          <w:tcPr>
            <w:tcW w:w="1582" w:type="dxa"/>
          </w:tcPr>
          <w:p w:rsidR="00234376" w:rsidRPr="00537C3C" w:rsidRDefault="00234376" w:rsidP="008E03A7">
            <w:pPr>
              <w:pStyle w:val="TableText0"/>
              <w:jc w:val="center"/>
              <w:rPr>
                <w:rFonts w:ascii="Arial Narrow" w:hAnsi="Arial Narrow"/>
              </w:rPr>
            </w:pPr>
            <w:r w:rsidRPr="00537C3C">
              <w:rPr>
                <w:rFonts w:ascii="Arial Narrow" w:hAnsi="Arial Narrow"/>
              </w:rPr>
              <w:t>2.7%</w:t>
            </w:r>
          </w:p>
        </w:tc>
        <w:tc>
          <w:tcPr>
            <w:tcW w:w="2262" w:type="dxa"/>
          </w:tcPr>
          <w:p w:rsidR="00234376" w:rsidRPr="00537C3C" w:rsidRDefault="00234376" w:rsidP="008E03A7">
            <w:pPr>
              <w:pStyle w:val="TableText0"/>
              <w:jc w:val="center"/>
              <w:rPr>
                <w:rFonts w:ascii="Arial Narrow" w:hAnsi="Arial Narrow"/>
              </w:rPr>
            </w:pPr>
            <w:r w:rsidRPr="00537C3C">
              <w:rPr>
                <w:rFonts w:ascii="Arial Narrow" w:hAnsi="Arial Narrow"/>
              </w:rPr>
              <w:t>1.6%</w:t>
            </w:r>
          </w:p>
        </w:tc>
      </w:tr>
      <w:tr w:rsidR="00234376" w:rsidRPr="00537C3C">
        <w:tc>
          <w:tcPr>
            <w:tcW w:w="785" w:type="dxa"/>
          </w:tcPr>
          <w:p w:rsidR="00234376" w:rsidRPr="00537C3C" w:rsidRDefault="00234376" w:rsidP="008E03A7">
            <w:pPr>
              <w:pStyle w:val="TableText0"/>
              <w:jc w:val="right"/>
              <w:rPr>
                <w:rFonts w:ascii="Arial Narrow" w:hAnsi="Arial Narrow"/>
              </w:rPr>
            </w:pPr>
          </w:p>
        </w:tc>
        <w:tc>
          <w:tcPr>
            <w:tcW w:w="932" w:type="dxa"/>
          </w:tcPr>
          <w:p w:rsidR="00234376" w:rsidRPr="00537C3C" w:rsidRDefault="00234376" w:rsidP="008E03A7">
            <w:pPr>
              <w:pStyle w:val="TableText0"/>
              <w:jc w:val="center"/>
              <w:rPr>
                <w:rFonts w:ascii="Arial Narrow" w:hAnsi="Arial Narrow"/>
              </w:rPr>
            </w:pPr>
            <w:r w:rsidRPr="00BB76D8">
              <w:rPr>
                <w:rFonts w:ascii="Arial Narrow" w:hAnsi="Arial Narrow"/>
              </w:rPr>
              <w:t>pHSIL</w:t>
            </w:r>
          </w:p>
        </w:tc>
        <w:tc>
          <w:tcPr>
            <w:tcW w:w="1469" w:type="dxa"/>
          </w:tcPr>
          <w:p w:rsidR="00234376" w:rsidRPr="00537C3C" w:rsidRDefault="00234376" w:rsidP="008E03A7">
            <w:pPr>
              <w:pStyle w:val="TableText0"/>
              <w:jc w:val="center"/>
              <w:rPr>
                <w:rFonts w:ascii="Arial Narrow" w:hAnsi="Arial Narrow"/>
              </w:rPr>
            </w:pPr>
            <w:r w:rsidRPr="00537C3C">
              <w:rPr>
                <w:rFonts w:ascii="Arial Narrow" w:hAnsi="Arial Narrow"/>
              </w:rPr>
              <w:t>0.4%</w:t>
            </w:r>
          </w:p>
        </w:tc>
        <w:tc>
          <w:tcPr>
            <w:tcW w:w="1582" w:type="dxa"/>
          </w:tcPr>
          <w:p w:rsidR="00234376" w:rsidRPr="00537C3C" w:rsidRDefault="00234376" w:rsidP="008E03A7">
            <w:pPr>
              <w:pStyle w:val="TableText0"/>
              <w:jc w:val="center"/>
              <w:rPr>
                <w:rFonts w:ascii="Arial Narrow" w:hAnsi="Arial Narrow"/>
              </w:rPr>
            </w:pPr>
            <w:r w:rsidRPr="00537C3C">
              <w:rPr>
                <w:rFonts w:ascii="Arial Narrow" w:hAnsi="Arial Narrow"/>
              </w:rPr>
              <w:t>0.7%*</w:t>
            </w:r>
          </w:p>
        </w:tc>
        <w:tc>
          <w:tcPr>
            <w:tcW w:w="2262" w:type="dxa"/>
          </w:tcPr>
          <w:p w:rsidR="00234376" w:rsidRPr="00537C3C" w:rsidRDefault="00234376" w:rsidP="008E03A7">
            <w:pPr>
              <w:pStyle w:val="TableText0"/>
              <w:jc w:val="center"/>
              <w:rPr>
                <w:rFonts w:ascii="Arial Narrow" w:hAnsi="Arial Narrow"/>
              </w:rPr>
            </w:pPr>
            <w:r w:rsidRPr="00537C3C">
              <w:rPr>
                <w:rFonts w:ascii="Arial Narrow" w:hAnsi="Arial Narrow"/>
              </w:rPr>
              <w:t>0.3%</w:t>
            </w:r>
          </w:p>
        </w:tc>
      </w:tr>
      <w:tr w:rsidR="00234376" w:rsidRPr="00537C3C">
        <w:tc>
          <w:tcPr>
            <w:tcW w:w="785" w:type="dxa"/>
            <w:tcBorders>
              <w:bottom w:val="single" w:sz="4" w:space="0" w:color="auto"/>
            </w:tcBorders>
          </w:tcPr>
          <w:p w:rsidR="00234376" w:rsidRPr="00537C3C" w:rsidRDefault="00234376" w:rsidP="008E03A7">
            <w:pPr>
              <w:pStyle w:val="TableText0"/>
              <w:jc w:val="right"/>
              <w:rPr>
                <w:rFonts w:ascii="Arial Narrow" w:hAnsi="Arial Narrow"/>
              </w:rPr>
            </w:pPr>
          </w:p>
        </w:tc>
        <w:tc>
          <w:tcPr>
            <w:tcW w:w="932" w:type="dxa"/>
            <w:tcBorders>
              <w:bottom w:val="single" w:sz="4" w:space="0" w:color="auto"/>
            </w:tcBorders>
          </w:tcPr>
          <w:p w:rsidR="00234376" w:rsidRPr="00537C3C" w:rsidRDefault="00234376" w:rsidP="008E03A7">
            <w:pPr>
              <w:pStyle w:val="TableTextLessSpaceCharCharCharCharCharCharCharChar"/>
              <w:jc w:val="center"/>
              <w:rPr>
                <w:szCs w:val="18"/>
              </w:rPr>
            </w:pPr>
            <w:r w:rsidRPr="00BB76D8">
              <w:t>HSIL</w:t>
            </w:r>
          </w:p>
        </w:tc>
        <w:tc>
          <w:tcPr>
            <w:tcW w:w="1469" w:type="dxa"/>
            <w:tcBorders>
              <w:bottom w:val="single" w:sz="4" w:space="0" w:color="auto"/>
            </w:tcBorders>
          </w:tcPr>
          <w:p w:rsidR="00234376" w:rsidRPr="00537C3C" w:rsidRDefault="00234376" w:rsidP="008E03A7">
            <w:pPr>
              <w:pStyle w:val="TableTextLessSpaceCharCharCharCharCharCharCharChar"/>
              <w:jc w:val="center"/>
              <w:rPr>
                <w:szCs w:val="18"/>
              </w:rPr>
            </w:pPr>
            <w:r w:rsidRPr="00537C3C">
              <w:rPr>
                <w:szCs w:val="18"/>
              </w:rPr>
              <w:t>0.74%</w:t>
            </w:r>
          </w:p>
        </w:tc>
        <w:tc>
          <w:tcPr>
            <w:tcW w:w="1582" w:type="dxa"/>
            <w:tcBorders>
              <w:bottom w:val="single" w:sz="4" w:space="0" w:color="auto"/>
            </w:tcBorders>
          </w:tcPr>
          <w:p w:rsidR="00234376" w:rsidRPr="00537C3C" w:rsidRDefault="00234376" w:rsidP="008E03A7">
            <w:pPr>
              <w:pStyle w:val="TableTextLessSpaceCharCharCharCharCharCharCharChar"/>
              <w:jc w:val="center"/>
              <w:rPr>
                <w:szCs w:val="18"/>
              </w:rPr>
            </w:pPr>
            <w:r w:rsidRPr="00537C3C">
              <w:rPr>
                <w:szCs w:val="18"/>
              </w:rPr>
              <w:t>0.86%</w:t>
            </w:r>
          </w:p>
        </w:tc>
        <w:tc>
          <w:tcPr>
            <w:tcW w:w="2262" w:type="dxa"/>
            <w:tcBorders>
              <w:bottom w:val="single" w:sz="4" w:space="0" w:color="auto"/>
            </w:tcBorders>
          </w:tcPr>
          <w:p w:rsidR="00234376" w:rsidRPr="00537C3C" w:rsidRDefault="00234376" w:rsidP="008E03A7">
            <w:pPr>
              <w:pStyle w:val="TableTextLessSpaceCharCharCharCharCharCharCharChar"/>
              <w:jc w:val="center"/>
              <w:rPr>
                <w:szCs w:val="18"/>
              </w:rPr>
            </w:pPr>
            <w:r w:rsidRPr="00537C3C">
              <w:rPr>
                <w:szCs w:val="18"/>
              </w:rPr>
              <w:t>0.48%</w:t>
            </w:r>
          </w:p>
        </w:tc>
      </w:tr>
      <w:tr w:rsidR="00234376" w:rsidRPr="00537C3C">
        <w:tc>
          <w:tcPr>
            <w:tcW w:w="785" w:type="dxa"/>
            <w:tcBorders>
              <w:top w:val="single" w:sz="4" w:space="0" w:color="auto"/>
              <w:bottom w:val="single" w:sz="4" w:space="0" w:color="auto"/>
            </w:tcBorders>
          </w:tcPr>
          <w:p w:rsidR="00234376" w:rsidRPr="00537C3C" w:rsidRDefault="00234376" w:rsidP="008E03A7">
            <w:pPr>
              <w:pStyle w:val="TableText0"/>
              <w:rPr>
                <w:rFonts w:ascii="Arial Narrow" w:hAnsi="Arial Narrow"/>
                <w:b/>
              </w:rPr>
            </w:pPr>
            <w:r w:rsidRPr="00537C3C">
              <w:rPr>
                <w:rFonts w:ascii="Arial Narrow" w:hAnsi="Arial Narrow"/>
                <w:b/>
              </w:rPr>
              <w:t>Mean reading time</w:t>
            </w:r>
          </w:p>
        </w:tc>
        <w:tc>
          <w:tcPr>
            <w:tcW w:w="932" w:type="dxa"/>
            <w:tcBorders>
              <w:top w:val="single" w:sz="4" w:space="0" w:color="auto"/>
              <w:bottom w:val="single" w:sz="4" w:space="0" w:color="auto"/>
            </w:tcBorders>
          </w:tcPr>
          <w:p w:rsidR="00234376" w:rsidRPr="00537C3C" w:rsidRDefault="00234376" w:rsidP="008E03A7">
            <w:pPr>
              <w:pStyle w:val="TableTextLessSpaceCharCharCharCharCharCharCharChar"/>
              <w:jc w:val="center"/>
              <w:rPr>
                <w:szCs w:val="18"/>
              </w:rPr>
            </w:pPr>
          </w:p>
        </w:tc>
        <w:tc>
          <w:tcPr>
            <w:tcW w:w="1469" w:type="dxa"/>
            <w:tcBorders>
              <w:top w:val="single" w:sz="4" w:space="0" w:color="auto"/>
              <w:bottom w:val="single" w:sz="4" w:space="0" w:color="auto"/>
            </w:tcBorders>
          </w:tcPr>
          <w:p w:rsidR="00234376" w:rsidRPr="00537C3C" w:rsidRDefault="00234376" w:rsidP="008E03A7">
            <w:pPr>
              <w:pStyle w:val="TableTextLessSpaceCharCharCharCharCharCharCharChar"/>
              <w:jc w:val="center"/>
              <w:rPr>
                <w:szCs w:val="18"/>
              </w:rPr>
            </w:pPr>
            <w:r w:rsidRPr="00537C3C">
              <w:rPr>
                <w:szCs w:val="18"/>
              </w:rPr>
              <w:t>3.42 min</w:t>
            </w:r>
          </w:p>
        </w:tc>
        <w:tc>
          <w:tcPr>
            <w:tcW w:w="1582" w:type="dxa"/>
            <w:tcBorders>
              <w:top w:val="single" w:sz="4" w:space="0" w:color="auto"/>
              <w:bottom w:val="single" w:sz="4" w:space="0" w:color="auto"/>
            </w:tcBorders>
          </w:tcPr>
          <w:p w:rsidR="00234376" w:rsidRPr="00537C3C" w:rsidRDefault="00234376" w:rsidP="008E03A7">
            <w:pPr>
              <w:pStyle w:val="TableTextLessSpaceCharCharCharCharCharCharCharChar"/>
              <w:jc w:val="center"/>
              <w:rPr>
                <w:szCs w:val="18"/>
              </w:rPr>
            </w:pPr>
            <w:r w:rsidRPr="00537C3C">
              <w:rPr>
                <w:szCs w:val="18"/>
              </w:rPr>
              <w:t>4.71 min</w:t>
            </w:r>
          </w:p>
        </w:tc>
        <w:tc>
          <w:tcPr>
            <w:tcW w:w="2262" w:type="dxa"/>
            <w:tcBorders>
              <w:top w:val="single" w:sz="4" w:space="0" w:color="auto"/>
              <w:bottom w:val="single" w:sz="4" w:space="0" w:color="auto"/>
            </w:tcBorders>
          </w:tcPr>
          <w:p w:rsidR="00234376" w:rsidRPr="00537C3C" w:rsidRDefault="00234376" w:rsidP="008E03A7">
            <w:pPr>
              <w:pStyle w:val="TableTextLessSpaceCharCharCharCharCharCharCharChar"/>
              <w:jc w:val="center"/>
              <w:rPr>
                <w:szCs w:val="18"/>
              </w:rPr>
            </w:pPr>
            <w:r w:rsidRPr="00537C3C">
              <w:rPr>
                <w:szCs w:val="18"/>
              </w:rPr>
              <w:t>7.40 min</w:t>
            </w:r>
          </w:p>
        </w:tc>
      </w:tr>
    </w:tbl>
    <w:p w:rsidR="00234376" w:rsidRPr="00537C3C" w:rsidRDefault="00234376" w:rsidP="008E03A7">
      <w:pPr>
        <w:pStyle w:val="TableNotes"/>
        <w:spacing w:after="0"/>
      </w:pPr>
      <w:r w:rsidRPr="00537C3C">
        <w:t xml:space="preserve">* </w:t>
      </w:r>
      <w:r w:rsidRPr="0030078D">
        <w:rPr>
          <w:i/>
        </w:rPr>
        <w:t>P</w:t>
      </w:r>
      <w:r w:rsidRPr="00537C3C">
        <w:t xml:space="preserve"> = 0.023 vs conventional slides; </w:t>
      </w:r>
      <w:r w:rsidRPr="00537C3C">
        <w:rPr>
          <w:vertAlign w:val="superscript"/>
        </w:rPr>
        <w:t>#</w:t>
      </w:r>
      <w:r w:rsidRPr="0030078D">
        <w:rPr>
          <w:i/>
        </w:rPr>
        <w:t>P</w:t>
      </w:r>
      <w:r w:rsidRPr="00537C3C">
        <w:t xml:space="preserve"> &lt; 0.001 vs conventional slides.</w:t>
      </w:r>
    </w:p>
    <w:p w:rsidR="00234376" w:rsidRDefault="00234376" w:rsidP="00234376">
      <w:pPr>
        <w:pStyle w:val="Heading3"/>
      </w:pPr>
      <w:r w:rsidRPr="00537C3C">
        <w:t>Ongoing trials</w:t>
      </w:r>
    </w:p>
    <w:p w:rsidR="00234376" w:rsidRPr="00537C3C" w:rsidRDefault="00234376" w:rsidP="008E03A7">
      <w:r w:rsidRPr="00537C3C">
        <w:t xml:space="preserve">One ongoing trial of automated </w:t>
      </w:r>
      <w:r w:rsidRPr="00BB76D8">
        <w:t>LBC</w:t>
      </w:r>
      <w:r w:rsidRPr="00537C3C">
        <w:t xml:space="preserve"> slide reading, </w:t>
      </w:r>
      <w:r w:rsidRPr="00BB76D8">
        <w:t>HPV</w:t>
      </w:r>
      <w:r w:rsidRPr="00537C3C">
        <w:t xml:space="preserve"> testing and conventional cytology is being conducted in Finland (</w:t>
      </w:r>
      <w:bookmarkStart w:id="481" w:name="OLE_LINK196"/>
      <w:bookmarkStart w:id="482" w:name="OLE_LINK197"/>
      <w:r w:rsidRPr="00537C3C">
        <w:t>IS</w:t>
      </w:r>
      <w:r w:rsidRPr="00BB76D8">
        <w:t>RCTN</w:t>
      </w:r>
      <w:r w:rsidRPr="00537C3C">
        <w:t>23885553</w:t>
      </w:r>
      <w:bookmarkEnd w:id="481"/>
      <w:bookmarkEnd w:id="482"/>
      <w:r w:rsidRPr="00537C3C">
        <w:t xml:space="preserve">). This trial has already reported relative rates of detection of cervical pathology, most recently among 777 144 women </w:t>
      </w:r>
      <w:r w:rsidRPr="00537C3C">
        <w:fldChar w:fldCharType="begin"/>
      </w:r>
      <w:r w:rsidRPr="00537C3C">
        <w:instrText xml:space="preserve"> ADDIN REFMGR.CITE &lt;Refman&gt;&lt;Cite&gt;&lt;Author&gt;Nieminen&lt;/Author&gt;&lt;Year&gt;2007&lt;/Year&gt;&lt;RecNum&gt;131&lt;/RecNum&gt;&lt;IDText&gt;Randomized evaluation trial on automation-assisted screening for cervical cancer: Results after 777,000 invitations&lt;/IDText&gt;&lt;MDL Ref_Type="Journal"&gt;&lt;Ref_Type&gt;Journal&lt;/Ref_Type&gt;&lt;Ref_ID&gt;131&lt;/Ref_ID&gt;&lt;Title_Primary&gt;Randomized evaluation trial on automation-assisted screening for cervical cancer: Results after 777,000 invitations&lt;/Title_Primary&gt;&lt;Authors_Primary&gt;Nieminen,P.&lt;/Authors_Primary&gt;&lt;Authors_Primary&gt;Kotaniemi-Talonen,L.&lt;/Authors_Primary&gt;&lt;Authors_Primary&gt;Hakama,M.&lt;/Authors_Primary&gt;&lt;Authors_Primary&gt;Tarkkanen,J.&lt;/Authors_Primary&gt;&lt;Authors_Primary&gt;Martikainen,J.&lt;/Authors_Primary&gt;&lt;Authors_Primary&gt;Toivonen,T.&lt;/Authors_Primary&gt;&lt;Authors_Primary&gt;Ikkala,J.&lt;/Authors_Primary&gt;&lt;Authors_Primary&gt;Anttila,A.&lt;/Authors_Primary&gt;&lt;Date_Primary&gt;2007&lt;/Date_Primary&gt;&lt;Keywords&gt;adult&lt;/Keywords&gt;&lt;Keywords&gt;aged&lt;/Keywords&gt;&lt;Keywords&gt;article&lt;/Keywords&gt;&lt;Keywords&gt;automation&lt;/Keywords&gt;&lt;Keywords&gt;cancer cytodiagnosis&lt;/Keywords&gt;&lt;Keywords&gt;cancer risk&lt;/Keywords&gt;&lt;Keywords&gt;cancer screening&lt;/Keywords&gt;&lt;Keywords&gt;clinical trial&lt;/Keywords&gt;&lt;Keywords&gt;controlled clinical trial&lt;/Keywords&gt;&lt;Keywords&gt;controlled study&lt;/Keywords&gt;&lt;Keywords&gt;female&lt;/Keywords&gt;&lt;Keywords&gt;health program&lt;/Keywords&gt;&lt;Keywords&gt;human&lt;/Keywords&gt;&lt;Keywords&gt;intermethod comparison&lt;/Keywords&gt;&lt;Keywords&gt;major clinical study&lt;/Keywords&gt;&lt;Keywords&gt;medical examination&lt;/Keywords&gt;&lt;Keywords&gt;Papanicolaou test&lt;/Keywords&gt;&lt;Keywords&gt;PAPNET&lt;/Keywords&gt;&lt;Keywords&gt;randomized controlled trial&lt;/Keywords&gt;&lt;Keywords&gt;uterine cervix cancer&lt;/Keywords&gt;&lt;Reprint&gt;In File&lt;/Reprint&gt;&lt;Start_Page&gt;23&lt;/Start_Page&gt;&lt;End_Page&gt;28&lt;/End_Page&gt;&lt;Periodical&gt;Journal of Medical Screening&lt;/Periodical&gt;&lt;Volume&gt;14&lt;/Volume&gt;&lt;Issue&gt;1&lt;/Issue&gt;&lt;ISSN_ISBN&gt;0969-1413&lt;/ISSN_ISBN&gt;&lt;Address&gt;Nieminen, P., Department of Obstetrics and Gynaecology, Helsinki University Central Hospital, Box 140, FIN-00029, Helsinki, Finland&lt;/Address&gt;&lt;ZZ_JournalFull&gt;&lt;f name="System"&gt;Journal of Medical Screening&lt;/f&gt;&lt;/ZZ_JournalFull&gt;&lt;ZZ_JournalStdAbbrev&gt;&lt;f name="System"&gt;J.Med.Screen.&lt;/f&gt;&lt;/ZZ_JournalStdAbbrev&gt;&lt;ZZ_WorkformID&gt;1&lt;/ZZ_WorkformID&gt;&lt;/MDL&gt;&lt;/Cite&gt;&lt;/Refman&gt;</w:instrText>
      </w:r>
      <w:r w:rsidRPr="00537C3C">
        <w:fldChar w:fldCharType="separate"/>
      </w:r>
      <w:r w:rsidRPr="00537C3C">
        <w:t>(Nieminen et al. 2007)</w:t>
      </w:r>
      <w:r w:rsidRPr="00537C3C">
        <w:fldChar w:fldCharType="end"/>
      </w:r>
      <w:r w:rsidRPr="00537C3C">
        <w:t>. Results of interval cervical cancer incidence are expected to be reported over the period 2007</w:t>
      </w:r>
      <w:r w:rsidRPr="00537C3C">
        <w:softHyphen/>
        <w:t xml:space="preserve">–2015 </w:t>
      </w:r>
      <w:r w:rsidRPr="00537C3C">
        <w:fldChar w:fldCharType="begin"/>
      </w:r>
      <w:r w:rsidRPr="00537C3C">
        <w:instrText xml:space="preserve"> ADDIN REFMGR.CITE &lt;Refman&gt;&lt;Cite&gt;&lt;Author&gt;Anttila&lt;/Author&gt;&lt;Year&gt;2006&lt;/Year&gt;&lt;RecNum&gt;311&lt;/RecNum&gt;&lt;IDText&gt;Alternative technologies in cervical cancer screening: a randomised evaluation trial&lt;/IDText&gt;&lt;MDL Ref_Type="Journal"&gt;&lt;Ref_Type&gt;Journal&lt;/Ref_Type&gt;&lt;Ref_ID&gt;311&lt;/Ref_ID&gt;&lt;Title_Primary&gt;Alternative technologies in cervical cancer screening: a randomised evaluation trial&lt;/Title_Primary&gt;&lt;Authors_Primary&gt;Anttila,A.&lt;/Authors_Primary&gt;&lt;Authors_Primary&gt;Hakama,M.&lt;/Authors_Primary&gt;&lt;Authors_Primary&gt;Kotaniemi-Talonen,L.&lt;/Authors_Primary&gt;&lt;Authors_Primary&gt;Nieminen,P.&lt;/Authors_Primary&gt;&lt;Date_Primary&gt;2006&lt;/Date_Primary&gt;&lt;Keywords&gt;adult&lt;/Keywords&gt;&lt;Keywords&gt;article&lt;/Keywords&gt;&lt;Keywords&gt;cytology&lt;/Keywords&gt;&lt;Keywords&gt;female&lt;/Keywords&gt;&lt;Keywords&gt;Finland&lt;/Keywords&gt;&lt;Keywords&gt;health care quality&lt;/Keywords&gt;&lt;Keywords&gt;human&lt;/Keywords&gt;&lt;Keywords&gt;isolation and purification&lt;/Keywords&gt;&lt;Keywords&gt;mass screening&lt;/Keywords&gt;&lt;Keywords&gt;methodology&lt;/Keywords&gt;&lt;Keywords&gt;middle aged&lt;/Keywords&gt;&lt;Keywords&gt;organization and management&lt;/Keywords&gt;&lt;Keywords&gt;Papilloma virus&lt;/Keywords&gt;&lt;Keywords&gt;pathology&lt;/Keywords&gt;&lt;Keywords&gt;precancer&lt;/Keywords&gt;&lt;Keywords&gt;randomized controlled trial&lt;/Keywords&gt;&lt;Keywords&gt;sensitivity and specificity&lt;/Keywords&gt;&lt;Keywords&gt;uterine cervix tumor&lt;/Keywords&gt;&lt;Keywords&gt;virology&lt;/Keywords&gt;&lt;Keywords&gt;virus DNA&lt;/Keywords&gt;&lt;Keywords&gt;virus infection&lt;/Keywords&gt;&lt;Reprint&gt;In File&lt;/Reprint&gt;&lt;Start_Page&gt;252&lt;/Start_Page&gt;&lt;Periodical&gt;BMC public health&lt;/Periodical&gt;&lt;Volume&gt;6&lt;/Volume&gt;&lt;Issue&gt;-&lt;/Issue&gt;&lt;ISSN_ISBN&gt;1471-2458&lt;/ISSN_ISBN&gt;&lt;Address&gt;Anttila, A., Mass Screening Registry, Finnish Cancer Registry, Liisankatu 21 B, FI-00170 Helsinki, Finland&lt;/Address&gt;&lt;ZZ_JournalFull&gt;&lt;f name="System"&gt;BMC public health&lt;/f&gt;&lt;/ZZ_JournalFull&gt;&lt;ZZ_WorkformID&gt;1&lt;/ZZ_WorkformID&gt;&lt;/MDL&gt;&lt;/Cite&gt;&lt;/Refman&gt;</w:instrText>
      </w:r>
      <w:r w:rsidRPr="00537C3C">
        <w:fldChar w:fldCharType="separate"/>
      </w:r>
      <w:r w:rsidRPr="00537C3C">
        <w:t>(Anttila et al. 2006)</w:t>
      </w:r>
      <w:r w:rsidRPr="00537C3C">
        <w:fldChar w:fldCharType="end"/>
      </w:r>
      <w:r w:rsidRPr="00537C3C">
        <w:t>. Results from this trial are not included in the current review, as the technology used (PapNet) is no longer commercially available.</w:t>
      </w:r>
    </w:p>
    <w:p w:rsidR="00234376" w:rsidRPr="008E03A7" w:rsidRDefault="00234376" w:rsidP="008E03A7">
      <w:r w:rsidRPr="00537C3C">
        <w:t xml:space="preserve">The UK National Institute for Health Research is currently conducting an RCT of manual </w:t>
      </w:r>
      <w:r w:rsidRPr="00BB76D8">
        <w:t>LBC</w:t>
      </w:r>
      <w:r w:rsidRPr="00537C3C">
        <w:t xml:space="preserve"> screening with automated primary screening technologies (</w:t>
      </w:r>
      <w:bookmarkStart w:id="483" w:name="OLE_LINK202"/>
      <w:bookmarkStart w:id="484" w:name="OLE_LINK203"/>
      <w:r w:rsidRPr="00537C3C">
        <w:t>MAVARIC</w:t>
      </w:r>
      <w:bookmarkEnd w:id="483"/>
      <w:bookmarkEnd w:id="484"/>
      <w:r w:rsidRPr="00537C3C">
        <w:t xml:space="preserve">; </w:t>
      </w:r>
      <w:bookmarkStart w:id="485" w:name="OLE_LINK200"/>
      <w:bookmarkStart w:id="486" w:name="OLE_LINK201"/>
      <w:r w:rsidRPr="00537C3C">
        <w:t>IS</w:t>
      </w:r>
      <w:r w:rsidRPr="00BB76D8">
        <w:t>RCTN</w:t>
      </w:r>
      <w:r w:rsidRPr="00537C3C">
        <w:t>66377374</w:t>
      </w:r>
      <w:bookmarkEnd w:id="485"/>
      <w:bookmarkEnd w:id="486"/>
      <w:r w:rsidRPr="00537C3C">
        <w:t xml:space="preserve">). This trial will compare the diagnostic accuracy, unsatisfactory rates and productivity of manual screening and FocalPoint, </w:t>
      </w:r>
      <w:bookmarkStart w:id="487" w:name="OLE_LINK198"/>
      <w:bookmarkStart w:id="488" w:name="OLE_LINK199"/>
      <w:r w:rsidRPr="00537C3C">
        <w:t xml:space="preserve">Pathlore </w:t>
      </w:r>
      <w:bookmarkEnd w:id="487"/>
      <w:bookmarkEnd w:id="488"/>
      <w:r w:rsidRPr="00537C3C">
        <w:t xml:space="preserve">or Cytyc Imager (ThinPrep) reading of </w:t>
      </w:r>
      <w:r w:rsidRPr="00BB76D8">
        <w:t>LBC</w:t>
      </w:r>
      <w:r w:rsidRPr="00537C3C">
        <w:t xml:space="preserve">, with and without </w:t>
      </w:r>
      <w:r w:rsidRPr="00BB76D8">
        <w:t>HPV</w:t>
      </w:r>
      <w:r w:rsidRPr="00537C3C">
        <w:t xml:space="preserve"> triage of low-grade positive cytology results. The trial will also include a cost-effectiveness analysis. The trial began in 2005 and results are expected to be published in mid 2010.</w:t>
      </w:r>
    </w:p>
    <w:p w:rsidR="00234376" w:rsidRPr="00537C3C" w:rsidRDefault="00234376" w:rsidP="008E03A7">
      <w:pPr>
        <w:sectPr w:rsidR="00234376" w:rsidRPr="00537C3C" w:rsidSect="008E03A7">
          <w:pgSz w:w="11906" w:h="16838"/>
          <w:pgMar w:top="1440" w:right="1440" w:bottom="1440" w:left="1440" w:header="720" w:footer="720" w:gutter="0"/>
          <w:cols w:space="720"/>
        </w:sectPr>
      </w:pPr>
    </w:p>
    <w:p w:rsidR="00234376" w:rsidRPr="00537C3C" w:rsidRDefault="00234376" w:rsidP="008E03A7">
      <w:pPr>
        <w:pStyle w:val="TableNamea"/>
        <w:ind w:left="1644"/>
      </w:pPr>
      <w:bookmarkStart w:id="489" w:name="_Ref190678179"/>
      <w:bookmarkStart w:id="490" w:name="_Toc190744104"/>
      <w:bookmarkStart w:id="491" w:name="_Toc190744376"/>
      <w:bookmarkStart w:id="492" w:name="_Toc95971263"/>
      <w:r w:rsidRPr="00537C3C">
        <w:lastRenderedPageBreak/>
        <w:t xml:space="preserve">Table </w:t>
      </w:r>
      <w:fldSimple w:instr=" SEQ Table \* ARABIC ">
        <w:r w:rsidR="007D3DFF">
          <w:rPr>
            <w:noProof/>
          </w:rPr>
          <w:t>27</w:t>
        </w:r>
      </w:fldSimple>
      <w:bookmarkEnd w:id="489"/>
      <w:r w:rsidRPr="00537C3C">
        <w:tab/>
        <w:t xml:space="preserve">Direct comparison of the relative accuracy of </w:t>
      </w:r>
      <w:r w:rsidRPr="00BB76D8">
        <w:t>LBC</w:t>
      </w:r>
      <w:r w:rsidRPr="00537C3C">
        <w:t xml:space="preserve">, automation-assisted reading of </w:t>
      </w:r>
      <w:r w:rsidRPr="00BB76D8">
        <w:t>LBC</w:t>
      </w:r>
      <w:r w:rsidRPr="00537C3C">
        <w:t xml:space="preserve"> and manual reading of conventional cervical cytology for </w:t>
      </w:r>
      <w:r w:rsidRPr="00BB76D8">
        <w:t>CIN</w:t>
      </w:r>
      <w:r w:rsidRPr="00537C3C">
        <w:t xml:space="preserve"> 2+ in </w:t>
      </w:r>
      <w:r w:rsidRPr="0030078D">
        <w:rPr>
          <w:i/>
        </w:rPr>
        <w:t>N</w:t>
      </w:r>
      <w:r w:rsidRPr="00537C3C">
        <w:t xml:space="preserve"> = 11 416 routine samples (Roberts et al. 2007)</w:t>
      </w:r>
      <w:bookmarkEnd w:id="490"/>
      <w:bookmarkEnd w:id="491"/>
      <w:r w:rsidRPr="00537C3C">
        <w:t>.</w:t>
      </w:r>
      <w:bookmarkEnd w:id="492"/>
    </w:p>
    <w:tbl>
      <w:tblPr>
        <w:tblW w:w="4907" w:type="pct"/>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4"/>
        <w:gridCol w:w="1277"/>
        <w:gridCol w:w="938"/>
        <w:gridCol w:w="826"/>
        <w:gridCol w:w="790"/>
        <w:gridCol w:w="548"/>
        <w:gridCol w:w="648"/>
        <w:gridCol w:w="712"/>
        <w:gridCol w:w="565"/>
        <w:gridCol w:w="712"/>
        <w:gridCol w:w="573"/>
        <w:gridCol w:w="570"/>
        <w:gridCol w:w="570"/>
        <w:gridCol w:w="704"/>
        <w:gridCol w:w="576"/>
        <w:gridCol w:w="570"/>
        <w:gridCol w:w="570"/>
        <w:gridCol w:w="1107"/>
      </w:tblGrid>
      <w:tr w:rsidR="00234376" w:rsidRPr="00537C3C">
        <w:trPr>
          <w:trHeight w:val="270"/>
          <w:tblHeader/>
        </w:trPr>
        <w:tc>
          <w:tcPr>
            <w:tcW w:w="594" w:type="pct"/>
            <w:vMerge w:val="restart"/>
            <w:tcBorders>
              <w:left w:val="nil"/>
              <w:right w:val="nil"/>
            </w:tcBorders>
          </w:tcPr>
          <w:p w:rsidR="00234376" w:rsidRPr="00537C3C" w:rsidRDefault="00234376" w:rsidP="008E03A7">
            <w:pPr>
              <w:pStyle w:val="TableHeading"/>
              <w:jc w:val="center"/>
            </w:pPr>
            <w:r w:rsidRPr="00537C3C">
              <w:t>Test threshold</w:t>
            </w:r>
          </w:p>
        </w:tc>
        <w:tc>
          <w:tcPr>
            <w:tcW w:w="1093" w:type="pct"/>
            <w:gridSpan w:val="3"/>
            <w:vMerge w:val="restart"/>
            <w:tcBorders>
              <w:left w:val="nil"/>
              <w:right w:val="nil"/>
            </w:tcBorders>
          </w:tcPr>
          <w:p w:rsidR="00234376" w:rsidRPr="00537C3C" w:rsidRDefault="00234376" w:rsidP="008E03A7">
            <w:pPr>
              <w:pStyle w:val="TableHeading"/>
              <w:jc w:val="center"/>
            </w:pPr>
            <w:r w:rsidRPr="00537C3C">
              <w:t xml:space="preserve">Automation-assisted reading </w:t>
            </w:r>
            <w:r w:rsidRPr="00BB76D8">
              <w:t>LBC</w:t>
            </w:r>
            <w:r w:rsidRPr="00537C3C">
              <w:t xml:space="preserve">, additional positives per 1000 screened </w:t>
            </w:r>
          </w:p>
        </w:tc>
        <w:tc>
          <w:tcPr>
            <w:tcW w:w="713" w:type="pct"/>
            <w:gridSpan w:val="3"/>
            <w:vMerge w:val="restart"/>
            <w:tcBorders>
              <w:left w:val="nil"/>
              <w:right w:val="nil"/>
            </w:tcBorders>
          </w:tcPr>
          <w:p w:rsidR="00234376" w:rsidRPr="00537C3C" w:rsidRDefault="00234376" w:rsidP="008E03A7">
            <w:pPr>
              <w:pStyle w:val="TableHeading"/>
              <w:jc w:val="center"/>
            </w:pPr>
            <w:r w:rsidRPr="00537C3C">
              <w:t xml:space="preserve">Manual reading </w:t>
            </w:r>
            <w:r w:rsidRPr="00BB76D8">
              <w:t>LBC</w:t>
            </w:r>
            <w:r w:rsidRPr="00537C3C">
              <w:t xml:space="preserve">, additional positives per 1000 screened </w:t>
            </w:r>
          </w:p>
        </w:tc>
        <w:tc>
          <w:tcPr>
            <w:tcW w:w="2599" w:type="pct"/>
            <w:gridSpan w:val="11"/>
            <w:tcBorders>
              <w:left w:val="nil"/>
              <w:right w:val="nil"/>
            </w:tcBorders>
          </w:tcPr>
          <w:p w:rsidR="00234376" w:rsidRPr="00537C3C" w:rsidRDefault="00234376" w:rsidP="008E03A7">
            <w:pPr>
              <w:pStyle w:val="TableHeading"/>
              <w:jc w:val="center"/>
            </w:pPr>
            <w:r w:rsidRPr="00537C3C">
              <w:t>Total positives</w:t>
            </w:r>
          </w:p>
        </w:tc>
      </w:tr>
      <w:tr w:rsidR="00234376" w:rsidRPr="00537C3C">
        <w:trPr>
          <w:trHeight w:val="285"/>
          <w:tblHeader/>
        </w:trPr>
        <w:tc>
          <w:tcPr>
            <w:tcW w:w="594" w:type="pct"/>
            <w:vMerge/>
            <w:tcBorders>
              <w:left w:val="nil"/>
              <w:right w:val="nil"/>
            </w:tcBorders>
          </w:tcPr>
          <w:p w:rsidR="00234376" w:rsidRPr="00537C3C" w:rsidRDefault="00234376" w:rsidP="008E03A7">
            <w:pPr>
              <w:pStyle w:val="TableHeading"/>
              <w:jc w:val="center"/>
            </w:pPr>
          </w:p>
        </w:tc>
        <w:tc>
          <w:tcPr>
            <w:tcW w:w="1093" w:type="pct"/>
            <w:gridSpan w:val="3"/>
            <w:vMerge/>
            <w:tcBorders>
              <w:left w:val="nil"/>
              <w:right w:val="nil"/>
            </w:tcBorders>
          </w:tcPr>
          <w:p w:rsidR="00234376" w:rsidRPr="00537C3C" w:rsidRDefault="00234376" w:rsidP="008E03A7">
            <w:pPr>
              <w:pStyle w:val="TableHeading"/>
              <w:jc w:val="center"/>
            </w:pPr>
          </w:p>
        </w:tc>
        <w:tc>
          <w:tcPr>
            <w:tcW w:w="713" w:type="pct"/>
            <w:gridSpan w:val="3"/>
            <w:vMerge/>
            <w:tcBorders>
              <w:left w:val="nil"/>
              <w:right w:val="nil"/>
            </w:tcBorders>
          </w:tcPr>
          <w:p w:rsidR="00234376" w:rsidRPr="00537C3C" w:rsidRDefault="00234376" w:rsidP="008E03A7">
            <w:pPr>
              <w:pStyle w:val="TableHeading"/>
              <w:jc w:val="center"/>
            </w:pPr>
          </w:p>
        </w:tc>
        <w:tc>
          <w:tcPr>
            <w:tcW w:w="920" w:type="pct"/>
            <w:gridSpan w:val="4"/>
            <w:tcBorders>
              <w:left w:val="nil"/>
              <w:right w:val="nil"/>
            </w:tcBorders>
          </w:tcPr>
          <w:p w:rsidR="00234376" w:rsidRPr="00537C3C" w:rsidRDefault="00234376" w:rsidP="008E03A7">
            <w:pPr>
              <w:pStyle w:val="TableHeading"/>
              <w:jc w:val="center"/>
            </w:pPr>
            <w:r w:rsidRPr="00537C3C">
              <w:t xml:space="preserve">Automation-assisted reading </w:t>
            </w:r>
            <w:r w:rsidRPr="00BB76D8">
              <w:t>LBC</w:t>
            </w:r>
          </w:p>
        </w:tc>
        <w:tc>
          <w:tcPr>
            <w:tcW w:w="869" w:type="pct"/>
            <w:gridSpan w:val="4"/>
            <w:tcBorders>
              <w:left w:val="nil"/>
              <w:right w:val="nil"/>
            </w:tcBorders>
          </w:tcPr>
          <w:p w:rsidR="00234376" w:rsidRPr="00537C3C" w:rsidRDefault="00234376" w:rsidP="008E03A7">
            <w:pPr>
              <w:pStyle w:val="TableHeading"/>
              <w:jc w:val="center"/>
            </w:pPr>
            <w:r w:rsidRPr="00537C3C">
              <w:t xml:space="preserve">Manual reading </w:t>
            </w:r>
            <w:r w:rsidRPr="00BB76D8">
              <w:t>LBC</w:t>
            </w:r>
            <w:r w:rsidRPr="00537C3C">
              <w:t xml:space="preserve"> slides</w:t>
            </w:r>
          </w:p>
        </w:tc>
        <w:tc>
          <w:tcPr>
            <w:tcW w:w="810" w:type="pct"/>
            <w:gridSpan w:val="3"/>
            <w:tcBorders>
              <w:left w:val="nil"/>
              <w:right w:val="nil"/>
            </w:tcBorders>
          </w:tcPr>
          <w:p w:rsidR="00234376" w:rsidRPr="00537C3C" w:rsidRDefault="00234376" w:rsidP="008E03A7">
            <w:pPr>
              <w:pStyle w:val="TableHeading"/>
              <w:jc w:val="center"/>
            </w:pPr>
            <w:r w:rsidRPr="00537C3C">
              <w:t>Manual reading conventional slides</w:t>
            </w:r>
          </w:p>
        </w:tc>
      </w:tr>
      <w:tr w:rsidR="00234376" w:rsidRPr="00537C3C">
        <w:trPr>
          <w:trHeight w:val="367"/>
          <w:tblHeader/>
        </w:trPr>
        <w:tc>
          <w:tcPr>
            <w:tcW w:w="594" w:type="pct"/>
            <w:vMerge/>
            <w:tcBorders>
              <w:left w:val="nil"/>
              <w:right w:val="nil"/>
            </w:tcBorders>
          </w:tcPr>
          <w:p w:rsidR="00234376" w:rsidRPr="00537C3C" w:rsidRDefault="00234376" w:rsidP="008E03A7">
            <w:pPr>
              <w:pStyle w:val="TableTextCharChar"/>
            </w:pPr>
          </w:p>
        </w:tc>
        <w:tc>
          <w:tcPr>
            <w:tcW w:w="459" w:type="pct"/>
            <w:tcBorders>
              <w:left w:val="nil"/>
              <w:right w:val="nil"/>
            </w:tcBorders>
          </w:tcPr>
          <w:p w:rsidR="00234376" w:rsidRPr="00537C3C" w:rsidRDefault="00234376" w:rsidP="008E03A7">
            <w:pPr>
              <w:pStyle w:val="TableHeading"/>
              <w:jc w:val="center"/>
            </w:pPr>
            <w:r w:rsidRPr="00BB76D8">
              <w:t>TP</w:t>
            </w:r>
          </w:p>
        </w:tc>
        <w:tc>
          <w:tcPr>
            <w:tcW w:w="337" w:type="pct"/>
            <w:tcBorders>
              <w:left w:val="nil"/>
              <w:right w:val="nil"/>
            </w:tcBorders>
          </w:tcPr>
          <w:p w:rsidR="00234376" w:rsidRPr="00537C3C" w:rsidRDefault="00234376" w:rsidP="008E03A7">
            <w:pPr>
              <w:pStyle w:val="TableHeading"/>
              <w:jc w:val="center"/>
            </w:pPr>
            <w:r w:rsidRPr="00BB76D8">
              <w:t>FP</w:t>
            </w:r>
          </w:p>
        </w:tc>
        <w:tc>
          <w:tcPr>
            <w:tcW w:w="297" w:type="pct"/>
            <w:tcBorders>
              <w:left w:val="nil"/>
              <w:right w:val="nil"/>
            </w:tcBorders>
          </w:tcPr>
          <w:p w:rsidR="00234376" w:rsidRPr="00537C3C" w:rsidRDefault="00234376" w:rsidP="008E03A7">
            <w:pPr>
              <w:pStyle w:val="TableTextCharChar"/>
              <w:jc w:val="center"/>
              <w:rPr>
                <w:b/>
              </w:rPr>
            </w:pPr>
            <w:r w:rsidRPr="00BB76D8">
              <w:rPr>
                <w:b/>
              </w:rPr>
              <w:t>TP</w:t>
            </w:r>
            <w:r w:rsidRPr="00537C3C">
              <w:rPr>
                <w:b/>
              </w:rPr>
              <w:t>:</w:t>
            </w:r>
            <w:r w:rsidRPr="00BB76D8">
              <w:rPr>
                <w:b/>
              </w:rPr>
              <w:t>FP</w:t>
            </w:r>
          </w:p>
        </w:tc>
        <w:tc>
          <w:tcPr>
            <w:tcW w:w="284" w:type="pct"/>
            <w:tcBorders>
              <w:left w:val="nil"/>
              <w:right w:val="nil"/>
            </w:tcBorders>
          </w:tcPr>
          <w:p w:rsidR="00234376" w:rsidRPr="00537C3C" w:rsidRDefault="00234376" w:rsidP="008E03A7">
            <w:pPr>
              <w:pStyle w:val="TableHeading"/>
              <w:jc w:val="center"/>
            </w:pPr>
            <w:r w:rsidRPr="00BB76D8">
              <w:t>TP</w:t>
            </w:r>
          </w:p>
        </w:tc>
        <w:tc>
          <w:tcPr>
            <w:tcW w:w="197" w:type="pct"/>
            <w:tcBorders>
              <w:left w:val="nil"/>
              <w:right w:val="nil"/>
            </w:tcBorders>
          </w:tcPr>
          <w:p w:rsidR="00234376" w:rsidRPr="00537C3C" w:rsidRDefault="00234376" w:rsidP="008E03A7">
            <w:pPr>
              <w:pStyle w:val="TableHeading"/>
              <w:jc w:val="center"/>
            </w:pPr>
            <w:r w:rsidRPr="00BB76D8">
              <w:t>FP</w:t>
            </w:r>
          </w:p>
        </w:tc>
        <w:tc>
          <w:tcPr>
            <w:tcW w:w="233" w:type="pct"/>
            <w:tcBorders>
              <w:left w:val="nil"/>
              <w:right w:val="nil"/>
            </w:tcBorders>
          </w:tcPr>
          <w:p w:rsidR="00234376" w:rsidRPr="00537C3C" w:rsidRDefault="00234376" w:rsidP="008E03A7">
            <w:pPr>
              <w:pStyle w:val="TableTextCharChar"/>
              <w:jc w:val="center"/>
              <w:rPr>
                <w:b/>
              </w:rPr>
            </w:pPr>
            <w:r w:rsidRPr="00BB76D8">
              <w:rPr>
                <w:b/>
              </w:rPr>
              <w:t>TP</w:t>
            </w:r>
            <w:r w:rsidRPr="00537C3C">
              <w:rPr>
                <w:b/>
              </w:rPr>
              <w:t>:</w:t>
            </w:r>
            <w:r w:rsidRPr="00BB76D8">
              <w:rPr>
                <w:b/>
              </w:rPr>
              <w:t>FP</w:t>
            </w:r>
          </w:p>
        </w:tc>
        <w:tc>
          <w:tcPr>
            <w:tcW w:w="256" w:type="pct"/>
            <w:tcBorders>
              <w:left w:val="nil"/>
              <w:right w:val="nil"/>
            </w:tcBorders>
          </w:tcPr>
          <w:p w:rsidR="00234376" w:rsidRPr="00537C3C" w:rsidRDefault="00234376" w:rsidP="008E03A7">
            <w:pPr>
              <w:pStyle w:val="TableTextCharChar"/>
              <w:jc w:val="center"/>
            </w:pPr>
            <w:r w:rsidRPr="00BB76D8">
              <w:t>TP</w:t>
            </w:r>
          </w:p>
        </w:tc>
        <w:tc>
          <w:tcPr>
            <w:tcW w:w="203" w:type="pct"/>
            <w:tcBorders>
              <w:left w:val="nil"/>
              <w:right w:val="nil"/>
            </w:tcBorders>
          </w:tcPr>
          <w:p w:rsidR="00234376" w:rsidRPr="00537C3C" w:rsidRDefault="00234376" w:rsidP="008E03A7">
            <w:pPr>
              <w:pStyle w:val="TableTextCharChar"/>
              <w:jc w:val="center"/>
            </w:pPr>
            <w:r w:rsidRPr="00BB76D8">
              <w:t>FP</w:t>
            </w:r>
          </w:p>
        </w:tc>
        <w:tc>
          <w:tcPr>
            <w:tcW w:w="256" w:type="pct"/>
            <w:tcBorders>
              <w:left w:val="nil"/>
              <w:right w:val="nil"/>
            </w:tcBorders>
          </w:tcPr>
          <w:p w:rsidR="00234376" w:rsidRPr="00537C3C" w:rsidRDefault="00234376" w:rsidP="008E03A7">
            <w:pPr>
              <w:pStyle w:val="TableTextCharChar"/>
              <w:jc w:val="center"/>
            </w:pPr>
            <w:r w:rsidRPr="00BB76D8">
              <w:t>TP</w:t>
            </w:r>
            <w:r w:rsidRPr="00537C3C">
              <w:t>:</w:t>
            </w:r>
            <w:r w:rsidRPr="00BB76D8">
              <w:t>FP</w:t>
            </w:r>
          </w:p>
        </w:tc>
        <w:tc>
          <w:tcPr>
            <w:tcW w:w="206" w:type="pct"/>
            <w:tcBorders>
              <w:left w:val="nil"/>
              <w:right w:val="nil"/>
            </w:tcBorders>
          </w:tcPr>
          <w:p w:rsidR="00234376" w:rsidRPr="00537C3C" w:rsidRDefault="00234376" w:rsidP="008E03A7">
            <w:pPr>
              <w:pStyle w:val="TableTextCharChar"/>
              <w:jc w:val="center"/>
            </w:pPr>
          </w:p>
        </w:tc>
        <w:tc>
          <w:tcPr>
            <w:tcW w:w="205" w:type="pct"/>
            <w:tcBorders>
              <w:left w:val="nil"/>
              <w:right w:val="nil"/>
            </w:tcBorders>
          </w:tcPr>
          <w:p w:rsidR="00234376" w:rsidRPr="00537C3C" w:rsidRDefault="00234376" w:rsidP="008E03A7">
            <w:pPr>
              <w:pStyle w:val="TableTextCharChar"/>
            </w:pPr>
            <w:r w:rsidRPr="00BB76D8">
              <w:t>TP</w:t>
            </w:r>
          </w:p>
        </w:tc>
        <w:tc>
          <w:tcPr>
            <w:tcW w:w="205" w:type="pct"/>
            <w:tcBorders>
              <w:left w:val="nil"/>
              <w:right w:val="nil"/>
            </w:tcBorders>
          </w:tcPr>
          <w:p w:rsidR="00234376" w:rsidRPr="00537C3C" w:rsidRDefault="00234376" w:rsidP="008E03A7">
            <w:pPr>
              <w:pStyle w:val="TableTextCharChar"/>
            </w:pPr>
            <w:r w:rsidRPr="00BB76D8">
              <w:t>FP</w:t>
            </w:r>
          </w:p>
        </w:tc>
        <w:tc>
          <w:tcPr>
            <w:tcW w:w="253" w:type="pct"/>
            <w:tcBorders>
              <w:left w:val="nil"/>
              <w:right w:val="nil"/>
            </w:tcBorders>
          </w:tcPr>
          <w:p w:rsidR="00234376" w:rsidRPr="00537C3C" w:rsidRDefault="00234376" w:rsidP="008E03A7">
            <w:pPr>
              <w:pStyle w:val="TableTextCharChar"/>
            </w:pPr>
            <w:r w:rsidRPr="00BB76D8">
              <w:t>TP</w:t>
            </w:r>
            <w:r w:rsidRPr="00537C3C">
              <w:t>:</w:t>
            </w:r>
            <w:r w:rsidRPr="00BB76D8">
              <w:t>FP</w:t>
            </w:r>
          </w:p>
        </w:tc>
        <w:tc>
          <w:tcPr>
            <w:tcW w:w="207" w:type="pct"/>
            <w:tcBorders>
              <w:left w:val="nil"/>
              <w:right w:val="nil"/>
            </w:tcBorders>
          </w:tcPr>
          <w:p w:rsidR="00234376" w:rsidRPr="00537C3C" w:rsidRDefault="00234376" w:rsidP="008E03A7">
            <w:pPr>
              <w:pStyle w:val="TableTextCharChar"/>
            </w:pPr>
          </w:p>
        </w:tc>
        <w:tc>
          <w:tcPr>
            <w:tcW w:w="205" w:type="pct"/>
            <w:tcBorders>
              <w:left w:val="nil"/>
              <w:right w:val="nil"/>
            </w:tcBorders>
          </w:tcPr>
          <w:p w:rsidR="00234376" w:rsidRPr="00537C3C" w:rsidRDefault="00234376" w:rsidP="008E03A7">
            <w:pPr>
              <w:pStyle w:val="TableTextCharChar"/>
            </w:pPr>
            <w:r w:rsidRPr="00BB76D8">
              <w:t>TP</w:t>
            </w:r>
          </w:p>
        </w:tc>
        <w:tc>
          <w:tcPr>
            <w:tcW w:w="205" w:type="pct"/>
            <w:tcBorders>
              <w:left w:val="nil"/>
              <w:right w:val="nil"/>
            </w:tcBorders>
          </w:tcPr>
          <w:p w:rsidR="00234376" w:rsidRPr="00537C3C" w:rsidRDefault="00234376" w:rsidP="008E03A7">
            <w:pPr>
              <w:pStyle w:val="TableTextCharChar"/>
            </w:pPr>
            <w:r w:rsidRPr="00BB76D8">
              <w:t>FP</w:t>
            </w:r>
          </w:p>
        </w:tc>
        <w:tc>
          <w:tcPr>
            <w:tcW w:w="401" w:type="pct"/>
            <w:tcBorders>
              <w:left w:val="nil"/>
              <w:right w:val="nil"/>
            </w:tcBorders>
          </w:tcPr>
          <w:p w:rsidR="00234376" w:rsidRPr="00537C3C" w:rsidRDefault="00234376" w:rsidP="008E03A7">
            <w:pPr>
              <w:pStyle w:val="TableTextCharChar"/>
              <w:jc w:val="center"/>
            </w:pPr>
            <w:r w:rsidRPr="00BB76D8">
              <w:t>TP</w:t>
            </w:r>
            <w:r w:rsidRPr="00537C3C">
              <w:t>:</w:t>
            </w:r>
            <w:r w:rsidRPr="00BB76D8">
              <w:t>FP</w:t>
            </w:r>
          </w:p>
        </w:tc>
      </w:tr>
      <w:tr w:rsidR="00234376" w:rsidRPr="00537C3C">
        <w:tc>
          <w:tcPr>
            <w:tcW w:w="594" w:type="pct"/>
            <w:tcBorders>
              <w:top w:val="nil"/>
              <w:left w:val="nil"/>
              <w:bottom w:val="nil"/>
              <w:right w:val="nil"/>
            </w:tcBorders>
          </w:tcPr>
          <w:p w:rsidR="00234376" w:rsidRPr="00537C3C" w:rsidRDefault="00234376" w:rsidP="008E03A7">
            <w:pPr>
              <w:pStyle w:val="TableTextLessSpaceCharCharCharCharCharCharCharChar"/>
              <w:jc w:val="center"/>
              <w:rPr>
                <w:rFonts w:cs="Garamond"/>
                <w:szCs w:val="18"/>
              </w:rPr>
            </w:pPr>
            <w:r w:rsidRPr="00BB76D8">
              <w:rPr>
                <w:rFonts w:cs="Garamond"/>
                <w:szCs w:val="18"/>
              </w:rPr>
              <w:t>pHSIL</w:t>
            </w:r>
            <w:r w:rsidRPr="00537C3C">
              <w:rPr>
                <w:rFonts w:cs="Garamond"/>
                <w:szCs w:val="18"/>
              </w:rPr>
              <w:t xml:space="preserve">/ </w:t>
            </w:r>
            <w:r w:rsidRPr="00BB76D8">
              <w:rPr>
                <w:rFonts w:cs="Garamond"/>
                <w:szCs w:val="18"/>
              </w:rPr>
              <w:t>HSIL</w:t>
            </w:r>
            <w:r w:rsidRPr="00537C3C">
              <w:rPr>
                <w:rFonts w:cs="Garamond"/>
                <w:szCs w:val="18"/>
              </w:rPr>
              <w:t>, including glandular</w:t>
            </w:r>
          </w:p>
        </w:tc>
        <w:tc>
          <w:tcPr>
            <w:tcW w:w="459"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color w:val="000000"/>
                <w:szCs w:val="18"/>
              </w:rPr>
            </w:pPr>
            <w:r w:rsidRPr="00537C3C">
              <w:rPr>
                <w:rFonts w:cs="Garamond"/>
                <w:color w:val="000000"/>
                <w:szCs w:val="18"/>
              </w:rPr>
              <w:t>1.49</w:t>
            </w:r>
          </w:p>
        </w:tc>
        <w:tc>
          <w:tcPr>
            <w:tcW w:w="337"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color w:val="000000"/>
                <w:szCs w:val="18"/>
              </w:rPr>
            </w:pPr>
            <w:r w:rsidRPr="00537C3C">
              <w:rPr>
                <w:rFonts w:cs="Garamond"/>
                <w:color w:val="000000"/>
                <w:szCs w:val="18"/>
              </w:rPr>
              <w:t>1.93</w:t>
            </w:r>
          </w:p>
        </w:tc>
        <w:tc>
          <w:tcPr>
            <w:tcW w:w="297"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1:1.29</w:t>
            </w:r>
          </w:p>
        </w:tc>
        <w:tc>
          <w:tcPr>
            <w:tcW w:w="284"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2.8</w:t>
            </w:r>
          </w:p>
        </w:tc>
        <w:tc>
          <w:tcPr>
            <w:tcW w:w="197"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4.38</w:t>
            </w:r>
          </w:p>
        </w:tc>
        <w:tc>
          <w:tcPr>
            <w:tcW w:w="233"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1:1.56</w:t>
            </w:r>
          </w:p>
        </w:tc>
        <w:tc>
          <w:tcPr>
            <w:tcW w:w="256"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80</w:t>
            </w:r>
          </w:p>
        </w:tc>
        <w:tc>
          <w:tcPr>
            <w:tcW w:w="203"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42</w:t>
            </w:r>
          </w:p>
        </w:tc>
        <w:tc>
          <w:tcPr>
            <w:tcW w:w="256"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1:0.53</w:t>
            </w:r>
          </w:p>
        </w:tc>
        <w:tc>
          <w:tcPr>
            <w:tcW w:w="206"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p>
        </w:tc>
        <w:tc>
          <w:tcPr>
            <w:tcW w:w="205"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95*</w:t>
            </w:r>
          </w:p>
        </w:tc>
        <w:tc>
          <w:tcPr>
            <w:tcW w:w="205"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70</w:t>
            </w:r>
          </w:p>
        </w:tc>
        <w:tc>
          <w:tcPr>
            <w:tcW w:w="253"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1:0.74</w:t>
            </w:r>
          </w:p>
        </w:tc>
        <w:tc>
          <w:tcPr>
            <w:tcW w:w="207"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p>
        </w:tc>
        <w:tc>
          <w:tcPr>
            <w:tcW w:w="205"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63</w:t>
            </w:r>
          </w:p>
        </w:tc>
        <w:tc>
          <w:tcPr>
            <w:tcW w:w="205"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20</w:t>
            </w:r>
          </w:p>
        </w:tc>
        <w:tc>
          <w:tcPr>
            <w:tcW w:w="401" w:type="pct"/>
            <w:tcBorders>
              <w:top w:val="nil"/>
              <w:left w:val="nil"/>
              <w:bottom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1:0.32</w:t>
            </w:r>
          </w:p>
        </w:tc>
      </w:tr>
      <w:tr w:rsidR="00234376" w:rsidRPr="00537C3C">
        <w:tc>
          <w:tcPr>
            <w:tcW w:w="594" w:type="pct"/>
            <w:tcBorders>
              <w:top w:val="nil"/>
              <w:left w:val="nil"/>
              <w:right w:val="nil"/>
            </w:tcBorders>
          </w:tcPr>
          <w:p w:rsidR="00234376" w:rsidRPr="00537C3C" w:rsidRDefault="00234376" w:rsidP="008E03A7">
            <w:pPr>
              <w:pStyle w:val="TableTextLessSpaceCharCharCharCharCharCharCharChar"/>
              <w:jc w:val="center"/>
              <w:rPr>
                <w:rFonts w:cs="Garamond"/>
                <w:szCs w:val="18"/>
              </w:rPr>
            </w:pPr>
            <w:r w:rsidRPr="00BB76D8">
              <w:rPr>
                <w:rFonts w:cs="Garamond"/>
                <w:szCs w:val="18"/>
              </w:rPr>
              <w:t>pHSIL</w:t>
            </w:r>
            <w:r w:rsidRPr="00537C3C">
              <w:rPr>
                <w:rFonts w:cs="Garamond"/>
                <w:szCs w:val="18"/>
              </w:rPr>
              <w:t xml:space="preserve">/ </w:t>
            </w:r>
            <w:r w:rsidRPr="00BB76D8">
              <w:rPr>
                <w:rFonts w:cs="Garamond"/>
                <w:szCs w:val="18"/>
              </w:rPr>
              <w:t>HSIL</w:t>
            </w:r>
            <w:r w:rsidRPr="00537C3C">
              <w:rPr>
                <w:rFonts w:cs="Garamond"/>
                <w:szCs w:val="18"/>
              </w:rPr>
              <w:t>, excluding glandular</w:t>
            </w:r>
          </w:p>
        </w:tc>
        <w:tc>
          <w:tcPr>
            <w:tcW w:w="459"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1.58</w:t>
            </w:r>
          </w:p>
        </w:tc>
        <w:tc>
          <w:tcPr>
            <w:tcW w:w="337"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297"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284"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2.7</w:t>
            </w:r>
          </w:p>
        </w:tc>
        <w:tc>
          <w:tcPr>
            <w:tcW w:w="197"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233"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256"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78</w:t>
            </w:r>
          </w:p>
        </w:tc>
        <w:tc>
          <w:tcPr>
            <w:tcW w:w="203"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p>
        </w:tc>
        <w:tc>
          <w:tcPr>
            <w:tcW w:w="256"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206"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p>
        </w:tc>
        <w:tc>
          <w:tcPr>
            <w:tcW w:w="205"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91*</w:t>
            </w:r>
          </w:p>
        </w:tc>
        <w:tc>
          <w:tcPr>
            <w:tcW w:w="205"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253"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207"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p>
        </w:tc>
        <w:tc>
          <w:tcPr>
            <w:tcW w:w="205"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60</w:t>
            </w:r>
          </w:p>
        </w:tc>
        <w:tc>
          <w:tcPr>
            <w:tcW w:w="205"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c>
          <w:tcPr>
            <w:tcW w:w="401" w:type="pct"/>
            <w:tcBorders>
              <w:top w:val="nil"/>
              <w:left w:val="nil"/>
              <w:right w:val="nil"/>
            </w:tcBorders>
          </w:tcPr>
          <w:p w:rsidR="00234376" w:rsidRPr="00537C3C" w:rsidRDefault="00234376" w:rsidP="008E03A7">
            <w:pPr>
              <w:pStyle w:val="TableTextLessSpaceCharCharCharCharCharCharCharChar"/>
              <w:spacing w:before="60"/>
              <w:jc w:val="center"/>
              <w:rPr>
                <w:rFonts w:cs="Garamond"/>
                <w:szCs w:val="18"/>
              </w:rPr>
            </w:pPr>
            <w:r w:rsidRPr="00537C3C">
              <w:rPr>
                <w:rFonts w:cs="Garamond"/>
                <w:szCs w:val="18"/>
              </w:rPr>
              <w:t>_</w:t>
            </w:r>
          </w:p>
        </w:tc>
      </w:tr>
    </w:tbl>
    <w:p w:rsidR="00234376" w:rsidRPr="00537C3C" w:rsidRDefault="00234376" w:rsidP="008E03A7">
      <w:pPr>
        <w:pStyle w:val="TableNotesMiddle"/>
        <w:ind w:left="567" w:firstLine="0"/>
      </w:pPr>
      <w:r w:rsidRPr="00537C3C">
        <w:rPr>
          <w:i/>
        </w:rPr>
        <w:t xml:space="preserve">Abbreviations: </w:t>
      </w:r>
      <w:r w:rsidRPr="00BB76D8">
        <w:t>FP</w:t>
      </w:r>
      <w:r w:rsidRPr="00537C3C">
        <w:t xml:space="preserve"> = false positive, </w:t>
      </w:r>
      <w:r w:rsidRPr="00BB76D8">
        <w:t>TP</w:t>
      </w:r>
      <w:r w:rsidRPr="00537C3C">
        <w:t xml:space="preserve"> = true positive.</w:t>
      </w:r>
      <w:r w:rsidRPr="00537C3C">
        <w:br/>
        <w:t xml:space="preserve">* </w:t>
      </w:r>
      <w:r w:rsidRPr="0030078D">
        <w:rPr>
          <w:i/>
        </w:rPr>
        <w:t>P</w:t>
      </w:r>
      <w:r w:rsidRPr="00537C3C">
        <w:t xml:space="preserve"> &lt; 0.05 </w:t>
      </w:r>
      <w:r w:rsidRPr="00537C3C">
        <w:sym w:font="Symbol" w:char="F063"/>
      </w:r>
      <w:r w:rsidRPr="00537C3C">
        <w:rPr>
          <w:szCs w:val="18"/>
          <w:vertAlign w:val="superscript"/>
        </w:rPr>
        <w:t>2</w:t>
      </w:r>
      <w:r w:rsidRPr="00537C3C">
        <w:t>-test for (</w:t>
      </w:r>
      <w:bookmarkStart w:id="493" w:name="OLE_LINK427"/>
      <w:bookmarkStart w:id="494" w:name="OLE_LINK428"/>
      <w:r w:rsidRPr="00537C3C">
        <w:t>i</w:t>
      </w:r>
      <w:bookmarkEnd w:id="493"/>
      <w:bookmarkEnd w:id="494"/>
      <w:r w:rsidRPr="00537C3C">
        <w:t xml:space="preserve">) comparison of automated </w:t>
      </w:r>
      <w:r w:rsidRPr="00BB76D8">
        <w:t>LBC</w:t>
      </w:r>
      <w:r w:rsidRPr="00537C3C">
        <w:t xml:space="preserve"> vs manual </w:t>
      </w:r>
      <w:r w:rsidRPr="00BB76D8">
        <w:t>LBC</w:t>
      </w:r>
      <w:r w:rsidRPr="00537C3C">
        <w:t xml:space="preserve"> vs manual Pap test; and (ii) comparison of manual </w:t>
      </w:r>
      <w:r w:rsidRPr="00BB76D8">
        <w:t>LBC</w:t>
      </w:r>
      <w:r w:rsidRPr="00537C3C">
        <w:t xml:space="preserve"> vs conventional cytology.</w:t>
      </w:r>
    </w:p>
    <w:p w:rsidR="00234376" w:rsidRPr="00537C3C" w:rsidRDefault="00234376" w:rsidP="008E03A7">
      <w:pPr>
        <w:pStyle w:val="TableNotes"/>
        <w:rPr>
          <w:vertAlign w:val="superscript"/>
        </w:rPr>
      </w:pPr>
    </w:p>
    <w:p w:rsidR="00234376" w:rsidRPr="00537C3C" w:rsidRDefault="00234376" w:rsidP="008E03A7">
      <w:pPr>
        <w:pStyle w:val="TableNotes"/>
        <w:sectPr w:rsidR="00234376" w:rsidRPr="00537C3C" w:rsidSect="008E03A7">
          <w:pgSz w:w="16838" w:h="11906" w:orient="landscape"/>
          <w:pgMar w:top="1440" w:right="1440" w:bottom="1440" w:left="1440" w:header="720" w:footer="720" w:gutter="0"/>
          <w:paperSrc w:first="15" w:other="15"/>
          <w:cols w:space="720"/>
        </w:sectPr>
      </w:pPr>
    </w:p>
    <w:p w:rsidR="00234376" w:rsidRPr="00537C3C" w:rsidRDefault="00234376" w:rsidP="008E03A7">
      <w:pPr>
        <w:pStyle w:val="Heading2"/>
        <w:ind w:left="0"/>
      </w:pPr>
      <w:bookmarkStart w:id="495" w:name="_Toc95971089"/>
      <w:bookmarkStart w:id="496" w:name="_Toc241658188"/>
      <w:bookmarkStart w:id="497" w:name="_Ref190579797"/>
      <w:r w:rsidRPr="00537C3C">
        <w:lastRenderedPageBreak/>
        <w:t>Conclusions</w:t>
      </w:r>
      <w:bookmarkEnd w:id="495"/>
      <w:bookmarkEnd w:id="496"/>
    </w:p>
    <w:p w:rsidR="00234376" w:rsidRPr="00537C3C" w:rsidRDefault="00234376" w:rsidP="008E03A7">
      <w:r w:rsidRPr="00537C3C">
        <w:t xml:space="preserve">A modelled analysis of cervical cancer screening, diagnosis and treatment in the </w:t>
      </w:r>
      <w:smartTag w:uri="urn:schemas-microsoft-com:office:smarttags" w:element="country-region">
        <w:smartTag w:uri="urn:schemas-microsoft-com:office:smarttags" w:element="place">
          <w:r w:rsidRPr="00537C3C">
            <w:t>Australia</w:t>
          </w:r>
        </w:smartTag>
      </w:smartTag>
      <w:r w:rsidRPr="00537C3C">
        <w:t>n setting is necessary to explore the potential long-term benefits and trade-offs of these technologies in the Australian setting.</w:t>
      </w:r>
    </w:p>
    <w:p w:rsidR="00234376" w:rsidRPr="00537C3C" w:rsidRDefault="00234376" w:rsidP="00B94BF8">
      <w:pPr>
        <w:pStyle w:val="Heading3a"/>
      </w:pPr>
      <w:r w:rsidRPr="00537C3C">
        <w:t xml:space="preserve">Manual </w:t>
      </w:r>
      <w:r w:rsidRPr="00BB76D8">
        <w:t>LBC</w:t>
      </w:r>
    </w:p>
    <w:p w:rsidR="00234376" w:rsidRPr="00537C3C" w:rsidRDefault="00234376" w:rsidP="008E03A7">
      <w:r w:rsidRPr="00537C3C">
        <w:t>High-quality systematic reviews and a large randomised trial have indicated that liquid-based cytology compared to conventional cytology</w:t>
      </w:r>
    </w:p>
    <w:p w:rsidR="00234376" w:rsidRPr="00537C3C" w:rsidRDefault="00234376" w:rsidP="008E03A7">
      <w:pPr>
        <w:numPr>
          <w:ilvl w:val="0"/>
          <w:numId w:val="9"/>
        </w:numPr>
      </w:pPr>
      <w:r w:rsidRPr="00537C3C">
        <w:t>provides no statistically significant increase in sensitivity or specificity</w:t>
      </w:r>
    </w:p>
    <w:p w:rsidR="00234376" w:rsidRPr="00537C3C" w:rsidRDefault="00234376" w:rsidP="008E03A7">
      <w:pPr>
        <w:numPr>
          <w:ilvl w:val="0"/>
          <w:numId w:val="9"/>
        </w:numPr>
      </w:pPr>
      <w:r w:rsidRPr="00537C3C">
        <w:t>provides no statistically significant difference in sensitivity (</w:t>
      </w:r>
      <w:r w:rsidRPr="00BB76D8">
        <w:t>HSIL</w:t>
      </w:r>
      <w:r w:rsidRPr="00537C3C">
        <w:t xml:space="preserve">, </w:t>
      </w:r>
      <w:r w:rsidRPr="00BB76D8">
        <w:t>LSIL</w:t>
      </w:r>
      <w:r w:rsidRPr="00537C3C">
        <w:t xml:space="preserve"> or </w:t>
      </w:r>
      <w:r w:rsidRPr="00BB76D8">
        <w:t>pLSIL</w:t>
      </w:r>
      <w:r w:rsidRPr="00537C3C">
        <w:t xml:space="preserve"> thresholds) or specificity (</w:t>
      </w:r>
      <w:r w:rsidRPr="00BB76D8">
        <w:t>HSIL</w:t>
      </w:r>
      <w:r w:rsidRPr="00537C3C">
        <w:t xml:space="preserve"> or </w:t>
      </w:r>
      <w:r w:rsidRPr="00BB76D8">
        <w:t>LSIL</w:t>
      </w:r>
      <w:r w:rsidRPr="00537C3C">
        <w:t xml:space="preserve"> thresholds) for the detection of </w:t>
      </w:r>
      <w:r w:rsidRPr="00BB76D8">
        <w:t>CIN</w:t>
      </w:r>
      <w:r w:rsidRPr="00537C3C">
        <w:t xml:space="preserve"> 2+</w:t>
      </w:r>
    </w:p>
    <w:p w:rsidR="00234376" w:rsidRPr="00537C3C" w:rsidRDefault="00234376" w:rsidP="008E03A7">
      <w:pPr>
        <w:numPr>
          <w:ilvl w:val="0"/>
          <w:numId w:val="9"/>
        </w:numPr>
      </w:pPr>
      <w:r w:rsidRPr="00537C3C">
        <w:t xml:space="preserve">reduces the specificity for the detection of </w:t>
      </w:r>
      <w:r w:rsidRPr="00BB76D8">
        <w:t>CIN</w:t>
      </w:r>
      <w:r w:rsidRPr="00537C3C">
        <w:t xml:space="preserve"> 2+ at a test threshold of </w:t>
      </w:r>
      <w:r w:rsidRPr="00BB76D8">
        <w:t>pLSIL</w:t>
      </w:r>
    </w:p>
    <w:p w:rsidR="00234376" w:rsidRPr="00537C3C" w:rsidRDefault="00234376" w:rsidP="008E03A7">
      <w:pPr>
        <w:numPr>
          <w:ilvl w:val="0"/>
          <w:numId w:val="9"/>
        </w:numPr>
      </w:pPr>
      <w:r w:rsidRPr="00537C3C">
        <w:t>classifies more slides as positive for low-grade lesions</w:t>
      </w:r>
    </w:p>
    <w:p w:rsidR="00234376" w:rsidRPr="00537C3C" w:rsidRDefault="00234376" w:rsidP="008E03A7">
      <w:pPr>
        <w:numPr>
          <w:ilvl w:val="0"/>
          <w:numId w:val="9"/>
        </w:numPr>
      </w:pPr>
      <w:r w:rsidRPr="00537C3C">
        <w:t>reduces the rate of unsatisfactory smears</w:t>
      </w:r>
    </w:p>
    <w:p w:rsidR="00234376" w:rsidRPr="00537C3C" w:rsidRDefault="00234376" w:rsidP="00B94BF8">
      <w:pPr>
        <w:pStyle w:val="Heading3a"/>
      </w:pPr>
      <w:r w:rsidRPr="00537C3C">
        <w:t xml:space="preserve">Automated </w:t>
      </w:r>
      <w:r w:rsidRPr="00BB76D8">
        <w:t>LBC</w:t>
      </w:r>
    </w:p>
    <w:p w:rsidR="00234376" w:rsidRPr="00537C3C" w:rsidRDefault="00234376" w:rsidP="008E03A7">
      <w:r w:rsidRPr="00537C3C">
        <w:t>There is no evidence of an advantage, disadvantage or equivalence of the accuracy of the Focal Point system compared to conventional cytology.</w:t>
      </w:r>
    </w:p>
    <w:p w:rsidR="00234376" w:rsidRPr="00537C3C" w:rsidRDefault="00234376" w:rsidP="008E03A7">
      <w:r w:rsidRPr="00537C3C">
        <w:t>The ThinPrep Imager system compared to manual reading of conventional cytology</w:t>
      </w:r>
    </w:p>
    <w:p w:rsidR="00234376" w:rsidRPr="00537C3C" w:rsidRDefault="00234376" w:rsidP="008E03A7">
      <w:pPr>
        <w:numPr>
          <w:ilvl w:val="0"/>
          <w:numId w:val="10"/>
        </w:numPr>
      </w:pPr>
      <w:r w:rsidRPr="00537C3C">
        <w:t>significantly decreases slide reading time</w:t>
      </w:r>
    </w:p>
    <w:p w:rsidR="00234376" w:rsidRPr="00537C3C" w:rsidRDefault="00234376" w:rsidP="008E03A7">
      <w:pPr>
        <w:numPr>
          <w:ilvl w:val="0"/>
          <w:numId w:val="10"/>
        </w:numPr>
      </w:pPr>
      <w:r w:rsidRPr="00537C3C">
        <w:t>reduces the rate of unsatisfactory smears</w:t>
      </w:r>
    </w:p>
    <w:p w:rsidR="00234376" w:rsidRPr="00537C3C" w:rsidRDefault="00234376" w:rsidP="008E03A7">
      <w:pPr>
        <w:numPr>
          <w:ilvl w:val="0"/>
          <w:numId w:val="10"/>
        </w:numPr>
      </w:pPr>
      <w:r w:rsidRPr="00537C3C">
        <w:t xml:space="preserve">detects at least as many </w:t>
      </w:r>
      <w:r w:rsidRPr="00BB76D8">
        <w:t>CIN</w:t>
      </w:r>
      <w:r w:rsidRPr="00537C3C">
        <w:t xml:space="preserve"> 2+ lesions as conventional cytology, and may detect more</w:t>
      </w:r>
    </w:p>
    <w:p w:rsidR="00234376" w:rsidRPr="00537C3C" w:rsidRDefault="00234376" w:rsidP="008E03A7">
      <w:pPr>
        <w:numPr>
          <w:ilvl w:val="0"/>
          <w:numId w:val="10"/>
        </w:numPr>
      </w:pPr>
      <w:r w:rsidRPr="00537C3C">
        <w:t>classifies more slides as positive for low-grade lesions</w:t>
      </w:r>
    </w:p>
    <w:p w:rsidR="00234376" w:rsidRPr="00537C3C" w:rsidRDefault="00234376" w:rsidP="008E03A7">
      <w:r w:rsidRPr="00537C3C">
        <w:t xml:space="preserve">It is unclear whether any increase in detection of high-grade lesions with the ThinPrep Imager system is attributable to </w:t>
      </w:r>
      <w:r w:rsidRPr="00BB76D8">
        <w:t>LBC</w:t>
      </w:r>
      <w:r w:rsidRPr="00537C3C">
        <w:t xml:space="preserve"> alone, to the automation-assisted reading system, or a combination of both.</w:t>
      </w:r>
    </w:p>
    <w:p w:rsidR="00234376" w:rsidRPr="00537C3C" w:rsidRDefault="00234376">
      <w:pPr>
        <w:pStyle w:val="Heading2"/>
        <w:ind w:left="0"/>
      </w:pPr>
      <w:bookmarkStart w:id="498" w:name="_Ref208306526"/>
      <w:r w:rsidRPr="00537C3C">
        <w:br w:type="page"/>
      </w:r>
      <w:bookmarkStart w:id="499" w:name="_Toc95971090"/>
      <w:bookmarkStart w:id="500" w:name="_Toc241658189"/>
      <w:r w:rsidRPr="00537C3C">
        <w:lastRenderedPageBreak/>
        <w:t>What are the economic considerations?</w:t>
      </w:r>
      <w:bookmarkEnd w:id="497"/>
      <w:bookmarkEnd w:id="498"/>
      <w:bookmarkEnd w:id="499"/>
      <w:bookmarkEnd w:id="500"/>
    </w:p>
    <w:p w:rsidR="00234376" w:rsidRDefault="00234376" w:rsidP="00234376">
      <w:pPr>
        <w:pStyle w:val="Heading3"/>
      </w:pPr>
      <w:bookmarkStart w:id="501" w:name="_Toc190763885"/>
      <w:bookmarkStart w:id="502" w:name="_Toc200863676"/>
      <w:r w:rsidRPr="00537C3C">
        <w:t>Background</w:t>
      </w:r>
      <w:bookmarkEnd w:id="501"/>
      <w:bookmarkEnd w:id="502"/>
    </w:p>
    <w:p w:rsidR="00234376" w:rsidRPr="00537C3C" w:rsidRDefault="00234376" w:rsidP="008E03A7">
      <w:r w:rsidRPr="00537C3C">
        <w:t>Economic evaluation of new health care technologies is particularly important when the new technology offers health benefits at additional cost. It is clear that there will always be a limit to the additional cost which would be paid for a given health gain. Economic evaluation is generally aimed at determining whether such incremental costs represent value for money.</w:t>
      </w:r>
    </w:p>
    <w:p w:rsidR="00234376" w:rsidRPr="00537C3C" w:rsidRDefault="00234376" w:rsidP="008E03A7">
      <w:r w:rsidRPr="00537C3C">
        <w:t xml:space="preserve">The usual process for an economic evaluation is first to consider the additional benefits of the new technology relative to the comparator (the incremental effectiveness), and then to determine cost differences between the two (the incremental costs). Effectiveness is measured in clinically appropriate natural units or by a multidimensional measure such as </w:t>
      </w:r>
      <w:bookmarkStart w:id="503" w:name="OLE_LINK589"/>
      <w:bookmarkStart w:id="504" w:name="OLE_LINK590"/>
      <w:r w:rsidRPr="006C24DD">
        <w:t>quality-adjusted life</w:t>
      </w:r>
      <w:bookmarkEnd w:id="503"/>
      <w:bookmarkEnd w:id="504"/>
      <w:r w:rsidRPr="006C24DD">
        <w:t xml:space="preserve"> years (QALYs</w:t>
      </w:r>
      <w:r w:rsidRPr="00537C3C">
        <w:t xml:space="preserve">). When both costs and effects are known, then an </w:t>
      </w:r>
      <w:bookmarkStart w:id="505" w:name="OLE_LINK591"/>
      <w:bookmarkStart w:id="506" w:name="OLE_LINK592"/>
      <w:bookmarkStart w:id="507" w:name="OLE_LINK632"/>
      <w:bookmarkStart w:id="508" w:name="OLE_LINK633"/>
      <w:r w:rsidRPr="006C24DD">
        <w:t>incremental cost</w:t>
      </w:r>
      <w:bookmarkEnd w:id="505"/>
      <w:bookmarkEnd w:id="506"/>
      <w:r w:rsidRPr="006C24DD">
        <w:t xml:space="preserve">-effectiveness ratio </w:t>
      </w:r>
      <w:bookmarkEnd w:id="507"/>
      <w:bookmarkEnd w:id="508"/>
      <w:r w:rsidRPr="006C24DD">
        <w:t>(ICER</w:t>
      </w:r>
      <w:r w:rsidRPr="00537C3C">
        <w:t>) can be determined as:</w:t>
      </w:r>
    </w:p>
    <w:p w:rsidR="00234376" w:rsidRPr="00537C3C" w:rsidRDefault="006F242B" w:rsidP="008E03A7">
      <w:r>
        <w:rPr>
          <w:noProof/>
          <w:lang w:eastAsia="en-AU"/>
        </w:rPr>
        <w:drawing>
          <wp:inline distT="0" distB="0" distL="0" distR="0" wp14:anchorId="3E144C8B" wp14:editId="2BC946AA">
            <wp:extent cx="2349500" cy="414655"/>
            <wp:effectExtent l="0" t="0" r="0" b="4445"/>
            <wp:docPr id="27" name="Picture 27" title="incremental cost-effectiveness rat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9500" cy="414655"/>
                    </a:xfrm>
                    <a:prstGeom prst="rect">
                      <a:avLst/>
                    </a:prstGeom>
                    <a:noFill/>
                    <a:ln>
                      <a:noFill/>
                    </a:ln>
                  </pic:spPr>
                </pic:pic>
              </a:graphicData>
            </a:graphic>
          </wp:inline>
        </w:drawing>
      </w:r>
    </w:p>
    <w:p w:rsidR="00234376" w:rsidRDefault="00234376" w:rsidP="00234376">
      <w:pPr>
        <w:pStyle w:val="Heading3"/>
      </w:pPr>
      <w:r w:rsidRPr="00537C3C">
        <w:t>Existing literature</w:t>
      </w:r>
    </w:p>
    <w:p w:rsidR="00234376" w:rsidRPr="00537C3C" w:rsidRDefault="00234376" w:rsidP="008E03A7">
      <w:r w:rsidRPr="00537C3C">
        <w:t xml:space="preserve">An overview of existing economic evaluation studies of </w:t>
      </w:r>
      <w:r w:rsidRPr="00BB76D8">
        <w:t>LBC</w:t>
      </w:r>
      <w:r w:rsidRPr="00537C3C">
        <w:t xml:space="preserve"> and automation-assisted </w:t>
      </w:r>
      <w:r w:rsidRPr="00BB76D8">
        <w:t>LBC</w:t>
      </w:r>
      <w:r w:rsidRPr="00537C3C">
        <w:t xml:space="preserve"> was undertaken, in addition to a primary modelled economic analysis of the cost-effectiveness of these technologies in the Australian setting.</w:t>
      </w:r>
    </w:p>
    <w:p w:rsidR="00234376" w:rsidRPr="00537C3C" w:rsidRDefault="00234376" w:rsidP="008E03A7">
      <w:r w:rsidRPr="00537C3C">
        <w:t xml:space="preserve">One primary economic study of manual </w:t>
      </w:r>
      <w:r w:rsidRPr="00BB76D8">
        <w:t>LBC</w:t>
      </w:r>
      <w:r w:rsidRPr="00537C3C">
        <w:t xml:space="preserve"> identified in the systematic literature review was considered applicable to the research question </w:t>
      </w:r>
      <w:r w:rsidRPr="00537C3C">
        <w:fldChar w:fldCharType="begin"/>
      </w:r>
      <w:r w:rsidRPr="00537C3C">
        <w:instrText xml:space="preserve"> ADDIN REFMGR.CITE &lt;Refman&gt;&lt;Cite&gt;&lt;Author&gt;Neville&lt;/Author&gt;&lt;Year&gt;2005&lt;/Year&gt;&lt;RecNum&gt;312&lt;/RecNum&gt;&lt;IDText&gt;An alternative cost effectiveness analysis of ThinPrep in the Australian setting&lt;/IDText&gt;&lt;MDL Ref_Type="Journal"&gt;&lt;Ref_Type&gt;Journal&lt;/Ref_Type&gt;&lt;Ref_ID&gt;312&lt;/Ref_ID&gt;&lt;Title_Primary&gt;An alternative cost effectiveness analysis of ThinPrep in the Australian setting&lt;/Title_Primary&gt;&lt;Authors_Primary&gt;Neville,A.M.&lt;/Authors_Primary&gt;&lt;Authors_Primary&gt;Quinn,M.A.&lt;/Authors_Primary&gt;&lt;Date_Primary&gt;2005&lt;/Date_Primary&gt;&lt;Keywords&gt;Australia&lt;/Keywords&gt;&lt;Keywords&gt;controlled study&lt;/Keywords&gt;&lt;Keywords&gt;cost effectiveness analysis&lt;/Keywords&gt;&lt;Keywords&gt;cytology&lt;/Keywords&gt;&lt;Keywords&gt;female&lt;/Keywords&gt;&lt;Keywords&gt;health care delivery&lt;/Keywords&gt;&lt;Keywords&gt;health care system&lt;/Keywords&gt;&lt;Keywords&gt;health economics&lt;/Keywords&gt;&lt;Keywords&gt;high risk population&lt;/Keywords&gt;&lt;Keywords&gt;human&lt;/Keywords&gt;&lt;Keywords&gt;medical technology&lt;/Keywords&gt;&lt;Keywords&gt;medicare&lt;/Keywords&gt;&lt;Keywords&gt;Papanicolaou test&lt;/Keywords&gt;&lt;Keywords&gt;practice guideline&lt;/Keywords&gt;&lt;Keywords&gt;priority journal&lt;/Keywords&gt;&lt;Keywords&gt;public health&lt;/Keywords&gt;&lt;Keywords&gt;review&lt;/Keywords&gt;&lt;Keywords&gt;screening test&lt;/Keywords&gt;&lt;Keywords&gt;uterine cervix cancer&lt;/Keywords&gt;&lt;Reprint&gt;In File&lt;/Reprint&gt;&lt;Start_Page&gt;289&lt;/Start_Page&gt;&lt;End_Page&gt;294&lt;/End_Page&gt;&lt;Periodical&gt;Australian and New Zealand Journal of Obstetrics and Gynaecology&lt;/Periodical&gt;&lt;Volume&gt;45&lt;/Volume&gt;&lt;Issue&gt;4&lt;/Issue&gt;&lt;ISSN_ISBN&gt;0004-8666&lt;/ISSN_ISBN&gt;&lt;Address&gt;Neville, A.M., Pretium, Sydney, NSW 2000, Australia&lt;/Address&gt;&lt;ZZ_JournalFull&gt;&lt;f name="System"&gt;Australian and New Zealand Journal of Obstetrics and Gynaecology&lt;/f&gt;&lt;/ZZ_JournalFull&gt;&lt;ZZ_JournalStdAbbrev&gt;&lt;f name="System"&gt;Aust.New Zealand J.Obstet.Gynaecol.&lt;/f&gt;&lt;/ZZ_JournalStdAbbrev&gt;&lt;ZZ_WorkformID&gt;1&lt;/ZZ_WorkformID&gt;&lt;/MDL&gt;&lt;/Cite&gt;&lt;/Refman&gt;</w:instrText>
      </w:r>
      <w:r w:rsidRPr="00537C3C">
        <w:fldChar w:fldCharType="separate"/>
      </w:r>
      <w:r w:rsidRPr="00537C3C">
        <w:t>(Neville &amp; Quinn 2005)</w:t>
      </w:r>
      <w:r w:rsidRPr="00537C3C">
        <w:fldChar w:fldCharType="end"/>
      </w:r>
      <w:r w:rsidRPr="00537C3C">
        <w:t xml:space="preserve">. In addition, a summary of the appraisal of economic studies of </w:t>
      </w:r>
      <w:r w:rsidRPr="00BB76D8">
        <w:t>LBC</w:t>
      </w:r>
      <w:r w:rsidRPr="00537C3C">
        <w:t xml:space="preserve"> included in the most recent </w:t>
      </w:r>
      <w:r w:rsidRPr="00BB76D8">
        <w:t>HTA</w:t>
      </w:r>
      <w:r w:rsidRPr="00537C3C">
        <w:t xml:space="preserve"> report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 xml:space="preserve"> has been provided.</w:t>
      </w:r>
    </w:p>
    <w:p w:rsidR="00234376" w:rsidRPr="00537C3C" w:rsidRDefault="00234376" w:rsidP="008E03A7">
      <w:r w:rsidRPr="00537C3C">
        <w:t xml:space="preserve">A single study of automated </w:t>
      </w:r>
      <w:r w:rsidRPr="00BB76D8">
        <w:t>LBC</w:t>
      </w:r>
      <w:r w:rsidRPr="00537C3C">
        <w:t xml:space="preserve"> included in the systematic review of comparative accuracy data also provided a costing study.</w:t>
      </w:r>
    </w:p>
    <w:p w:rsidR="00234376" w:rsidRPr="00537C3C" w:rsidRDefault="00234376" w:rsidP="008E03A7">
      <w:pPr>
        <w:pStyle w:val="Heading4"/>
      </w:pPr>
      <w:r w:rsidRPr="00BB76D8">
        <w:t>LBC</w:t>
      </w:r>
      <w:r w:rsidRPr="00537C3C">
        <w:t>—Australian study</w:t>
      </w:r>
    </w:p>
    <w:p w:rsidR="00234376" w:rsidRPr="00537C3C" w:rsidRDefault="00234376" w:rsidP="008E03A7">
      <w:r w:rsidRPr="00537C3C">
        <w:t xml:space="preserve">Many modelled health economic analyses of the cost-effectiveness of </w:t>
      </w:r>
      <w:r w:rsidRPr="00BB76D8">
        <w:t>LBC</w:t>
      </w:r>
      <w:r w:rsidRPr="00537C3C">
        <w:t xml:space="preserve"> have been conducted and published since the 2002 </w:t>
      </w:r>
      <w:r w:rsidRPr="00BB76D8">
        <w:t>MSAC</w:t>
      </w:r>
      <w:r w:rsidRPr="00537C3C">
        <w:t xml:space="preserve"> review. Only one of these applied to Australia </w:t>
      </w:r>
      <w:r w:rsidRPr="00537C3C">
        <w:fldChar w:fldCharType="begin"/>
      </w:r>
      <w:r w:rsidRPr="00537C3C">
        <w:instrText xml:space="preserve"> ADDIN REFMGR.CITE &lt;Refman&gt;&lt;Cite&gt;&lt;Author&gt;Neville&lt;/Author&gt;&lt;Year&gt;2005&lt;/Year&gt;&lt;RecNum&gt;312&lt;/RecNum&gt;&lt;IDText&gt;An alternative cost effectiveness analysis of ThinPrep in the Australian setting&lt;/IDText&gt;&lt;MDL Ref_Type="Journal"&gt;&lt;Ref_Type&gt;Journal&lt;/Ref_Type&gt;&lt;Ref_ID&gt;312&lt;/Ref_ID&gt;&lt;Title_Primary&gt;An alternative cost effectiveness analysis of ThinPrep in the Australian setting&lt;/Title_Primary&gt;&lt;Authors_Primary&gt;Neville,A.M.&lt;/Authors_Primary&gt;&lt;Authors_Primary&gt;Quinn,M.A.&lt;/Authors_Primary&gt;&lt;Date_Primary&gt;2005&lt;/Date_Primary&gt;&lt;Keywords&gt;Australia&lt;/Keywords&gt;&lt;Keywords&gt;controlled study&lt;/Keywords&gt;&lt;Keywords&gt;cost effectiveness analysis&lt;/Keywords&gt;&lt;Keywords&gt;cytology&lt;/Keywords&gt;&lt;Keywords&gt;female&lt;/Keywords&gt;&lt;Keywords&gt;health care delivery&lt;/Keywords&gt;&lt;Keywords&gt;health care system&lt;/Keywords&gt;&lt;Keywords&gt;health economics&lt;/Keywords&gt;&lt;Keywords&gt;high risk population&lt;/Keywords&gt;&lt;Keywords&gt;human&lt;/Keywords&gt;&lt;Keywords&gt;medical technology&lt;/Keywords&gt;&lt;Keywords&gt;medicare&lt;/Keywords&gt;&lt;Keywords&gt;Papanicolaou test&lt;/Keywords&gt;&lt;Keywords&gt;practice guideline&lt;/Keywords&gt;&lt;Keywords&gt;priority journal&lt;/Keywords&gt;&lt;Keywords&gt;public health&lt;/Keywords&gt;&lt;Keywords&gt;review&lt;/Keywords&gt;&lt;Keywords&gt;screening test&lt;/Keywords&gt;&lt;Keywords&gt;uterine cervix cancer&lt;/Keywords&gt;&lt;Reprint&gt;In File&lt;/Reprint&gt;&lt;Start_Page&gt;289&lt;/Start_Page&gt;&lt;End_Page&gt;294&lt;/End_Page&gt;&lt;Periodical&gt;Australian and New Zealand Journal of Obstetrics and Gynaecology&lt;/Periodical&gt;&lt;Volume&gt;45&lt;/Volume&gt;&lt;Issue&gt;4&lt;/Issue&gt;&lt;ISSN_ISBN&gt;0004-8666&lt;/ISSN_ISBN&gt;&lt;Address&gt;Neville, A.M., Pretium, Sydney, NSW 2000, Australia&lt;/Address&gt;&lt;ZZ_JournalFull&gt;&lt;f name="System"&gt;Australian and New Zealand Journal of Obstetrics and Gynaecology&lt;/f&gt;&lt;/ZZ_JournalFull&gt;&lt;ZZ_JournalStdAbbrev&gt;&lt;f name="System"&gt;Aust.New Zealand J.Obstet.Gynaecol.&lt;/f&gt;&lt;/ZZ_JournalStdAbbrev&gt;&lt;ZZ_WorkformID&gt;1&lt;/ZZ_WorkformID&gt;&lt;/MDL&gt;&lt;/Cite&gt;&lt;/Refman&gt;</w:instrText>
      </w:r>
      <w:r w:rsidRPr="00537C3C">
        <w:fldChar w:fldCharType="separate"/>
      </w:r>
      <w:r w:rsidRPr="00537C3C">
        <w:t>(Neville &amp; Quinn 2005)</w:t>
      </w:r>
      <w:r w:rsidRPr="00537C3C">
        <w:fldChar w:fldCharType="end"/>
      </w:r>
      <w:r w:rsidRPr="00537C3C">
        <w:t xml:space="preserve">. This study applied alternate sources of data measuring the accuracy of ThinPrep to a model from the </w:t>
      </w:r>
      <w:r w:rsidRPr="00BB76D8">
        <w:t>MSAC</w:t>
      </w:r>
      <w:r w:rsidRPr="00537C3C">
        <w:t xml:space="preserve"> </w:t>
      </w:r>
      <w:r w:rsidRPr="00537C3C">
        <w:fldChar w:fldCharType="begin"/>
      </w:r>
      <w:r w:rsidRPr="00537C3C">
        <w:instrText xml:space="preserve"> ADDIN REFMGR.CITE &lt;Refman&gt;&lt;Cite ExcludeAuth="1"&gt;&lt;Author&gt;Medical Services Advisory Committee&lt;/Author&gt;&lt;Year&gt;2002&lt;/Year&gt;&lt;RecNum&gt;2850&lt;/RecNum&gt;&lt;IDText&gt;Liquid based cytology for cervical screening&lt;/IDText&gt;&lt;MDL Ref_Type="Report"&gt;&lt;Ref_Type&gt;Report&lt;/Ref_Type&gt;&lt;Ref_ID&gt;2850&lt;/Ref_ID&gt;&lt;Title_Primary&gt;Liquid based cytology for cervical screening&lt;/Title_Primary&gt;&lt;Authors_Primary&gt;Medical Services Advisory Committee&lt;/Authors_Primary&gt;&lt;Date_Primary&gt;2002&lt;/Date_Primary&gt;&lt;Reprint&gt;In File&lt;/Reprint&gt;&lt;Volume&gt;Reference 12a&lt;/Volume&gt;&lt;Pub_Place&gt;Canberra&lt;/Pub_Place&gt;&lt;Publisher&gt;Commonwealth of Australia&lt;/Publisher&gt;&lt;Web_URL&gt;&lt;u&gt;www.msac.gov.au&lt;/u&gt;&lt;/Web_URL&gt;&lt;ZZ_WorkformID&gt;24&lt;/ZZ_WorkformID&gt;&lt;/MDL&gt;&lt;/Cite&gt;&lt;/Refman&gt;</w:instrText>
      </w:r>
      <w:r w:rsidRPr="00537C3C">
        <w:fldChar w:fldCharType="separate"/>
      </w:r>
      <w:r w:rsidRPr="00537C3C">
        <w:t>(2002b)</w:t>
      </w:r>
      <w:r w:rsidRPr="00537C3C">
        <w:fldChar w:fldCharType="end"/>
      </w:r>
      <w:r w:rsidRPr="00537C3C">
        <w:t xml:space="preserve"> review. An </w:t>
      </w:r>
      <w:r w:rsidRPr="00BB76D8">
        <w:t>MSAC</w:t>
      </w:r>
      <w:r w:rsidRPr="00537C3C">
        <w:t xml:space="preserve"> critique of the data used has been published </w:t>
      </w:r>
      <w:r w:rsidRPr="00537C3C">
        <w:fldChar w:fldCharType="begin"/>
      </w:r>
      <w:r w:rsidRPr="00537C3C">
        <w:instrText xml:space="preserve"> ADDIN REFMGR.CITE &lt;Refman&gt;&lt;Cite&gt;&lt;Author&gt;Blamey&lt;/Author&gt;&lt;Year&gt;2006&lt;/Year&gt;&lt;RecNum&gt;231&lt;/RecNum&gt;&lt;IDText&gt;Re: Liquid-based cytology for cervical screening [7]&lt;/IDText&gt;&lt;MDL Ref_Type="Journal"&gt;&lt;Ref_Type&gt;Journal&lt;/Ref_Type&gt;&lt;Ref_ID&gt;231&lt;/Ref_ID&gt;&lt;Title_Primary&gt;Re: Liquid-based cytology for cervical screening [7]&lt;/Title_Primary&gt;&lt;Authors_Primary&gt;Blamey,S.&lt;/Authors_Primary&gt;&lt;Authors_Primary&gt;Jackson,T.&lt;/Authors_Primary&gt;&lt;Authors_Primary&gt;Robinson,J.&lt;/Authors_Primary&gt;&lt;Date_Primary&gt;2006&lt;/Date_Primary&gt;&lt;Keywords&gt;advisory committee&lt;/Keywords&gt;&lt;Keywords&gt;cancer screening&lt;/Keywords&gt;&lt;Keywords&gt;clinical research&lt;/Keywords&gt;&lt;Keywords&gt;confidence interval&lt;/Keywords&gt;&lt;Keywords&gt;conflict of interest&lt;/Keywords&gt;&lt;Keywords&gt;cost effectiveness analysis&lt;/Keywords&gt;&lt;Keywords&gt;economic evaluation&lt;/Keywords&gt;&lt;Keywords&gt;female&lt;/Keywords&gt;&lt;Keywords&gt;health care system&lt;/Keywords&gt;&lt;Keywords&gt;human&lt;/Keywords&gt;&lt;Keywords&gt;intermethod comparison&lt;/Keywords&gt;&lt;Keywords&gt;letter&lt;/Keywords&gt;&lt;Keywords&gt;Papanicolaou test&lt;/Keywords&gt;&lt;Keywords&gt;priority journal&lt;/Keywords&gt;&lt;Keywords&gt;sensitivity and specificity&lt;/Keywords&gt;&lt;Keywords&gt;uterine cervix cancer&lt;/Keywords&gt;&lt;Keywords&gt;uterine cervix cytology&lt;/Keywords&gt;&lt;Reprint&gt;Not in File&lt;/Reprint&gt;&lt;Start_Page&gt;70&lt;/Start_Page&gt;&lt;End_Page&gt;71&lt;/End_Page&gt;&lt;Periodical&gt;Australian and New Zealand Journal of Obstetrics and Gynaecology&lt;/Periodical&gt;&lt;Volume&gt;46&lt;/Volume&gt;&lt;Issue&gt;1&lt;/Issue&gt;&lt;ISSN_ISBN&gt;0004-8666&lt;/ISSN_ISBN&gt;&lt;Address&gt;Blamey, S., Medical Services Advisory Committee, Canberra, ACT, Australia&lt;/Address&gt;&lt;ZZ_JournalFull&gt;&lt;f name="System"&gt;Australian and New Zealand Journal of Obstetrics and Gynaecology&lt;/f&gt;&lt;/ZZ_JournalFull&gt;&lt;ZZ_JournalStdAbbrev&gt;&lt;f name="System"&gt;Aust.New Zealand J.Obstet.Gynaecol.&lt;/f&gt;&lt;/ZZ_JournalStdAbbrev&gt;&lt;ZZ_WorkformID&gt;1&lt;/ZZ_WorkformID&gt;&lt;/MDL&gt;&lt;/Cite&gt;&lt;/Refman&gt;</w:instrText>
      </w:r>
      <w:r w:rsidRPr="00537C3C">
        <w:fldChar w:fldCharType="separate"/>
      </w:r>
      <w:r w:rsidRPr="00537C3C">
        <w:t>(Blamey et al. 2006)</w:t>
      </w:r>
      <w:r w:rsidRPr="00537C3C">
        <w:fldChar w:fldCharType="end"/>
      </w:r>
      <w:r w:rsidRPr="00537C3C">
        <w:t xml:space="preserve">. A Canadian </w:t>
      </w:r>
      <w:r w:rsidRPr="00BB76D8">
        <w:t>HTA</w:t>
      </w:r>
      <w:r w:rsidRPr="00537C3C">
        <w:t xml:space="preserve"> report rated the quality of this study as low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analysis&lt;/IDText&gt;&lt;Prefix&gt;3/7; &lt;/Prefix&gt;&lt;MDL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(3/7; Krahn et al. 2008)</w:t>
      </w:r>
      <w:r w:rsidRPr="00537C3C">
        <w:fldChar w:fldCharType="end"/>
      </w:r>
      <w:r w:rsidRPr="00537C3C">
        <w:t xml:space="preserve">. In summary, the data used in this analysis was not more recent that that included in the </w:t>
      </w:r>
      <w:bookmarkStart w:id="509" w:name="OLE_LINK496"/>
      <w:bookmarkStart w:id="510" w:name="OLE_LINK497"/>
      <w:r w:rsidRPr="00BB76D8">
        <w:t>MSAC</w:t>
      </w:r>
      <w:r w:rsidRPr="00537C3C">
        <w:t xml:space="preserve"> (2002</w:t>
      </w:r>
      <w:bookmarkEnd w:id="509"/>
      <w:bookmarkEnd w:id="510"/>
      <w:r w:rsidRPr="00537C3C">
        <w:t>) analysis, and was considered less robust.</w:t>
      </w:r>
    </w:p>
    <w:p w:rsidR="00234376" w:rsidRPr="00537C3C" w:rsidRDefault="00234376" w:rsidP="008E03A7">
      <w:pPr>
        <w:pStyle w:val="Heading4"/>
      </w:pPr>
      <w:r w:rsidRPr="00BB76D8">
        <w:t>LBC</w:t>
      </w:r>
      <w:r w:rsidRPr="00537C3C">
        <w:t>—systematic review</w:t>
      </w:r>
    </w:p>
    <w:p w:rsidR="00234376" w:rsidRPr="00537C3C" w:rsidRDefault="00234376" w:rsidP="008E03A7">
      <w:r w:rsidRPr="00537C3C">
        <w:t xml:space="preserve">The </w:t>
      </w:r>
      <w:r w:rsidRPr="00BB76D8">
        <w:t>HTA</w:t>
      </w:r>
      <w:r w:rsidRPr="00537C3C">
        <w:t xml:space="preserve"> by </w:t>
      </w:r>
      <w:r w:rsidRPr="00BB76D8">
        <w:t>CADTH</w:t>
      </w:r>
      <w:r w:rsidRPr="00537C3C">
        <w:t xml:space="preserve"> </w:t>
      </w:r>
      <w:bookmarkStart w:id="511" w:name="OLE_LINK11"/>
      <w:bookmarkStart w:id="512" w:name="OLE_LINK12"/>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 xml:space="preserve"> </w:t>
      </w:r>
      <w:bookmarkEnd w:id="511"/>
      <w:bookmarkEnd w:id="512"/>
      <w:r w:rsidRPr="00537C3C">
        <w:t xml:space="preserve">included the most recent systematic literature review of economic studies reporting the cost-effectiveness of </w:t>
      </w:r>
      <w:r w:rsidRPr="00BB76D8">
        <w:t>LBC</w:t>
      </w:r>
      <w:r w:rsidRPr="00537C3C">
        <w:t xml:space="preserve"> versus </w:t>
      </w:r>
      <w:r w:rsidRPr="00537C3C">
        <w:rPr>
          <w:rFonts w:cs="Arial"/>
        </w:rPr>
        <w:t>CC</w:t>
      </w:r>
      <w:r w:rsidRPr="00537C3C">
        <w:t xml:space="preserve"> in developed screening programs. Nine studies published to June 2006 were identified. The results of these studies, as described by </w:t>
      </w:r>
      <w:bookmarkStart w:id="513" w:name="OLE_LINK498"/>
      <w:bookmarkStart w:id="514" w:name="OLE_LINK499"/>
      <w:r w:rsidRPr="00537C3C">
        <w:t>Krahn et al. (2008</w:t>
      </w:r>
      <w:bookmarkEnd w:id="513"/>
      <w:bookmarkEnd w:id="514"/>
      <w:r w:rsidRPr="00537C3C">
        <w:t xml:space="preserve">), </w:t>
      </w:r>
      <w:r w:rsidRPr="00537C3C" w:rsidDel="00110B9C">
        <w:t>are</w:t>
      </w:r>
      <w:r w:rsidRPr="00537C3C">
        <w:t xml:space="preserve"> provided below.</w:t>
      </w:r>
    </w:p>
    <w:p w:rsidR="00234376" w:rsidRPr="00537C3C" w:rsidRDefault="00234376" w:rsidP="008E03A7">
      <w:r w:rsidRPr="00537C3C">
        <w:lastRenderedPageBreak/>
        <w:t xml:space="preserve">One of the studies was the Australian publication discussed above </w:t>
      </w:r>
      <w:r w:rsidRPr="00537C3C">
        <w:fldChar w:fldCharType="begin"/>
      </w:r>
      <w:r w:rsidRPr="00537C3C">
        <w:instrText xml:space="preserve"> ADDIN REFMGR.CITE &lt;Refman&gt;&lt;Cite&gt;&lt;Author&gt;Neville&lt;/Author&gt;&lt;Year&gt;2005&lt;/Year&gt;&lt;RecNum&gt;312&lt;/RecNum&gt;&lt;IDText&gt;An alternative cost effectiveness analysis of ThinPrep in the Australian setting&lt;/IDText&gt;&lt;MDL Ref_Type="Journal"&gt;&lt;Ref_Type&gt;Journal&lt;/Ref_Type&gt;&lt;Ref_ID&gt;312&lt;/Ref_ID&gt;&lt;Title_Primary&gt;An alternative cost effectiveness analysis of ThinPrep in the Australian setting&lt;/Title_Primary&gt;&lt;Authors_Primary&gt;Neville,A.M.&lt;/Authors_Primary&gt;&lt;Authors_Primary&gt;Quinn,M.A.&lt;/Authors_Primary&gt;&lt;Date_Primary&gt;2005&lt;/Date_Primary&gt;&lt;Keywords&gt;Australia&lt;/Keywords&gt;&lt;Keywords&gt;controlled study&lt;/Keywords&gt;&lt;Keywords&gt;cost effectiveness analysis&lt;/Keywords&gt;&lt;Keywords&gt;cytology&lt;/Keywords&gt;&lt;Keywords&gt;female&lt;/Keywords&gt;&lt;Keywords&gt;health care delivery&lt;/Keywords&gt;&lt;Keywords&gt;health care system&lt;/Keywords&gt;&lt;Keywords&gt;health economics&lt;/Keywords&gt;&lt;Keywords&gt;high risk population&lt;/Keywords&gt;&lt;Keywords&gt;human&lt;/Keywords&gt;&lt;Keywords&gt;medical technology&lt;/Keywords&gt;&lt;Keywords&gt;medicare&lt;/Keywords&gt;&lt;Keywords&gt;Papanicolaou test&lt;/Keywords&gt;&lt;Keywords&gt;practice guideline&lt;/Keywords&gt;&lt;Keywords&gt;priority journal&lt;/Keywords&gt;&lt;Keywords&gt;public health&lt;/Keywords&gt;&lt;Keywords&gt;review&lt;/Keywords&gt;&lt;Keywords&gt;screening test&lt;/Keywords&gt;&lt;Keywords&gt;uterine cervix cancer&lt;/Keywords&gt;&lt;Reprint&gt;In File&lt;/Reprint&gt;&lt;Start_Page&gt;289&lt;/Start_Page&gt;&lt;End_Page&gt;294&lt;/End_Page&gt;&lt;Periodical&gt;Australian and New Zealand Journal of Obstetrics and Gynaecology&lt;/Periodical&gt;&lt;Volume&gt;45&lt;/Volume&gt;&lt;Issue&gt;4&lt;/Issue&gt;&lt;ISSN_ISBN&gt;0004-8666&lt;/ISSN_ISBN&gt;&lt;Address&gt;Neville, A.M., Pretium, Sydney, NSW 2000, Australia&lt;/Address&gt;&lt;ZZ_JournalFull&gt;&lt;f name="System"&gt;Australian and New Zealand Journal of Obstetrics and Gynaecology&lt;/f&gt;&lt;/ZZ_JournalFull&gt;&lt;ZZ_JournalStdAbbrev&gt;&lt;f name="System"&gt;Aust.New Zealand J.Obstet.Gynaecol.&lt;/f&gt;&lt;/ZZ_JournalStdAbbrev&gt;&lt;ZZ_WorkformID&gt;1&lt;/ZZ_WorkformID&gt;&lt;/MDL&gt;&lt;/Cite&gt;&lt;/Refman&gt;</w:instrText>
      </w:r>
      <w:r w:rsidRPr="00537C3C">
        <w:fldChar w:fldCharType="separate"/>
      </w:r>
      <w:r w:rsidRPr="00537C3C">
        <w:t>(Neville &amp; Quinn 2005)</w:t>
      </w:r>
      <w:r w:rsidRPr="00537C3C">
        <w:fldChar w:fldCharType="end"/>
      </w:r>
      <w:r w:rsidRPr="00537C3C">
        <w:t xml:space="preserve">. Five studies published over the period 1999 to 2002 were conducted in </w:t>
      </w:r>
      <w:r w:rsidRPr="00537C3C" w:rsidDel="00110B9C">
        <w:t>the</w:t>
      </w:r>
      <w:r w:rsidRPr="00537C3C">
        <w:t xml:space="preserve"> </w:t>
      </w:r>
      <w:smartTag w:uri="urn:schemas-microsoft-com:office:smarttags" w:element="country-region">
        <w:r w:rsidRPr="00537C3C">
          <w:t>United States</w:t>
        </w:r>
      </w:smartTag>
      <w:r w:rsidRPr="00537C3C">
        <w:t xml:space="preserve">, two 2004 studies were conducted in </w:t>
      </w:r>
      <w:r w:rsidRPr="00537C3C" w:rsidDel="00110B9C">
        <w:t>the</w:t>
      </w:r>
      <w:r w:rsidRPr="00537C3C">
        <w:t xml:space="preserve"> </w:t>
      </w:r>
      <w:smartTag w:uri="urn:schemas-microsoft-com:office:smarttags" w:element="country-region">
        <w:r w:rsidRPr="00537C3C">
          <w:t>United Kingdom</w:t>
        </w:r>
      </w:smartTag>
      <w:r w:rsidRPr="00537C3C">
        <w:t xml:space="preserve">, and one 2005 study came from </w:t>
      </w:r>
      <w:smartTag w:uri="urn:schemas-microsoft-com:office:smarttags" w:element="State">
        <w:r w:rsidRPr="00537C3C">
          <w:t>Alberta</w:t>
        </w:r>
      </w:smartTag>
      <w:r w:rsidRPr="00537C3C">
        <w:t xml:space="preserve">, </w:t>
      </w:r>
      <w:smartTag w:uri="urn:schemas-microsoft-com:office:smarttags" w:element="place">
        <w:smartTag w:uri="urn:schemas-microsoft-com:office:smarttags" w:element="country-region">
          <w:r w:rsidRPr="00537C3C">
            <w:t>Canada</w:t>
          </w:r>
        </w:smartTag>
      </w:smartTag>
      <w:r w:rsidRPr="00537C3C">
        <w:t>. The results of these studies will not be applicable to the Australian setting, as costs and screening programs (eg, screening intervals and ages, participation rates and baseline unsatisfactory rates) differ between settings.</w:t>
      </w:r>
    </w:p>
    <w:p w:rsidR="00234376" w:rsidRPr="00537C3C" w:rsidRDefault="00234376" w:rsidP="008E03A7">
      <w:r w:rsidRPr="00537C3C">
        <w:t xml:space="preserve">Two studies assumed equivalent sensitivity, and the other seven assumed a marginal sensitivity gain of between 3 and 25 per cent for using </w:t>
      </w:r>
      <w:r w:rsidRPr="00BB76D8">
        <w:t>LBC</w:t>
      </w:r>
      <w:r w:rsidRPr="00537C3C">
        <w:t xml:space="preserve"> over conventional cytology. Two industry-funded studies using a sensitivity gain for </w:t>
      </w:r>
      <w:r w:rsidRPr="00BB76D8">
        <w:t>LBC</w:t>
      </w:r>
      <w:r w:rsidRPr="00537C3C">
        <w:t xml:space="preserve"> of &gt;20 per cent demonstrated a favourable cost-effectiveness of </w:t>
      </w:r>
      <w:r w:rsidRPr="00BB76D8">
        <w:t>LBC</w:t>
      </w:r>
      <w:r w:rsidRPr="00537C3C">
        <w:t xml:space="preserve"> </w:t>
      </w:r>
      <w:r w:rsidRPr="00537C3C">
        <w:fldChar w:fldCharType="begin"/>
      </w:r>
      <w:r w:rsidRPr="00537C3C">
        <w:instrText xml:space="preserve"> ADDIN REFMGR.CITE &lt;Refman&gt;&lt;Cite&gt;&lt;Author&gt;Montz&lt;/Author&gt;&lt;Year&gt;2001&lt;/Year&gt;&lt;RecNum&gt;3365&lt;/RecNum&gt;&lt;IDText&gt;Impact of increasing Papanicolaou test sensitivity and compliance: a modeled cost and outcomes analysis&lt;/IDText&gt;&lt;MDL Ref_Type="Journal"&gt;&lt;Ref_Type&gt;Journal&lt;/Ref_Type&gt;&lt;Ref_ID&gt;3365&lt;/Ref_ID&gt;&lt;Title_Primary&gt;Impact of increasing Papanicolaou test sensitivity and compliance: a modeled cost and outcomes analysis&lt;/Title_Primary&gt;&lt;Authors_Primary&gt;Montz,F.J.&lt;/Authors_Primary&gt;&lt;Authors_Primary&gt;Farber,F.L.&lt;/Authors_Primary&gt;&lt;Authors_Primary&gt;Bristow,R.E.&lt;/Authors_Primary&gt;&lt;Authors_Primary&gt;Cornelison,T.&lt;/Authors_Primary&gt;&lt;Date_Primary&gt;2001/5&lt;/Date_Primary&gt;&lt;Keywords&gt;Adult&lt;/Keywords&gt;&lt;Keywords&gt;Age Distribution&lt;/Keywords&gt;&lt;Keywords&gt;Aged&lt;/Keywords&gt;&lt;Keywords&gt;Aged,80 and over&lt;/Keywords&gt;&lt;Keywords&gt;Cohort Studies&lt;/Keywords&gt;&lt;Keywords&gt;Computer Simulation&lt;/Keywords&gt;&lt;Keywords&gt;Cost-Benefit Analysis&lt;/Keywords&gt;&lt;Keywords&gt;economics&lt;/Keywords&gt;&lt;Keywords&gt;Female&lt;/Keywords&gt;&lt;Keywords&gt;Humans&lt;/Keywords&gt;&lt;Keywords&gt;Incidence&lt;/Keywords&gt;&lt;Keywords&gt;Linear Models&lt;/Keywords&gt;&lt;Keywords&gt;methods&lt;/Keywords&gt;&lt;Keywords&gt;Middle Aged&lt;/Keywords&gt;&lt;Keywords&gt;Models,Economic&lt;/Keywords&gt;&lt;Keywords&gt;Outcome and Process Assessment (Health Care)&lt;/Keywords&gt;&lt;Keywords&gt;Patient Compliance&lt;/Keywords&gt;&lt;Keywords&gt;Population Surveillance&lt;/Keywords&gt;&lt;Keywords&gt;prevention &amp;amp; control&lt;/Keywords&gt;&lt;Keywords&gt;Risk Assessment&lt;/Keywords&gt;&lt;Keywords&gt;Sensitivity and Specificity&lt;/Keywords&gt;&lt;Keywords&gt;statistics &amp;amp; numerical data&lt;/Keywords&gt;&lt;Keywords&gt;United States&lt;/Keywords&gt;&lt;Keywords&gt;Uterine Cervical Neoplasms&lt;/Keywords&gt;&lt;Keywords&gt;Vaginal Smears&lt;/Keywords&gt;&lt;Reprint&gt;Not in File&lt;/Reprint&gt;&lt;Start_Page&gt;781&lt;/Start_Page&gt;&lt;End_Page&gt;788&lt;/End_Page&gt;&lt;Periodical&gt;Obstet.Gynecol.&lt;/Periodical&gt;&lt;Volume&gt;97&lt;/Volume&gt;&lt;Issue&gt;5 Pt 1&lt;/Issue&gt;&lt;ZZ_JournalStdAbbrev&gt;&lt;f name="System"&gt;Obstet.Gynecol.&lt;/f&gt;&lt;/ZZ_JournalStdAbbrev&gt;&lt;ZZ_WorkformID&gt;1&lt;/ZZ_WorkformID&gt;&lt;/MDL&gt;&lt;/Cite&gt;&lt;Cite&gt;&lt;Author&gt;Hutchinson&lt;/Author&gt;&lt;Year&gt;2000&lt;/Year&gt;&lt;RecNum&gt;3366&lt;/RecNum&gt;&lt;IDText&gt;Clinical and cost implications of new technologies for cervical cancer screening: the impact of test sensitivity&lt;/IDText&gt;&lt;MDL Ref_Type="Journal"&gt;&lt;Ref_Type&gt;Journal&lt;/Ref_Type&gt;&lt;Ref_ID&gt;3366&lt;/Ref_ID&gt;&lt;Title_Primary&gt;Clinical and cost implications of new technologies for cervical cancer screening: the impact of test sensitivity&lt;/Title_Primary&gt;&lt;Authors_Primary&gt;Hutchinson,M.L.&lt;/Authors_Primary&gt;&lt;Authors_Primary&gt;Berger,B.M.&lt;/Authors_Primary&gt;&lt;Authors_Primary&gt;Farber,F.L.&lt;/Authors_Primary&gt;&lt;Date_Primary&gt;2000/7&lt;/Date_Primary&gt;&lt;Keywords&gt;Adolescent&lt;/Keywords&gt;&lt;Keywords&gt;Adult&lt;/Keywords&gt;&lt;Keywords&gt;Cohort Studies&lt;/Keywords&gt;&lt;Keywords&gt;Cost-Benefit Analysis&lt;/Keywords&gt;&lt;Keywords&gt;economics&lt;/Keywords&gt;&lt;Keywords&gt;epidemiology&lt;/Keywords&gt;&lt;Keywords&gt;Female&lt;/Keywords&gt;&lt;Keywords&gt;Humans&lt;/Keywords&gt;&lt;Keywords&gt;Incidence&lt;/Keywords&gt;&lt;Keywords&gt;Longitudinal Studies&lt;/Keywords&gt;&lt;Keywords&gt;Markov Chains&lt;/Keywords&gt;&lt;Keywords&gt;Mass Screening&lt;/Keywords&gt;&lt;Keywords&gt;methods&lt;/Keywords&gt;&lt;Keywords&gt;Microbiological Techniques&lt;/Keywords&gt;&lt;Keywords&gt;microbiology&lt;/Keywords&gt;&lt;Keywords&gt;Middle Aged&lt;/Keywords&gt;&lt;Keywords&gt;Models,Statistical&lt;/Keywords&gt;&lt;Keywords&gt;mortality&lt;/Keywords&gt;&lt;Keywords&gt;pathology&lt;/Keywords&gt;&lt;Keywords&gt;Patient Compliance&lt;/Keywords&gt;&lt;Keywords&gt;prevention &amp;amp; control&lt;/Keywords&gt;&lt;Keywords&gt;Sensitivity and Specificity&lt;/Keywords&gt;&lt;Keywords&gt;statistics &amp;amp; numerical data&lt;/Keywords&gt;&lt;Keywords&gt;trends&lt;/Keywords&gt;&lt;Keywords&gt;United States&lt;/Keywords&gt;&lt;Keywords&gt;Uterine Cervical Neoplasms&lt;/Keywords&gt;&lt;Keywords&gt;utilization&lt;/Keywords&gt;&lt;Keywords&gt;Utilization Review&lt;/Keywords&gt;&lt;Keywords&gt;Vaginal Smears&lt;/Keywords&gt;&lt;Keywords&gt;Value of Life&lt;/Keywords&gt;&lt;Reprint&gt;Not in File&lt;/Reprint&gt;&lt;Start_Page&gt;766&lt;/Start_Page&gt;&lt;End_Page&gt;780&lt;/End_Page&gt;&lt;Periodical&gt;Am.J.Manag.Care.&lt;/Periodical&gt;&lt;Volume&gt;6&lt;/Volume&gt;&lt;Issue&gt;7&lt;/Issue&gt;&lt;ZZ_JournalStdAbbrev&gt;&lt;f name="System"&gt;Am.J.Manag.Care.&lt;/f&gt;&lt;/ZZ_JournalStdAbbrev&gt;&lt;ZZ_WorkformID&gt;1&lt;/ZZ_WorkformID&gt;&lt;/MDL&gt;&lt;/Cite&gt;&lt;/Refman&gt;</w:instrText>
      </w:r>
      <w:r w:rsidRPr="00537C3C">
        <w:fldChar w:fldCharType="separate"/>
      </w:r>
      <w:r w:rsidRPr="00537C3C">
        <w:t>(Hutchinson et al. 2000; Montz et al. 2001)</w:t>
      </w:r>
      <w:r w:rsidRPr="00537C3C">
        <w:fldChar w:fldCharType="end"/>
      </w:r>
      <w:r w:rsidRPr="00537C3C">
        <w:t xml:space="preserve">. A high-quality study by the US Agency for Healthcare Policy Research </w:t>
      </w:r>
      <w:r w:rsidRPr="00537C3C">
        <w:fldChar w:fldCharType="begin"/>
      </w:r>
      <w:r w:rsidRPr="00537C3C">
        <w:instrText xml:space="preserve"> ADDIN REFMGR.CITE &lt;Refman&gt;&lt;Cite&gt;&lt;Author&gt;McCrory&lt;/Author&gt;&lt;Year&gt;1999&lt;/Year&gt;&lt;RecNum&gt;13&lt;/RecNum&gt;&lt;IDText&gt;Evaluation of cervical cytology&lt;/IDText&gt;&lt;MDL Ref_Type="Report"&gt;&lt;Ref_Type&gt;Report&lt;/Ref_Type&gt;&lt;Ref_ID&gt;13&lt;/Ref_ID&gt;&lt;Title_Primary&gt;Evaluation of cervical cytology&lt;/Title_Primary&gt;&lt;Authors_Primary&gt;McCrory,D.C.&lt;/Authors_Primary&gt;&lt;Authors_Primary&gt;Matchar,D.B.&lt;/Authors_Primary&gt;&lt;Authors_Primary&gt;Bastian,L.&lt;/Authors_Primary&gt;&lt;Authors_Primary&gt;Datta,S.&lt;/Authors_Primary&gt;&lt;Authors_Primary&gt;Hasselblad,V.&lt;/Authors_Primary&gt;&lt;Authors_Primary&gt;Hickey,J.&lt;/Authors_Primary&gt;&lt;Authors_Primary&gt;Myers,E.&lt;/Authors_Primary&gt;&lt;Authors_Primary&gt;Nanda,K.&lt;/Authors_Primary&gt;&lt;Date_Primary&gt;1999/1&lt;/Date_Primary&gt;&lt;Keywords&gt;Cervix Uteri .cytology .pathology&lt;/Keywords&gt;&lt;Keywords&gt;Diagnosis,Computer-Assisted&lt;/Keywords&gt;&lt;Keywords&gt;Female .checkword&lt;/Keywords&gt;&lt;Keywords&gt;Mass Screening .methods .standards&lt;/Keywords&gt;&lt;Keywords&gt;Sensitivity and Specificity&lt;/Keywords&gt;&lt;Keywords&gt;Uterine Cervical Neoplasms .diagnosis&lt;/Keywords&gt;&lt;Keywords&gt;Vaginal Smears .methods .standards&lt;/Keywords&gt;&lt;Reprint&gt;Not in File&lt;/Reprint&gt;&lt;Volume&gt;Evidence report, techology assessment no.5&lt;/Volume&gt;&lt;Pub_Place&gt;Rockville (MD)&lt;/Pub_Place&gt;&lt;Publisher&gt;Agency for Health Care Quality and Research&lt;/Publisher&gt;&lt;Web_URL&gt;&lt;f name="TimesNewRomanPSMT"&gt;&lt;u&gt;http://www.ncbi.nlm.nih.gov/books/bv.fcgi?rid=hstat1.chapter.6794&lt;/u&gt;&lt;/f&gt;&lt;/Web_URL&gt;&lt;ZZ_WorkformID&gt;24&lt;/ZZ_WorkformID&gt;&lt;/MDL&gt;&lt;/Cite&gt;&lt;Cite&gt;&lt;Author&gt;Myers&lt;/Author&gt;&lt;Year&gt;2000&lt;/Year&gt;&lt;RecNum&gt;3367&lt;/RecNum&gt;&lt;IDText&gt;Mathematical model for the natural history of human papillomavirus infection and cervical carcinogenesis&lt;/IDText&gt;&lt;MDL Ref_Type="Journal"&gt;&lt;Ref_Type&gt;Journal&lt;/Ref_Type&gt;&lt;Ref_ID&gt;3367&lt;/Ref_ID&gt;&lt;Title_Primary&gt;Mathematical model for the natural history of human papillomavirus infection and cervical carcinogenesis&lt;/Title_Primary&gt;&lt;Authors_Primary&gt;Myers,E.R.&lt;/Authors_Primary&gt;&lt;Authors_Primary&gt;McCrory,D.C.&lt;/Authors_Primary&gt;&lt;Authors_Primary&gt;Nanda,K.&lt;/Authors_Primary&gt;&lt;Authors_Primary&gt;Bastian,L.&lt;/Authors_Primary&gt;&lt;Authors_Primary&gt;Matchar,D.B.&lt;/Authors_Primary&gt;&lt;Date_Primary&gt;2000/6/15&lt;/Date_Primary&gt;&lt;Keywords&gt;Adolescent&lt;/Keywords&gt;&lt;Keywords&gt;Adult&lt;/Keywords&gt;&lt;Keywords&gt;Aged&lt;/Keywords&gt;&lt;Keywords&gt;Antiviral Agents&lt;/Keywords&gt;&lt;Keywords&gt;Cell Transformation,Neoplastic&lt;/Keywords&gt;&lt;Keywords&gt;complications&lt;/Keywords&gt;&lt;Keywords&gt;Cost-Benefit Analysis&lt;/Keywords&gt;&lt;Keywords&gt;economics&lt;/Keywords&gt;&lt;Keywords&gt;epidemiology&lt;/Keywords&gt;&lt;Keywords&gt;Female&lt;/Keywords&gt;&lt;Keywords&gt;Humans&lt;/Keywords&gt;&lt;Keywords&gt;Incidence&lt;/Keywords&gt;&lt;Keywords&gt;Markov Chains&lt;/Keywords&gt;&lt;Keywords&gt;Middle Aged&lt;/Keywords&gt;&lt;Keywords&gt;Models,Theoretical&lt;/Keywords&gt;&lt;Keywords&gt;mortality&lt;/Keywords&gt;&lt;Keywords&gt;Papillomaviridae&lt;/Keywords&gt;&lt;Keywords&gt;Papillomavirus Infections&lt;/Keywords&gt;&lt;Keywords&gt;prevention &amp;amp; control&lt;/Keywords&gt;&lt;Keywords&gt;Risk Assessment&lt;/Keywords&gt;&lt;Keywords&gt;therapeutic use&lt;/Keywords&gt;&lt;Keywords&gt;Tumor Virus Infections&lt;/Keywords&gt;&lt;Keywords&gt;Uterine Cervical Neoplasms&lt;/Keywords&gt;&lt;Keywords&gt;virology&lt;/Keywords&gt;&lt;Reprint&gt;Not in File&lt;/Reprint&gt;&lt;Start_Page&gt;1158&lt;/Start_Page&gt;&lt;End_Page&gt;1171&lt;/End_Page&gt;&lt;Periodical&gt;Am.J.Epidemiol.&lt;/Periodical&gt;&lt;Volume&gt;151&lt;/Volume&gt;&lt;Issue&gt;12&lt;/Issue&gt;&lt;ZZ_JournalStdAbbrev&gt;&lt;f name="System"&gt;Am.J.Epidemiol.&lt;/f&gt;&lt;/ZZ_JournalStdAbbrev&gt;&lt;ZZ_WorkformID&gt;1&lt;/ZZ_WorkformID&gt;&lt;/MDL&gt;&lt;/Cite&gt;&lt;/Refman&gt;</w:instrText>
      </w:r>
      <w:r w:rsidRPr="00537C3C">
        <w:fldChar w:fldCharType="separate"/>
      </w:r>
      <w:r w:rsidRPr="00537C3C">
        <w:t>(McCrory et al. 1999; Myers et al. 2000)</w:t>
      </w:r>
      <w:r w:rsidRPr="00537C3C">
        <w:fldChar w:fldCharType="end"/>
      </w:r>
      <w:r w:rsidRPr="00537C3C">
        <w:t xml:space="preserve"> did not provide a recommendation owing to a lack of data. Of the remaining five high-quality studies (rated 5.5/7 to 6/7), two were conducted in the </w:t>
      </w:r>
      <w:smartTag w:uri="urn:schemas-microsoft-com:office:smarttags" w:element="country-region">
        <w:r w:rsidRPr="00537C3C">
          <w:t>United States</w:t>
        </w:r>
      </w:smartTag>
      <w:r w:rsidRPr="00537C3C">
        <w:t xml:space="preserve">, two in the </w:t>
      </w:r>
      <w:smartTag w:uri="urn:schemas-microsoft-com:office:smarttags" w:element="country-region">
        <w:r w:rsidRPr="00537C3C">
          <w:t>United Kingdom</w:t>
        </w:r>
      </w:smartTag>
      <w:r w:rsidRPr="00537C3C">
        <w:t xml:space="preserve"> and one in </w:t>
      </w:r>
      <w:smartTag w:uri="urn:schemas-microsoft-com:office:smarttags" w:element="place">
        <w:smartTag w:uri="urn:schemas-microsoft-com:office:smarttags" w:element="country-region">
          <w:r w:rsidRPr="00537C3C">
            <w:t>Canada</w:t>
          </w:r>
        </w:smartTag>
      </w:smartTag>
      <w:r w:rsidRPr="00537C3C">
        <w:t xml:space="preserve">. All reported cost-effectiveness of </w:t>
      </w:r>
      <w:r w:rsidRPr="00BB76D8">
        <w:t>LBC</w:t>
      </w:r>
      <w:r w:rsidRPr="00537C3C">
        <w:t xml:space="preserve"> at 1-year (Canadian study) to 5-year (3 other studies) intervals.</w:t>
      </w:r>
    </w:p>
    <w:p w:rsidR="00234376" w:rsidRPr="00537C3C" w:rsidRDefault="00234376" w:rsidP="008E03A7">
      <w:r w:rsidRPr="00537C3C">
        <w:t xml:space="preserve">The Canadian analysis </w:t>
      </w:r>
      <w:r w:rsidRPr="00537C3C">
        <w:fldChar w:fldCharType="begin"/>
      </w:r>
      <w:r w:rsidRPr="00537C3C">
        <w:instrText xml:space="preserve"> ADDIN REFMGR.CITE &lt;Refman&gt;&lt;Cite&gt;&lt;Author&gt;Lier&lt;/Author&gt;&lt;Year&gt;2005&lt;/Year&gt;&lt;RecNum&gt;3368&lt;/RecNum&gt;&lt;IDText&gt;An economic analysis of the introduction of liquid-based cytology and Human Papillomavirus (HPV) testing in Alberta&lt;/IDText&gt;&lt;MDL Ref_Type="Report"&gt;&lt;Ref_Type&gt;Report&lt;/Ref_Type&gt;&lt;Ref_ID&gt;3368&lt;/Ref_ID&gt;&lt;Title_Primary&gt;An economic analysis of the introduction of liquid-based cytology and Human Papillomavirus (HPV) testing in Alberta&lt;/Title_Primary&gt;&lt;Authors_Primary&gt;Lier,D.&lt;/Authors_Primary&gt;&lt;Authors_Primary&gt;Jacobs,P.&lt;/Authors_Primary&gt;&lt;Date_Primary&gt;2005&lt;/Date_Primary&gt;&lt;Reprint&gt;Not in File&lt;/Reprint&gt;&lt;Pub_Place&gt;Calgary&lt;/Pub_Place&gt;&lt;Publisher&gt;Alberta Cervical Cancer Screenign Program&lt;/Publisher&gt;&lt;ZZ_WorkformID&gt;24&lt;/ZZ_WorkformID&gt;&lt;/MDL&gt;&lt;/Cite&gt;&lt;/Refman&gt;</w:instrText>
      </w:r>
      <w:r w:rsidRPr="00537C3C">
        <w:fldChar w:fldCharType="separate"/>
      </w:r>
      <w:r w:rsidRPr="00537C3C">
        <w:t>(Lier &amp; Jacobs 2005)</w:t>
      </w:r>
      <w:r w:rsidRPr="00537C3C">
        <w:fldChar w:fldCharType="end"/>
      </w:r>
      <w:r w:rsidRPr="00537C3C">
        <w:t xml:space="preserve"> used an unsatisfactory rate of 0.4 per cent for </w:t>
      </w:r>
      <w:r w:rsidRPr="00BB76D8">
        <w:t>LBC</w:t>
      </w:r>
      <w:r w:rsidRPr="00537C3C">
        <w:t xml:space="preserve"> and 1.0 per cent for conventional cytology; with </w:t>
      </w:r>
      <w:r w:rsidRPr="00BB76D8">
        <w:t>LBC</w:t>
      </w:r>
      <w:r w:rsidRPr="00537C3C">
        <w:t xml:space="preserve"> sensitivity 8.4 per cent greater than conventional, equivalent specificity and a marginal cost of </w:t>
      </w:r>
      <w:r w:rsidRPr="00BB76D8">
        <w:t>LBC</w:t>
      </w:r>
      <w:r w:rsidRPr="00537C3C">
        <w:t xml:space="preserve"> of CAN</w:t>
      </w:r>
      <w:r w:rsidRPr="00537C3C" w:rsidDel="00BB76D8">
        <w:t>$</w:t>
      </w:r>
      <w:r w:rsidRPr="00537C3C">
        <w:t xml:space="preserve">3.61. The use of </w:t>
      </w:r>
      <w:r w:rsidRPr="00BB76D8">
        <w:t>LBC</w:t>
      </w:r>
      <w:r w:rsidRPr="00537C3C">
        <w:t xml:space="preserve"> at a 1-year screening interval was cost-effective at CAN</w:t>
      </w:r>
      <w:r w:rsidRPr="00537C3C" w:rsidDel="00BB76D8">
        <w:t>$</w:t>
      </w:r>
      <w:r w:rsidRPr="00537C3C">
        <w:t xml:space="preserve">20 000 per </w:t>
      </w:r>
      <w:r w:rsidRPr="00537C3C" w:rsidDel="00110B9C">
        <w:t>life year</w:t>
      </w:r>
      <w:r w:rsidRPr="00537C3C">
        <w:t xml:space="preserve"> gained. This is most likely driven by the favourable test accuracy characteristics assumed (in particular, equivalent specificity), which are not supported by the findings of the current systematic review (see ‘</w:t>
      </w:r>
      <w:r>
        <w:fldChar w:fldCharType="begin"/>
      </w:r>
      <w:r>
        <w:instrText xml:space="preserve"> REF _Ref190678105 \h  \* MERGEFORMAT </w:instrText>
      </w:r>
      <w:r>
        <w:fldChar w:fldCharType="separate"/>
      </w:r>
      <w:r w:rsidR="007D3DFF" w:rsidRPr="00537C3C">
        <w:rPr>
          <w:bCs/>
        </w:rPr>
        <w:t>Liquid-based cytology</w:t>
      </w:r>
      <w:r>
        <w:fldChar w:fldCharType="end"/>
      </w:r>
      <w:r w:rsidRPr="00537C3C">
        <w:t xml:space="preserve">’, page </w:t>
      </w:r>
      <w:r w:rsidRPr="00537C3C">
        <w:fldChar w:fldCharType="begin"/>
      </w:r>
      <w:r w:rsidRPr="00537C3C">
        <w:instrText xml:space="preserve"> PAGEREF _Ref190678105 \h </w:instrText>
      </w:r>
      <w:r w:rsidRPr="00537C3C">
        <w:fldChar w:fldCharType="separate"/>
      </w:r>
      <w:r w:rsidR="007D3DFF">
        <w:rPr>
          <w:noProof/>
        </w:rPr>
        <w:t>25</w:t>
      </w:r>
      <w:r w:rsidRPr="00537C3C">
        <w:fldChar w:fldCharType="end"/>
      </w:r>
      <w:r w:rsidRPr="00537C3C">
        <w:t>).</w:t>
      </w:r>
    </w:p>
    <w:p w:rsidR="00234376" w:rsidRPr="00537C3C" w:rsidRDefault="00234376" w:rsidP="008E03A7">
      <w:r w:rsidRPr="00537C3C">
        <w:t xml:space="preserve">One UK study </w:t>
      </w:r>
      <w:r w:rsidRPr="00537C3C">
        <w:fldChar w:fldCharType="begin"/>
      </w:r>
      <w:r w:rsidRPr="00537C3C">
        <w:instrText xml:space="preserve"> ADDIN REFMGR.CITE &lt;Refman&gt;&lt;Cite&gt;&lt;Author&gt;Sherlaw-Johnson&lt;/Author&gt;&lt;Year&gt;2004&lt;/Year&gt;&lt;RecNum&gt;3369&lt;/RecNum&gt;&lt;IDText&gt;An evaluation of liquid-based cytology and human papillomavirus testing within the UK cervical cancer screening programme&lt;/IDText&gt;&lt;MDL Ref_Type="Journal"&gt;&lt;Ref_Type&gt;Journal&lt;/Ref_Type&gt;&lt;Ref_ID&gt;3369&lt;/Ref_ID&gt;&lt;Title_Primary&gt;An evaluation of liquid-based cytology and human papillomavirus testing within the UK cervical cancer screening programme&lt;/Title_Primary&gt;&lt;Authors_Primary&gt;Sherlaw-Johnson,C.&lt;/Authors_Primary&gt;&lt;Authors_Primary&gt;Philips,Z.&lt;/Authors_Primary&gt;&lt;Date_Primary&gt;2004&lt;/Date_Primary&gt;&lt;Keywords&gt;Adult&lt;/Keywords&gt;&lt;Keywords&gt;Colposcopy&lt;/Keywords&gt;&lt;Keywords&gt;Cost-Benefit Analysis&lt;/Keywords&gt;&lt;Keywords&gt;diagnosis&lt;/Keywords&gt;&lt;Keywords&gt;economics&lt;/Keywords&gt;&lt;Keywords&gt;Female&lt;/Keywords&gt;&lt;Keywords&gt;Great Britain&lt;/Keywords&gt;&lt;Keywords&gt;Health Care Costs&lt;/Keywords&gt;&lt;Keywords&gt;Humans&lt;/Keywords&gt;&lt;Keywords&gt;Mass Screening&lt;/Keywords&gt;&lt;Keywords&gt;methods&lt;/Keywords&gt;&lt;Keywords&gt;Middle Aged&lt;/Keywords&gt;&lt;Keywords&gt;Models,Theoretical&lt;/Keywords&gt;&lt;Keywords&gt;Papillomaviridae&lt;/Keywords&gt;&lt;Keywords&gt;Papillomavirus Infections&lt;/Keywords&gt;&lt;Keywords&gt;pathogenicity&lt;/Keywords&gt;&lt;Keywords&gt;Practice Guidelines as Topic&lt;/Keywords&gt;&lt;Keywords&gt;prevention &amp;amp; control&lt;/Keywords&gt;&lt;Keywords&gt;Risk Factors&lt;/Keywords&gt;&lt;Keywords&gt;Specimen Handling&lt;/Keywords&gt;&lt;Keywords&gt;standards&lt;/Keywords&gt;&lt;Keywords&gt;statistics &amp;amp; numerical data&lt;/Keywords&gt;&lt;Keywords&gt;Triage&lt;/Keywords&gt;&lt;Keywords&gt;Uterine Cervical Neoplasms&lt;/Keywords&gt;&lt;Keywords&gt;Vaginal Smears&lt;/Keywords&gt;&lt;Keywords&gt;virology&lt;/Keywords&gt;&lt;Reprint&gt;Not in File&lt;/Reprint&gt;&lt;Start_Page&gt;84&lt;/Start_Page&gt;&lt;End_Page&gt;91&lt;/End_Page&gt;&lt;Periodical&gt;Br.J.Cancer.&lt;/Periodical&gt;&lt;Volume&gt;91&lt;/Volume&gt;&lt;Issue&gt;1&lt;/Issue&gt;&lt;ZZ_JournalStdAbbrev&gt;&lt;f name="System"&gt;Br.J.Cancer.&lt;/f&gt;&lt;/ZZ_JournalStdAbbrev&gt;&lt;ZZ_WorkformID&gt;1&lt;/ZZ_WorkformID&gt;&lt;/MDL&gt;&lt;/Cite&gt;&lt;/Refman&gt;</w:instrText>
      </w:r>
      <w:r w:rsidRPr="00537C3C">
        <w:fldChar w:fldCharType="separate"/>
      </w:r>
      <w:r w:rsidRPr="00537C3C">
        <w:t>(Sherlaw-Johnson &amp; Philips 2004)</w:t>
      </w:r>
      <w:r w:rsidRPr="00537C3C">
        <w:fldChar w:fldCharType="end"/>
      </w:r>
      <w:r w:rsidRPr="00537C3C">
        <w:t xml:space="preserve"> assumed equivalent sensitivity and a conventional cytology unsatisfactory rate of 10 per cent, with an </w:t>
      </w:r>
      <w:r w:rsidRPr="00BB76D8">
        <w:t>LBC</w:t>
      </w:r>
      <w:r w:rsidRPr="00537C3C">
        <w:t xml:space="preserve"> unsatisfactory rate of 5 per cent and an </w:t>
      </w:r>
      <w:r w:rsidRPr="00BB76D8">
        <w:t>LBC</w:t>
      </w:r>
      <w:r w:rsidRPr="00537C3C">
        <w:t xml:space="preserve"> cost of £0.76 lower than </w:t>
      </w:r>
      <w:r w:rsidRPr="00537C3C">
        <w:rPr>
          <w:rFonts w:cs="Arial"/>
        </w:rPr>
        <w:t>CC</w:t>
      </w:r>
      <w:r w:rsidRPr="00537C3C">
        <w:t>. It found that strategies of screening 3-yearly and 5-yearly dominated and had a reduction in costs. However, neither the marginal cost nor the baseline unsatisfactory rate reflects that in the Australian setting (see ‘</w:t>
      </w:r>
      <w:r>
        <w:fldChar w:fldCharType="begin"/>
      </w:r>
      <w:r>
        <w:instrText xml:space="preserve"> REF _Ref213660432 \h  \* MERGEFORMAT </w:instrText>
      </w:r>
      <w:r>
        <w:fldChar w:fldCharType="separate"/>
      </w:r>
      <w:r w:rsidR="007D3DFF" w:rsidRPr="00537C3C">
        <w:t>Discussion</w:t>
      </w:r>
      <w:r>
        <w:fldChar w:fldCharType="end"/>
      </w:r>
      <w:r w:rsidRPr="00537C3C">
        <w:t>’</w:t>
      </w:r>
      <w:r w:rsidRPr="00537C3C" w:rsidDel="00110B9C">
        <w:t>,</w:t>
      </w:r>
      <w:r w:rsidRPr="00537C3C">
        <w:t xml:space="preserve"> page </w:t>
      </w:r>
      <w:r w:rsidRPr="00537C3C">
        <w:fldChar w:fldCharType="begin"/>
      </w:r>
      <w:r w:rsidRPr="00537C3C">
        <w:instrText xml:space="preserve"> PAGEREF _Ref213660432 \h </w:instrText>
      </w:r>
      <w:r w:rsidRPr="00537C3C">
        <w:fldChar w:fldCharType="separate"/>
      </w:r>
      <w:r w:rsidR="007D3DFF">
        <w:rPr>
          <w:noProof/>
        </w:rPr>
        <w:t>100</w:t>
      </w:r>
      <w:r w:rsidRPr="00537C3C">
        <w:fldChar w:fldCharType="end"/>
      </w:r>
      <w:r w:rsidRPr="00537C3C">
        <w:t xml:space="preserve">). The other </w:t>
      </w:r>
      <w:r w:rsidRPr="00537C3C">
        <w:fldChar w:fldCharType="begin"/>
      </w:r>
      <w:r w:rsidRPr="00537C3C">
        <w:instrText xml:space="preserve"> ADDIN REFMGR.CITE &lt;Refman&gt;&lt;Cite&gt;&lt;Author&gt;Karnon&lt;/Author&gt;&lt;Year&gt;2004&lt;/Year&gt;&lt;RecNum&gt;15&lt;/RecNum&gt;&lt;IDText&gt;Liquid-based cytology in cervical screening: an updated rapid and systematic review and economic analysis&lt;/IDText&gt;&lt;MDL Ref_Type="Journal"&gt;&lt;Ref_Type&gt;Journal&lt;/Ref_Type&gt;&lt;Ref_ID&gt;15&lt;/Ref_ID&gt;&lt;Title_Primary&gt;Liquid-based cytology in cervical screening: an updated rapid and systematic review and economic analysis&lt;/Title_Primary&gt;&lt;Authors_Primary&gt;Karnon,J.&lt;/Authors_Primary&gt;&lt;Authors_Primary&gt;Peters,J.&lt;/Authors_Primary&gt;&lt;Authors_Primary&gt;Platt,J.&lt;/Authors_Primary&gt;&lt;Authors_Primary&gt;Chilcott,J.&lt;/Authors_Primary&gt;&lt;Authors_Primary&gt;McGoogan,E.&lt;/Authors_Primary&gt;&lt;Authors_Primary&gt;Brewer,N.&lt;/Authors_Primary&gt;&lt;Date_Primary&gt;2004&lt;/Date_Primary&gt;&lt;Keywords&gt;Cost-Benefit Analysis&lt;/Keywords&gt;&lt;Keywords&gt;Female .checkword&lt;/Keywords&gt;&lt;Keywords&gt;Mass Screening .economics .methods&lt;/Keywords&gt;&lt;Keywords&gt;Sensitivity and Specificity&lt;/Keywords&gt;&lt;Keywords&gt;Uterine Cervical Neoplasms .diagnosis .economics&lt;/Keywords&gt;&lt;Keywords&gt;Vaginal Smears .economics .methods&lt;/Keywords&gt;&lt;Reprint&gt;Not in File&lt;/Reprint&gt;&lt;Start_Page&gt;1&lt;/Start_Page&gt;&lt;End_Page&gt;90&lt;/End_Page&gt;&lt;Periodical&gt;Health Technology Assessment&lt;/Periodical&gt;&lt;Volume&gt;8&lt;/Volume&gt;&lt;ZZ_JournalStdAbbrev&gt;&lt;f name="System"&gt;Health Technology Assessment&lt;/f&gt;&lt;/ZZ_JournalStdAbbrev&gt;&lt;ZZ_WorkformID&gt;1&lt;/ZZ_WorkformID&gt;&lt;/MDL&gt;&lt;/Cite&gt;&lt;/Refman&gt;</w:instrText>
      </w:r>
      <w:r w:rsidRPr="00537C3C">
        <w:fldChar w:fldCharType="separate"/>
      </w:r>
      <w:r w:rsidRPr="00537C3C">
        <w:t>(Karnon et al. 2004)</w:t>
      </w:r>
      <w:r w:rsidRPr="00537C3C">
        <w:fldChar w:fldCharType="end"/>
      </w:r>
      <w:r w:rsidRPr="00537C3C">
        <w:t xml:space="preserve"> was an </w:t>
      </w:r>
      <w:r w:rsidRPr="00BB76D8">
        <w:t>HTA</w:t>
      </w:r>
      <w:r w:rsidRPr="00537C3C">
        <w:t xml:space="preserve"> based on results of the UK pilot study, which found unsatisfactory rates of 9.1 per cent for conventional </w:t>
      </w:r>
      <w:r w:rsidR="00EA6111">
        <w:t xml:space="preserve">cytology </w:t>
      </w:r>
      <w:r w:rsidRPr="00537C3C">
        <w:t xml:space="preserve">and 1.6 per cent for </w:t>
      </w:r>
      <w:r w:rsidRPr="00BB76D8">
        <w:t>LBC</w:t>
      </w:r>
      <w:r w:rsidRPr="00537C3C">
        <w:t xml:space="preserve">. This analysis was based on a marginal sensitivity for </w:t>
      </w:r>
      <w:r w:rsidRPr="00BB76D8">
        <w:t>LBC</w:t>
      </w:r>
      <w:r w:rsidRPr="00537C3C">
        <w:t xml:space="preserve"> of 3 to 5 per cent, a marginal cost of between £1.50 and £3.92, and screening intervals of 2 to 5 years. It also found </w:t>
      </w:r>
      <w:r w:rsidRPr="00BB76D8">
        <w:t>LBC</w:t>
      </w:r>
      <w:r w:rsidRPr="00537C3C">
        <w:t xml:space="preserve"> to be cost-effective, more so at a 3-yearly interval than 5-yearly. This analysis also differs greatly </w:t>
      </w:r>
      <w:r w:rsidRPr="00537C3C" w:rsidDel="00110B9C">
        <w:t>from</w:t>
      </w:r>
      <w:r w:rsidRPr="00537C3C">
        <w:t xml:space="preserve"> the Australian setting owing to the large reduction in unsatisfactory rates seen with the use of </w:t>
      </w:r>
      <w:r w:rsidRPr="00BB76D8">
        <w:t>LBC</w:t>
      </w:r>
      <w:r w:rsidRPr="00537C3C">
        <w:t>.</w:t>
      </w:r>
    </w:p>
    <w:p w:rsidR="00234376" w:rsidRPr="00537C3C" w:rsidRDefault="00234376" w:rsidP="008E03A7">
      <w:r w:rsidRPr="00537C3C">
        <w:t xml:space="preserve">The two </w:t>
      </w:r>
      <w:smartTag w:uri="urn:schemas-microsoft-com:office:smarttags" w:element="place">
        <w:smartTag w:uri="urn:schemas-microsoft-com:office:smarttags" w:element="country-region">
          <w:r w:rsidRPr="00537C3C">
            <w:t>US</w:t>
          </w:r>
        </w:smartTag>
      </w:smartTag>
      <w:r w:rsidRPr="00537C3C">
        <w:t xml:space="preserve"> studies found </w:t>
      </w:r>
      <w:r w:rsidRPr="00BB76D8">
        <w:t>LBC</w:t>
      </w:r>
      <w:r w:rsidRPr="00537C3C">
        <w:t xml:space="preserve"> to be cost-effective at a 3-yearly screening interval. They used an </w:t>
      </w:r>
      <w:r w:rsidRPr="00BB76D8">
        <w:t>LBC</w:t>
      </w:r>
      <w:r w:rsidRPr="00537C3C">
        <w:t xml:space="preserve"> gain in sensitivity of 15 per cent </w:t>
      </w:r>
      <w:r w:rsidRPr="00537C3C">
        <w:fldChar w:fldCharType="begin"/>
      </w:r>
      <w:r w:rsidRPr="00537C3C">
        <w:instrText xml:space="preserve"> ADDIN REFMGR.CITE &lt;Refman&gt;&lt;Cite&gt;&lt;Author&gt;Brown&lt;/Author&gt;&lt;Year&gt;1999&lt;/Year&gt;&lt;RecNum&gt;3371&lt;/RecNum&gt;&lt;IDText&gt;Cost-effectiveness of 3 methods to enhance the sensitivity of Papanicolaou testing&lt;/IDText&gt;&lt;MDL Ref_Type="Journal"&gt;&lt;Ref_Type&gt;Journal&lt;/Ref_Type&gt;&lt;Ref_ID&gt;3371&lt;/Ref_ID&gt;&lt;Title_Primary&gt;Cost-effectiveness of 3 methods to enhance the sensitivity of Papanicolaou testing&lt;/Title_Primary&gt;&lt;Authors_Primary&gt;Brown,A.D.&lt;/Authors_Primary&gt;&lt;Authors_Primary&gt;Garber,A.M.&lt;/Authors_Primary&gt;&lt;Date_Primary&gt;1999/1/27&lt;/Date_Primary&gt;&lt;Keywords&gt;Adult&lt;/Keywords&gt;&lt;Keywords&gt;Aged&lt;/Keywords&gt;&lt;Keywords&gt;Cost-Benefit Analysis&lt;/Keywords&gt;&lt;Keywords&gt;economics&lt;/Keywords&gt;&lt;Keywords&gt;epidemiology&lt;/Keywords&gt;&lt;Keywords&gt;Female&lt;/Keywords&gt;&lt;Keywords&gt;Humans&lt;/Keywords&gt;&lt;Keywords&gt;Mass Screening&lt;/Keywords&gt;&lt;Keywords&gt;methods&lt;/Keywords&gt;&lt;Keywords&gt;Middle Aged&lt;/Keywords&gt;&lt;Keywords&gt;prevention &amp;amp; control&lt;/Keywords&gt;&lt;Keywords&gt;Probability&lt;/Keywords&gt;&lt;Keywords&gt;Sensitivity and Specificity&lt;/Keywords&gt;&lt;Keywords&gt;Survival Analysis&lt;/Keywords&gt;&lt;Keywords&gt;Uterine Cervical Neoplasms&lt;/Keywords&gt;&lt;Keywords&gt;Vaginal Smears&lt;/Keywords&gt;&lt;Reprint&gt;Not in File&lt;/Reprint&gt;&lt;Start_Page&gt;347&lt;/Start_Page&gt;&lt;End_Page&gt;353&lt;/End_Page&gt;&lt;Periodical&gt;JAMA.&lt;/Periodical&gt;&lt;Volume&gt;281&lt;/Volume&gt;&lt;Issue&gt;4&lt;/Issue&gt;&lt;ZZ_JournalStdAbbrev&gt;&lt;f name="System"&gt;JAMA.&lt;/f&gt;&lt;/ZZ_JournalStdAbbrev&gt;&lt;ZZ_WorkformID&gt;1&lt;/ZZ_WorkformID&gt;&lt;/MDL&gt;&lt;/Cite&gt;&lt;/Refman&gt;</w:instrText>
      </w:r>
      <w:r w:rsidRPr="00537C3C">
        <w:fldChar w:fldCharType="separate"/>
      </w:r>
      <w:r w:rsidRPr="00537C3C">
        <w:t>(Brown &amp; Garber 1999)</w:t>
      </w:r>
      <w:r w:rsidRPr="00537C3C">
        <w:fldChar w:fldCharType="end"/>
      </w:r>
      <w:r w:rsidRPr="00537C3C">
        <w:t xml:space="preserve"> and 9 per cent </w:t>
      </w:r>
      <w:r w:rsidRPr="00537C3C">
        <w:fldChar w:fldCharType="begin"/>
      </w:r>
      <w:r w:rsidRPr="00537C3C">
        <w:instrText xml:space="preserve"> ADDIN REFMGR.CITE &lt;Refman&gt;&lt;Cite&gt;&lt;Author&gt;Maxwell&lt;/Author&gt;&lt;Year&gt;2002&lt;/Year&gt;&lt;RecNum&gt;3370&lt;/RecNum&gt;&lt;IDText&gt;Costs and effectiveness of alternative strategies for cervical cancer screening in military beneficiaries&lt;/IDText&gt;&lt;MDL Ref_Type="Journal"&gt;&lt;Ref_Type&gt;Journal&lt;/Ref_Type&gt;&lt;Ref_ID&gt;3370&lt;/Ref_ID&gt;&lt;Title_Primary&gt;Costs and effectiveness of alternative strategies for cervical cancer screening in military beneficiaries&lt;/Title_Primary&gt;&lt;Authors_Primary&gt;Maxwell,G.L.&lt;/Authors_Primary&gt;&lt;Authors_Primary&gt;Carlson,J.W.&lt;/Authors_Primary&gt;&lt;Authors_Primary&gt;Ochoa,M.&lt;/Authors_Primary&gt;&lt;Authors_Primary&gt;Krivak,T.&lt;/Authors_Primary&gt;&lt;Authors_Primary&gt;Rose,G.S.&lt;/Authors_Primary&gt;&lt;Authors_Primary&gt;Myers,E.R.&lt;/Authors_Primary&gt;&lt;Date_Primary&gt;2002/10&lt;/Date_Primary&gt;&lt;Keywords&gt;Adult&lt;/Keywords&gt;&lt;Keywords&gt;Aged&lt;/Keywords&gt;&lt;Keywords&gt;Cost-Benefit Analysis&lt;/Keywords&gt;&lt;Keywords&gt;diagnosis&lt;/Keywords&gt;&lt;Keywords&gt;economics&lt;/Keywords&gt;&lt;Keywords&gt;epidemiology&lt;/Keywords&gt;&lt;Keywords&gt;Female&lt;/Keywords&gt;&lt;Keywords&gt;Health Care Costs&lt;/Keywords&gt;&lt;Keywords&gt;Humans&lt;/Keywords&gt;&lt;Keywords&gt;Incidence&lt;/Keywords&gt;&lt;Keywords&gt;Markov Chains&lt;/Keywords&gt;&lt;Keywords&gt;Mass Screening&lt;/Keywords&gt;&lt;Keywords&gt;methods&lt;/Keywords&gt;&lt;Keywords&gt;Middle Aged&lt;/Keywords&gt;&lt;Keywords&gt;Military Personnel&lt;/Keywords&gt;&lt;Keywords&gt;mortality&lt;/Keywords&gt;&lt;Keywords&gt;Papillomaviridae&lt;/Keywords&gt;&lt;Keywords&gt;Papillomavirus Infections&lt;/Keywords&gt;&lt;Keywords&gt;Sensitivity and Specificity&lt;/Keywords&gt;&lt;Keywords&gt;Time Factors&lt;/Keywords&gt;&lt;Keywords&gt;Triage&lt;/Keywords&gt;&lt;Keywords&gt;Tumor Virus Infections&lt;/Keywords&gt;&lt;Keywords&gt;United States&lt;/Keywords&gt;&lt;Keywords&gt;Uterine Cervical Neoplasms&lt;/Keywords&gt;&lt;Reprint&gt;Not in File&lt;/Reprint&gt;&lt;Start_Page&gt;740&lt;/Start_Page&gt;&lt;End_Page&gt;748&lt;/End_Page&gt;&lt;Periodical&gt;Obstet.Gynecol.&lt;/Periodical&gt;&lt;Volume&gt;100&lt;/Volume&gt;&lt;Issue&gt;4&lt;/Issue&gt;&lt;ZZ_JournalStdAbbrev&gt;&lt;f name="System"&gt;Obstet.Gynecol.&lt;/f&gt;&lt;/ZZ_JournalStdAbbrev&gt;&lt;ZZ_WorkformID&gt;1&lt;/ZZ_WorkformID&gt;&lt;/MDL&gt;&lt;/Cite&gt;&lt;/Refman&gt;</w:instrText>
      </w:r>
      <w:r w:rsidRPr="00537C3C">
        <w:fldChar w:fldCharType="separate"/>
      </w:r>
      <w:r w:rsidRPr="00537C3C">
        <w:t>(Maxwell et al. 2002)</w:t>
      </w:r>
      <w:r w:rsidRPr="00537C3C">
        <w:fldChar w:fldCharType="end"/>
      </w:r>
      <w:r w:rsidRPr="00537C3C">
        <w:t xml:space="preserve"> and a marginal </w:t>
      </w:r>
      <w:r w:rsidRPr="00BB76D8">
        <w:t>LBC</w:t>
      </w:r>
      <w:r w:rsidRPr="00537C3C">
        <w:t xml:space="preserve"> cost of </w:t>
      </w:r>
      <w:r w:rsidRPr="00537C3C">
        <w:rPr>
          <w:noProof/>
        </w:rPr>
        <w:t>$US9.75</w:t>
      </w:r>
      <w:r w:rsidRPr="00537C3C">
        <w:t xml:space="preserve"> and </w:t>
      </w:r>
      <w:r w:rsidRPr="00537C3C">
        <w:rPr>
          <w:noProof/>
        </w:rPr>
        <w:t>$US5.00</w:t>
      </w:r>
      <w:r w:rsidRPr="00537C3C">
        <w:t xml:space="preserve">, respectively. The unsatisfactory rates were not reported. </w:t>
      </w:r>
      <w:bookmarkStart w:id="515" w:name="OLE_LINK500"/>
      <w:bookmarkStart w:id="516" w:name="OLE_LINK501"/>
      <w:r w:rsidRPr="00537C3C">
        <w:t xml:space="preserve">Maxwell et al. </w:t>
      </w:r>
      <w:bookmarkEnd w:id="515"/>
      <w:bookmarkEnd w:id="516"/>
      <w:r w:rsidRPr="00537C3C">
        <w:t xml:space="preserve">analysed 1-, 2- and 3-yearly intervals; Brown and Garber analysed 1-, 2-, 3- and 4-yearly intervals. </w:t>
      </w:r>
      <w:bookmarkStart w:id="517" w:name="OLE_LINK502"/>
      <w:bookmarkStart w:id="518" w:name="OLE_LINK503"/>
      <w:r w:rsidRPr="00537C3C">
        <w:t xml:space="preserve">Brown and Garber </w:t>
      </w:r>
      <w:bookmarkEnd w:id="517"/>
      <w:bookmarkEnd w:id="518"/>
      <w:r w:rsidRPr="00537C3C">
        <w:t xml:space="preserve">found that </w:t>
      </w:r>
      <w:r w:rsidRPr="00BB76D8">
        <w:t>LBC</w:t>
      </w:r>
      <w:r w:rsidRPr="00537C3C">
        <w:t xml:space="preserve"> primary screening was not cost-effective, but that 3- or 4-yearly intervals were more cost-effective than annual screening. Maxwell et al. found </w:t>
      </w:r>
      <w:r w:rsidRPr="00BB76D8">
        <w:t>LBC</w:t>
      </w:r>
      <w:r w:rsidRPr="00537C3C">
        <w:t xml:space="preserve"> to be cost-effective at a 3-yearly interval, and that the ICER rose sharply at more frequent screening intervals, particularly with higher test sensitivities. The latter study found that test cost and increased likelihood of detecting transient </w:t>
      </w:r>
      <w:r w:rsidRPr="00BB76D8">
        <w:t>LSIL</w:t>
      </w:r>
      <w:r w:rsidRPr="00537C3C">
        <w:t xml:space="preserve"> are key determinants, particularly if an increase in sensitivity is accompanied by a decrease in specificity.</w:t>
      </w:r>
    </w:p>
    <w:p w:rsidR="00234376" w:rsidRPr="00537C3C" w:rsidRDefault="00234376" w:rsidP="008E03A7">
      <w:r w:rsidRPr="00537C3C">
        <w:lastRenderedPageBreak/>
        <w:t xml:space="preserve">Krahn et al. </w:t>
      </w:r>
      <w:r w:rsidRPr="00537C3C">
        <w:fldChar w:fldCharType="begin"/>
      </w:r>
      <w:r w:rsidRPr="00537C3C">
        <w:instrText xml:space="preserve"> ADDIN REFMGR.CITE &lt;Refman&gt;&lt;Cite ExcludeAuth="1"&gt;&lt;Author&gt;Krahn&lt;/Author&gt;&lt;Year&gt;2008&lt;/Year&gt;&lt;RecNum&gt;93&lt;/RecNum&gt;&lt;IDText&gt;Liquid-based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(2008)</w:t>
      </w:r>
      <w:r w:rsidRPr="00537C3C">
        <w:fldChar w:fldCharType="end"/>
      </w:r>
      <w:r w:rsidRPr="00537C3C">
        <w:t xml:space="preserve"> commented that in general studies indicated shorter screening intervals were generally less cost-effective than longer screening intervals. Marginal sensitivity gains with </w:t>
      </w:r>
      <w:r w:rsidRPr="00BB76D8">
        <w:t>LBC</w:t>
      </w:r>
      <w:r w:rsidRPr="00537C3C">
        <w:t xml:space="preserve"> were partly responsible for an increase in life expectancy at longer screening intervals.</w:t>
      </w:r>
    </w:p>
    <w:p w:rsidR="00234376" w:rsidRPr="00537C3C" w:rsidRDefault="00234376" w:rsidP="008E03A7">
      <w:r w:rsidRPr="00537C3C">
        <w:t xml:space="preserve">Sensitivity analyses in the studies indicated that </w:t>
      </w:r>
      <w:r w:rsidRPr="00BB76D8">
        <w:t>LBC</w:t>
      </w:r>
      <w:r w:rsidRPr="00537C3C">
        <w:t xml:space="preserve"> was more cost-effective when the sensitivity of </w:t>
      </w:r>
      <w:r w:rsidRPr="00BB76D8">
        <w:t>LBC</w:t>
      </w:r>
      <w:r w:rsidRPr="00537C3C">
        <w:t xml:space="preserve"> and conventional cytology was low. The results were sensitive to changes in screening compliance and </w:t>
      </w:r>
      <w:r w:rsidRPr="00BB76D8">
        <w:t>LBC</w:t>
      </w:r>
      <w:r w:rsidRPr="00537C3C">
        <w:t xml:space="preserve"> cost.</w:t>
      </w:r>
    </w:p>
    <w:p w:rsidR="00234376" w:rsidRPr="00537C3C" w:rsidRDefault="00234376" w:rsidP="008E03A7">
      <w:r w:rsidRPr="00537C3C">
        <w:t xml:space="preserve">Since the publication of this </w:t>
      </w:r>
      <w:r w:rsidRPr="00BB76D8">
        <w:t>HTA</w:t>
      </w:r>
      <w:r w:rsidRPr="00537C3C">
        <w:t xml:space="preserve">, a study of the resource use in detecting </w:t>
      </w:r>
      <w:r w:rsidRPr="00BB76D8">
        <w:t>CIN</w:t>
      </w:r>
      <w:r w:rsidRPr="00537C3C">
        <w:t xml:space="preserve"> 2+ by </w:t>
      </w:r>
      <w:r w:rsidRPr="00BB76D8">
        <w:t>LBC</w:t>
      </w:r>
      <w:r w:rsidRPr="00537C3C">
        <w:t xml:space="preserve"> compared to conventional cytology in the Italian </w:t>
      </w:r>
      <w:r w:rsidRPr="00BB76D8">
        <w:t>RCT</w:t>
      </w:r>
      <w:r w:rsidRPr="00537C3C">
        <w:t xml:space="preserve"> has been published </w:t>
      </w:r>
      <w:r w:rsidRPr="00537C3C">
        <w:fldChar w:fldCharType="begin"/>
      </w:r>
      <w:r w:rsidRPr="00537C3C">
        <w:instrText xml:space="preserve"> ADDIN REFMGR.CITE &lt;Refman&gt;&lt;Cite&gt;&lt;Author&gt;Giorgi-Rossi&lt;/Author&gt;&lt;Year&gt;2007&lt;/Year&gt;&lt;RecNum&gt;4&lt;/RecNum&gt;&lt;IDText&gt;The impact of new technologies in cervical cancer screening: Results of the recruitment phase of a large randomised controlled trial from a public health perspective&lt;/IDText&gt;&lt;MDL Ref_Type="Journal"&gt;&lt;Ref_Type&gt;Journal&lt;/Ref_Type&gt;&lt;Ref_ID&gt;4&lt;/Ref_ID&gt;&lt;Title_Primary&gt;The impact of new technologies in cervical cancer screening: Results of the recruitment phase of a large randomised controlled trial from a public health perspective&lt;/Title_Primary&gt;&lt;Authors_Primary&gt;Giorgi-Rossi,P.&lt;/Authors_Primary&gt;&lt;Authors_Primary&gt;Segnan,N.&lt;/Authors_Primary&gt;&lt;Authors_Primary&gt;Zappa,M.&lt;/Authors_Primary&gt;&lt;Authors_Primary&gt;Naldoni,C.&lt;/Authors_Primary&gt;&lt;Authors_Primary&gt;Zorzi,M.&lt;/Authors_Primary&gt;&lt;Authors_Primary&gt;Confortini,M.&lt;/Authors_Primary&gt;&lt;Authors_Primary&gt;Merito,M.&lt;/Authors_Primary&gt;&lt;Authors_Primary&gt;Cuzick,J.&lt;/Authors_Primary&gt;&lt;Authors_Primary&gt;Ronco,G.&lt;/Authors_Primary&gt;&lt;Date_Primary&gt;2007&lt;/Date_Primary&gt;&lt;Keywords&gt;adult&lt;/Keywords&gt;&lt;Keywords&gt;article&lt;/Keywords&gt;&lt;Keywords&gt;cancer screening&lt;/Keywords&gt;&lt;Keywords&gt;clinical trial&lt;/Keywords&gt;&lt;Keywords&gt;colposcopy&lt;/Keywords&gt;&lt;Keywords&gt;controlled clinical trial&lt;/Keywords&gt;&lt;Keywords&gt;controlled study&lt;/Keywords&gt;&lt;Keywords&gt;cost benefit analysis&lt;/Keywords&gt;&lt;Keywords&gt;cytology&lt;/Keywords&gt;&lt;Keywords&gt;female&lt;/Keywords&gt;&lt;Keywords&gt;human&lt;/Keywords&gt;&lt;Keywords&gt;human tissue&lt;/Keywords&gt;&lt;Keywords&gt;major clinical study&lt;/Keywords&gt;&lt;Keywords&gt;Papanicolaou test&lt;/Keywords&gt;&lt;Keywords&gt;priority journal&lt;/Keywords&gt;&lt;Keywords&gt;public health&lt;/Keywords&gt;&lt;Keywords&gt;randomized controlled trial&lt;/Keywords&gt;&lt;Keywords&gt;squamous cell&lt;/Keywords&gt;&lt;Keywords&gt;uterine cervix cancer&lt;/Keywords&gt;&lt;Keywords&gt;Wart virus&lt;/Keywords&gt;&lt;Reprint&gt;Not in File&lt;/Reprint&gt;&lt;Start_Page&gt;2729&lt;/Start_Page&gt;&lt;End_Page&gt;2734&lt;/End_Page&gt;&lt;Periodical&gt;International Journal of Cancer&lt;/Periodical&gt;&lt;Volume&gt;121&lt;/Volume&gt;&lt;Issue&gt;12&lt;/Issue&gt;&lt;ISSN_ISBN&gt;0020-7136&lt;/ISSN_ISBN&gt;&lt;Address&gt;Giorgi-Rossi, P., Agenzia di Sanita Pubblica, Regione Lazio, Roma 00198&lt;/Address&gt;&lt;ZZ_JournalFull&gt;&lt;f name="System"&gt;International Journal of Cancer&lt;/f&gt;&lt;/ZZ_JournalFull&gt;&lt;ZZ_JournalStdAbbrev&gt;&lt;f name="System"&gt;Int.J.Cancer&lt;/f&gt;&lt;/ZZ_JournalStdAbbrev&gt;&lt;ZZ_WorkformID&gt;1&lt;/ZZ_WorkformID&gt;&lt;/MDL&gt;&lt;/Cite&gt;&lt;/Refman&gt;</w:instrText>
      </w:r>
      <w:r w:rsidRPr="00537C3C">
        <w:fldChar w:fldCharType="separate"/>
      </w:r>
      <w:r w:rsidRPr="00537C3C">
        <w:t>(Giorgi-Rossi et al. 2007)</w:t>
      </w:r>
      <w:r w:rsidRPr="00537C3C">
        <w:fldChar w:fldCharType="end"/>
      </w:r>
      <w:r w:rsidRPr="00537C3C">
        <w:t xml:space="preserve">. This cost study is based on data from 28 000 women aged 35 to 60 years, enrolled in the Italian </w:t>
      </w:r>
      <w:r w:rsidRPr="00BB76D8">
        <w:t>RCT</w:t>
      </w:r>
      <w:r w:rsidRPr="00537C3C">
        <w:t xml:space="preserve"> of conventional cytology versus </w:t>
      </w:r>
      <w:r w:rsidRPr="00BB76D8">
        <w:t>LBC</w:t>
      </w:r>
      <w:r w:rsidRPr="00537C3C">
        <w:t xml:space="preserve"> (ThinPrep) plus </w:t>
      </w:r>
      <w:r w:rsidRPr="00BB76D8">
        <w:t>HPV</w:t>
      </w:r>
      <w:r w:rsidRPr="00537C3C">
        <w:t xml:space="preserve"> testing. In this study, Women with </w:t>
      </w:r>
      <w:r w:rsidRPr="00BB76D8">
        <w:t>ASCUS</w:t>
      </w:r>
      <w:r w:rsidRPr="00537C3C">
        <w:t xml:space="preserve">+ cytology were referred for colposcopy. The unsatisfactory rates were 3.7 per cent for conventional Pap and 2.4 per cent for </w:t>
      </w:r>
      <w:r w:rsidRPr="00BB76D8">
        <w:t>LBC,</w:t>
      </w:r>
      <w:r w:rsidRPr="00537C3C">
        <w:t xml:space="preserve"> and the relative sensitivity of </w:t>
      </w:r>
      <w:r w:rsidRPr="00BB76D8">
        <w:t>LBC</w:t>
      </w:r>
      <w:r w:rsidRPr="00110B9C">
        <w:t xml:space="preserve"> </w:t>
      </w:r>
      <w:r w:rsidRPr="00537C3C">
        <w:t xml:space="preserve">was 1.03. This study found that ‘the unit cost of </w:t>
      </w:r>
      <w:r w:rsidRPr="00BB76D8">
        <w:t>LBC</w:t>
      </w:r>
      <w:r w:rsidRPr="00537C3C">
        <w:t xml:space="preserve"> used alone should be less than that of a conventional Pap . . . to result in the same overall cost per </w:t>
      </w:r>
      <w:r w:rsidRPr="00BB76D8">
        <w:t>CIN</w:t>
      </w:r>
      <w:r w:rsidRPr="00537C3C">
        <w:t xml:space="preserve"> 2+ detected as screening by </w:t>
      </w:r>
      <w:r w:rsidRPr="00537C3C">
        <w:rPr>
          <w:rFonts w:cs="Arial"/>
        </w:rPr>
        <w:t>CC</w:t>
      </w:r>
      <w:r w:rsidRPr="00537C3C">
        <w:t xml:space="preserve">’. In </w:t>
      </w:r>
      <w:smartTag w:uri="urn:schemas-microsoft-com:office:smarttags" w:element="place">
        <w:smartTag w:uri="urn:schemas-microsoft-com:office:smarttags" w:element="country-region">
          <w:r w:rsidRPr="00537C3C">
            <w:t>Australia</w:t>
          </w:r>
        </w:smartTag>
      </w:smartTag>
      <w:r w:rsidRPr="00537C3C">
        <w:t>, the unit cost of colposcopy + biopsy is approximately 15</w:t>
      </w:r>
      <w:r w:rsidRPr="00537C3C">
        <w:rPr>
          <w:szCs w:val="24"/>
        </w:rPr>
        <w:sym w:font="Symbol" w:char="F0B4"/>
      </w:r>
      <w:r w:rsidRPr="00537C3C">
        <w:t xml:space="preserve"> that of conventional Pap. According to the results of the study, this would mean that the cost of </w:t>
      </w:r>
      <w:r w:rsidRPr="00BB76D8">
        <w:t>LBC</w:t>
      </w:r>
      <w:r w:rsidRPr="00537C3C">
        <w:t xml:space="preserve"> alone would need to be &lt;0.9</w:t>
      </w:r>
      <w:r w:rsidRPr="00537C3C">
        <w:rPr>
          <w:szCs w:val="24"/>
        </w:rPr>
        <w:sym w:font="Symbol" w:char="F0B4"/>
      </w:r>
      <w:r w:rsidRPr="00537C3C">
        <w:t xml:space="preserve"> the cost of conventional Pap (&lt;$17.64) to give the same cost per </w:t>
      </w:r>
      <w:r w:rsidRPr="00BB76D8">
        <w:t>CIN</w:t>
      </w:r>
      <w:r w:rsidRPr="00537C3C">
        <w:t xml:space="preserve"> 2+ detected (ie, equivalent cost-effectiveness).</w:t>
      </w:r>
    </w:p>
    <w:p w:rsidR="00234376" w:rsidRPr="00537C3C" w:rsidRDefault="00234376" w:rsidP="008E03A7">
      <w:pPr>
        <w:pStyle w:val="Heading4"/>
      </w:pPr>
      <w:r w:rsidRPr="00BB76D8">
        <w:t>LBC</w:t>
      </w:r>
      <w:r w:rsidRPr="00537C3C">
        <w:t xml:space="preserve">—primary cost-effectiveness analysis in </w:t>
      </w:r>
      <w:smartTag w:uri="urn:schemas-microsoft-com:office:smarttags" w:element="place">
        <w:smartTag w:uri="urn:schemas-microsoft-com:office:smarttags" w:element="City">
          <w:r w:rsidRPr="00537C3C">
            <w:t>Ontario</w:t>
          </w:r>
        </w:smartTag>
        <w:r w:rsidRPr="00537C3C">
          <w:t xml:space="preserve">, </w:t>
        </w:r>
        <w:smartTag w:uri="urn:schemas-microsoft-com:office:smarttags" w:element="country-region">
          <w:r w:rsidRPr="00537C3C">
            <w:t>Canada</w:t>
          </w:r>
        </w:smartTag>
      </w:smartTag>
    </w:p>
    <w:p w:rsidR="00234376" w:rsidRPr="00537C3C" w:rsidRDefault="00234376" w:rsidP="008E03A7">
      <w:r w:rsidRPr="00537C3C">
        <w:t xml:space="preserve">The </w:t>
      </w:r>
      <w:r w:rsidRPr="00BB76D8">
        <w:t>CADTH</w:t>
      </w:r>
      <w:r w:rsidRPr="00537C3C">
        <w:t xml:space="preserve"> report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 xml:space="preserve"> also included a primary modelled cost-effectiveness analysis of </w:t>
      </w:r>
      <w:r w:rsidRPr="00BB76D8">
        <w:t>LBC</w:t>
      </w:r>
      <w:r w:rsidRPr="00537C3C">
        <w:t xml:space="preserve"> compared to conventional cytology screening of women aged 18 to 70 years. This model assumed the use of </w:t>
      </w:r>
      <w:r w:rsidRPr="00BB76D8">
        <w:t>LBC</w:t>
      </w:r>
      <w:r w:rsidRPr="00537C3C">
        <w:t xml:space="preserve"> was associated with a 6.4 per cent gain in sensitivity and a 4.0 per cent </w:t>
      </w:r>
      <w:bookmarkStart w:id="519" w:name="OLE_LINK611"/>
      <w:bookmarkStart w:id="520" w:name="OLE_LINK612"/>
      <w:r w:rsidRPr="00537C3C">
        <w:t>loss of specificity</w:t>
      </w:r>
      <w:bookmarkEnd w:id="519"/>
      <w:bookmarkEnd w:id="520"/>
      <w:r w:rsidRPr="00537C3C">
        <w:t xml:space="preserve">, based on a meta-analysis of 20 head-to-head studies of varied quality. Unsatisfactory rates of 0.24 per cent for </w:t>
      </w:r>
      <w:r w:rsidRPr="00BB76D8">
        <w:t>LBC</w:t>
      </w:r>
      <w:r w:rsidRPr="00537C3C">
        <w:t xml:space="preserve"> and 0.58 per cent for </w:t>
      </w:r>
      <w:r w:rsidRPr="00537C3C">
        <w:rPr>
          <w:rFonts w:cs="Arial"/>
        </w:rPr>
        <w:t>CC</w:t>
      </w:r>
      <w:r w:rsidRPr="00537C3C">
        <w:t xml:space="preserve"> were assumed on the bas</w:t>
      </w:r>
      <w:r w:rsidRPr="00537C3C" w:rsidDel="00110B9C">
        <w:t>is</w:t>
      </w:r>
      <w:r w:rsidRPr="00537C3C">
        <w:t xml:space="preserve"> o</w:t>
      </w:r>
      <w:r w:rsidRPr="00537C3C" w:rsidDel="00110B9C">
        <w:t>f</w:t>
      </w:r>
      <w:r w:rsidRPr="00537C3C">
        <w:t xml:space="preserve"> an </w:t>
      </w:r>
      <w:smartTag w:uri="urn:schemas-microsoft-com:office:smarttags" w:element="place">
        <w:smartTag w:uri="urn:schemas-microsoft-com:office:smarttags" w:element="State">
          <w:r w:rsidRPr="00537C3C">
            <w:t>Ontario</w:t>
          </w:r>
        </w:smartTag>
      </w:smartTag>
      <w:r w:rsidRPr="00537C3C">
        <w:t xml:space="preserve"> study. Biennial screening with </w:t>
      </w:r>
      <w:r w:rsidRPr="00BB76D8">
        <w:t>LBC</w:t>
      </w:r>
      <w:r w:rsidRPr="00537C3C">
        <w:t xml:space="preserve"> compared to conventional cytology cost approximately </w:t>
      </w:r>
      <w:r w:rsidRPr="00537C3C">
        <w:rPr>
          <w:noProof/>
        </w:rPr>
        <w:t>$CAN31 000</w:t>
      </w:r>
      <w:r w:rsidRPr="00537C3C">
        <w:t xml:space="preserve"> per </w:t>
      </w:r>
      <w:bookmarkStart w:id="521" w:name="OLE_LINK593"/>
      <w:bookmarkStart w:id="522" w:name="OLE_LINK594"/>
      <w:r w:rsidRPr="006C24DD">
        <w:t xml:space="preserve">life year saved </w:t>
      </w:r>
      <w:bookmarkEnd w:id="521"/>
      <w:bookmarkEnd w:id="522"/>
      <w:r w:rsidRPr="006C24DD">
        <w:t>(</w:t>
      </w:r>
      <w:smartTag w:uri="urn:schemas-microsoft-com:office:smarttags" w:element="place">
        <w:r w:rsidRPr="006C24DD">
          <w:t>LYS</w:t>
        </w:r>
      </w:smartTag>
      <w:r w:rsidRPr="00537C3C">
        <w:t xml:space="preserve">) or </w:t>
      </w:r>
      <w:r w:rsidRPr="00537C3C">
        <w:rPr>
          <w:noProof/>
        </w:rPr>
        <w:t>$CAN29 000</w:t>
      </w:r>
      <w:r w:rsidRPr="00537C3C">
        <w:t xml:space="preserve"> per QALY gained. Sensitivity analyses indicated that if </w:t>
      </w:r>
      <w:r w:rsidRPr="00BB76D8">
        <w:t>LBC</w:t>
      </w:r>
      <w:r w:rsidRPr="00537C3C">
        <w:t xml:space="preserve"> was associated with a 7.7 per cent increase in sensitivity and a 4.4 per cent loss of specificity (based on a meta-analysis of high-quality studies; no requirement of histology as reference standard), the cost-effectiveness of </w:t>
      </w:r>
      <w:r w:rsidRPr="00BB76D8">
        <w:t>LBC</w:t>
      </w:r>
      <w:r w:rsidRPr="00537C3C">
        <w:t xml:space="preserve"> would be $17 000 per </w:t>
      </w:r>
      <w:smartTag w:uri="urn:schemas-microsoft-com:office:smarttags" w:element="place">
        <w:r w:rsidRPr="00537C3C">
          <w:t>LYS</w:t>
        </w:r>
      </w:smartTag>
      <w:r w:rsidRPr="00537C3C">
        <w:t xml:space="preserve">. If </w:t>
      </w:r>
      <w:r w:rsidRPr="00BB76D8">
        <w:t>LBC</w:t>
      </w:r>
      <w:r w:rsidRPr="00537C3C">
        <w:t xml:space="preserve"> was associated with a 1.1 per cent gain in sensitivity and 0.6 per cent loss of specificity (based on 13 studies with histology as a reference standard), the cost-effectiveness of </w:t>
      </w:r>
      <w:r w:rsidRPr="00BB76D8">
        <w:t>LBC</w:t>
      </w:r>
      <w:r w:rsidRPr="00537C3C">
        <w:t xml:space="preserve"> would be $298 000 per LYS. Unsatisfactory rates were not tested in a sensitivity analysis. Annual </w:t>
      </w:r>
      <w:r w:rsidRPr="00BB76D8">
        <w:t>LBC</w:t>
      </w:r>
      <w:r w:rsidRPr="00537C3C">
        <w:t xml:space="preserve"> screening had an incremental cost of </w:t>
      </w:r>
      <w:r w:rsidRPr="00537C3C">
        <w:rPr>
          <w:noProof/>
        </w:rPr>
        <w:t>CAN$147 000</w:t>
      </w:r>
      <w:r w:rsidRPr="00537C3C">
        <w:t xml:space="preserve"> per </w:t>
      </w:r>
      <w:smartTag w:uri="urn:schemas-microsoft-com:office:smarttags" w:element="place">
        <w:r w:rsidRPr="00537C3C">
          <w:t>LYS</w:t>
        </w:r>
      </w:smartTag>
      <w:r w:rsidRPr="00537C3C">
        <w:t xml:space="preserve">, or </w:t>
      </w:r>
      <w:r w:rsidRPr="00537C3C">
        <w:rPr>
          <w:noProof/>
        </w:rPr>
        <w:t>CAN$149 000</w:t>
      </w:r>
      <w:r w:rsidRPr="00537C3C">
        <w:t xml:space="preserve"> per QALY, compared </w:t>
      </w:r>
      <w:r w:rsidR="00731B8C">
        <w:t>to</w:t>
      </w:r>
      <w:r w:rsidRPr="00537C3C">
        <w:t xml:space="preserve"> </w:t>
      </w:r>
      <w:r w:rsidRPr="00BB76D8">
        <w:t>LBC</w:t>
      </w:r>
      <w:r w:rsidRPr="00537C3C">
        <w:t xml:space="preserve"> screening every 2 years. Thus, while the main analysis found </w:t>
      </w:r>
      <w:r w:rsidRPr="00BB76D8">
        <w:t>LBC</w:t>
      </w:r>
      <w:r w:rsidRPr="00537C3C">
        <w:t xml:space="preserve"> to be cost-effective compared to conventional cytology, this was highly variable and dependent upon the accuracy measures assumed. Also, the impact of unsatisfactory rates was not explored.</w:t>
      </w:r>
    </w:p>
    <w:p w:rsidR="00234376" w:rsidRPr="00537C3C" w:rsidRDefault="00234376" w:rsidP="008E03A7">
      <w:pPr>
        <w:pStyle w:val="Heading4"/>
      </w:pPr>
      <w:r w:rsidRPr="00537C3C">
        <w:t>Automated slide reading</w:t>
      </w:r>
    </w:p>
    <w:p w:rsidR="00234376" w:rsidRPr="00537C3C" w:rsidRDefault="00234376" w:rsidP="008E03A7">
      <w:r w:rsidRPr="00537C3C">
        <w:t xml:space="preserve">A study included in the systematic review of effectiveness </w:t>
      </w:r>
      <w:r w:rsidRPr="00537C3C">
        <w:fldChar w:fldCharType="begin"/>
      </w:r>
      <w:r w:rsidRPr="00537C3C">
        <w:instrText xml:space="preserve"> ADDIN REFMGR.CITE &lt;Refman&gt;&lt;Cite&gt;&lt;Author&gt;Confortini&lt;/Author&gt;&lt;Year&gt;2003&lt;/Year&gt;&lt;RecNum&gt;716&lt;/RecNum&gt;&lt;IDText&gt;A feasibility study of the use of the AutoPap screening system as a primary screening and location-guided rescreening device&lt;/IDText&gt;&lt;MDL Ref_Type="Journal"&gt;&lt;Ref_Type&gt;Journal&lt;/Ref_Type&gt;&lt;Ref_ID&gt;716&lt;/Ref_ID&gt;&lt;Title_Primary&gt;A feasibility study of the use of the AutoPap screening system as a primary screening and location-guided rescreening device&lt;/Title_Primary&gt;&lt;Authors_Primary&gt;Confortini,M.&lt;/Authors_Primary&gt;&lt;Authors_Primary&gt;Bonardi,L.&lt;/Authors_Primary&gt;&lt;Authors_Primary&gt;Bulgaresi,P.&lt;/Authors_Primary&gt;&lt;Authors_Primary&gt;Cariaggi,M.P.&lt;/Authors_Primary&gt;&lt;Authors_Primary&gt;Cecchini,S.&lt;/Authors_Primary&gt;&lt;Authors_Primary&gt;Ciatto,S.&lt;/Authors_Primary&gt;&lt;Authors_Primary&gt;Cipparrone,I.&lt;/Authors_Primary&gt;&lt;Authors_Primary&gt;Galanti,L.&lt;/Authors_Primary&gt;&lt;Authors_Primary&gt;Maddau,C.&lt;/Authors_Primary&gt;&lt;Authors_Primary&gt;Matucci,M.&lt;/Authors_Primary&gt;&lt;Authors_Primary&gt;Rubeca,T.&lt;/Authors_Primary&gt;&lt;Authors_Primary&gt;Troni,G.M.&lt;/Authors_Primary&gt;&lt;Authors_Primary&gt;Turco,P.&lt;/Authors_Primary&gt;&lt;Authors_Primary&gt;Zappa,M.&lt;/Authors_Primary&gt;&lt;Authors_Primary&gt;Carozzi,F.&lt;/Authors_Primary&gt;&lt;Date_Primary&gt;2003&lt;/Date_Primary&gt;&lt;Keywords&gt;article&lt;/Keywords&gt;&lt;Keywords&gt;automation&lt;/Keywords&gt;&lt;Keywords&gt;AutoPap 300 QC system&lt;/Keywords&gt;&lt;Keywords&gt;colposcopy&lt;/Keywords&gt;&lt;Keywords&gt;controlled study&lt;/Keywords&gt;&lt;Keywords&gt;cytodiagnosis&lt;/Keywords&gt;&lt;Keywords&gt;cytopathology&lt;/Keywords&gt;&lt;Keywords&gt;device&lt;/Keywords&gt;&lt;Keywords&gt;diagnostic accuracy&lt;/Keywords&gt;&lt;Keywords&gt;female&lt;/Keywords&gt;&lt;Keywords&gt;human&lt;/Keywords&gt;&lt;Keywords&gt;human tissue&lt;/Keywords&gt;&lt;Keywords&gt;major clinical study&lt;/Keywords&gt;&lt;Keywords&gt;Papanicolaou test&lt;/Keywords&gt;&lt;Keywords&gt;priority journal&lt;/Keywords&gt;&lt;Keywords&gt;screening test&lt;/Keywords&gt;&lt;Keywords&gt;uterine cervix carcinoma in situ&lt;/Keywords&gt;&lt;Keywords&gt;uterine cervix cytology&lt;/Keywords&gt;&lt;Keywords&gt;validation process&lt;/Keywords&gt;&lt;Reprint&gt;Not in File&lt;/Reprint&gt;&lt;Start_Page&gt;129&lt;/Start_Page&gt;&lt;End_Page&gt;134&lt;/End_Page&gt;&lt;Periodical&gt;Cancer&lt;/Periodical&gt;&lt;Volume&gt;99&lt;/Volume&gt;&lt;Issue&gt;3&lt;/Issue&gt;&lt;ISSN_ISBN&gt;0008-543X&lt;/ISSN_ISBN&gt;&lt;Address&gt;Confortini, M., Cytology Unit, Ctro. Per Lo Stud. E La Prev. Oncol., 50131 Florence, Italy&lt;/Address&gt;&lt;ZZ_JournalFull&gt;&lt;f name="System"&gt;Cancer&lt;/f&gt;&lt;/ZZ_JournalFull&gt;&lt;ZZ_WorkformID&gt;1&lt;/ZZ_WorkformID&gt;&lt;/MDL&gt;&lt;/Cite&gt;&lt;/Refman&gt;</w:instrText>
      </w:r>
      <w:r w:rsidRPr="00537C3C">
        <w:fldChar w:fldCharType="separate"/>
      </w:r>
      <w:r w:rsidRPr="00537C3C">
        <w:t>(Confortini et al. 2003)</w:t>
      </w:r>
      <w:r w:rsidRPr="00537C3C">
        <w:fldChar w:fldCharType="end"/>
      </w:r>
      <w:r w:rsidRPr="00537C3C">
        <w:t xml:space="preserve"> reported the cost per </w:t>
      </w:r>
      <w:r w:rsidRPr="00BB76D8">
        <w:t>CIN</w:t>
      </w:r>
      <w:r w:rsidRPr="00537C3C">
        <w:t xml:space="preserve"> 2+ case detected using manual vs AutoPap-assisted reading of conventional slides. It did not provide evidence of an accuracy advantage, disadvantage or equivalence. Therefore, the effectiveness evidence for this system is not considered adequate to form the basis of an informative economic analysis. In addition, the costing study considered the use of the AutoPap system in designating slides as </w:t>
      </w:r>
      <w:r w:rsidRPr="00BB76D8">
        <w:t>NFR</w:t>
      </w:r>
      <w:r w:rsidRPr="00537C3C">
        <w:t xml:space="preserve">. As the </w:t>
      </w:r>
      <w:r w:rsidRPr="00537C3C">
        <w:lastRenderedPageBreak/>
        <w:t xml:space="preserve">current standard use of the FocalPoint system does not involve allocating slides as </w:t>
      </w:r>
      <w:r w:rsidRPr="00BB76D8">
        <w:t>NFR</w:t>
      </w:r>
      <w:r w:rsidRPr="00537C3C">
        <w:t xml:space="preserve"> (see </w:t>
      </w:r>
      <w:r>
        <w:fldChar w:fldCharType="begin"/>
      </w:r>
      <w:r>
        <w:instrText xml:space="preserve"> REF _Ref199566181 \h  \* MERGEFORMAT </w:instrText>
      </w:r>
      <w:r w:rsidR="007D3DFF">
        <w:fldChar w:fldCharType="separate"/>
      </w:r>
      <w:r w:rsidR="007D3DFF">
        <w:rPr>
          <w:b/>
          <w:bCs/>
          <w:lang w:val="en-US"/>
        </w:rPr>
        <w:t>Error! Reference source not found.</w:t>
      </w:r>
      <w:r>
        <w:fldChar w:fldCharType="end"/>
      </w:r>
      <w:r w:rsidRPr="00537C3C">
        <w:t>), these findings are not considered relevant to this assessment.</w:t>
      </w:r>
    </w:p>
    <w:p w:rsidR="00234376" w:rsidRPr="00537C3C" w:rsidRDefault="00234376" w:rsidP="008E03A7">
      <w:r w:rsidRPr="00537C3C">
        <w:t xml:space="preserve">No other economic studies of automation-assisted slide reading more recent than the previous </w:t>
      </w:r>
      <w:r w:rsidRPr="00BB76D8">
        <w:t>MSAC</w:t>
      </w:r>
      <w:r w:rsidRPr="00537C3C">
        <w:t xml:space="preserve"> (2003) review were identified. A UK </w:t>
      </w:r>
      <w:r w:rsidRPr="00BB76D8">
        <w:t>HTA</w:t>
      </w:r>
      <w:r w:rsidRPr="00537C3C">
        <w:t xml:space="preserve"> report was published in 2005 </w:t>
      </w:r>
      <w:r w:rsidRPr="00537C3C">
        <w:fldChar w:fldCharType="begin"/>
      </w:r>
      <w:r w:rsidRPr="00537C3C">
        <w:instrText xml:space="preserve"> ADDIN REFMGR.CITE &lt;Refman&gt;&lt;Cite&gt;&lt;Author&gt;Willis&lt;/Author&gt;&lt;Year&gt;2005&lt;/Year&gt;&lt;RecNum&gt;340&lt;/RecNum&gt;&lt;IDText&gt;Cervical screening programmes: Can automation help? Evidence from systematic reviews, an economic analysis and a simulation modelling exercise applied to the UK&lt;/IDText&gt;&lt;MDL Ref_Type="Journal"&gt;&lt;Ref_Type&gt;Journal&lt;/Ref_Type&gt;&lt;Ref_ID&gt;340&lt;/Ref_ID&gt;&lt;Title_Primary&gt;Cervical screening programmes: Can automation help? Evidence from systematic reviews, an economic analysis and a simulation modelling exercise applied to the UK&lt;/Title_Primary&gt;&lt;Authors_Primary&gt;Willis,B.H.&lt;/Authors_Primary&gt;&lt;Authors_Primary&gt;Barton,P.&lt;/Authors_Primary&gt;&lt;Authors_Primary&gt;Pearmain,P.&lt;/Authors_Primary&gt;&lt;Authors_Primary&gt;Bryan,S.&lt;/Authors_Primary&gt;&lt;Authors_Primary&gt;Hyde,C.&lt;/Authors_Primary&gt;&lt;Date_Primary&gt;2005&lt;/Date_Primary&gt;&lt;Keywords&gt;autoanalysis&lt;/Keywords&gt;&lt;Keywords&gt;Autocyte Prep&lt;/Keywords&gt;&lt;Keywords&gt;AutoCyte SCREEN&lt;/Keywords&gt;&lt;Keywords&gt;AutoPap&lt;/Keywords&gt;&lt;Keywords&gt;AutoPap Guided Screening System&lt;/Keywords&gt;&lt;Keywords&gt;AutoPap Primary Screener&lt;/Keywords&gt;&lt;Keywords&gt;AutoPap QC 300&lt;/Keywords&gt;&lt;Keywords&gt;bibliographic database&lt;/Keywords&gt;&lt;Keywords&gt;cancer screening&lt;/Keywords&gt;&lt;Keywords&gt;clinical trial&lt;/Keywords&gt;&lt;Keywords&gt;cost effectiveness analysis&lt;/Keywords&gt;&lt;Keywords&gt;cost minimization analysis&lt;/Keywords&gt;&lt;Keywords&gt;data analysis&lt;/Keywords&gt;&lt;Keywords&gt;diagnostic accuracy&lt;/Keywords&gt;&lt;Keywords&gt;economic evaluation&lt;/Keywords&gt;&lt;Keywords&gt;evidence based medicine&lt;/Keywords&gt;&lt;Keywords&gt;Holt P&lt;/Keywords&gt;&lt;Keywords&gt;human&lt;/Keywords&gt;&lt;Keywords&gt;image analysis&lt;/Keywords&gt;&lt;Keywords&gt;imaging system&lt;/Keywords&gt;&lt;Keywords&gt;medical literature&lt;/Keywords&gt;&lt;Keywords&gt;medical research&lt;/Keywords&gt;&lt;Keywords&gt;outcomes research&lt;/Keywords&gt;&lt;Keywords&gt;PAPNET&lt;/Keywords&gt;&lt;Keywords&gt;Polarprobe&lt;/Keywords&gt;&lt;Keywords&gt;publication&lt;/Keywords&gt;&lt;Keywords&gt;reproducibility&lt;/Keywords&gt;&lt;Keywords&gt;review&lt;/Keywords&gt;&lt;Keywords&gt;simulation&lt;/Keywords&gt;&lt;Keywords&gt;statistical model&lt;/Keywords&gt;&lt;Keywords&gt;statistical significance&lt;/Keywords&gt;&lt;Keywords&gt;systematic review&lt;/Keywords&gt;&lt;Keywords&gt;ThinPrep&lt;/Keywords&gt;&lt;Keywords&gt;time management&lt;/Keywords&gt;&lt;Keywords&gt;United Kingdom&lt;/Keywords&gt;&lt;Keywords&gt;uterine cervix cancer&lt;/Keywords&gt;&lt;Reprint&gt;In File&lt;/Reprint&gt;&lt;Start_Page&gt;iii&lt;/Start_Page&gt;&lt;End_Page&gt;158&lt;/End_Page&gt;&lt;Periodical&gt;Health Technology Assessment&lt;/Periodical&gt;&lt;Volume&gt;9&lt;/Volume&gt;&lt;Issue&gt;13&lt;/Issue&gt;&lt;ISSN_ISBN&gt;1366-5278&lt;/ISSN_ISBN&gt;&lt;Address&gt;Hyde, C., ARIF, Department of Public Health and Epidemiology, University of Birmingham, Birmingham, United Kingdom&lt;/Address&gt;&lt;ZZ_JournalFull&gt;&lt;f name="System"&gt;Health Technology Assessment&lt;/f&gt;&lt;/ZZ_JournalFull&gt;&lt;ZZ_JournalStdAbbrev&gt;&lt;f name="System"&gt;Health Technol.Assess.&lt;/f&gt;&lt;/ZZ_JournalStdAbbrev&gt;&lt;ZZ_WorkformID&gt;1&lt;/ZZ_WorkformID&gt;&lt;/MDL&gt;&lt;/Cite&gt;&lt;/Refman&gt;</w:instrText>
      </w:r>
      <w:r w:rsidRPr="00537C3C">
        <w:fldChar w:fldCharType="separate"/>
      </w:r>
      <w:r w:rsidRPr="00537C3C">
        <w:t>(Willis et al. 2005)</w:t>
      </w:r>
      <w:r w:rsidRPr="00537C3C">
        <w:fldChar w:fldCharType="end"/>
      </w:r>
      <w:r w:rsidRPr="00537C3C">
        <w:t>, but it included a systematic review and economic analysis based on evidence to the end of 2000 only. It concluded that there was insufficient evidence to recommend implementation of automated image analysis systems at the time.</w:t>
      </w:r>
    </w:p>
    <w:p w:rsidR="00234376" w:rsidRPr="00537C3C" w:rsidRDefault="00234376" w:rsidP="008828F9">
      <w:pPr>
        <w:pStyle w:val="Heading3"/>
        <w:spacing w:before="0" w:after="0" w:line="360" w:lineRule="auto"/>
      </w:pPr>
      <w:r w:rsidRPr="00537C3C">
        <w:t>Economic evaluation</w:t>
      </w:r>
    </w:p>
    <w:p w:rsidR="00234376" w:rsidRPr="00537C3C" w:rsidRDefault="00234376" w:rsidP="008828F9">
      <w:pPr>
        <w:pStyle w:val="Heading4"/>
        <w:spacing w:before="0" w:after="0" w:line="360" w:lineRule="auto"/>
      </w:pPr>
      <w:r w:rsidRPr="00537C3C">
        <w:t>Modelled evaluation</w:t>
      </w:r>
    </w:p>
    <w:p w:rsidR="00234376" w:rsidRDefault="00234376" w:rsidP="00234376">
      <w:pPr>
        <w:pBdr>
          <w:top w:val="single" w:sz="4" w:space="1" w:color="auto"/>
          <w:left w:val="single" w:sz="4" w:space="4" w:color="auto"/>
          <w:bottom w:val="single" w:sz="4" w:space="1" w:color="auto"/>
          <w:right w:val="single" w:sz="4" w:space="4" w:color="auto"/>
        </w:pBdr>
      </w:pPr>
      <w:r w:rsidRPr="00537C3C">
        <w:t xml:space="preserve">Published data were used to construct a model of </w:t>
      </w:r>
      <w:r w:rsidRPr="00BB76D8">
        <w:t>HPV</w:t>
      </w:r>
      <w:r w:rsidRPr="00537C3C">
        <w:t xml:space="preserve"> natural history and cervical cancer screening in </w:t>
      </w:r>
      <w:smartTag w:uri="urn:schemas-microsoft-com:office:smarttags" w:element="place">
        <w:smartTag w:uri="urn:schemas-microsoft-com:office:smarttags" w:element="country-region">
          <w:r w:rsidRPr="00537C3C">
            <w:t>Australia</w:t>
          </w:r>
        </w:smartTag>
      </w:smartTag>
      <w:r w:rsidRPr="00537C3C">
        <w:t>. This model was used to evaluate the cost-effectiveness ratios of manual and automation-assisted reading of LBC.</w:t>
      </w:r>
    </w:p>
    <w:p w:rsidR="00234376" w:rsidRPr="00537C3C" w:rsidRDefault="00234376" w:rsidP="008E03A7">
      <w:pPr>
        <w:keepNext/>
        <w:keepLines/>
        <w:pBdr>
          <w:top w:val="single" w:sz="4" w:space="1" w:color="auto"/>
          <w:left w:val="single" w:sz="4" w:space="4" w:color="auto"/>
          <w:bottom w:val="single" w:sz="4" w:space="1" w:color="auto"/>
          <w:right w:val="single" w:sz="4" w:space="4" w:color="auto"/>
        </w:pBdr>
      </w:pPr>
      <w:r w:rsidRPr="00537C3C">
        <w:t xml:space="preserve">Both manual and automated </w:t>
      </w:r>
      <w:r w:rsidRPr="00BB76D8">
        <w:t>LBC</w:t>
      </w:r>
      <w:r w:rsidRPr="00537C3C">
        <w:t xml:space="preserve"> were predicted to reduce cancer cases and deaths:</w:t>
      </w:r>
    </w:p>
    <w:p w:rsidR="00234376" w:rsidRDefault="00234376" w:rsidP="00600AC0">
      <w:pPr>
        <w:numPr>
          <w:ilvl w:val="0"/>
          <w:numId w:val="13"/>
        </w:numPr>
        <w:pBdr>
          <w:top w:val="single" w:sz="4" w:space="1" w:color="auto"/>
          <w:left w:val="single" w:sz="4" w:space="4" w:color="auto"/>
          <w:bottom w:val="single" w:sz="4" w:space="1" w:color="auto"/>
          <w:right w:val="single" w:sz="4" w:space="4" w:color="auto"/>
        </w:pBdr>
        <w:ind w:left="1077" w:hanging="357"/>
      </w:pPr>
      <w:r w:rsidRPr="00537C3C">
        <w:t xml:space="preserve">Manual </w:t>
      </w:r>
      <w:r w:rsidRPr="00BB76D8">
        <w:t>LBC</w:t>
      </w:r>
      <w:r w:rsidRPr="00537C3C">
        <w:t xml:space="preserve"> could avert 23 cancer cases and 6 cancer deaths per annum.</w:t>
      </w:r>
    </w:p>
    <w:p w:rsidR="00234376" w:rsidRDefault="00234376" w:rsidP="00600AC0">
      <w:pPr>
        <w:numPr>
          <w:ilvl w:val="0"/>
          <w:numId w:val="13"/>
        </w:numPr>
        <w:pBdr>
          <w:top w:val="single" w:sz="4" w:space="1" w:color="auto"/>
          <w:left w:val="single" w:sz="4" w:space="4" w:color="auto"/>
          <w:bottom w:val="single" w:sz="4" w:space="1" w:color="auto"/>
          <w:right w:val="single" w:sz="4" w:space="4" w:color="auto"/>
        </w:pBdr>
        <w:ind w:left="1077" w:hanging="357"/>
      </w:pPr>
      <w:r w:rsidRPr="00537C3C">
        <w:t xml:space="preserve">Automated </w:t>
      </w:r>
      <w:r w:rsidRPr="00BB76D8">
        <w:t>LBC</w:t>
      </w:r>
      <w:r w:rsidRPr="00537C3C">
        <w:t xml:space="preserve"> could avert 68 cancer cases and 19 cancer deaths per annum, although as favourable assumptions were made about test characteristics, these could be overestimates.</w:t>
      </w:r>
    </w:p>
    <w:p w:rsidR="00234376" w:rsidRPr="00537C3C" w:rsidRDefault="00234376" w:rsidP="00C40B00">
      <w:pPr>
        <w:keepNext/>
        <w:keepLines/>
        <w:pBdr>
          <w:top w:val="single" w:sz="4" w:space="1" w:color="auto"/>
          <w:left w:val="single" w:sz="4" w:space="4" w:color="auto"/>
          <w:bottom w:val="single" w:sz="4" w:space="1" w:color="auto"/>
          <w:right w:val="single" w:sz="4" w:space="4" w:color="auto"/>
        </w:pBdr>
        <w:spacing w:after="120"/>
      </w:pPr>
      <w:r w:rsidRPr="00537C3C">
        <w:t xml:space="preserve">Both manual and automated </w:t>
      </w:r>
      <w:r w:rsidRPr="00BB76D8">
        <w:t>LBC</w:t>
      </w:r>
      <w:r w:rsidRPr="00537C3C">
        <w:t xml:space="preserve"> were predicted to increase investigations and treatments:</w:t>
      </w:r>
    </w:p>
    <w:p w:rsidR="00234376" w:rsidRDefault="00234376" w:rsidP="00C40B00">
      <w:pPr>
        <w:numPr>
          <w:ilvl w:val="0"/>
          <w:numId w:val="13"/>
        </w:numPr>
        <w:pBdr>
          <w:top w:val="single" w:sz="4" w:space="1" w:color="auto"/>
          <w:left w:val="single" w:sz="4" w:space="4" w:color="auto"/>
          <w:bottom w:val="single" w:sz="4" w:space="1" w:color="auto"/>
          <w:right w:val="single" w:sz="4" w:space="4" w:color="auto"/>
        </w:pBdr>
        <w:spacing w:after="120"/>
        <w:ind w:left="1077" w:hanging="357"/>
      </w:pPr>
      <w:r w:rsidRPr="00537C3C">
        <w:t xml:space="preserve">Manual </w:t>
      </w:r>
      <w:r w:rsidRPr="00BB76D8">
        <w:t>LBC</w:t>
      </w:r>
      <w:r w:rsidRPr="00537C3C">
        <w:t xml:space="preserve"> could result in an additional 22 763 smears, 6770 colposcopies, 3273 biopsies, </w:t>
      </w:r>
      <w:r w:rsidR="00386582">
        <w:t xml:space="preserve">and </w:t>
      </w:r>
      <w:r w:rsidRPr="00537C3C">
        <w:t xml:space="preserve">735 treatments for </w:t>
      </w:r>
      <w:r w:rsidRPr="00BB76D8">
        <w:t>CIN</w:t>
      </w:r>
      <w:r w:rsidRPr="00537C3C">
        <w:t xml:space="preserve"> 2/3 per annum.</w:t>
      </w:r>
    </w:p>
    <w:p w:rsidR="00234376" w:rsidRDefault="00234376" w:rsidP="00C40B00">
      <w:pPr>
        <w:numPr>
          <w:ilvl w:val="0"/>
          <w:numId w:val="13"/>
        </w:numPr>
        <w:pBdr>
          <w:top w:val="single" w:sz="4" w:space="1" w:color="auto"/>
          <w:left w:val="single" w:sz="4" w:space="4" w:color="auto"/>
          <w:bottom w:val="single" w:sz="4" w:space="1" w:color="auto"/>
          <w:right w:val="single" w:sz="4" w:space="4" w:color="auto"/>
        </w:pBdr>
        <w:spacing w:after="120"/>
        <w:ind w:left="1077" w:hanging="357"/>
      </w:pPr>
      <w:r w:rsidRPr="00537C3C">
        <w:t xml:space="preserve">Automated </w:t>
      </w:r>
      <w:r w:rsidRPr="00BB76D8">
        <w:t>LBC</w:t>
      </w:r>
      <w:r w:rsidRPr="00537C3C">
        <w:t xml:space="preserve"> could result in an additional 38 346 smears, 10 788 colposcopies, 5154 biopsies, </w:t>
      </w:r>
      <w:r w:rsidR="00386582">
        <w:t xml:space="preserve">and </w:t>
      </w:r>
      <w:r w:rsidRPr="00537C3C">
        <w:t xml:space="preserve">1751 treatments for </w:t>
      </w:r>
      <w:r w:rsidRPr="00BB76D8">
        <w:t>CIN</w:t>
      </w:r>
      <w:r w:rsidRPr="00537C3C">
        <w:t xml:space="preserve"> 2/3 per annum.</w:t>
      </w:r>
    </w:p>
    <w:p w:rsidR="00234376" w:rsidRPr="00537C3C" w:rsidRDefault="00C40B00" w:rsidP="008E03A7">
      <w:pPr>
        <w:keepNext/>
        <w:keepLines/>
        <w:pBdr>
          <w:top w:val="single" w:sz="4" w:space="1" w:color="auto"/>
          <w:left w:val="single" w:sz="4" w:space="4" w:color="auto"/>
          <w:bottom w:val="single" w:sz="4" w:space="1" w:color="auto"/>
          <w:right w:val="single" w:sz="4" w:space="4" w:color="auto"/>
        </w:pBdr>
      </w:pPr>
      <w:r>
        <w:t>Incremental cost-</w:t>
      </w:r>
      <w:r w:rsidR="00772C61">
        <w:t>effectiveness</w:t>
      </w:r>
      <w:r>
        <w:t xml:space="preserve"> rations were calculated for both manual and automated LBC compared to current practice. At the currently requested level of reimbursement, these are high for both test technologies.</w:t>
      </w:r>
    </w:p>
    <w:p w:rsidR="00234376" w:rsidRDefault="00234376" w:rsidP="00600AC0">
      <w:pPr>
        <w:numPr>
          <w:ilvl w:val="0"/>
          <w:numId w:val="13"/>
        </w:numPr>
        <w:pBdr>
          <w:top w:val="single" w:sz="4" w:space="1" w:color="auto"/>
          <w:left w:val="single" w:sz="4" w:space="4" w:color="auto"/>
          <w:bottom w:val="single" w:sz="4" w:space="1" w:color="auto"/>
          <w:right w:val="single" w:sz="4" w:space="4" w:color="auto"/>
        </w:pBdr>
        <w:ind w:left="1077" w:hanging="357"/>
      </w:pPr>
      <w:r w:rsidRPr="00537C3C">
        <w:t xml:space="preserve">Manual </w:t>
      </w:r>
      <w:r w:rsidRPr="00BB76D8">
        <w:t>LBC</w:t>
      </w:r>
      <w:r w:rsidRPr="00537C3C">
        <w:t xml:space="preserve"> was associated with a cost of $126 315 to $385 982 per </w:t>
      </w:r>
      <w:smartTag w:uri="urn:schemas-microsoft-com:office:smarttags" w:element="place">
        <w:r w:rsidRPr="00537C3C">
          <w:t>LYS</w:t>
        </w:r>
      </w:smartTag>
      <w:r w:rsidRPr="00537C3C">
        <w:t xml:space="preserve">, depending on the level of reimbursement for </w:t>
      </w:r>
      <w:r w:rsidRPr="00BB76D8">
        <w:t>LBC</w:t>
      </w:r>
      <w:r w:rsidRPr="00537C3C">
        <w:t>.</w:t>
      </w:r>
    </w:p>
    <w:p w:rsidR="00234376" w:rsidRDefault="00234376" w:rsidP="00600AC0">
      <w:pPr>
        <w:numPr>
          <w:ilvl w:val="0"/>
          <w:numId w:val="13"/>
        </w:numPr>
        <w:pBdr>
          <w:top w:val="single" w:sz="4" w:space="1" w:color="auto"/>
          <w:left w:val="single" w:sz="4" w:space="4" w:color="auto"/>
          <w:bottom w:val="single" w:sz="4" w:space="1" w:color="auto"/>
          <w:right w:val="single" w:sz="4" w:space="4" w:color="auto"/>
        </w:pBdr>
        <w:ind w:left="1077" w:hanging="357"/>
      </w:pPr>
      <w:r w:rsidRPr="00537C3C">
        <w:t xml:space="preserve">Automated </w:t>
      </w:r>
      <w:r w:rsidRPr="00BB76D8">
        <w:t>LBC</w:t>
      </w:r>
      <w:r w:rsidRPr="00537C3C">
        <w:t xml:space="preserve"> was associated with a cost of $194 835 per </w:t>
      </w:r>
      <w:smartTag w:uri="urn:schemas-microsoft-com:office:smarttags" w:element="place">
        <w:r w:rsidRPr="00537C3C">
          <w:t>LYS</w:t>
        </w:r>
      </w:smartTag>
      <w:r w:rsidRPr="00537C3C">
        <w:t>.</w:t>
      </w:r>
    </w:p>
    <w:p w:rsidR="00234376" w:rsidRPr="00537C3C" w:rsidRDefault="00234376" w:rsidP="00C40B00">
      <w:pPr>
        <w:keepNext/>
        <w:keepLines/>
        <w:pBdr>
          <w:top w:val="single" w:sz="4" w:space="1" w:color="auto"/>
          <w:left w:val="single" w:sz="4" w:space="4" w:color="auto"/>
          <w:bottom w:val="single" w:sz="4" w:space="1" w:color="auto"/>
          <w:right w:val="single" w:sz="4" w:space="4" w:color="auto"/>
        </w:pBdr>
        <w:spacing w:after="120"/>
      </w:pPr>
      <w:r w:rsidRPr="00537C3C">
        <w:t xml:space="preserve">Both manual and automated </w:t>
      </w:r>
      <w:r w:rsidRPr="00BB76D8">
        <w:t>LBC</w:t>
      </w:r>
      <w:r w:rsidRPr="00537C3C">
        <w:t xml:space="preserve"> are estimated to increase total screening and treatment costs:</w:t>
      </w:r>
    </w:p>
    <w:p w:rsidR="00234376" w:rsidRDefault="00234376" w:rsidP="00C40B00">
      <w:pPr>
        <w:numPr>
          <w:ilvl w:val="0"/>
          <w:numId w:val="13"/>
        </w:numPr>
        <w:pBdr>
          <w:top w:val="single" w:sz="4" w:space="1" w:color="auto"/>
          <w:left w:val="single" w:sz="4" w:space="4" w:color="auto"/>
          <w:bottom w:val="single" w:sz="4" w:space="1" w:color="auto"/>
          <w:right w:val="single" w:sz="4" w:space="4" w:color="auto"/>
        </w:pBdr>
        <w:spacing w:after="120"/>
        <w:ind w:left="1077" w:hanging="357"/>
      </w:pPr>
      <w:r w:rsidRPr="00537C3C">
        <w:t xml:space="preserve">Manual </w:t>
      </w:r>
      <w:r w:rsidRPr="00BB76D8">
        <w:t>LBC</w:t>
      </w:r>
      <w:r w:rsidRPr="00537C3C">
        <w:t xml:space="preserve"> is estimated to increase screening costs by </w:t>
      </w:r>
      <w:r w:rsidRPr="00537C3C">
        <w:rPr>
          <w:color w:val="000000"/>
        </w:rPr>
        <w:t xml:space="preserve">$7.3 million to $23.6 million per annum, depending on the level of reimbursement for manual </w:t>
      </w:r>
      <w:r w:rsidRPr="00BB76D8">
        <w:rPr>
          <w:color w:val="000000"/>
        </w:rPr>
        <w:t>LBC</w:t>
      </w:r>
      <w:r w:rsidRPr="00537C3C">
        <w:rPr>
          <w:color w:val="000000"/>
        </w:rPr>
        <w:t>.</w:t>
      </w:r>
    </w:p>
    <w:p w:rsidR="00234376" w:rsidRDefault="00234376" w:rsidP="00C40B00">
      <w:pPr>
        <w:numPr>
          <w:ilvl w:val="0"/>
          <w:numId w:val="13"/>
        </w:numPr>
        <w:pBdr>
          <w:top w:val="single" w:sz="4" w:space="1" w:color="auto"/>
          <w:left w:val="single" w:sz="4" w:space="4" w:color="auto"/>
          <w:bottom w:val="single" w:sz="4" w:space="1" w:color="auto"/>
          <w:right w:val="single" w:sz="4" w:space="4" w:color="auto"/>
        </w:pBdr>
        <w:spacing w:after="120"/>
        <w:ind w:left="1077" w:hanging="357"/>
      </w:pPr>
      <w:r w:rsidRPr="00537C3C">
        <w:t xml:space="preserve">Automated </w:t>
      </w:r>
      <w:r w:rsidRPr="00BB76D8">
        <w:t>LBC</w:t>
      </w:r>
      <w:r w:rsidRPr="00537C3C">
        <w:t xml:space="preserve"> is estimated to increase annual screening costs by</w:t>
      </w:r>
      <w:r w:rsidRPr="00537C3C">
        <w:rPr>
          <w:color w:val="000000"/>
        </w:rPr>
        <w:t xml:space="preserve"> $37.4 million.</w:t>
      </w:r>
    </w:p>
    <w:p w:rsidR="00234376" w:rsidRPr="00537C3C" w:rsidRDefault="00234376" w:rsidP="008E03A7">
      <w:pPr>
        <w:pStyle w:val="Heading4"/>
      </w:pPr>
      <w:r w:rsidRPr="00537C3C">
        <w:t>Introduction</w:t>
      </w:r>
    </w:p>
    <w:p w:rsidR="00234376" w:rsidRPr="00537C3C" w:rsidRDefault="00234376" w:rsidP="008E03A7">
      <w:r w:rsidRPr="00537C3C">
        <w:t xml:space="preserve">The new cytology technologies under assessment have higher test costs, but also have some improvements in test performance. If either were used to replace conventional </w:t>
      </w:r>
      <w:r w:rsidRPr="00537C3C">
        <w:lastRenderedPageBreak/>
        <w:t>cytology, the additional program costs would need to be recovered in full or in part via a reduction in the rate of unsatisfactory smears or an improvement in test performance.</w:t>
      </w:r>
    </w:p>
    <w:p w:rsidR="00234376" w:rsidRPr="00537C3C" w:rsidRDefault="00234376" w:rsidP="008E03A7">
      <w:r w:rsidRPr="00537C3C">
        <w:t xml:space="preserve">It is complex to predict the potential savings from test characteristics alone, and for this reason a more detailed economic evaluation was conducted using a set of linked models to simulate (i) sexual behaviour and </w:t>
      </w:r>
      <w:r w:rsidRPr="00BB76D8">
        <w:t>HPV</w:t>
      </w:r>
      <w:r w:rsidRPr="00537C3C">
        <w:t xml:space="preserve"> transmission in Australia; (ii) the natural history of </w:t>
      </w:r>
      <w:r w:rsidRPr="00BB76D8">
        <w:t>CIN</w:t>
      </w:r>
      <w:r w:rsidRPr="00537C3C">
        <w:t xml:space="preserve"> and invasive cervical cancer</w:t>
      </w:r>
      <w:bookmarkStart w:id="523" w:name="OLE_LINK17"/>
      <w:r w:rsidRPr="00537C3C">
        <w:t>;</w:t>
      </w:r>
      <w:bookmarkEnd w:id="523"/>
      <w:r w:rsidRPr="00537C3C">
        <w:t xml:space="preserve"> and (iii) screening, diagnosis and treatment according to practice in Australia (</w:t>
      </w:r>
      <w:r>
        <w:fldChar w:fldCharType="begin"/>
      </w:r>
      <w:r>
        <w:instrText xml:space="preserve"> REF _Ref212873749 \h  \* MERGEFORMAT </w:instrText>
      </w:r>
      <w:r>
        <w:fldChar w:fldCharType="separate"/>
      </w:r>
      <w:r w:rsidR="007D3DFF" w:rsidRPr="00537C3C">
        <w:t xml:space="preserve">Figure </w:t>
      </w:r>
      <w:r w:rsidR="007D3DFF">
        <w:rPr>
          <w:noProof/>
        </w:rPr>
        <w:t>5</w:t>
      </w:r>
      <w:r>
        <w:fldChar w:fldCharType="end"/>
      </w:r>
      <w:r w:rsidRPr="00537C3C">
        <w:t xml:space="preserve">). These models were based on previously published work </w:t>
      </w:r>
      <w:r w:rsidRPr="00537C3C">
        <w:fldChar w:fldCharType="begin"/>
      </w:r>
      <w:r w:rsidRPr="00537C3C">
        <w:instrText xml:space="preserve"> ADDIN REFMGR.CITE &lt;Refman&gt;&lt;Cite&gt;&lt;Author&gt;Canfell&lt;/Author&gt;&lt;Year&gt;2004&lt;/Year&gt;&lt;RecNum&gt;3414&lt;/RecNum&gt;&lt;IDText&gt;The predicted effect of changes in cervical screening practice in the UK: results from a modelling study&lt;/IDText&gt;&lt;MDL Ref_Type="Journal"&gt;&lt;Ref_Type&gt;Journal&lt;/Ref_Type&gt;&lt;Ref_ID&gt;3414&lt;/Ref_ID&gt;&lt;Title_Primary&gt;The predicted effect of changes in cervical screening practice in the UK: results from a modelling study&lt;/Title_Primary&gt;&lt;Authors_Primary&gt;Canfell,K.&lt;/Authors_Primary&gt;&lt;Authors_Primary&gt;Barnabas,R.&lt;/Authors_Primary&gt;&lt;Authors_Primary&gt;Patnick,J.&lt;/Authors_Primary&gt;&lt;Authors_Primary&gt;Beral,V.&lt;/Authors_Primary&gt;&lt;Date_Primary&gt;2004&lt;/Date_Primary&gt;&lt;Keywords&gt;Adult&lt;/Keywords&gt;&lt;Keywords&gt;Age Factors&lt;/Keywords&gt;&lt;Keywords&gt;Aged&lt;/Keywords&gt;&lt;Keywords&gt;Cancer&lt;/Keywords&gt;&lt;Keywords&gt;Cervical Intraepithelial&lt;/Keywords&gt;&lt;Keywords&gt;Cervical Intraepithelial Neoplasia&lt;/Keywords&gt;&lt;Keywords&gt;diagnosis&lt;/Keywords&gt;&lt;Keywords&gt;Epidemiology&lt;/Keywords&gt;&lt;Keywords&gt;Female&lt;/Keywords&gt;&lt;Keywords&gt;Great Britain&lt;/Keywords&gt;&lt;Keywords&gt;HPV&lt;/Keywords&gt;&lt;Keywords&gt;Humans&lt;/Keywords&gt;&lt;Keywords&gt;Incidence&lt;/Keywords&gt;&lt;Keywords&gt;Infection&lt;/Keywords&gt;&lt;Keywords&gt;Markov Chains&lt;/Keywords&gt;&lt;Keywords&gt;Mass Screening&lt;/Keywords&gt;&lt;Keywords&gt;Middle Aged&lt;/Keywords&gt;&lt;Keywords&gt;Model&lt;/Keywords&gt;&lt;Keywords&gt;Models,Theoretical&lt;/Keywords&gt;&lt;Keywords&gt;National Health Programs&lt;/Keywords&gt;&lt;Keywords&gt;Neoplasia&lt;/Keywords&gt;&lt;Keywords&gt;Neoplasm Invasiveness&lt;/Keywords&gt;&lt;Keywords&gt;Population&lt;/Keywords&gt;&lt;Keywords&gt;Practice&lt;/Keywords&gt;&lt;Keywords&gt;Practice Guidelines&lt;/Keywords&gt;&lt;Keywords&gt;Research&lt;/Keywords&gt;&lt;Keywords&gt;Research Support,Non-U.S.Gov&amp;apos;t&lt;/Keywords&gt;&lt;Keywords&gt;screening&lt;/Keywords&gt;&lt;Keywords&gt;Sensitivity and Specificity&lt;/Keywords&gt;&lt;Keywords&gt;Support&lt;/Keywords&gt;&lt;Keywords&gt;trends&lt;/Keywords&gt;&lt;Keywords&gt;Universities&lt;/Keywords&gt;&lt;Keywords&gt;Uterine Cervical Neoplasms&lt;/Keywords&gt;&lt;Keywords&gt;Women&lt;/Keywords&gt;&lt;Reprint&gt;Not in File&lt;/Reprint&gt;&lt;Start_Page&gt;530&lt;/Start_Page&gt;&lt;End_Page&gt;536&lt;/End_Page&gt;&lt;Periodical&gt;Br J Cancer&lt;/Periodical&gt;&lt;Volume&gt;91&lt;/Volume&gt;&lt;Issue&gt;3&lt;/Issue&gt;&lt;Address&gt;Cancer Research UK Epidemiology Unit, University of Oxford, Gibson Building, Radcliffe Infirmary, OX2 6HE, UK&lt;/Address&gt;&lt;Web_URL&gt;PM:15266332&lt;/Web_URL&gt;&lt;ZZ_JournalFull&gt;&lt;f name="System"&gt;Br J Cancer&lt;/f&gt;&lt;/ZZ_JournalFull&gt;&lt;ZZ_WorkformID&gt;1&lt;/ZZ_WorkformID&gt;&lt;/MDL&gt;&lt;/Cite&gt;&lt;Cite&gt;&lt;Author&gt;Smith&lt;/Author&gt;&lt;Year&gt;2008&lt;/Year&gt;&lt;RecNum&gt;1&lt;/RecNum&gt;&lt;IDText&gt;The predicted impact of vaccination on human papillomavirus infections in Australia&lt;/IDText&gt;&lt;MDL Ref_Type="Journal"&gt;&lt;Ref_Type&gt;Journal&lt;/Ref_Type&gt;&lt;Ref_ID&gt;1&lt;/Ref_ID&gt;&lt;Title_Primary&gt;The predicted impact of vaccination on human papillomavirus infections in Australia&lt;/Title_Primary&gt;&lt;Authors_Primary&gt;Smith,M.A.&lt;/Authors_Primary&gt;&lt;Authors_Primary&gt;Canfell,K.&lt;/Authors_Primary&gt;&lt;Authors_Primary&gt;Brotherton,J.M.&lt;/Authors_Primary&gt;&lt;Authors_Primary&gt;Lew,J.B.&lt;/Authors_Primary&gt;&lt;Authors_Primary&gt;Barnabas,R.V.&lt;/Authors_Primary&gt;&lt;Date_Primary&gt;2008&lt;/Date_Primary&gt;&lt;Keywords&gt;Active&lt;/Keywords&gt;&lt;Keywords&gt;administration &amp;amp; dosage&lt;/Keywords&gt;&lt;Keywords&gt;Adolescent&lt;/Keywords&gt;&lt;Keywords&gt;Adult&lt;/Keywords&gt;&lt;Keywords&gt;Aged&lt;/Keywords&gt;&lt;Keywords&gt;analysis&lt;/Keywords&gt;&lt;Keywords&gt;Australia&lt;/Keywords&gt;&lt;Keywords&gt;Cancer&lt;/Keywords&gt;&lt;Keywords&gt;Child&lt;/Keywords&gt;&lt;Keywords&gt;Epidemiology&lt;/Keywords&gt;&lt;Keywords&gt;Female&lt;/Keywords&gt;&lt;Keywords&gt;HPV&lt;/Keywords&gt;&lt;Keywords&gt;Human&lt;/Keywords&gt;&lt;Keywords&gt;Humans&lt;/Keywords&gt;&lt;Keywords&gt;Incidence&lt;/Keywords&gt;&lt;Keywords&gt;Infection&lt;/Keywords&gt;&lt;Keywords&gt;Male&lt;/Keywords&gt;&lt;Keywords&gt;Middle Aged&lt;/Keywords&gt;&lt;Keywords&gt;Models,Statistical&lt;/Keywords&gt;&lt;Keywords&gt;Papillomavirus&lt;/Keywords&gt;&lt;Keywords&gt;Papillomavirus Infections&lt;/Keywords&gt;&lt;Keywords&gt;Papillomavirus Vaccines&lt;/Keywords&gt;&lt;Keywords&gt;prevention &amp;amp; control&lt;/Keywords&gt;&lt;Keywords&gt;Research&lt;/Keywords&gt;&lt;Keywords&gt;Sexual Behavior&lt;/Keywords&gt;&lt;Keywords&gt;Support&lt;/Keywords&gt;&lt;Keywords&gt;transmission&lt;/Keywords&gt;&lt;Keywords&gt;Vaccination&lt;/Keywords&gt;&lt;Keywords&gt;Vaccines&lt;/Keywords&gt;&lt;Keywords&gt;Wales&lt;/Keywords&gt;&lt;Keywords&gt;Women&lt;/Keywords&gt;&lt;Reprint&gt;Not in File&lt;/Reprint&gt;&lt;Start_Page&gt;1854&lt;/Start_Page&gt;&lt;End_Page&gt;1863&lt;/End_Page&gt;&lt;Periodical&gt;Int J Cancer&lt;/Periodical&gt;&lt;Volume&gt;123&lt;/Volume&gt;&lt;Issue&gt;8&lt;/Issue&gt;&lt;Address&gt;Cancer Epidemiology Research Unit, The Cancer Council New South Wales, Woolloomooloo, New South Wales, Australia&lt;/Address&gt;&lt;Web_URL&gt;PM:18636563&lt;/Web_URL&gt;&lt;ZZ_JournalStdAbbrev&gt;&lt;f name="System"&gt;Int J Cancer&lt;/f&gt;&lt;/ZZ_JournalStdAbbrev&gt;&lt;ZZ_WorkformID&gt;1&lt;/ZZ_WorkformID&gt;&lt;/MDL&gt;&lt;/Cite&gt;&lt;/Refman&gt;</w:instrText>
      </w:r>
      <w:r w:rsidRPr="00537C3C">
        <w:fldChar w:fldCharType="separate"/>
      </w:r>
      <w:r w:rsidRPr="00537C3C">
        <w:t>(Canfell et al. 2004; Smith et al. 2008)</w:t>
      </w:r>
      <w:r w:rsidRPr="00537C3C">
        <w:fldChar w:fldCharType="end"/>
      </w:r>
      <w:r w:rsidRPr="00537C3C">
        <w:t xml:space="preserve"> and on a screening model developed for the NZ National Screening Unit </w:t>
      </w:r>
      <w:r w:rsidRPr="00537C3C">
        <w:fldChar w:fldCharType="begin"/>
      </w:r>
      <w:r w:rsidRPr="00537C3C">
        <w:instrText xml:space="preserve"> ADDIN REFMGR.CITE &lt;Refman&gt;&lt;Cite&gt;&lt;Author&gt;Canfell&lt;/Author&gt;&lt;Year&gt;2008&lt;/Year&gt;&lt;RecNum&gt;4980&lt;/RecNum&gt;&lt;IDText&gt;Cost-effectiveness of proposed changes to the National Cervical Screening Program&lt;/IDText&gt;&lt;MDL Ref_Type="Report"&gt;&lt;Ref_Type&gt;Report&lt;/Ref_Type&gt;&lt;Ref_ID&gt;4980&lt;/Ref_ID&gt;&lt;Title_Primary&gt;Cost-effectiveness of proposed changes to the National Cervical Screening Program&lt;/Title_Primary&gt;&lt;Authors_Primary&gt;Canfell,K.&lt;/Authors_Primary&gt;&lt;Authors_Primary&gt;Clements,M.&lt;/Authors_Primary&gt;&lt;Authors_Primary&gt;Harris,J.&lt;/Authors_Primary&gt;&lt;Date_Primary&gt;2008&lt;/Date_Primary&gt;&lt;Keywords&gt;cost-effectiveness&lt;/Keywords&gt;&lt;Keywords&gt;screening&lt;/Keywords&gt;&lt;Reprint&gt;In File&lt;/Reprint&gt;&lt;Periodical&gt;Report to the National Screening Unit, New Zealand.&lt;/Periodical&gt;&lt;ZZ_JournalStdAbbrev&gt;&lt;f name="System"&gt;Report to the National Screening Unit, New Zealand.&lt;/f&gt;&lt;/ZZ_JournalStdAbbrev&gt;&lt;ZZ_WorkformID&gt;24&lt;/ZZ_WorkformID&gt;&lt;/MDL&gt;&lt;/Cite&gt;&lt;/Refman&gt;</w:instrText>
      </w:r>
      <w:r w:rsidRPr="00537C3C">
        <w:fldChar w:fldCharType="separate"/>
      </w:r>
      <w:r w:rsidRPr="00537C3C">
        <w:t>(Canfell et al. 2008)</w:t>
      </w:r>
      <w:r w:rsidRPr="00537C3C">
        <w:fldChar w:fldCharType="end"/>
      </w:r>
      <w:r w:rsidRPr="00537C3C">
        <w:t>.</w:t>
      </w:r>
    </w:p>
    <w:p w:rsidR="00234376" w:rsidRDefault="00234376" w:rsidP="008E03A7">
      <w:pPr>
        <w:pStyle w:val="Caption"/>
      </w:pPr>
      <w:bookmarkStart w:id="524" w:name="_Ref212873749"/>
      <w:bookmarkStart w:id="525" w:name="_Toc231895846"/>
      <w:bookmarkStart w:id="526" w:name="_Toc222823902"/>
      <w:r w:rsidRPr="00537C3C">
        <w:t xml:space="preserve">Figure </w:t>
      </w:r>
      <w:fldSimple w:instr=" SEQ Figure \* ARABIC ">
        <w:r w:rsidR="007D3DFF">
          <w:rPr>
            <w:noProof/>
          </w:rPr>
          <w:t>5</w:t>
        </w:r>
      </w:fldSimple>
      <w:bookmarkEnd w:id="524"/>
      <w:r w:rsidRPr="00537C3C">
        <w:tab/>
        <w:t>Linked models used to perform economic evaluation.</w:t>
      </w:r>
      <w:bookmarkEnd w:id="525"/>
      <w:bookmarkEnd w:id="526"/>
    </w:p>
    <w:p w:rsidR="001068C2" w:rsidRPr="00537C3C" w:rsidRDefault="001068C2" w:rsidP="008E03A7">
      <w:pPr>
        <w:pStyle w:val="BodyText"/>
        <w:rPr>
          <w:lang w:eastAsia="en-AU"/>
        </w:rPr>
      </w:pPr>
    </w:p>
    <w:p w:rsidR="00234376" w:rsidRDefault="006F242B" w:rsidP="008E03A7">
      <w:r>
        <w:rPr>
          <w:noProof/>
          <w:lang w:eastAsia="en-AU"/>
        </w:rPr>
        <w:drawing>
          <wp:inline distT="0" distB="0" distL="0" distR="0" wp14:anchorId="63A8BD40" wp14:editId="5B7123C1">
            <wp:extent cx="3735705" cy="2047875"/>
            <wp:effectExtent l="0" t="0" r="0" b="9525"/>
            <wp:docPr id="91" name="Picture 24" title="Linked models used to perform economic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35705" cy="2047875"/>
                    </a:xfrm>
                    <a:prstGeom prst="rect">
                      <a:avLst/>
                    </a:prstGeom>
                    <a:noFill/>
                    <a:ln>
                      <a:noFill/>
                    </a:ln>
                    <a:effectLst/>
                  </pic:spPr>
                </pic:pic>
              </a:graphicData>
            </a:graphic>
          </wp:inline>
        </w:drawing>
      </w:r>
    </w:p>
    <w:p w:rsidR="001068C2" w:rsidRPr="00537C3C" w:rsidRDefault="001068C2" w:rsidP="008E03A7"/>
    <w:p w:rsidR="00234376" w:rsidRPr="00537C3C" w:rsidRDefault="00234376" w:rsidP="008E03A7">
      <w:r w:rsidRPr="00537C3C">
        <w:t xml:space="preserve">These models required parameterisation with population, screening, treatment and cost data specific to </w:t>
      </w:r>
      <w:smartTag w:uri="urn:schemas-microsoft-com:office:smarttags" w:element="place">
        <w:smartTag w:uri="urn:schemas-microsoft-com:office:smarttags" w:element="country-region">
          <w:r w:rsidRPr="00537C3C">
            <w:t>Australia</w:t>
          </w:r>
        </w:smartTag>
      </w:smartTag>
      <w:r w:rsidRPr="00537C3C">
        <w:t xml:space="preserve">. Various tests involved in the screening and treatment pathways were also characterised. There may </w:t>
      </w:r>
      <w:r w:rsidRPr="00EA6111">
        <w:t>be some variation in these across different settings, so where possible, local data were preferred. Data are also required to model the underlying processes involved in the transitions between health states of HPV infection, cervical precancer (CIN) and cervical cancer.</w:t>
      </w:r>
      <w:r w:rsidR="00690C15" w:rsidRPr="00EA6111">
        <w:t xml:space="preserve">  Data sources are described in the following section, </w:t>
      </w:r>
      <w:r w:rsidR="00690C15" w:rsidRPr="00D0290F">
        <w:fldChar w:fldCharType="begin"/>
      </w:r>
      <w:r w:rsidR="00690C15" w:rsidRPr="00D0290F">
        <w:instrText xml:space="preserve"> REF _Ref215911709 \h  \* MERGEFORMAT </w:instrText>
      </w:r>
      <w:r w:rsidR="00690C15" w:rsidRPr="00D0290F">
        <w:fldChar w:fldCharType="separate"/>
      </w:r>
      <w:r w:rsidR="007D3DFF" w:rsidRPr="00537C3C">
        <w:t>Summary of data sources for the baseline evaluation model</w:t>
      </w:r>
      <w:r w:rsidR="00690C15" w:rsidRPr="00D0290F">
        <w:fldChar w:fldCharType="end"/>
      </w:r>
      <w:r w:rsidR="00690C15" w:rsidRPr="00D0290F">
        <w:t>.</w:t>
      </w:r>
    </w:p>
    <w:p w:rsidR="00234376" w:rsidRPr="00537C3C" w:rsidRDefault="00234376" w:rsidP="008E03A7">
      <w:r w:rsidRPr="00537C3C">
        <w:t xml:space="preserve">The models were used to estimate the incremental cost-effectiveness ratios (ICERs) of (i) automated reading and (ii) manual reading of LBC slides in comparison </w:t>
      </w:r>
      <w:r w:rsidR="008D604B">
        <w:t>to</w:t>
      </w:r>
      <w:r w:rsidRPr="00537C3C">
        <w:t xml:space="preserve"> current practice of manual reading of conventionally prepared Pap smear cytology samples. The ICERs were based on the lifetime costs and effects of each strategy. These lifetime outcomes were calculated with a cohort model which ran from age 10 until age 84. Life years were the primary outcome measure, but health care resource usage was also predicted. All other screening practices, such as the time between screening tests and the management of abnormal cytology, reflected current practice, taking into account compliance. The analysis used a health services perspective. Future costs and outcomes were discounted at 5 per cent. One-way sensitivity analyses were performed on those parameters for which there was substantial uncertainty, or which could have had a significant influence on the results.</w:t>
      </w:r>
    </w:p>
    <w:p w:rsidR="00234376" w:rsidRPr="00537C3C" w:rsidRDefault="00234376" w:rsidP="008E03A7">
      <w:pPr>
        <w:pStyle w:val="Heading4"/>
      </w:pPr>
      <w:bookmarkStart w:id="527" w:name="_Ref215911709"/>
      <w:r w:rsidRPr="00537C3C">
        <w:lastRenderedPageBreak/>
        <w:t>Summary of data sources for the baseline evaluation model</w:t>
      </w:r>
      <w:bookmarkEnd w:id="527"/>
    </w:p>
    <w:p w:rsidR="00234376" w:rsidRPr="00537C3C" w:rsidRDefault="00234376" w:rsidP="008E03A7">
      <w:pPr>
        <w:pStyle w:val="Heading5"/>
      </w:pPr>
      <w:r w:rsidRPr="00BB76D8">
        <w:t>HPV</w:t>
      </w:r>
      <w:r w:rsidRPr="00537C3C">
        <w:t xml:space="preserve"> incidence</w:t>
      </w:r>
    </w:p>
    <w:p w:rsidR="00234376" w:rsidRDefault="00234376" w:rsidP="00234376">
      <w:pPr>
        <w:rPr>
          <w:rFonts w:cs="Arial"/>
        </w:rPr>
      </w:pPr>
      <w:r w:rsidRPr="00537C3C">
        <w:rPr>
          <w:rFonts w:cs="Arial"/>
          <w:iCs/>
        </w:rPr>
        <w:t xml:space="preserve">Age-specific </w:t>
      </w:r>
      <w:r w:rsidRPr="00BB76D8">
        <w:rPr>
          <w:rFonts w:cs="Arial"/>
          <w:iCs/>
        </w:rPr>
        <w:t>HPV</w:t>
      </w:r>
      <w:r w:rsidRPr="00537C3C">
        <w:rPr>
          <w:rFonts w:cs="Arial"/>
          <w:iCs/>
        </w:rPr>
        <w:t xml:space="preserve"> incidence was obtained from a dynamic model of </w:t>
      </w:r>
      <w:r w:rsidRPr="00BB76D8">
        <w:rPr>
          <w:rFonts w:cs="Arial"/>
          <w:iCs/>
        </w:rPr>
        <w:t>HPV</w:t>
      </w:r>
      <w:r w:rsidRPr="00537C3C">
        <w:rPr>
          <w:rFonts w:cs="Arial"/>
          <w:iCs/>
        </w:rPr>
        <w:t xml:space="preserve"> transmission in </w:t>
      </w:r>
      <w:smartTag w:uri="urn:schemas-microsoft-com:office:smarttags" w:element="place">
        <w:smartTag w:uri="urn:schemas-microsoft-com:office:smarttags" w:element="country-region">
          <w:r w:rsidRPr="00537C3C">
            <w:rPr>
              <w:rFonts w:cs="Arial"/>
              <w:iCs/>
            </w:rPr>
            <w:t>Australia</w:t>
          </w:r>
        </w:smartTag>
      </w:smartTag>
      <w:r w:rsidRPr="00537C3C">
        <w:rPr>
          <w:rFonts w:cs="Arial"/>
          <w:iCs/>
        </w:rPr>
        <w:t xml:space="preserve">, which used survey data on sexual behaviour in the community to predict </w:t>
      </w:r>
      <w:r w:rsidRPr="00BB76D8">
        <w:rPr>
          <w:rFonts w:cs="Arial"/>
          <w:iCs/>
        </w:rPr>
        <w:t>HPV</w:t>
      </w:r>
      <w:r w:rsidRPr="00537C3C">
        <w:rPr>
          <w:rFonts w:cs="Arial"/>
          <w:iCs/>
        </w:rPr>
        <w:t xml:space="preserve"> incidence by single years of age. The dynamic transmission model and its parameterisation and calibration are fully described in </w:t>
      </w:r>
      <w:r w:rsidRPr="00537C3C">
        <w:rPr>
          <w:rFonts w:cs="Arial"/>
          <w:iCs/>
        </w:rPr>
        <w:fldChar w:fldCharType="begin"/>
      </w:r>
      <w:r w:rsidRPr="00537C3C">
        <w:rPr>
          <w:rFonts w:cs="Arial"/>
          <w:iCs/>
        </w:rPr>
        <w:instrText xml:space="preserve"> ADDIN REFMGR.CITE &lt;Refman&gt;&lt;Cite&gt;&lt;Author&gt;Smith&lt;/Author&gt;&lt;Year&gt;2008&lt;/Year&gt;&lt;RecNum&gt;1&lt;/RecNum&gt;&lt;IDText&gt;The predicted impact of vaccination on human papillomavirus infections in Australia&lt;/IDText&gt;&lt;MDL Ref_Type="Journal"&gt;&lt;Ref_Type&gt;Journal&lt;/Ref_Type&gt;&lt;Ref_ID&gt;1&lt;/Ref_ID&gt;&lt;Title_Primary&gt;The predicted impact of vaccination on human papillomavirus infections in Australia&lt;/Title_Primary&gt;&lt;Authors_Primary&gt;Smith,M.A.&lt;/Authors_Primary&gt;&lt;Authors_Primary&gt;Canfell,K.&lt;/Authors_Primary&gt;&lt;Authors_Primary&gt;Brotherton,J.M.&lt;/Authors_Primary&gt;&lt;Authors_Primary&gt;Lew,J.B.&lt;/Authors_Primary&gt;&lt;Authors_Primary&gt;Barnabas,R.V.&lt;/Authors_Primary&gt;&lt;Date_Primary&gt;2008&lt;/Date_Primary&gt;&lt;Keywords&gt;Active&lt;/Keywords&gt;&lt;Keywords&gt;administration &amp;amp; dosage&lt;/Keywords&gt;&lt;Keywords&gt;Adolescent&lt;/Keywords&gt;&lt;Keywords&gt;Adult&lt;/Keywords&gt;&lt;Keywords&gt;Aged&lt;/Keywords&gt;&lt;Keywords&gt;analysis&lt;/Keywords&gt;&lt;Keywords&gt;Australia&lt;/Keywords&gt;&lt;Keywords&gt;Cancer&lt;/Keywords&gt;&lt;Keywords&gt;Child&lt;/Keywords&gt;&lt;Keywords&gt;Epidemiology&lt;/Keywords&gt;&lt;Keywords&gt;Female&lt;/Keywords&gt;&lt;Keywords&gt;HPV&lt;/Keywords&gt;&lt;Keywords&gt;Human&lt;/Keywords&gt;&lt;Keywords&gt;Humans&lt;/Keywords&gt;&lt;Keywords&gt;Incidence&lt;/Keywords&gt;&lt;Keywords&gt;Infection&lt;/Keywords&gt;&lt;Keywords&gt;Male&lt;/Keywords&gt;&lt;Keywords&gt;Middle Aged&lt;/Keywords&gt;&lt;Keywords&gt;Models,Statistical&lt;/Keywords&gt;&lt;Keywords&gt;Papillomavirus&lt;/Keywords&gt;&lt;Keywords&gt;Papillomavirus Infections&lt;/Keywords&gt;&lt;Keywords&gt;Papillomavirus Vaccines&lt;/Keywords&gt;&lt;Keywords&gt;prevention &amp;amp; control&lt;/Keywords&gt;&lt;Keywords&gt;Research&lt;/Keywords&gt;&lt;Keywords&gt;Sexual Behavior&lt;/Keywords&gt;&lt;Keywords&gt;Support&lt;/Keywords&gt;&lt;Keywords&gt;transmission&lt;/Keywords&gt;&lt;Keywords&gt;Vaccination&lt;/Keywords&gt;&lt;Keywords&gt;Vaccines&lt;/Keywords&gt;&lt;Keywords&gt;Wales&lt;/Keywords&gt;&lt;Keywords&gt;Women&lt;/Keywords&gt;&lt;Reprint&gt;Not in File&lt;/Reprint&gt;&lt;Start_Page&gt;1854&lt;/Start_Page&gt;&lt;End_Page&gt;1863&lt;/End_Page&gt;&lt;Periodical&gt;Int J Cancer&lt;/Periodical&gt;&lt;Volume&gt;123&lt;/Volume&gt;&lt;Issue&gt;8&lt;/Issue&gt;&lt;Address&gt;Cancer Epidemiology Research Unit, The Cancer Council New South Wales, Woolloomooloo, New South Wales, Australia&lt;/Address&gt;&lt;Web_URL&gt;PM:18636563&lt;/Web_URL&gt;&lt;ZZ_JournalStdAbbrev&gt;&lt;f name="System"&gt;Int J Cancer&lt;/f&gt;&lt;/ZZ_JournalStdAbbrev&gt;&lt;ZZ_WorkformID&gt;1&lt;/ZZ_WorkformID&gt;&lt;/MDL&gt;&lt;/Cite&gt;&lt;/Refman&gt;</w:instrText>
      </w:r>
      <w:r w:rsidRPr="00537C3C">
        <w:rPr>
          <w:rFonts w:cs="Arial"/>
          <w:iCs/>
        </w:rPr>
        <w:fldChar w:fldCharType="separate"/>
      </w:r>
      <w:r w:rsidRPr="00537C3C">
        <w:rPr>
          <w:rFonts w:cs="Arial"/>
          <w:iCs/>
        </w:rPr>
        <w:t>(Smith et al. 2008)</w:t>
      </w:r>
      <w:r w:rsidRPr="00537C3C">
        <w:rPr>
          <w:rFonts w:cs="Arial"/>
          <w:iCs/>
        </w:rPr>
        <w:fldChar w:fldCharType="end"/>
      </w:r>
      <w:r w:rsidRPr="00537C3C">
        <w:rPr>
          <w:rFonts w:cs="Arial"/>
          <w:iCs/>
        </w:rPr>
        <w:t xml:space="preserve">. For the current evaluation, we assumed that </w:t>
      </w:r>
      <w:r w:rsidRPr="00BB76D8">
        <w:rPr>
          <w:rFonts w:cs="Arial"/>
          <w:iCs/>
        </w:rPr>
        <w:t>HPV</w:t>
      </w:r>
      <w:r w:rsidRPr="00537C3C">
        <w:rPr>
          <w:rFonts w:cs="Arial"/>
          <w:iCs/>
        </w:rPr>
        <w:t xml:space="preserve"> incidence reflected an unvaccinated population.</w:t>
      </w:r>
    </w:p>
    <w:p w:rsidR="00234376" w:rsidRPr="00537C3C" w:rsidRDefault="00234376" w:rsidP="008E03A7">
      <w:pPr>
        <w:pStyle w:val="Heading5"/>
      </w:pPr>
      <w:r w:rsidRPr="00BB76D8">
        <w:t>CIN</w:t>
      </w:r>
      <w:r w:rsidRPr="00537C3C">
        <w:t xml:space="preserve"> natural history parameters</w:t>
      </w:r>
    </w:p>
    <w:p w:rsidR="00234376" w:rsidRDefault="00234376" w:rsidP="00234376">
      <w:pPr>
        <w:rPr>
          <w:rFonts w:cs="Arial"/>
        </w:rPr>
      </w:pPr>
      <w:r w:rsidRPr="00537C3C">
        <w:rPr>
          <w:rFonts w:cs="Arial"/>
        </w:rPr>
        <w:t xml:space="preserve">The parameters used for the natural history model were derived from a review of the international literature in 2004 </w:t>
      </w:r>
      <w:r w:rsidRPr="00537C3C">
        <w:rPr>
          <w:rFonts w:cs="Arial"/>
        </w:rPr>
        <w:fldChar w:fldCharType="begin"/>
      </w:r>
      <w:r w:rsidRPr="00537C3C">
        <w:rPr>
          <w:rFonts w:cs="Arial"/>
        </w:rPr>
        <w:instrText xml:space="preserve"> ADDIN REFMGR.CITE &lt;Refman&gt;&lt;Cite&gt;&lt;Author&gt;Canfell&lt;/Author&gt;&lt;Year&gt;2004&lt;/Year&gt;&lt;RecNum&gt;3414&lt;/RecNum&gt;&lt;IDText&gt;The predicted effect of changes in cervical screening practice in the UK: results from a modelling study&lt;/IDText&gt;&lt;MDL Ref_Type="Journal"&gt;&lt;Ref_Type&gt;Journal&lt;/Ref_Type&gt;&lt;Ref_ID&gt;3414&lt;/Ref_ID&gt;&lt;Title_Primary&gt;The predicted effect of changes in cervical screening practice in the UK: results from a modelling study&lt;/Title_Primary&gt;&lt;Authors_Primary&gt;Canfell,K.&lt;/Authors_Primary&gt;&lt;Authors_Primary&gt;Barnabas,R.&lt;/Authors_Primary&gt;&lt;Authors_Primary&gt;Patnick,J.&lt;/Authors_Primary&gt;&lt;Authors_Primary&gt;Beral,V.&lt;/Authors_Primary&gt;&lt;Date_Primary&gt;2004&lt;/Date_Primary&gt;&lt;Keywords&gt;Adult&lt;/Keywords&gt;&lt;Keywords&gt;Age Factors&lt;/Keywords&gt;&lt;Keywords&gt;Aged&lt;/Keywords&gt;&lt;Keywords&gt;Cancer&lt;/Keywords&gt;&lt;Keywords&gt;Cervical Intraepithelial&lt;/Keywords&gt;&lt;Keywords&gt;Cervical Intraepithelial Neoplasia&lt;/Keywords&gt;&lt;Keywords&gt;diagnosis&lt;/Keywords&gt;&lt;Keywords&gt;Epidemiology&lt;/Keywords&gt;&lt;Keywords&gt;Female&lt;/Keywords&gt;&lt;Keywords&gt;Great Britain&lt;/Keywords&gt;&lt;Keywords&gt;HPV&lt;/Keywords&gt;&lt;Keywords&gt;Humans&lt;/Keywords&gt;&lt;Keywords&gt;Incidence&lt;/Keywords&gt;&lt;Keywords&gt;Infection&lt;/Keywords&gt;&lt;Keywords&gt;Markov Chains&lt;/Keywords&gt;&lt;Keywords&gt;Mass Screening&lt;/Keywords&gt;&lt;Keywords&gt;Middle Aged&lt;/Keywords&gt;&lt;Keywords&gt;Model&lt;/Keywords&gt;&lt;Keywords&gt;Models,Theoretical&lt;/Keywords&gt;&lt;Keywords&gt;National Health Programs&lt;/Keywords&gt;&lt;Keywords&gt;Neoplasia&lt;/Keywords&gt;&lt;Keywords&gt;Neoplasm Invasiveness&lt;/Keywords&gt;&lt;Keywords&gt;Population&lt;/Keywords&gt;&lt;Keywords&gt;Practice&lt;/Keywords&gt;&lt;Keywords&gt;Practice Guidelines&lt;/Keywords&gt;&lt;Keywords&gt;Research&lt;/Keywords&gt;&lt;Keywords&gt;Research Support,Non-U.S.Gov&amp;apos;t&lt;/Keywords&gt;&lt;Keywords&gt;screening&lt;/Keywords&gt;&lt;Keywords&gt;Sensitivity and Specificity&lt;/Keywords&gt;&lt;Keywords&gt;Support&lt;/Keywords&gt;&lt;Keywords&gt;trends&lt;/Keywords&gt;&lt;Keywords&gt;Universities&lt;/Keywords&gt;&lt;Keywords&gt;Uterine Cervical Neoplasms&lt;/Keywords&gt;&lt;Keywords&gt;Women&lt;/Keywords&gt;&lt;Reprint&gt;Not in File&lt;/Reprint&gt;&lt;Start_Page&gt;530&lt;/Start_Page&gt;&lt;End_Page&gt;536&lt;/End_Page&gt;&lt;Periodical&gt;Br J Cancer&lt;/Periodical&gt;&lt;Volume&gt;91&lt;/Volume&gt;&lt;Issue&gt;3&lt;/Issue&gt;&lt;Address&gt;Cancer Research UK Epidemiology Unit, University of Oxford, Gibson Building, Radcliffe Infirmary, OX2 6HE, UK&lt;/Address&gt;&lt;Web_URL&gt;PM:15266332&lt;/Web_URL&gt;&lt;ZZ_JournalFull&gt;&lt;f name="System"&gt;Br J Cancer&lt;/f&gt;&lt;/ZZ_JournalFull&gt;&lt;ZZ_WorkformID&gt;1&lt;/ZZ_WorkformID&gt;&lt;/MDL&gt;&lt;/Cite&gt;&lt;/Refman&gt;</w:instrText>
      </w:r>
      <w:r w:rsidRPr="00537C3C">
        <w:rPr>
          <w:rFonts w:cs="Arial"/>
        </w:rPr>
        <w:fldChar w:fldCharType="separate"/>
      </w:r>
      <w:r w:rsidRPr="00537C3C">
        <w:rPr>
          <w:rFonts w:cs="Arial"/>
        </w:rPr>
        <w:t>(Canfell et al. 2004)</w:t>
      </w:r>
      <w:r w:rsidRPr="00537C3C">
        <w:rPr>
          <w:rFonts w:cs="Arial"/>
        </w:rPr>
        <w:fldChar w:fldCharType="end"/>
      </w:r>
      <w:r w:rsidRPr="00537C3C">
        <w:rPr>
          <w:rFonts w:cs="Arial"/>
        </w:rPr>
        <w:t xml:space="preserve"> and updated in 2006–07 in the course of a project for the NZ National Screening Unit </w:t>
      </w:r>
      <w:r w:rsidRPr="00537C3C">
        <w:fldChar w:fldCharType="begin"/>
      </w:r>
      <w:r w:rsidRPr="00537C3C">
        <w:instrText xml:space="preserve"> ADDIN REFMGR.CITE &lt;Refman&gt;&lt;Cite&gt;&lt;Author&gt;Canfell&lt;/Author&gt;&lt;Year&gt;2008&lt;/Year&gt;&lt;RecNum&gt;4980&lt;/RecNum&gt;&lt;IDText&gt;Cost-effectiveness of proposed changes to the National Cervical Screening Program&lt;/IDText&gt;&lt;MDL Ref_Type="Report"&gt;&lt;Ref_Type&gt;Report&lt;/Ref_Type&gt;&lt;Ref_ID&gt;4980&lt;/Ref_ID&gt;&lt;Title_Primary&gt;Cost-effectiveness of proposed changes to the National Cervical Screening Program&lt;/Title_Primary&gt;&lt;Authors_Primary&gt;Canfell,K.&lt;/Authors_Primary&gt;&lt;Authors_Primary&gt;Clements,M.&lt;/Authors_Primary&gt;&lt;Authors_Primary&gt;Harris,J.&lt;/Authors_Primary&gt;&lt;Date_Primary&gt;2008&lt;/Date_Primary&gt;&lt;Keywords&gt;cost-effectiveness&lt;/Keywords&gt;&lt;Keywords&gt;screening&lt;/Keywords&gt;&lt;Reprint&gt;In File&lt;/Reprint&gt;&lt;Periodical&gt;Report to the National Screening Unit, New Zealand.&lt;/Periodical&gt;&lt;ZZ_JournalStdAbbrev&gt;&lt;f name="System"&gt;Report to the National Screening Unit, New Zealand.&lt;/f&gt;&lt;/ZZ_JournalStdAbbrev&gt;&lt;ZZ_WorkformID&gt;24&lt;/ZZ_WorkformID&gt;&lt;/MDL&gt;&lt;/Cite&gt;&lt;/Refman&gt;</w:instrText>
      </w:r>
      <w:r w:rsidRPr="00537C3C">
        <w:fldChar w:fldCharType="separate"/>
      </w:r>
      <w:r w:rsidRPr="00537C3C">
        <w:t>(Canfell et al. 2008)</w:t>
      </w:r>
      <w:r w:rsidRPr="00537C3C">
        <w:fldChar w:fldCharType="end"/>
      </w:r>
      <w:r w:rsidRPr="00537C3C">
        <w:t>.</w:t>
      </w:r>
    </w:p>
    <w:p w:rsidR="00234376" w:rsidRPr="00537C3C" w:rsidRDefault="00234376" w:rsidP="008E03A7">
      <w:pPr>
        <w:pStyle w:val="Heading5"/>
      </w:pPr>
      <w:r w:rsidRPr="00537C3C">
        <w:t>Invasive cancer parameters</w:t>
      </w:r>
    </w:p>
    <w:p w:rsidR="00234376" w:rsidRDefault="00234376" w:rsidP="00234376">
      <w:pPr>
        <w:rPr>
          <w:rFonts w:cs="Arial"/>
        </w:rPr>
      </w:pPr>
      <w:r w:rsidRPr="00537C3C">
        <w:rPr>
          <w:rFonts w:cs="Arial"/>
        </w:rPr>
        <w:t xml:space="preserve">To model progression of undiagnosed invasive cervical cancer, we adapted previous estimates of the rates of progression between undiagnosed </w:t>
      </w:r>
      <w:r w:rsidRPr="00BB76D8">
        <w:rPr>
          <w:rFonts w:cs="Arial"/>
        </w:rPr>
        <w:t>FIGO</w:t>
      </w:r>
      <w:r w:rsidRPr="00537C3C">
        <w:rPr>
          <w:rFonts w:cs="Arial"/>
        </w:rPr>
        <w:t xml:space="preserve"> disease states </w:t>
      </w:r>
      <w:r w:rsidRPr="00537C3C">
        <w:rPr>
          <w:rFonts w:cs="Arial"/>
        </w:rPr>
        <w:fldChar w:fldCharType="begin"/>
      </w:r>
      <w:r w:rsidRPr="00537C3C">
        <w:rPr>
          <w:rFonts w:cs="Arial"/>
        </w:rPr>
        <w:instrText xml:space="preserve"> ADDIN REFMGR.CITE &lt;Refman&gt;&lt;Cite&gt;&lt;Author&gt;Myers&lt;/Author&gt;&lt;Year&gt;2000&lt;/Year&gt;&lt;RecNum&gt;3367&lt;/RecNum&gt;&lt;IDText&gt;Mathematical model for the natural history of human papillomavirus infection and cervical carcinogenesis&lt;/IDText&gt;&lt;MDL Ref_Type="Journal"&gt;&lt;Ref_Type&gt;Journal&lt;/Ref_Type&gt;&lt;Ref_ID&gt;3367&lt;/Ref_ID&gt;&lt;Title_Primary&gt;Mathematical model for the natural history of human papillomavirus infection and cervical carcinogenesis&lt;/Title_Primary&gt;&lt;Authors_Primary&gt;Myers,E.R.&lt;/Authors_Primary&gt;&lt;Authors_Primary&gt;McCrory,D.C.&lt;/Authors_Primary&gt;&lt;Authors_Primary&gt;Nanda,K.&lt;/Authors_Primary&gt;&lt;Authors_Primary&gt;Bastian,L.&lt;/Authors_Primary&gt;&lt;Authors_Primary&gt;Matchar,D.B.&lt;/Authors_Primary&gt;&lt;Date_Primary&gt;2000/6/15&lt;/Date_Primary&gt;&lt;Keywords&gt;Adolescent&lt;/Keywords&gt;&lt;Keywords&gt;Adult&lt;/Keywords&gt;&lt;Keywords&gt;Aged&lt;/Keywords&gt;&lt;Keywords&gt;Antiviral Agents&lt;/Keywords&gt;&lt;Keywords&gt;Cell Transformation,Neoplastic&lt;/Keywords&gt;&lt;Keywords&gt;complications&lt;/Keywords&gt;&lt;Keywords&gt;Cost-Benefit Analysis&lt;/Keywords&gt;&lt;Keywords&gt;economics&lt;/Keywords&gt;&lt;Keywords&gt;epidemiology&lt;/Keywords&gt;&lt;Keywords&gt;Female&lt;/Keywords&gt;&lt;Keywords&gt;Humans&lt;/Keywords&gt;&lt;Keywords&gt;Incidence&lt;/Keywords&gt;&lt;Keywords&gt;Markov Chains&lt;/Keywords&gt;&lt;Keywords&gt;Middle Aged&lt;/Keywords&gt;&lt;Keywords&gt;Models,Theoretical&lt;/Keywords&gt;&lt;Keywords&gt;mortality&lt;/Keywords&gt;&lt;Keywords&gt;Papillomaviridae&lt;/Keywords&gt;&lt;Keywords&gt;Papillomavirus Infections&lt;/Keywords&gt;&lt;Keywords&gt;prevention &amp;amp; control&lt;/Keywords&gt;&lt;Keywords&gt;Risk Assessment&lt;/Keywords&gt;&lt;Keywords&gt;therapeutic use&lt;/Keywords&gt;&lt;Keywords&gt;Tumor Virus Infections&lt;/Keywords&gt;&lt;Keywords&gt;Uterine Cervical Neoplasms&lt;/Keywords&gt;&lt;Keywords&gt;virology&lt;/Keywords&gt;&lt;Reprint&gt;Not in File&lt;/Reprint&gt;&lt;Start_Page&gt;1158&lt;/Start_Page&gt;&lt;End_Page&gt;1171&lt;/End_Page&gt;&lt;Periodical&gt;Am.J.Epidemiol.&lt;/Periodical&gt;&lt;Volume&gt;151&lt;/Volume&gt;&lt;Issue&gt;12&lt;/Issue&gt;&lt;ZZ_JournalStdAbbrev&gt;&lt;f name="System"&gt;Am.J.Epidemiol.&lt;/f&gt;&lt;/ZZ_JournalStdAbbrev&gt;&lt;ZZ_WorkformID&gt;1&lt;/ZZ_WorkformID&gt;&lt;/MDL&gt;&lt;/Cite&gt;&lt;/Refman&gt;</w:instrText>
      </w:r>
      <w:r w:rsidRPr="00537C3C">
        <w:rPr>
          <w:rFonts w:cs="Arial"/>
        </w:rPr>
        <w:fldChar w:fldCharType="separate"/>
      </w:r>
      <w:r w:rsidRPr="00537C3C">
        <w:rPr>
          <w:rFonts w:cs="Arial"/>
        </w:rPr>
        <w:t>(Myers et al. 2000)</w:t>
      </w:r>
      <w:r w:rsidRPr="00537C3C">
        <w:rPr>
          <w:rFonts w:cs="Arial"/>
        </w:rPr>
        <w:fldChar w:fldCharType="end"/>
      </w:r>
      <w:r w:rsidRPr="00537C3C">
        <w:rPr>
          <w:rFonts w:cs="Arial"/>
        </w:rPr>
        <w:t xml:space="preserve">. We also </w:t>
      </w:r>
      <w:r w:rsidRPr="004A4E07">
        <w:rPr>
          <w:rFonts w:cs="Arial"/>
        </w:rPr>
        <w:t xml:space="preserve">calculated </w:t>
      </w:r>
      <w:r w:rsidRPr="00537C3C">
        <w:rPr>
          <w:rFonts w:cs="Arial"/>
        </w:rPr>
        <w:t xml:space="preserve">rates of developing symptomatic and therefore diagnosed disease for each possible disease extent from Myers et al. </w:t>
      </w:r>
      <w:r w:rsidRPr="00537C3C">
        <w:rPr>
          <w:rFonts w:cs="Arial"/>
        </w:rPr>
        <w:fldChar w:fldCharType="begin"/>
      </w:r>
      <w:r w:rsidRPr="00537C3C">
        <w:rPr>
          <w:rFonts w:cs="Arial"/>
        </w:rPr>
        <w:instrText xml:space="preserve"> ADDIN REFMGR.CITE &lt;Refman&gt;&lt;Cite ExcludeAuth="1"&gt;&lt;Author&gt;Myers&lt;/Author&gt;&lt;Year&gt;2000&lt;/Year&gt;&lt;RecNum&gt;3367&lt;/RecNum&gt;&lt;IDText&gt;Mathematical model for the natural history of human papillomavirus infection and cervical carcinogenesis&lt;/IDText&gt;&lt;MDL Ref_Type="Journal"&gt;&lt;Ref_Type&gt;Journal&lt;/Ref_Type&gt;&lt;Ref_ID&gt;3367&lt;/Ref_ID&gt;&lt;Title_Primary&gt;Mathematical model for the natural history of human papillomavirus infection and cervical carcinogenesis&lt;/Title_Primary&gt;&lt;Authors_Primary&gt;Myers,E.R.&lt;/Authors_Primary&gt;&lt;Authors_Primary&gt;McCrory,D.C.&lt;/Authors_Primary&gt;&lt;Authors_Primary&gt;Nanda,K.&lt;/Authors_Primary&gt;&lt;Authors_Primary&gt;Bastian,L.&lt;/Authors_Primary&gt;&lt;Authors_Primary&gt;Matchar,D.B.&lt;/Authors_Primary&gt;&lt;Date_Primary&gt;2000/6/15&lt;/Date_Primary&gt;&lt;Keywords&gt;Adolescent&lt;/Keywords&gt;&lt;Keywords&gt;Adult&lt;/Keywords&gt;&lt;Keywords&gt;Aged&lt;/Keywords&gt;&lt;Keywords&gt;Antiviral Agents&lt;/Keywords&gt;&lt;Keywords&gt;Cell Transformation,Neoplastic&lt;/Keywords&gt;&lt;Keywords&gt;complications&lt;/Keywords&gt;&lt;Keywords&gt;Cost-Benefit Analysis&lt;/Keywords&gt;&lt;Keywords&gt;economics&lt;/Keywords&gt;&lt;Keywords&gt;epidemiology&lt;/Keywords&gt;&lt;Keywords&gt;Female&lt;/Keywords&gt;&lt;Keywords&gt;Humans&lt;/Keywords&gt;&lt;Keywords&gt;Incidence&lt;/Keywords&gt;&lt;Keywords&gt;Markov Chains&lt;/Keywords&gt;&lt;Keywords&gt;Middle Aged&lt;/Keywords&gt;&lt;Keywords&gt;Models,Theoretical&lt;/Keywords&gt;&lt;Keywords&gt;mortality&lt;/Keywords&gt;&lt;Keywords&gt;Papillomaviridae&lt;/Keywords&gt;&lt;Keywords&gt;Papillomavirus Infections&lt;/Keywords&gt;&lt;Keywords&gt;prevention &amp;amp; control&lt;/Keywords&gt;&lt;Keywords&gt;Risk Assessment&lt;/Keywords&gt;&lt;Keywords&gt;therapeutic use&lt;/Keywords&gt;&lt;Keywords&gt;Tumor Virus Infections&lt;/Keywords&gt;&lt;Keywords&gt;Uterine Cervical Neoplasms&lt;/Keywords&gt;&lt;Keywords&gt;virology&lt;/Keywords&gt;&lt;Reprint&gt;Not in File&lt;/Reprint&gt;&lt;Start_Page&gt;1158&lt;/Start_Page&gt;&lt;End_Page&gt;1171&lt;/End_Page&gt;&lt;Periodical&gt;Am.J.Epidemiol.&lt;/Periodical&gt;&lt;Volume&gt;151&lt;/Volume&gt;&lt;Issue&gt;12&lt;/Issue&gt;&lt;ZZ_JournalStdAbbrev&gt;&lt;f name="System"&gt;Am.J.Epidemiol.&lt;/f&gt;&lt;/ZZ_JournalStdAbbrev&gt;&lt;ZZ_WorkformID&gt;1&lt;/ZZ_WorkformID&gt;&lt;/MDL&gt;&lt;/Cite&gt;&lt;/Refman&gt;</w:instrText>
      </w:r>
      <w:r w:rsidRPr="00537C3C">
        <w:rPr>
          <w:rFonts w:cs="Arial"/>
        </w:rPr>
        <w:fldChar w:fldCharType="separate"/>
      </w:r>
      <w:r w:rsidRPr="00537C3C">
        <w:rPr>
          <w:rFonts w:cs="Arial"/>
        </w:rPr>
        <w:t>(2000)</w:t>
      </w:r>
      <w:r w:rsidRPr="00537C3C">
        <w:rPr>
          <w:rFonts w:cs="Arial"/>
        </w:rPr>
        <w:fldChar w:fldCharType="end"/>
      </w:r>
      <w:r w:rsidRPr="00537C3C">
        <w:rPr>
          <w:rFonts w:cs="Arial"/>
        </w:rPr>
        <w:t>.</w:t>
      </w:r>
    </w:p>
    <w:p w:rsidR="00234376" w:rsidRDefault="00234376" w:rsidP="00234376">
      <w:pPr>
        <w:rPr>
          <w:rFonts w:cs="Arial"/>
        </w:rPr>
      </w:pPr>
      <w:r w:rsidRPr="00537C3C">
        <w:rPr>
          <w:rFonts w:cs="Arial"/>
        </w:rPr>
        <w:t xml:space="preserve">Cancer survival parameters were based on cumulative relative survival ratios for invasive cervical cancer by extent of disease from the </w:t>
      </w:r>
      <w:r w:rsidRPr="00BB76D8">
        <w:rPr>
          <w:rFonts w:cs="Arial"/>
        </w:rPr>
        <w:t>NSW</w:t>
      </w:r>
      <w:r w:rsidRPr="00537C3C">
        <w:rPr>
          <w:rFonts w:cs="Arial"/>
        </w:rPr>
        <w:t xml:space="preserve"> </w:t>
      </w:r>
      <w:bookmarkStart w:id="528" w:name="OLE_LINK595"/>
      <w:bookmarkStart w:id="529" w:name="OLE_LINK596"/>
      <w:bookmarkStart w:id="530" w:name="OLE_LINK629"/>
      <w:r w:rsidRPr="006C24DD">
        <w:rPr>
          <w:rFonts w:cs="Arial"/>
        </w:rPr>
        <w:t xml:space="preserve">Central Cancer Registry </w:t>
      </w:r>
      <w:bookmarkEnd w:id="528"/>
      <w:bookmarkEnd w:id="529"/>
      <w:bookmarkEnd w:id="530"/>
      <w:r w:rsidRPr="006C24DD">
        <w:rPr>
          <w:rFonts w:cs="Arial"/>
        </w:rPr>
        <w:t>(NSW CCR</w:t>
      </w:r>
      <w:r w:rsidRPr="00537C3C">
        <w:rPr>
          <w:rFonts w:cs="Arial"/>
        </w:rPr>
        <w:t xml:space="preserve">) for women diagnosed with cervical cancer between 1991 and 2000, and followed up to 2001 (personal communication, Dianne O’Connell, Cancer Council </w:t>
      </w:r>
      <w:r w:rsidRPr="00BB76D8">
        <w:rPr>
          <w:rFonts w:cs="Arial"/>
        </w:rPr>
        <w:t>NSW</w:t>
      </w:r>
      <w:r w:rsidRPr="00537C3C">
        <w:rPr>
          <w:rFonts w:cs="Arial"/>
        </w:rPr>
        <w:t>).</w:t>
      </w:r>
    </w:p>
    <w:p w:rsidR="00234376" w:rsidRDefault="00234376" w:rsidP="00234376">
      <w:pPr>
        <w:rPr>
          <w:rFonts w:cs="Arial"/>
        </w:rPr>
      </w:pPr>
      <w:r w:rsidRPr="00537C3C">
        <w:rPr>
          <w:rFonts w:cs="Arial"/>
        </w:rPr>
        <w:t xml:space="preserve">A more detailed description of parameter derivations is presented in </w:t>
      </w:r>
      <w:r>
        <w:fldChar w:fldCharType="begin"/>
      </w:r>
      <w:r>
        <w:instrText xml:space="preserve"> REF _Ref212432848 \h  \* MERGEFORMAT </w:instrText>
      </w:r>
      <w:r>
        <w:fldChar w:fldCharType="separate"/>
      </w:r>
      <w:r w:rsidR="007D3DFF" w:rsidRPr="00537C3C">
        <w:t xml:space="preserve">Appendix </w:t>
      </w:r>
      <w:r w:rsidR="007D3DFF">
        <w:rPr>
          <w:noProof/>
        </w:rPr>
        <w:t>J</w:t>
      </w:r>
      <w:r w:rsidR="007D3DFF">
        <w:t xml:space="preserve">  </w:t>
      </w:r>
      <w:r w:rsidR="007D3DFF" w:rsidRPr="00537C3C">
        <w:t>Detailed model data sources</w:t>
      </w:r>
      <w:r>
        <w:fldChar w:fldCharType="end"/>
      </w:r>
      <w:r w:rsidRPr="00537C3C">
        <w:rPr>
          <w:rFonts w:cs="Arial"/>
        </w:rPr>
        <w:t>.</w:t>
      </w:r>
    </w:p>
    <w:p w:rsidR="00234376" w:rsidRPr="00537C3C" w:rsidRDefault="00234376" w:rsidP="008E03A7">
      <w:pPr>
        <w:pStyle w:val="Heading5"/>
      </w:pPr>
      <w:r w:rsidRPr="00537C3C">
        <w:t>Hysterectomy rate</w:t>
      </w:r>
    </w:p>
    <w:p w:rsidR="00234376" w:rsidRDefault="00234376" w:rsidP="00234376">
      <w:pPr>
        <w:rPr>
          <w:rFonts w:cs="Arial"/>
        </w:rPr>
      </w:pPr>
      <w:r w:rsidRPr="00537C3C">
        <w:rPr>
          <w:rFonts w:cs="Arial"/>
        </w:rPr>
        <w:t xml:space="preserve">Data on the annual age-specific probability of having a hysterectomy were derived from the 2001 and 2005 National Health Surveys </w:t>
      </w:r>
      <w:r w:rsidRPr="00537C3C">
        <w:rPr>
          <w:rFonts w:cs="Arial"/>
        </w:rPr>
        <w:fldChar w:fldCharType="begin"/>
      </w:r>
      <w:r w:rsidRPr="00537C3C">
        <w:rPr>
          <w:rFonts w:cs="Arial"/>
        </w:rPr>
        <w:instrText xml:space="preserve"> ADDIN REFMGR.CITE &lt;Refman&gt;&lt;Cite&gt;&lt;Author&gt;ABS&lt;/Author&gt;&lt;Year&gt;2002&lt;/Year&gt;&lt;RecNum&gt;2250&lt;/RecNum&gt;&lt;IDText&gt;National Health Survey, Summary of Results, Australia, 2001&lt;/IDText&gt;&lt;MDL Ref_Type="Serial (Book,Monograph)"&gt;&lt;Ref_Type&gt;Serial (Book,Monograph)&lt;/Ref_Type&gt;&lt;Ref_ID&gt;2250&lt;/Ref_ID&gt;&lt;Title_Primary&gt;National Health Survey, Summary of Results, Australia, 2001&lt;/Title_Primary&gt;&lt;Authors_Primary&gt;ABS&lt;/Authors_Primary&gt;&lt;Date_Primary&gt;2002&lt;/Date_Primary&gt;&lt;Keywords&gt;Australia&lt;/Keywords&gt;&lt;Reprint&gt;In File&lt;/Reprint&gt;&lt;Volume&gt;Cat. No. 4364.0&lt;/Volume&gt;&lt;Pub_Place&gt;Canberra&lt;/Pub_Place&gt;&lt;Publisher&gt;Australian Bureau of Statistics&lt;/Publisher&gt;&lt;ZZ_WorkformID&gt;25&lt;/ZZ_WorkformID&gt;&lt;/MDL&gt;&lt;/Cite&gt;&lt;Cite&gt;&lt;Author&gt;AIHW&lt;/Author&gt;&lt;Year&gt;2005&lt;/Year&gt;&lt;RecNum&gt;2568&lt;/RecNum&gt;&lt;IDText&gt;Cervical screening in Australia 2002-2003&lt;/IDText&gt;&lt;MDL Ref_Type="Generic"&gt;&lt;Ref_Type&gt;Generic&lt;/Ref_Type&gt;&lt;Ref_ID&gt;2568&lt;/Ref_ID&gt;&lt;Title_Primary&gt;Cervical screening in Australia 2002-2003&lt;/Title_Primary&gt;&lt;Authors_Primary&gt;AIHW&lt;/Authors_Primary&gt;&lt;Date_Primary&gt;2005&lt;/Date_Primary&gt;&lt;Keywords&gt;Australia&lt;/Keywords&gt;&lt;Keywords&gt;screening&lt;/Keywords&gt;&lt;Reprint&gt;In File&lt;/Reprint&gt;&lt;Volume&gt;AIHW cat. No. Can 26&lt;/Volume&gt;&lt;Pub_Place&gt;Canberra: AIHW&lt;/Pub_Place&gt;&lt;Publisher&gt;Australian Institute of Health and Welfare&lt;/Publisher&gt;&lt;User_Def_1&gt;(Cancer Series number 31)&lt;/User_Def_1&gt;&lt;ZZ_WorkformID&gt;33&lt;/ZZ_WorkformID&gt;&lt;/MDL&gt;&lt;/Cite&gt;&lt;/Refman&gt;</w:instrText>
      </w:r>
      <w:r w:rsidRPr="00537C3C">
        <w:rPr>
          <w:rFonts w:cs="Arial"/>
        </w:rPr>
        <w:fldChar w:fldCharType="separate"/>
      </w:r>
      <w:r w:rsidRPr="00537C3C">
        <w:rPr>
          <w:rFonts w:cs="Arial"/>
        </w:rPr>
        <w:t xml:space="preserve">(ABS 2002; </w:t>
      </w:r>
      <w:r w:rsidRPr="00BB76D8">
        <w:rPr>
          <w:rFonts w:cs="Arial"/>
        </w:rPr>
        <w:t>AIHW</w:t>
      </w:r>
      <w:r w:rsidRPr="00537C3C">
        <w:rPr>
          <w:rFonts w:cs="Arial"/>
        </w:rPr>
        <w:t xml:space="preserve"> 2005)</w:t>
      </w:r>
      <w:r w:rsidRPr="00537C3C">
        <w:rPr>
          <w:rFonts w:cs="Arial"/>
        </w:rPr>
        <w:fldChar w:fldCharType="end"/>
      </w:r>
      <w:r w:rsidRPr="00537C3C">
        <w:rPr>
          <w:rFonts w:cs="Arial"/>
        </w:rPr>
        <w:t>.</w:t>
      </w:r>
    </w:p>
    <w:p w:rsidR="00234376" w:rsidRPr="00537C3C" w:rsidRDefault="00234376" w:rsidP="008E03A7">
      <w:pPr>
        <w:pStyle w:val="Heading5"/>
      </w:pPr>
      <w:r w:rsidRPr="00537C3C">
        <w:t>Mortality rate</w:t>
      </w:r>
    </w:p>
    <w:p w:rsidR="00234376" w:rsidRDefault="00234376" w:rsidP="00234376">
      <w:r w:rsidRPr="00537C3C">
        <w:t xml:space="preserve">To model deaths from causes other than cervical cancer, we used data for all-cause mortality by 5-year age groups </w:t>
      </w:r>
      <w:r w:rsidRPr="00537C3C">
        <w:fldChar w:fldCharType="begin"/>
      </w:r>
      <w:r w:rsidRPr="00537C3C">
        <w:instrText xml:space="preserve"> ADDIN REFMGR.CITE &lt;Refman&gt;&lt;Cite&gt;&lt;Author&gt;ABS&lt;/Author&gt;&lt;Year&gt;2007&lt;/Year&gt;&lt;RecNum&gt;4908&lt;/RecNum&gt;&lt;IDText&gt;Deaths, Australia, 2006&lt;/IDText&gt;&lt;MDL Ref_Type="Serial (Book,Monograph)"&gt;&lt;Ref_Type&gt;Serial (Book,Monograph)&lt;/Ref_Type&gt;&lt;Ref_ID&gt;4908&lt;/Ref_ID&gt;&lt;Title_Primary&gt;Deaths, Australia, 2006&lt;/Title_Primary&gt;&lt;Authors_Primary&gt;ABS&lt;/Authors_Primary&gt;&lt;Date_Primary&gt;2007/11/9&lt;/Date_Primary&gt;&lt;Keywords&gt;Australia&lt;/Keywords&gt;&lt;Reprint&gt;Not in File&lt;/Reprint&gt;&lt;Pub_Place&gt;Canberra&lt;/Pub_Place&gt;&lt;Publisher&gt;Australian Bureau of Statistics&lt;/Publisher&gt;&lt;Title_Series&gt;Cat. No. 3302.0&lt;/Title_Series&gt;&lt;ZZ_WorkformID&gt;25&lt;/ZZ_WorkformID&gt;&lt;/MDL&gt;&lt;/Cite&gt;&lt;Cite&gt;&lt;Author&gt;AIHW&lt;/Author&gt;&lt;Year&gt;2007&lt;/Year&gt;&lt;RecNum&gt;3912&lt;/RecNum&gt;&lt;IDText&gt;ACIM (Australian Cancer Incidence and Mortality) Books&lt;/IDText&gt;&lt;MDL Ref_Type="Generic"&gt;&lt;Ref_Type&gt;Generic&lt;/Ref_Type&gt;&lt;Ref_ID&gt;3912&lt;/Ref_ID&gt;&lt;Title_Primary&gt;ACIM (Australian Cancer Incidence and Mortality) Books&lt;/Title_Primary&gt;&lt;Authors_Primary&gt;AIHW&lt;/Authors_Primary&gt;&lt;Date_Primary&gt;2007&lt;/Date_Primary&gt;&lt;Keywords&gt;Cancer&lt;/Keywords&gt;&lt;Keywords&gt;Incidence&lt;/Keywords&gt;&lt;Keywords&gt;mortality&lt;/Keywords&gt;&lt;Reprint&gt;In File&lt;/Reprint&gt;&lt;Pub_Place&gt;Canberra&lt;/Pub_Place&gt;&lt;Publisher&gt;Australian Institute of Health and Welfare&lt;/Publisher&gt;&lt;ZZ_WorkformID&gt;33&lt;/ZZ_WorkformID&gt;&lt;/MDL&gt;&lt;/Cite&gt;&lt;/Refman&gt;</w:instrText>
      </w:r>
      <w:r w:rsidRPr="00537C3C">
        <w:fldChar w:fldCharType="separate"/>
      </w:r>
      <w:r w:rsidRPr="00537C3C">
        <w:t xml:space="preserve">(ABS 2007; </w:t>
      </w:r>
      <w:r w:rsidRPr="00BB76D8">
        <w:t>AIHW</w:t>
      </w:r>
      <w:r w:rsidRPr="00537C3C">
        <w:t xml:space="preserve"> 2007a)</w:t>
      </w:r>
      <w:r w:rsidRPr="00537C3C">
        <w:fldChar w:fldCharType="end"/>
      </w:r>
      <w:r w:rsidRPr="00537C3C">
        <w:t xml:space="preserve"> and subtracted the cervical cancer mortality rate </w:t>
      </w:r>
      <w:r w:rsidRPr="00537C3C">
        <w:fldChar w:fldCharType="begin"/>
      </w:r>
      <w:r w:rsidRPr="00537C3C">
        <w:instrText xml:space="preserve"> ADDIN REFMGR.CITE &lt;Refman&gt;&lt;Cite&gt;&lt;Author&gt;AIHW&lt;/Author&gt;&lt;Year&gt;2008&lt;/Year&gt;&lt;RecNum&gt;4903&lt;/RecNum&gt;&lt;IDText&gt;Cervical screening in Australia 2005-2006&lt;/IDText&gt;&lt;MDL Ref_Type="Report"&gt;&lt;Ref_Type&gt;Report&lt;/Ref_Type&gt;&lt;Ref_ID&gt;4903&lt;/Ref_ID&gt;&lt;Title_Primary&gt;Cervical screening in Australia 2005-2006&lt;/Title_Primary&gt;&lt;Authors_Primary&gt;AIHW&lt;/Authors_Primary&gt;&lt;Date_Primary&gt;2008&lt;/Date_Primary&gt;&lt;Keywords&gt;Australia&lt;/Keywords&gt;&lt;Keywords&gt;Cancer&lt;/Keywords&gt;&lt;Keywords&gt;screening&lt;/Keywords&gt;&lt;Keywords&gt;cervical&lt;/Keywords&gt;&lt;Reprint&gt;Not in File&lt;/Reprint&gt;&lt;Volume&gt;AIHW cat. no. Can 36&lt;/Volume&gt;&lt;Pub_Place&gt;Canberra: AIHW&lt;/Pub_Place&gt;&lt;Publisher&gt;Australian Institute of Health and Welfare&lt;/Publisher&gt;&lt;Title_Series&gt;Cancer series no. 41&lt;/Title_Series&gt;&lt;ZZ_WorkformID&gt;24&lt;/ZZ_WorkformID&gt;&lt;/MDL&gt;&lt;/Cite&gt;&lt;/Refman&gt;</w:instrText>
      </w:r>
      <w:r w:rsidRPr="00537C3C">
        <w:fldChar w:fldCharType="separate"/>
      </w:r>
      <w:r w:rsidRPr="00537C3C">
        <w:t>(</w:t>
      </w:r>
      <w:r w:rsidRPr="00BB76D8">
        <w:t>AIHW</w:t>
      </w:r>
      <w:r w:rsidRPr="00537C3C">
        <w:t xml:space="preserve"> 2008)</w:t>
      </w:r>
      <w:r w:rsidRPr="00537C3C">
        <w:fldChar w:fldCharType="end"/>
      </w:r>
      <w:r w:rsidRPr="00537C3C">
        <w:t>.</w:t>
      </w:r>
    </w:p>
    <w:p w:rsidR="00234376" w:rsidRPr="00537C3C" w:rsidRDefault="00234376" w:rsidP="008E03A7">
      <w:pPr>
        <w:pStyle w:val="Heading5"/>
      </w:pPr>
      <w:r w:rsidRPr="00537C3C">
        <w:t>Compliance with screening and management recommendations</w:t>
      </w:r>
    </w:p>
    <w:p w:rsidR="00234376" w:rsidRPr="00537C3C" w:rsidRDefault="00234376" w:rsidP="008E03A7">
      <w:r w:rsidRPr="00537C3C">
        <w:t>The model incorporated information on compliance with screening and management recommendations obtained via analysis of data from the Victorian Cervical Cytology Register (</w:t>
      </w:r>
      <w:bookmarkStart w:id="531" w:name="OLE_LINK204"/>
      <w:bookmarkStart w:id="532" w:name="OLE_LINK205"/>
      <w:r w:rsidRPr="006C24DD">
        <w:t>VCCR</w:t>
      </w:r>
      <w:bookmarkEnd w:id="531"/>
      <w:bookmarkEnd w:id="532"/>
      <w:r w:rsidRPr="00537C3C">
        <w:t xml:space="preserve">). Data on cytology and histology for women from </w:t>
      </w:r>
      <w:smartTag w:uri="urn:schemas-microsoft-com:office:smarttags" w:element="place">
        <w:smartTag w:uri="urn:schemas-microsoft-com:office:smarttags" w:element="State">
          <w:r w:rsidRPr="00537C3C">
            <w:t>Victoria</w:t>
          </w:r>
        </w:smartTag>
      </w:smartTag>
      <w:r w:rsidRPr="00537C3C">
        <w:t xml:space="preserve"> were extracted from the </w:t>
      </w:r>
      <w:r w:rsidRPr="00BB76D8">
        <w:t>VCCR</w:t>
      </w:r>
      <w:r w:rsidRPr="00537C3C">
        <w:t xml:space="preserve"> for the period 1995–2007. Details are provided in </w:t>
      </w:r>
      <w:r w:rsidRPr="00234376">
        <w:fldChar w:fldCharType="begin"/>
      </w:r>
      <w:r w:rsidRPr="00234376">
        <w:instrText xml:space="preserve"> REF _Ref212432848 </w:instrText>
      </w:r>
      <w:r>
        <w:instrText>\</w:instrText>
      </w:r>
      <w:r w:rsidRPr="00234376">
        <w:instrText xml:space="preserve">h  </w:instrText>
      </w:r>
      <w:r>
        <w:instrText>\</w:instrText>
      </w:r>
      <w:r w:rsidRPr="00234376">
        <w:instrText xml:space="preserve">* MERGEFORMAT </w:instrText>
      </w:r>
      <w:r w:rsidRPr="00234376">
        <w:fldChar w:fldCharType="separate"/>
      </w:r>
      <w:r w:rsidR="007D3DFF" w:rsidRPr="00537C3C">
        <w:t xml:space="preserve">Appendix </w:t>
      </w:r>
      <w:r w:rsidR="007D3DFF">
        <w:rPr>
          <w:noProof/>
        </w:rPr>
        <w:t>J</w:t>
      </w:r>
      <w:r w:rsidR="007D3DFF">
        <w:t xml:space="preserve">  </w:t>
      </w:r>
      <w:r w:rsidR="007D3DFF" w:rsidRPr="00537C3C">
        <w:t>Detailed model data sources</w:t>
      </w:r>
      <w:r w:rsidRPr="00234376">
        <w:fldChar w:fldCharType="end"/>
      </w:r>
      <w:r w:rsidRPr="00537C3C">
        <w:t>.</w:t>
      </w:r>
    </w:p>
    <w:p w:rsidR="00234376" w:rsidRPr="00537C3C" w:rsidRDefault="00234376" w:rsidP="008E03A7">
      <w:pPr>
        <w:pStyle w:val="Heading6"/>
        <w:spacing w:after="0"/>
        <w:rPr>
          <w:szCs w:val="24"/>
        </w:rPr>
      </w:pPr>
      <w:r w:rsidRPr="00537C3C">
        <w:rPr>
          <w:szCs w:val="24"/>
        </w:rPr>
        <w:t>Age at screening initiation</w:t>
      </w:r>
    </w:p>
    <w:p w:rsidR="00234376" w:rsidRPr="00537C3C" w:rsidRDefault="00234376" w:rsidP="008E03A7">
      <w:pPr>
        <w:rPr>
          <w:szCs w:val="24"/>
        </w:rPr>
      </w:pPr>
      <w:r w:rsidRPr="00537C3C">
        <w:rPr>
          <w:szCs w:val="24"/>
        </w:rPr>
        <w:t>We did not use direct registry data on age of first attending for cervical screening, as it is influenced by the fact that the organised screening program was not in place when some older cohorts initiated screening. In particular, registry data on women who apparently first attend screening after the age of around 35 years will reflect cohort effects in women with different exposure to the organised program during their lifetime. Therefore we used the following approach.</w:t>
      </w:r>
    </w:p>
    <w:p w:rsidR="00234376" w:rsidRPr="00537C3C" w:rsidRDefault="00234376" w:rsidP="008E03A7">
      <w:pPr>
        <w:rPr>
          <w:szCs w:val="24"/>
        </w:rPr>
      </w:pPr>
      <w:r w:rsidRPr="00537C3C">
        <w:rPr>
          <w:szCs w:val="24"/>
        </w:rPr>
        <w:lastRenderedPageBreak/>
        <w:t xml:space="preserve">The proportion of women who initiate screening under the age of 20 was based on information from the </w:t>
      </w:r>
      <w:r w:rsidRPr="00BB76D8">
        <w:rPr>
          <w:szCs w:val="24"/>
        </w:rPr>
        <w:t>VCCR</w:t>
      </w:r>
      <w:r w:rsidRPr="00537C3C">
        <w:rPr>
          <w:szCs w:val="24"/>
        </w:rPr>
        <w:t xml:space="preserve">. From age 20, the additional proportion initiating screening each year was chosen to be consistent with the age-standardised rate of women aged 20 or more who are never screened </w:t>
      </w:r>
      <w:r w:rsidRPr="00537C3C">
        <w:rPr>
          <w:szCs w:val="24"/>
        </w:rPr>
        <w:fldChar w:fldCharType="begin"/>
      </w:r>
      <w:r w:rsidRPr="00537C3C">
        <w:rPr>
          <w:szCs w:val="24"/>
        </w:rPr>
        <w:instrText xml:space="preserve"> ADDIN REFMGR.CITE &lt;Refman&gt;&lt;Cite&gt;&lt;Author&gt;ABS&lt;/Author&gt;&lt;Year&gt;2002&lt;/Year&gt;&lt;RecNum&gt;2250&lt;/RecNum&gt;&lt;IDText&gt;National Health Survey, Summary of Results, Australia, 2001&lt;/IDText&gt;&lt;MDL Ref_Type="Serial (Book,Monograph)"&gt;&lt;Ref_Type&gt;Serial (Book,Monograph)&lt;/Ref_Type&gt;&lt;Ref_ID&gt;2250&lt;/Ref_ID&gt;&lt;Title_Primary&gt;National Health Survey, Summary of Results, Australia, 2001&lt;/Title_Primary&gt;&lt;Authors_Primary&gt;ABS&lt;/Authors_Primary&gt;&lt;Date_Primary&gt;2002&lt;/Date_Primary&gt;&lt;Keywords&gt;Australia&lt;/Keywords&gt;&lt;Reprint&gt;In File&lt;/Reprint&gt;&lt;Volume&gt;Cat. No. 4364.0&lt;/Volume&gt;&lt;Pub_Place&gt;Canberra&lt;/Pub_Place&gt;&lt;Publisher&gt;Australian Bureau of Statistics&lt;/Publisher&gt;&lt;ZZ_WorkformID&gt;25&lt;/ZZ_WorkformID&gt;&lt;/MDL&gt;&lt;/Cite&gt;&lt;Cite&gt;&lt;Author&gt;AIHW&lt;/Author&gt;&lt;Year&gt;2008&lt;/Year&gt;&lt;RecNum&gt;4903&lt;/RecNum&gt;&lt;IDText&gt;Cervical screening in Australia 2005-2006&lt;/IDText&gt;&lt;MDL Ref_Type="Report"&gt;&lt;Ref_Type&gt;Report&lt;/Ref_Type&gt;&lt;Ref_ID&gt;4903&lt;/Ref_ID&gt;&lt;Title_Primary&gt;Cervical screening in Australia 2005-2006&lt;/Title_Primary&gt;&lt;Authors_Primary&gt;AIHW&lt;/Authors_Primary&gt;&lt;Date_Primary&gt;2008&lt;/Date_Primary&gt;&lt;Keywords&gt;Australia&lt;/Keywords&gt;&lt;Keywords&gt;Cancer&lt;/Keywords&gt;&lt;Keywords&gt;screening&lt;/Keywords&gt;&lt;Keywords&gt;cervical&lt;/Keywords&gt;&lt;Reprint&gt;Not in File&lt;/Reprint&gt;&lt;Volume&gt;AIHW cat. no. Can 36&lt;/Volume&gt;&lt;Pub_Place&gt;Canberra: AIHW&lt;/Pub_Place&gt;&lt;Publisher&gt;Australian Institute of Health and Welfare&lt;/Publisher&gt;&lt;Title_Series&gt;Cancer series no. 41&lt;/Title_Series&gt;&lt;ZZ_WorkformID&gt;24&lt;/ZZ_WorkformID&gt;&lt;/MDL&gt;&lt;/Cite&gt;&lt;Cite&gt;&lt;Author&gt;ABS&lt;/Author&gt;&lt;Year&gt;2006&lt;/Year&gt;&lt;RecNum&gt;3915&lt;/RecNum&gt;&lt;IDText&gt;National Health Survey, Summary of Results, Australia, 2004-05&lt;/IDText&gt;&lt;MDL Ref_Type="Serial (Book,Monograph)"&gt;&lt;Ref_Type&gt;Serial (Book,Monograph)&lt;/Ref_Type&gt;&lt;Ref_ID&gt;3915&lt;/Ref_ID&gt;&lt;Title_Primary&gt;National Health Survey, Summary of Results, Australia, 2004-05&lt;/Title_Primary&gt;&lt;Authors_Primary&gt;ABS&lt;/Authors_Primary&gt;&lt;Date_Primary&gt;2006&lt;/Date_Primary&gt;&lt;Keywords&gt;Australia&lt;/Keywords&gt;&lt;Reprint&gt;In File&lt;/Reprint&gt;&lt;Volume&gt;Cat. No. 4364.0&lt;/Volume&gt;&lt;Pub_Place&gt;Canberra&lt;/Pub_Place&gt;&lt;Publisher&gt;Australian Bureau of Statistics&lt;/Publisher&gt;&lt;ZZ_WorkformID&gt;25&lt;/ZZ_WorkformID&gt;&lt;/MDL&gt;&lt;/Cite&gt;&lt;/Refman&gt;</w:instrText>
      </w:r>
      <w:r w:rsidRPr="00537C3C">
        <w:rPr>
          <w:szCs w:val="24"/>
        </w:rPr>
        <w:fldChar w:fldCharType="separate"/>
      </w:r>
      <w:r w:rsidRPr="00537C3C">
        <w:rPr>
          <w:szCs w:val="24"/>
        </w:rPr>
        <w:t xml:space="preserve">(ABS 2002; ABS 2006; </w:t>
      </w:r>
      <w:r w:rsidRPr="00BB76D8">
        <w:rPr>
          <w:szCs w:val="24"/>
        </w:rPr>
        <w:t>AIHW</w:t>
      </w:r>
      <w:r w:rsidRPr="00537C3C">
        <w:rPr>
          <w:szCs w:val="24"/>
        </w:rPr>
        <w:t xml:space="preserve"> 2008)</w:t>
      </w:r>
      <w:r w:rsidRPr="00537C3C">
        <w:rPr>
          <w:szCs w:val="24"/>
        </w:rPr>
        <w:fldChar w:fldCharType="end"/>
      </w:r>
      <w:r w:rsidRPr="00537C3C">
        <w:rPr>
          <w:szCs w:val="24"/>
        </w:rPr>
        <w:t>, and with 2-year participation in 20- to</w:t>
      </w:r>
      <w:r w:rsidRPr="00537C3C" w:rsidDel="00110B9C">
        <w:rPr>
          <w:szCs w:val="24"/>
        </w:rPr>
        <w:t xml:space="preserve"> </w:t>
      </w:r>
      <w:r w:rsidRPr="00537C3C">
        <w:rPr>
          <w:szCs w:val="24"/>
        </w:rPr>
        <w:t xml:space="preserve">24-year-olds </w:t>
      </w:r>
      <w:r w:rsidRPr="00537C3C">
        <w:rPr>
          <w:szCs w:val="24"/>
        </w:rPr>
        <w:fldChar w:fldCharType="begin"/>
      </w:r>
      <w:r w:rsidRPr="00537C3C">
        <w:rPr>
          <w:szCs w:val="24"/>
        </w:rPr>
        <w:instrText xml:space="preserve"> ADDIN REFMGR.CITE &lt;Refman&gt;&lt;Cite&gt;&lt;Author&gt;AIHW&lt;/Author&gt;&lt;Year&gt;2007&lt;/Year&gt;&lt;RecNum&gt;4853&lt;/RecNum&gt;&lt;IDText&gt;Cervical screening in Australia 2004-2005&lt;/IDText&gt;&lt;MDL Ref_Type="Report"&gt;&lt;Ref_Type&gt;Report&lt;/Ref_Type&gt;&lt;Ref_ID&gt;4853&lt;/Ref_ID&gt;&lt;Title_Primary&gt;Cervical screening in Australia 2004-2005&lt;/Title_Primary&gt;&lt;Authors_Primary&gt;AIHW&lt;/Authors_Primary&gt;&lt;Date_Primary&gt;2007&lt;/Date_Primary&gt;&lt;Keywords&gt;Australia&lt;/Keywords&gt;&lt;Keywords&gt;Cancer&lt;/Keywords&gt;&lt;Keywords&gt;screening&lt;/Keywords&gt;&lt;Keywords&gt;cervical&lt;/Keywords&gt;&lt;Reprint&gt;Not in File&lt;/Reprint&gt;&lt;Volume&gt;AIHW cat. No. Can 33&lt;/Volume&gt;&lt;Pub_Place&gt;Canberra: AIHW&lt;/Pub_Place&gt;&lt;Publisher&gt;Australian Institute of Health and Welfare&lt;/Publisher&gt;&lt;Title_Series&gt;(Cancer Series number 38)&lt;/Title_Series&gt;&lt;ZZ_WorkformID&gt;24&lt;/ZZ_WorkformID&gt;&lt;/MDL&gt;&lt;/Cite&gt;&lt;/Refman&gt;</w:instrText>
      </w:r>
      <w:r w:rsidRPr="00537C3C">
        <w:rPr>
          <w:szCs w:val="24"/>
        </w:rPr>
        <w:fldChar w:fldCharType="separate"/>
      </w:r>
      <w:r w:rsidRPr="00537C3C">
        <w:rPr>
          <w:szCs w:val="24"/>
        </w:rPr>
        <w:t>(</w:t>
      </w:r>
      <w:r w:rsidRPr="00BB76D8">
        <w:rPr>
          <w:szCs w:val="24"/>
        </w:rPr>
        <w:t>AIHW</w:t>
      </w:r>
      <w:r w:rsidRPr="00537C3C">
        <w:rPr>
          <w:szCs w:val="24"/>
        </w:rPr>
        <w:t xml:space="preserve"> 2007b)</w:t>
      </w:r>
      <w:r w:rsidRPr="00537C3C">
        <w:rPr>
          <w:szCs w:val="24"/>
        </w:rPr>
        <w:fldChar w:fldCharType="end"/>
      </w:r>
      <w:r w:rsidRPr="00537C3C">
        <w:rPr>
          <w:szCs w:val="24"/>
        </w:rPr>
        <w:t>.</w:t>
      </w:r>
    </w:p>
    <w:p w:rsidR="00234376" w:rsidRPr="00537C3C" w:rsidRDefault="00234376" w:rsidP="008E03A7">
      <w:r w:rsidRPr="00537C3C">
        <w:rPr>
          <w:szCs w:val="24"/>
        </w:rPr>
        <w:t xml:space="preserve">The modelled cumulative proportion of women who have attended screening at least once is shown in </w:t>
      </w:r>
      <w:r>
        <w:fldChar w:fldCharType="begin"/>
      </w:r>
      <w:r>
        <w:instrText xml:space="preserve"> REF _Ref209417491 \h  \* MERGEFORMAT </w:instrText>
      </w:r>
      <w:r>
        <w:fldChar w:fldCharType="separate"/>
      </w:r>
      <w:r w:rsidR="007D3DFF" w:rsidRPr="007D3DFF">
        <w:rPr>
          <w:szCs w:val="24"/>
        </w:rPr>
        <w:t xml:space="preserve">Figure </w:t>
      </w:r>
      <w:r w:rsidR="007D3DFF" w:rsidRPr="007D3DFF">
        <w:rPr>
          <w:noProof/>
          <w:szCs w:val="24"/>
        </w:rPr>
        <w:t>6</w:t>
      </w:r>
      <w:r>
        <w:fldChar w:fldCharType="end"/>
      </w:r>
      <w:r w:rsidRPr="00537C3C">
        <w:rPr>
          <w:szCs w:val="24"/>
        </w:rPr>
        <w:t>. Additional d</w:t>
      </w:r>
      <w:r w:rsidRPr="00537C3C">
        <w:t xml:space="preserve">etails are provided in </w:t>
      </w:r>
      <w:r w:rsidRPr="00234376">
        <w:fldChar w:fldCharType="begin"/>
      </w:r>
      <w:r w:rsidRPr="00234376">
        <w:instrText xml:space="preserve"> REF _Ref212432848 </w:instrText>
      </w:r>
      <w:r>
        <w:instrText>\</w:instrText>
      </w:r>
      <w:r w:rsidRPr="00234376">
        <w:instrText xml:space="preserve">h  </w:instrText>
      </w:r>
      <w:r>
        <w:instrText>\</w:instrText>
      </w:r>
      <w:r w:rsidRPr="00234376">
        <w:instrText xml:space="preserve">* MERGEFORMAT </w:instrText>
      </w:r>
      <w:r w:rsidRPr="00234376">
        <w:fldChar w:fldCharType="separate"/>
      </w:r>
      <w:r w:rsidR="007D3DFF" w:rsidRPr="00537C3C">
        <w:t xml:space="preserve">Appendix </w:t>
      </w:r>
      <w:r w:rsidR="007D3DFF">
        <w:rPr>
          <w:noProof/>
        </w:rPr>
        <w:t>J</w:t>
      </w:r>
      <w:r w:rsidR="007D3DFF">
        <w:t xml:space="preserve">  </w:t>
      </w:r>
      <w:r w:rsidR="007D3DFF" w:rsidRPr="00537C3C">
        <w:t>Detailed model data sources</w:t>
      </w:r>
      <w:r w:rsidRPr="00234376">
        <w:fldChar w:fldCharType="end"/>
      </w:r>
      <w:r w:rsidRPr="00537C3C">
        <w:t>.</w:t>
      </w:r>
    </w:p>
    <w:p w:rsidR="00234376" w:rsidRPr="00537C3C" w:rsidRDefault="00234376" w:rsidP="008E03A7">
      <w:pPr>
        <w:pStyle w:val="Caption"/>
      </w:pPr>
      <w:bookmarkStart w:id="533" w:name="_Ref209417491"/>
      <w:bookmarkStart w:id="534" w:name="_Toc231895847"/>
      <w:bookmarkStart w:id="535" w:name="_Toc222823903"/>
      <w:r w:rsidRPr="00537C3C">
        <w:t xml:space="preserve">Figure </w:t>
      </w:r>
      <w:fldSimple w:instr=" SEQ Figure \* ARABIC ">
        <w:r w:rsidR="007D3DFF">
          <w:rPr>
            <w:noProof/>
          </w:rPr>
          <w:t>6</w:t>
        </w:r>
      </w:fldSimple>
      <w:bookmarkEnd w:id="533"/>
      <w:r w:rsidRPr="00537C3C">
        <w:tab/>
        <w:t>Cumulative proportion of women ever screened by age.</w:t>
      </w:r>
      <w:bookmarkEnd w:id="534"/>
      <w:bookmarkEnd w:id="535"/>
    </w:p>
    <w:p w:rsidR="00234376" w:rsidRPr="00537C3C" w:rsidRDefault="006F242B" w:rsidP="008E03A7">
      <w:pPr>
        <w:ind w:left="0" w:firstLine="709"/>
        <w:jc w:val="both"/>
      </w:pPr>
      <w:r>
        <w:rPr>
          <w:noProof/>
          <w:lang w:eastAsia="en-AU"/>
        </w:rPr>
        <w:drawing>
          <wp:inline distT="0" distB="0" distL="0" distR="0" wp14:anchorId="1E758559" wp14:editId="1D895FD5">
            <wp:extent cx="4242435" cy="2552065"/>
            <wp:effectExtent l="0" t="0" r="24765" b="19685"/>
            <wp:docPr id="28" name="Object 28" title="Cumulative proportion of women ever screened by age."/>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34376" w:rsidRPr="00537C3C" w:rsidRDefault="00234376" w:rsidP="008E03A7">
      <w:pPr>
        <w:pStyle w:val="Heading5"/>
      </w:pPr>
      <w:bookmarkStart w:id="536" w:name="_Ref213638223"/>
      <w:r w:rsidRPr="00537C3C">
        <w:t>Test characteristics</w:t>
      </w:r>
      <w:r w:rsidR="00BB6534">
        <w:t xml:space="preserve"> </w:t>
      </w:r>
      <w:r w:rsidRPr="00537C3C">
        <w:t>—</w:t>
      </w:r>
      <w:r w:rsidR="00BB6534">
        <w:t xml:space="preserve"> </w:t>
      </w:r>
      <w:r w:rsidRPr="00537C3C">
        <w:t>cytology</w:t>
      </w:r>
      <w:bookmarkEnd w:id="536"/>
    </w:p>
    <w:p w:rsidR="00234376" w:rsidRDefault="00234376" w:rsidP="00234376">
      <w:r w:rsidRPr="00537C3C">
        <w:t>The model required a matrix of values that specify the relationship between each possible underlying natural history health state at the time of testing and each possible test result. We derived a series of test probability matrices for each of conventional, liquid-based, and automated cytology, based on the available evidence.</w:t>
      </w:r>
    </w:p>
    <w:p w:rsidR="00234376" w:rsidRDefault="00234376" w:rsidP="00234376">
      <w:r w:rsidRPr="00537C3C">
        <w:t>First, we derived a test probability matrix for conventional cytology, using published data to estimate how true underlying health states are distributed within each cytology result category, and data from registries to determine Australian reporting rates for each cytology test result. Our baseline test characteristics were chosen on the basis of best and most complete verification of results, use of Australian data where possible, and consistency of relative test performance with published data.</w:t>
      </w:r>
    </w:p>
    <w:p w:rsidR="00234376" w:rsidRPr="00537C3C" w:rsidRDefault="00234376" w:rsidP="008E03A7">
      <w:r w:rsidRPr="00537C3C">
        <w:t xml:space="preserve">The accuracy of the conventional cytology implied by the selected test probability matrix is detailed in </w:t>
      </w:r>
      <w:r>
        <w:fldChar w:fldCharType="begin"/>
      </w:r>
      <w:r>
        <w:instrText xml:space="preserve"> REF _Ref210021208 \h  \* MERGEFORMAT </w:instrText>
      </w:r>
      <w:r>
        <w:fldChar w:fldCharType="separate"/>
      </w:r>
      <w:r w:rsidR="007D3DFF" w:rsidRPr="00537C3C">
        <w:t xml:space="preserve">Table </w:t>
      </w:r>
      <w:r w:rsidR="007D3DFF">
        <w:rPr>
          <w:noProof/>
        </w:rPr>
        <w:t>28</w:t>
      </w:r>
      <w:r>
        <w:fldChar w:fldCharType="end"/>
      </w:r>
      <w:r w:rsidRPr="00537C3C">
        <w:t xml:space="preserve">. The calibrated accuracy of manual and automated </w:t>
      </w:r>
      <w:r w:rsidRPr="00BB76D8">
        <w:t>LBC</w:t>
      </w:r>
      <w:r w:rsidRPr="00537C3C">
        <w:t xml:space="preserve"> relative to conventional cytology is shown in </w:t>
      </w:r>
      <w:r>
        <w:fldChar w:fldCharType="begin"/>
      </w:r>
      <w:r>
        <w:instrText xml:space="preserve"> REF _Ref210021211 \h  \* MERGEFORMAT </w:instrText>
      </w:r>
      <w:r>
        <w:fldChar w:fldCharType="separate"/>
      </w:r>
      <w:r w:rsidR="007D3DFF" w:rsidRPr="00537C3C">
        <w:t xml:space="preserve">Table </w:t>
      </w:r>
      <w:r w:rsidR="007D3DFF">
        <w:rPr>
          <w:noProof/>
        </w:rPr>
        <w:t>29</w:t>
      </w:r>
      <w:r>
        <w:fldChar w:fldCharType="end"/>
      </w:r>
      <w:r w:rsidRPr="00537C3C">
        <w:t xml:space="preserve"> (see also </w:t>
      </w:r>
      <w:r>
        <w:fldChar w:fldCharType="begin"/>
      </w:r>
      <w:r>
        <w:instrText xml:space="preserve"> REF _Ref210623030 \h  \* MERGEFORMAT </w:instrText>
      </w:r>
      <w:r>
        <w:fldChar w:fldCharType="separate"/>
      </w:r>
      <w:r w:rsidR="007D3DFF" w:rsidRPr="00537C3C">
        <w:t xml:space="preserve">Table </w:t>
      </w:r>
      <w:r w:rsidR="007D3DFF">
        <w:rPr>
          <w:noProof/>
        </w:rPr>
        <w:t>49</w:t>
      </w:r>
      <w:r>
        <w:fldChar w:fldCharType="end"/>
      </w:r>
      <w:r w:rsidRPr="00537C3C">
        <w:t xml:space="preserve"> and </w:t>
      </w:r>
      <w:r>
        <w:fldChar w:fldCharType="begin"/>
      </w:r>
      <w:r>
        <w:instrText xml:space="preserve"> REF _Ref210623038 \h  \* MERGEFORMAT </w:instrText>
      </w:r>
      <w:r>
        <w:fldChar w:fldCharType="separate"/>
      </w:r>
      <w:r w:rsidR="007D3DFF" w:rsidRPr="00537C3C">
        <w:t xml:space="preserve">Table </w:t>
      </w:r>
      <w:r w:rsidR="007D3DFF">
        <w:rPr>
          <w:noProof/>
        </w:rPr>
        <w:t>50</w:t>
      </w:r>
      <w:r>
        <w:fldChar w:fldCharType="end"/>
      </w:r>
      <w:r w:rsidRPr="00537C3C">
        <w:t xml:space="preserve"> in ‘</w:t>
      </w:r>
      <w:r w:rsidRPr="00234376">
        <w:fldChar w:fldCharType="begin"/>
      </w:r>
      <w:r w:rsidRPr="00234376">
        <w:instrText xml:space="preserve"> REF _Ref210623061 </w:instrText>
      </w:r>
      <w:r>
        <w:instrText>\</w:instrText>
      </w:r>
      <w:r w:rsidRPr="00234376">
        <w:instrText xml:space="preserve">h  </w:instrText>
      </w:r>
      <w:r>
        <w:instrText>\</w:instrText>
      </w:r>
      <w:r w:rsidRPr="00234376">
        <w:instrText xml:space="preserve">* MERGEFORMAT </w:instrText>
      </w:r>
      <w:r w:rsidRPr="00234376">
        <w:fldChar w:fldCharType="separate"/>
      </w:r>
      <w:r w:rsidR="007D3DFF" w:rsidRPr="00537C3C">
        <w:t>Calibration of the screening model</w:t>
      </w:r>
      <w:r w:rsidRPr="00234376">
        <w:fldChar w:fldCharType="end"/>
      </w:r>
      <w:r w:rsidRPr="00537C3C">
        <w:t xml:space="preserve">’, page </w:t>
      </w:r>
      <w:r w:rsidRPr="00537C3C">
        <w:fldChar w:fldCharType="begin"/>
      </w:r>
      <w:r w:rsidRPr="00537C3C">
        <w:instrText xml:space="preserve"> PAGEREF _Ref219604665 \h </w:instrText>
      </w:r>
      <w:r w:rsidRPr="00537C3C">
        <w:fldChar w:fldCharType="separate"/>
      </w:r>
      <w:r w:rsidR="007D3DFF">
        <w:rPr>
          <w:noProof/>
        </w:rPr>
        <w:t>88</w:t>
      </w:r>
      <w:r w:rsidRPr="00537C3C">
        <w:fldChar w:fldCharType="end"/>
      </w:r>
      <w:r w:rsidRPr="00537C3C">
        <w:t>). A range of values were derived for sensitivity analysis.</w:t>
      </w:r>
    </w:p>
    <w:p w:rsidR="00234376" w:rsidRPr="00537C3C" w:rsidRDefault="00234376" w:rsidP="008E03A7">
      <w:pPr>
        <w:pStyle w:val="Caption"/>
      </w:pPr>
      <w:bookmarkStart w:id="537" w:name="_Ref210021208"/>
      <w:bookmarkStart w:id="538" w:name="_Ref219606916"/>
      <w:bookmarkStart w:id="539" w:name="_Toc95971264"/>
      <w:r w:rsidRPr="00537C3C">
        <w:lastRenderedPageBreak/>
        <w:t xml:space="preserve">Table </w:t>
      </w:r>
      <w:fldSimple w:instr=" SEQ Table \* ARABIC ">
        <w:r w:rsidR="007D3DFF">
          <w:rPr>
            <w:noProof/>
          </w:rPr>
          <w:t>28</w:t>
        </w:r>
      </w:fldSimple>
      <w:bookmarkEnd w:id="537"/>
      <w:r w:rsidRPr="00537C3C">
        <w:tab/>
        <w:t xml:space="preserve">Implied sensitivity and specificity of conventional cytology for </w:t>
      </w:r>
      <w:r w:rsidRPr="00BB76D8">
        <w:t>CIN</w:t>
      </w:r>
      <w:r w:rsidRPr="00537C3C">
        <w:t xml:space="preserve"> 2+, based on the baseline test probability matrix</w:t>
      </w:r>
      <w:bookmarkEnd w:id="538"/>
      <w:r w:rsidRPr="00537C3C">
        <w:t>.</w:t>
      </w:r>
      <w:bookmarkEnd w:id="539"/>
    </w:p>
    <w:tbl>
      <w:tblPr>
        <w:tblW w:w="4818" w:type="dxa"/>
        <w:tblInd w:w="840" w:type="dxa"/>
        <w:tblBorders>
          <w:top w:val="single" w:sz="4" w:space="0" w:color="auto"/>
          <w:bottom w:val="single" w:sz="4" w:space="0" w:color="auto"/>
          <w:insideH w:val="single" w:sz="4" w:space="0" w:color="auto"/>
        </w:tblBorders>
        <w:tblLook w:val="01E0" w:firstRow="1" w:lastRow="1" w:firstColumn="1" w:lastColumn="1" w:noHBand="0" w:noVBand="0"/>
      </w:tblPr>
      <w:tblGrid>
        <w:gridCol w:w="1606"/>
        <w:gridCol w:w="1606"/>
        <w:gridCol w:w="1606"/>
      </w:tblGrid>
      <w:tr w:rsidR="00234376" w:rsidRPr="00537C3C">
        <w:tc>
          <w:tcPr>
            <w:tcW w:w="1606" w:type="dxa"/>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Test threshold</w:t>
            </w:r>
          </w:p>
        </w:tc>
        <w:tc>
          <w:tcPr>
            <w:tcW w:w="1606" w:type="dxa"/>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Sensitivity %</w:t>
            </w:r>
          </w:p>
        </w:tc>
        <w:tc>
          <w:tcPr>
            <w:tcW w:w="1606" w:type="dxa"/>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 xml:space="preserve">Specificity % </w:t>
            </w:r>
          </w:p>
        </w:tc>
      </w:tr>
      <w:tr w:rsidR="00234376" w:rsidRPr="00537C3C">
        <w:tc>
          <w:tcPr>
            <w:tcW w:w="1606" w:type="dxa"/>
            <w:tcBorders>
              <w:bottom w:val="nil"/>
            </w:tcBorders>
          </w:tcPr>
          <w:p w:rsidR="00234376" w:rsidRPr="00537C3C" w:rsidRDefault="00234376" w:rsidP="008E03A7">
            <w:pPr>
              <w:pStyle w:val="TableText0"/>
              <w:rPr>
                <w:rFonts w:ascii="Arial Narrow" w:hAnsi="Arial Narrow"/>
              </w:rPr>
            </w:pPr>
          </w:p>
        </w:tc>
        <w:tc>
          <w:tcPr>
            <w:tcW w:w="1606" w:type="dxa"/>
            <w:tcBorders>
              <w:bottom w:val="nil"/>
            </w:tcBorders>
          </w:tcPr>
          <w:p w:rsidR="00234376" w:rsidRPr="00537C3C" w:rsidRDefault="00234376" w:rsidP="008E03A7">
            <w:pPr>
              <w:pStyle w:val="TableHeading0"/>
              <w:spacing w:before="0" w:after="0"/>
              <w:rPr>
                <w:rFonts w:ascii="Arial Narrow" w:hAnsi="Arial Narrow"/>
                <w:bCs/>
                <w:sz w:val="20"/>
              </w:rPr>
            </w:pPr>
          </w:p>
        </w:tc>
        <w:tc>
          <w:tcPr>
            <w:tcW w:w="1606" w:type="dxa"/>
            <w:tcBorders>
              <w:bottom w:val="nil"/>
            </w:tcBorders>
          </w:tcPr>
          <w:p w:rsidR="00234376" w:rsidRPr="00537C3C" w:rsidRDefault="00234376" w:rsidP="008E03A7">
            <w:pPr>
              <w:pStyle w:val="TableHeading0"/>
              <w:spacing w:before="0" w:after="0"/>
              <w:jc w:val="center"/>
            </w:pPr>
          </w:p>
        </w:tc>
      </w:tr>
      <w:tr w:rsidR="00234376" w:rsidRPr="00537C3C">
        <w:tc>
          <w:tcPr>
            <w:tcW w:w="1606" w:type="dxa"/>
            <w:tcBorders>
              <w:top w:val="nil"/>
              <w:bottom w:val="nil"/>
            </w:tcBorders>
          </w:tcPr>
          <w:p w:rsidR="00234376" w:rsidRPr="00537C3C" w:rsidRDefault="00234376" w:rsidP="008E03A7">
            <w:pPr>
              <w:pStyle w:val="TableText0"/>
              <w:rPr>
                <w:rFonts w:ascii="Arial Narrow" w:hAnsi="Arial Narrow"/>
              </w:rPr>
            </w:pPr>
            <w:r w:rsidRPr="00537C3C">
              <w:rPr>
                <w:rFonts w:ascii="Arial Narrow" w:hAnsi="Arial Narrow"/>
              </w:rPr>
              <w:t xml:space="preserve">Possible </w:t>
            </w:r>
            <w:r w:rsidRPr="00BB76D8">
              <w:rPr>
                <w:rFonts w:ascii="Arial Narrow" w:hAnsi="Arial Narrow"/>
              </w:rPr>
              <w:t>LSIL</w:t>
            </w:r>
          </w:p>
        </w:tc>
        <w:tc>
          <w:tcPr>
            <w:tcW w:w="1606" w:type="dxa"/>
            <w:tcBorders>
              <w:top w:val="nil"/>
              <w:bottom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88.2</w:t>
            </w:r>
          </w:p>
        </w:tc>
        <w:tc>
          <w:tcPr>
            <w:tcW w:w="1606" w:type="dxa"/>
            <w:tcBorders>
              <w:top w:val="nil"/>
              <w:bottom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95.4</w:t>
            </w:r>
          </w:p>
        </w:tc>
      </w:tr>
      <w:tr w:rsidR="00234376" w:rsidRPr="00537C3C">
        <w:tc>
          <w:tcPr>
            <w:tcW w:w="1606" w:type="dxa"/>
            <w:tcBorders>
              <w:top w:val="nil"/>
              <w:bottom w:val="nil"/>
            </w:tcBorders>
          </w:tcPr>
          <w:p w:rsidR="00234376" w:rsidRPr="00537C3C" w:rsidRDefault="00234376" w:rsidP="008E03A7">
            <w:pPr>
              <w:pStyle w:val="TableText0"/>
              <w:rPr>
                <w:rFonts w:ascii="Arial Narrow" w:hAnsi="Arial Narrow"/>
              </w:rPr>
            </w:pPr>
            <w:r w:rsidRPr="00537C3C">
              <w:rPr>
                <w:rFonts w:ascii="Arial Narrow" w:hAnsi="Arial Narrow"/>
              </w:rPr>
              <w:t xml:space="preserve">Definite </w:t>
            </w:r>
            <w:r w:rsidRPr="00BB76D8">
              <w:rPr>
                <w:rFonts w:ascii="Arial Narrow" w:hAnsi="Arial Narrow"/>
              </w:rPr>
              <w:t>LSIL</w:t>
            </w:r>
          </w:p>
        </w:tc>
        <w:tc>
          <w:tcPr>
            <w:tcW w:w="1606" w:type="dxa"/>
            <w:tcBorders>
              <w:top w:val="nil"/>
              <w:bottom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72.2</w:t>
            </w:r>
          </w:p>
        </w:tc>
        <w:tc>
          <w:tcPr>
            <w:tcW w:w="1606" w:type="dxa"/>
            <w:tcBorders>
              <w:top w:val="nil"/>
              <w:bottom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97.6</w:t>
            </w:r>
          </w:p>
        </w:tc>
      </w:tr>
      <w:tr w:rsidR="00234376" w:rsidRPr="00537C3C">
        <w:tc>
          <w:tcPr>
            <w:tcW w:w="1606" w:type="dxa"/>
            <w:tcBorders>
              <w:top w:val="nil"/>
            </w:tcBorders>
          </w:tcPr>
          <w:p w:rsidR="00234376" w:rsidRPr="00537C3C" w:rsidRDefault="00234376" w:rsidP="008E03A7">
            <w:pPr>
              <w:pStyle w:val="TableHeading0"/>
              <w:spacing w:before="0" w:after="0"/>
              <w:rPr>
                <w:rFonts w:ascii="Arial Narrow" w:hAnsi="Arial Narrow"/>
                <w:bCs/>
                <w:sz w:val="20"/>
              </w:rPr>
            </w:pPr>
          </w:p>
        </w:tc>
        <w:tc>
          <w:tcPr>
            <w:tcW w:w="1606" w:type="dxa"/>
            <w:tcBorders>
              <w:top w:val="nil"/>
            </w:tcBorders>
          </w:tcPr>
          <w:p w:rsidR="00234376" w:rsidRPr="00537C3C" w:rsidRDefault="00234376" w:rsidP="008E03A7">
            <w:pPr>
              <w:pStyle w:val="TableHeading0"/>
              <w:spacing w:before="0" w:after="0"/>
              <w:rPr>
                <w:rFonts w:ascii="Arial Narrow" w:hAnsi="Arial Narrow"/>
                <w:bCs/>
                <w:sz w:val="20"/>
              </w:rPr>
            </w:pPr>
          </w:p>
        </w:tc>
        <w:tc>
          <w:tcPr>
            <w:tcW w:w="1606" w:type="dxa"/>
            <w:tcBorders>
              <w:top w:val="nil"/>
            </w:tcBorders>
          </w:tcPr>
          <w:p w:rsidR="00234376" w:rsidRPr="00537C3C" w:rsidRDefault="00234376" w:rsidP="008E03A7">
            <w:pPr>
              <w:pStyle w:val="TableHeading0"/>
              <w:spacing w:before="0" w:after="0"/>
              <w:jc w:val="center"/>
            </w:pPr>
          </w:p>
        </w:tc>
      </w:tr>
    </w:tbl>
    <w:p w:rsidR="00234376" w:rsidRPr="00537C3C" w:rsidRDefault="00234376" w:rsidP="008E03A7"/>
    <w:p w:rsidR="00234376" w:rsidRPr="008D604B" w:rsidRDefault="00234376" w:rsidP="008E03A7">
      <w:pPr>
        <w:pStyle w:val="Caption"/>
      </w:pPr>
      <w:bookmarkStart w:id="540" w:name="_Ref210021211"/>
      <w:bookmarkStart w:id="541" w:name="_Ref213580836"/>
      <w:bookmarkStart w:id="542" w:name="_Toc95971265"/>
      <w:r w:rsidRPr="00537C3C">
        <w:t xml:space="preserve">Table </w:t>
      </w:r>
      <w:fldSimple w:instr=" SEQ Table \* ARABIC ">
        <w:r w:rsidR="007D3DFF">
          <w:rPr>
            <w:noProof/>
          </w:rPr>
          <w:t>29</w:t>
        </w:r>
      </w:fldSimple>
      <w:bookmarkEnd w:id="540"/>
      <w:r w:rsidRPr="00537C3C">
        <w:tab/>
        <w:t xml:space="preserve">Implied </w:t>
      </w:r>
      <w:r w:rsidRPr="008D604B">
        <w:t>sensitivity and specificity of manual and automated LBC for CIN 2+, relative to conventional cytology (test threshold of possible pLSIL)</w:t>
      </w:r>
      <w:bookmarkEnd w:id="541"/>
      <w:r w:rsidR="00BB6534" w:rsidRPr="008D604B">
        <w:t>, based on the calibrated test probability matrices for manually read and automated LBC</w:t>
      </w:r>
      <w:r w:rsidRPr="008D604B">
        <w:t>.</w:t>
      </w:r>
      <w:bookmarkEnd w:id="542"/>
    </w:p>
    <w:tbl>
      <w:tblPr>
        <w:tblW w:w="8363" w:type="dxa"/>
        <w:tblInd w:w="840" w:type="dxa"/>
        <w:tblBorders>
          <w:top w:val="single" w:sz="4" w:space="0" w:color="auto"/>
          <w:bottom w:val="single" w:sz="4" w:space="0" w:color="auto"/>
          <w:insideH w:val="single" w:sz="4" w:space="0" w:color="auto"/>
        </w:tblBorders>
        <w:tblLook w:val="01E0" w:firstRow="1" w:lastRow="1" w:firstColumn="1" w:lastColumn="1" w:noHBand="0" w:noVBand="0"/>
      </w:tblPr>
      <w:tblGrid>
        <w:gridCol w:w="2883"/>
        <w:gridCol w:w="2740"/>
        <w:gridCol w:w="2740"/>
      </w:tblGrid>
      <w:tr w:rsidR="00234376" w:rsidRPr="008D604B">
        <w:tc>
          <w:tcPr>
            <w:tcW w:w="2883" w:type="dxa"/>
            <w:vAlign w:val="center"/>
          </w:tcPr>
          <w:p w:rsidR="00234376" w:rsidRPr="008D604B" w:rsidRDefault="00234376" w:rsidP="008E03A7">
            <w:pPr>
              <w:pStyle w:val="TableHeading0"/>
              <w:spacing w:before="0" w:after="0"/>
              <w:rPr>
                <w:rFonts w:ascii="Arial Narrow" w:hAnsi="Arial Narrow"/>
                <w:bCs/>
                <w:sz w:val="20"/>
              </w:rPr>
            </w:pPr>
            <w:r w:rsidRPr="008D604B">
              <w:rPr>
                <w:rFonts w:ascii="Arial Narrow" w:hAnsi="Arial Narrow"/>
                <w:bCs/>
                <w:sz w:val="20"/>
              </w:rPr>
              <w:t>Cytology test technology</w:t>
            </w:r>
          </w:p>
        </w:tc>
        <w:tc>
          <w:tcPr>
            <w:tcW w:w="2740" w:type="dxa"/>
            <w:vAlign w:val="center"/>
          </w:tcPr>
          <w:p w:rsidR="00234376" w:rsidRPr="008D604B" w:rsidRDefault="00234376" w:rsidP="008E03A7">
            <w:pPr>
              <w:pStyle w:val="TableHeading0"/>
              <w:spacing w:before="120" w:after="120"/>
              <w:jc w:val="center"/>
            </w:pPr>
            <w:r w:rsidRPr="008D604B">
              <w:t>Sensitivity relative to conventional</w:t>
            </w:r>
          </w:p>
        </w:tc>
        <w:tc>
          <w:tcPr>
            <w:tcW w:w="2740" w:type="dxa"/>
            <w:vAlign w:val="center"/>
          </w:tcPr>
          <w:p w:rsidR="00234376" w:rsidRPr="008D604B" w:rsidRDefault="00234376" w:rsidP="008E03A7">
            <w:pPr>
              <w:pStyle w:val="TableHeading0"/>
              <w:spacing w:before="120" w:after="120"/>
              <w:jc w:val="center"/>
              <w:rPr>
                <w:rFonts w:ascii="Arial Narrow" w:hAnsi="Arial Narrow"/>
                <w:bCs/>
                <w:sz w:val="20"/>
              </w:rPr>
            </w:pPr>
            <w:r w:rsidRPr="008D604B">
              <w:rPr>
                <w:rFonts w:ascii="Arial Narrow" w:hAnsi="Arial Narrow"/>
                <w:bCs/>
                <w:sz w:val="20"/>
              </w:rPr>
              <w:t>Specificity relative to conventional</w:t>
            </w:r>
          </w:p>
        </w:tc>
      </w:tr>
      <w:tr w:rsidR="00234376" w:rsidRPr="008D604B">
        <w:tc>
          <w:tcPr>
            <w:tcW w:w="2883" w:type="dxa"/>
            <w:tcBorders>
              <w:bottom w:val="nil"/>
            </w:tcBorders>
          </w:tcPr>
          <w:p w:rsidR="00234376" w:rsidRPr="008D604B" w:rsidRDefault="00234376" w:rsidP="008E03A7">
            <w:pPr>
              <w:pStyle w:val="TableText0"/>
              <w:rPr>
                <w:rFonts w:ascii="Arial Narrow" w:hAnsi="Arial Narrow"/>
              </w:rPr>
            </w:pPr>
          </w:p>
        </w:tc>
        <w:tc>
          <w:tcPr>
            <w:tcW w:w="2740" w:type="dxa"/>
            <w:tcBorders>
              <w:bottom w:val="nil"/>
            </w:tcBorders>
            <w:vAlign w:val="center"/>
          </w:tcPr>
          <w:p w:rsidR="00234376" w:rsidRPr="008D604B" w:rsidRDefault="00234376" w:rsidP="008E03A7">
            <w:pPr>
              <w:pStyle w:val="TableText0"/>
              <w:jc w:val="center"/>
              <w:rPr>
                <w:rFonts w:ascii="Arial Narrow" w:hAnsi="Arial Narrow"/>
              </w:rPr>
            </w:pPr>
          </w:p>
        </w:tc>
        <w:tc>
          <w:tcPr>
            <w:tcW w:w="2740" w:type="dxa"/>
            <w:tcBorders>
              <w:bottom w:val="nil"/>
            </w:tcBorders>
            <w:vAlign w:val="center"/>
          </w:tcPr>
          <w:p w:rsidR="00234376" w:rsidRPr="008D604B" w:rsidRDefault="00234376" w:rsidP="008E03A7">
            <w:pPr>
              <w:pStyle w:val="TableText0"/>
              <w:jc w:val="center"/>
              <w:rPr>
                <w:rFonts w:ascii="Arial Narrow" w:hAnsi="Arial Narrow"/>
              </w:rPr>
            </w:pPr>
          </w:p>
        </w:tc>
      </w:tr>
      <w:tr w:rsidR="00234376" w:rsidRPr="008D604B">
        <w:tc>
          <w:tcPr>
            <w:tcW w:w="2883" w:type="dxa"/>
            <w:tcBorders>
              <w:top w:val="nil"/>
              <w:bottom w:val="nil"/>
            </w:tcBorders>
          </w:tcPr>
          <w:p w:rsidR="00234376" w:rsidRPr="008D604B" w:rsidRDefault="00234376" w:rsidP="008E03A7">
            <w:pPr>
              <w:pStyle w:val="TableText0"/>
              <w:rPr>
                <w:rFonts w:ascii="Arial Narrow" w:hAnsi="Arial Narrow"/>
              </w:rPr>
            </w:pPr>
            <w:r w:rsidRPr="008D604B">
              <w:rPr>
                <w:rFonts w:ascii="Arial Narrow" w:hAnsi="Arial Narrow"/>
              </w:rPr>
              <w:t>LBC (manual reading)</w:t>
            </w:r>
          </w:p>
        </w:tc>
        <w:tc>
          <w:tcPr>
            <w:tcW w:w="2740" w:type="dxa"/>
            <w:tcBorders>
              <w:top w:val="nil"/>
              <w:bottom w:val="nil"/>
            </w:tcBorders>
            <w:vAlign w:val="center"/>
          </w:tcPr>
          <w:p w:rsidR="00234376" w:rsidRPr="008D604B" w:rsidRDefault="00234376" w:rsidP="008E03A7">
            <w:pPr>
              <w:pStyle w:val="TableText0"/>
              <w:jc w:val="center"/>
              <w:rPr>
                <w:rFonts w:ascii="Arial Narrow" w:hAnsi="Arial Narrow"/>
              </w:rPr>
            </w:pPr>
            <w:r w:rsidRPr="008D604B">
              <w:rPr>
                <w:rFonts w:ascii="Arial Narrow" w:hAnsi="Arial Narrow"/>
              </w:rPr>
              <w:t>1.03</w:t>
            </w:r>
          </w:p>
        </w:tc>
        <w:tc>
          <w:tcPr>
            <w:tcW w:w="2740" w:type="dxa"/>
            <w:tcBorders>
              <w:top w:val="nil"/>
              <w:bottom w:val="nil"/>
            </w:tcBorders>
            <w:vAlign w:val="center"/>
          </w:tcPr>
          <w:p w:rsidR="00234376" w:rsidRPr="008D604B" w:rsidRDefault="00234376" w:rsidP="008E03A7">
            <w:pPr>
              <w:pStyle w:val="TableText0"/>
              <w:jc w:val="center"/>
              <w:rPr>
                <w:rFonts w:ascii="Arial Narrow" w:hAnsi="Arial Narrow"/>
              </w:rPr>
            </w:pPr>
            <w:r w:rsidRPr="008D604B">
              <w:rPr>
                <w:rFonts w:ascii="Arial Narrow" w:hAnsi="Arial Narrow"/>
              </w:rPr>
              <w:t>0.99</w:t>
            </w:r>
          </w:p>
        </w:tc>
      </w:tr>
      <w:tr w:rsidR="00234376" w:rsidRPr="008D604B">
        <w:tc>
          <w:tcPr>
            <w:tcW w:w="2883" w:type="dxa"/>
            <w:tcBorders>
              <w:top w:val="nil"/>
              <w:bottom w:val="nil"/>
            </w:tcBorders>
          </w:tcPr>
          <w:p w:rsidR="00234376" w:rsidRPr="008D604B" w:rsidRDefault="00234376" w:rsidP="008E03A7">
            <w:pPr>
              <w:pStyle w:val="TableText0"/>
              <w:rPr>
                <w:rFonts w:ascii="Arial Narrow" w:hAnsi="Arial Narrow"/>
              </w:rPr>
            </w:pPr>
            <w:r w:rsidRPr="008D604B">
              <w:rPr>
                <w:rFonts w:ascii="Arial Narrow" w:hAnsi="Arial Narrow"/>
              </w:rPr>
              <w:t>Automated LBC</w:t>
            </w:r>
          </w:p>
        </w:tc>
        <w:tc>
          <w:tcPr>
            <w:tcW w:w="2740" w:type="dxa"/>
            <w:tcBorders>
              <w:top w:val="nil"/>
              <w:bottom w:val="nil"/>
            </w:tcBorders>
            <w:vAlign w:val="center"/>
          </w:tcPr>
          <w:p w:rsidR="00234376" w:rsidRPr="008D604B" w:rsidRDefault="00234376" w:rsidP="008E03A7">
            <w:pPr>
              <w:pStyle w:val="TableText0"/>
              <w:jc w:val="center"/>
              <w:rPr>
                <w:rFonts w:ascii="Arial Narrow" w:hAnsi="Arial Narrow"/>
              </w:rPr>
            </w:pPr>
            <w:r w:rsidRPr="008D604B">
              <w:rPr>
                <w:rFonts w:ascii="Arial Narrow" w:hAnsi="Arial Narrow"/>
              </w:rPr>
              <w:t>1.11</w:t>
            </w:r>
          </w:p>
        </w:tc>
        <w:tc>
          <w:tcPr>
            <w:tcW w:w="2740" w:type="dxa"/>
            <w:tcBorders>
              <w:top w:val="nil"/>
              <w:bottom w:val="nil"/>
            </w:tcBorders>
            <w:vAlign w:val="center"/>
          </w:tcPr>
          <w:p w:rsidR="00234376" w:rsidRPr="008D604B" w:rsidRDefault="00234376" w:rsidP="008E03A7">
            <w:pPr>
              <w:pStyle w:val="TableText0"/>
              <w:jc w:val="center"/>
              <w:rPr>
                <w:rFonts w:ascii="Arial Narrow" w:hAnsi="Arial Narrow"/>
              </w:rPr>
            </w:pPr>
            <w:r w:rsidRPr="008D604B">
              <w:rPr>
                <w:rFonts w:ascii="Arial Narrow" w:hAnsi="Arial Narrow"/>
              </w:rPr>
              <w:t>0.99</w:t>
            </w:r>
          </w:p>
        </w:tc>
      </w:tr>
      <w:tr w:rsidR="00234376" w:rsidRPr="008D604B">
        <w:tc>
          <w:tcPr>
            <w:tcW w:w="2883" w:type="dxa"/>
            <w:tcBorders>
              <w:top w:val="nil"/>
            </w:tcBorders>
          </w:tcPr>
          <w:p w:rsidR="00234376" w:rsidRPr="008D604B" w:rsidRDefault="00234376" w:rsidP="008E03A7">
            <w:pPr>
              <w:pStyle w:val="TableHeading0"/>
              <w:spacing w:before="0" w:after="0"/>
              <w:rPr>
                <w:rFonts w:ascii="Arial Narrow" w:hAnsi="Arial Narrow"/>
                <w:bCs/>
                <w:sz w:val="20"/>
              </w:rPr>
            </w:pPr>
          </w:p>
        </w:tc>
        <w:tc>
          <w:tcPr>
            <w:tcW w:w="2740" w:type="dxa"/>
            <w:tcBorders>
              <w:top w:val="nil"/>
            </w:tcBorders>
          </w:tcPr>
          <w:p w:rsidR="00234376" w:rsidRPr="008D604B" w:rsidRDefault="00234376" w:rsidP="008E03A7">
            <w:pPr>
              <w:pStyle w:val="TableHeading0"/>
              <w:spacing w:before="0" w:after="0"/>
              <w:rPr>
                <w:rFonts w:ascii="Arial Narrow" w:hAnsi="Arial Narrow"/>
                <w:bCs/>
                <w:sz w:val="20"/>
              </w:rPr>
            </w:pPr>
          </w:p>
        </w:tc>
        <w:tc>
          <w:tcPr>
            <w:tcW w:w="2740" w:type="dxa"/>
            <w:tcBorders>
              <w:top w:val="nil"/>
            </w:tcBorders>
          </w:tcPr>
          <w:p w:rsidR="00234376" w:rsidRPr="008D604B" w:rsidRDefault="00234376" w:rsidP="008E03A7">
            <w:pPr>
              <w:pStyle w:val="TableHeading0"/>
              <w:spacing w:before="0" w:after="0"/>
              <w:jc w:val="center"/>
            </w:pPr>
          </w:p>
        </w:tc>
      </w:tr>
    </w:tbl>
    <w:p w:rsidR="00234376" w:rsidRPr="008D604B" w:rsidRDefault="00234376" w:rsidP="008E03A7">
      <w:pPr>
        <w:pStyle w:val="BodyText"/>
        <w:rPr>
          <w:lang w:eastAsia="en-AU"/>
        </w:rPr>
      </w:pPr>
    </w:p>
    <w:p w:rsidR="00234376" w:rsidRPr="008D604B" w:rsidRDefault="00234376" w:rsidP="008E03A7">
      <w:r w:rsidRPr="008D604B">
        <w:t xml:space="preserve">Test probability matrices for manual and automated reading of LBC slides were derived from the baseline conventional cytology matrix. We adjusted the distribution of cytology test results to reflect the different distributions of cytology test results of manual and automated reading of LBC slides, while keeping constant the prevalence of disease implied by the matrix. Call rates for LBC and </w:t>
      </w:r>
      <w:bookmarkStart w:id="543" w:name="OLE_LINK206"/>
      <w:bookmarkStart w:id="544" w:name="OLE_LINK207"/>
      <w:r w:rsidRPr="008D604B">
        <w:t xml:space="preserve">automated LBC </w:t>
      </w:r>
      <w:bookmarkEnd w:id="543"/>
      <w:bookmarkEnd w:id="544"/>
      <w:r w:rsidRPr="008D604B">
        <w:t xml:space="preserve">relative to </w:t>
      </w:r>
      <w:r w:rsidR="00CB16F3" w:rsidRPr="008D604B">
        <w:t xml:space="preserve">conventional cytology </w:t>
      </w:r>
      <w:r w:rsidRPr="008D604B">
        <w:t>were based on data from Davey et al. 2007</w:t>
      </w:r>
      <w:r w:rsidR="00133845" w:rsidRPr="008D604B">
        <w:t>a</w:t>
      </w:r>
      <w:r w:rsidRPr="008D604B">
        <w:t xml:space="preserve"> (automated LBC), and from the review of data described in an earlier section (manual LBC; see ‘</w:t>
      </w:r>
      <w:r w:rsidR="004C3FD3" w:rsidRPr="008D604B">
        <w:fldChar w:fldCharType="begin"/>
      </w:r>
      <w:r w:rsidR="004C3FD3" w:rsidRPr="008D604B">
        <w:instrText xml:space="preserve"> REF _Ref219700563 \h </w:instrText>
      </w:r>
      <w:r w:rsidR="008D604B">
        <w:instrText xml:space="preserve"> \* MERGEFORMAT </w:instrText>
      </w:r>
      <w:r w:rsidR="004C3FD3" w:rsidRPr="008D604B">
        <w:fldChar w:fldCharType="separate"/>
      </w:r>
      <w:r w:rsidR="007D3DFF" w:rsidRPr="00537C3C">
        <w:t>Test yield</w:t>
      </w:r>
      <w:r w:rsidR="004C3FD3" w:rsidRPr="008D604B">
        <w:fldChar w:fldCharType="end"/>
      </w:r>
      <w:r w:rsidRPr="008D604B">
        <w:t xml:space="preserve">’, page </w:t>
      </w:r>
      <w:r w:rsidRPr="008D604B">
        <w:fldChar w:fldCharType="begin"/>
      </w:r>
      <w:r w:rsidRPr="008D604B">
        <w:instrText xml:space="preserve"> PAGEREF _Ref219700563 \h </w:instrText>
      </w:r>
      <w:r w:rsidRPr="008D604B">
        <w:fldChar w:fldCharType="separate"/>
      </w:r>
      <w:r w:rsidR="007D3DFF">
        <w:rPr>
          <w:noProof/>
        </w:rPr>
        <w:t>33</w:t>
      </w:r>
      <w:r w:rsidRPr="008D604B">
        <w:fldChar w:fldCharType="end"/>
      </w:r>
      <w:r w:rsidRPr="008D604B">
        <w:t xml:space="preserve">). Where assumptions were required, we chose values which favoured the new technologies over conventional cytology. Estimates of additional true and false positive results detected by the new technologies were derived from the test probability matrices, and matrices were then calibrated to reproduce the reported rates of additional true and false positive results for the new technologies (see </w:t>
      </w:r>
      <w:r w:rsidRPr="008D604B">
        <w:fldChar w:fldCharType="begin"/>
      </w:r>
      <w:r w:rsidRPr="008D604B">
        <w:instrText xml:space="preserve"> REF _Ref190499190 \h  \* MERGEFORMAT </w:instrText>
      </w:r>
      <w:r w:rsidRPr="008D604B">
        <w:fldChar w:fldCharType="separate"/>
      </w:r>
      <w:r w:rsidR="007D3DFF" w:rsidRPr="00537C3C">
        <w:t xml:space="preserve">Table </w:t>
      </w:r>
      <w:r w:rsidR="007D3DFF">
        <w:rPr>
          <w:noProof/>
        </w:rPr>
        <w:t>17</w:t>
      </w:r>
      <w:r w:rsidRPr="008D604B">
        <w:fldChar w:fldCharType="end"/>
      </w:r>
      <w:r w:rsidRPr="008D604B">
        <w:t xml:space="preserve"> and </w:t>
      </w:r>
      <w:r w:rsidRPr="008D604B">
        <w:fldChar w:fldCharType="begin"/>
      </w:r>
      <w:r w:rsidRPr="008D604B">
        <w:instrText xml:space="preserve"> REF _Ref198451926 \h  \* MERGEFORMAT </w:instrText>
      </w:r>
      <w:r w:rsidRPr="008D604B">
        <w:fldChar w:fldCharType="separate"/>
      </w:r>
      <w:r w:rsidR="007D3DFF" w:rsidRPr="00537C3C">
        <w:t xml:space="preserve">Table </w:t>
      </w:r>
      <w:r w:rsidR="007D3DFF">
        <w:rPr>
          <w:noProof/>
        </w:rPr>
        <w:t>23</w:t>
      </w:r>
      <w:r w:rsidRPr="008D604B">
        <w:fldChar w:fldCharType="end"/>
      </w:r>
      <w:r w:rsidRPr="008D604B">
        <w:t xml:space="preserve"> under the earlier section </w:t>
      </w:r>
      <w:r w:rsidR="00CB16F3" w:rsidRPr="008D604B">
        <w:t>‘</w:t>
      </w:r>
      <w:r w:rsidR="009A22FD" w:rsidRPr="008D604B">
        <w:fldChar w:fldCharType="begin"/>
      </w:r>
      <w:r w:rsidR="009A22FD" w:rsidRPr="008D604B">
        <w:instrText xml:space="preserve"> REF _Ref212954752 \h </w:instrText>
      </w:r>
      <w:r w:rsidR="00FB1277" w:rsidRPr="008D604B">
        <w:instrText xml:space="preserve"> \* MERGEFORMAT </w:instrText>
      </w:r>
      <w:r w:rsidR="009A22FD" w:rsidRPr="008D604B">
        <w:fldChar w:fldCharType="separate"/>
      </w:r>
      <w:r w:rsidR="007D3DFF" w:rsidRPr="00537C3C">
        <w:t>Results of assessment</w:t>
      </w:r>
      <w:r w:rsidR="009A22FD" w:rsidRPr="008D604B">
        <w:fldChar w:fldCharType="end"/>
      </w:r>
      <w:r w:rsidRPr="008D604B">
        <w:t>’</w:t>
      </w:r>
      <w:r w:rsidR="009A22FD" w:rsidRPr="008D604B">
        <w:t xml:space="preserve">, on pages </w:t>
      </w:r>
      <w:r w:rsidR="009A22FD" w:rsidRPr="008D604B">
        <w:fldChar w:fldCharType="begin"/>
      </w:r>
      <w:r w:rsidR="009A22FD" w:rsidRPr="008D604B">
        <w:instrText xml:space="preserve"> PAGEREF _Ref222541225 \h </w:instrText>
      </w:r>
      <w:r w:rsidR="009A22FD" w:rsidRPr="008D604B">
        <w:fldChar w:fldCharType="separate"/>
      </w:r>
      <w:r w:rsidR="007D3DFF">
        <w:rPr>
          <w:noProof/>
        </w:rPr>
        <w:t>43</w:t>
      </w:r>
      <w:r w:rsidR="009A22FD" w:rsidRPr="008D604B">
        <w:fldChar w:fldCharType="end"/>
      </w:r>
      <w:r w:rsidR="009A22FD" w:rsidRPr="008D604B">
        <w:t xml:space="preserve"> and </w:t>
      </w:r>
      <w:r w:rsidR="009A22FD" w:rsidRPr="008D604B">
        <w:fldChar w:fldCharType="begin"/>
      </w:r>
      <w:r w:rsidR="009A22FD" w:rsidRPr="008D604B">
        <w:instrText xml:space="preserve"> PAGEREF _Ref222541231 \h </w:instrText>
      </w:r>
      <w:r w:rsidR="009A22FD" w:rsidRPr="008D604B">
        <w:fldChar w:fldCharType="separate"/>
      </w:r>
      <w:r w:rsidR="007D3DFF">
        <w:rPr>
          <w:noProof/>
        </w:rPr>
        <w:t>55</w:t>
      </w:r>
      <w:r w:rsidR="009A22FD" w:rsidRPr="008D604B">
        <w:fldChar w:fldCharType="end"/>
      </w:r>
      <w:r w:rsidRPr="008D604B">
        <w:t xml:space="preserve">). These rates are shown in </w:t>
      </w:r>
      <w:r w:rsidRPr="008D604B">
        <w:fldChar w:fldCharType="begin"/>
      </w:r>
      <w:r w:rsidRPr="008D604B">
        <w:instrText xml:space="preserve"> REF _Ref210623038 \h  \* MERGEFORMAT </w:instrText>
      </w:r>
      <w:r w:rsidRPr="008D604B">
        <w:fldChar w:fldCharType="separate"/>
      </w:r>
      <w:r w:rsidR="007D3DFF" w:rsidRPr="00537C3C">
        <w:t xml:space="preserve">Table </w:t>
      </w:r>
      <w:r w:rsidR="007D3DFF">
        <w:rPr>
          <w:noProof/>
        </w:rPr>
        <w:t>50</w:t>
      </w:r>
      <w:r w:rsidRPr="008D604B">
        <w:fldChar w:fldCharType="end"/>
      </w:r>
      <w:r w:rsidRPr="008D604B">
        <w:t xml:space="preserve"> (page </w:t>
      </w:r>
      <w:r w:rsidRPr="008D604B">
        <w:fldChar w:fldCharType="begin"/>
      </w:r>
      <w:r w:rsidRPr="008D604B">
        <w:instrText xml:space="preserve"> PAGEREF _Ref219604668 \h </w:instrText>
      </w:r>
      <w:r w:rsidRPr="008D604B">
        <w:fldChar w:fldCharType="separate"/>
      </w:r>
      <w:r w:rsidR="007D3DFF">
        <w:rPr>
          <w:noProof/>
        </w:rPr>
        <w:t>88</w:t>
      </w:r>
      <w:r w:rsidRPr="008D604B">
        <w:fldChar w:fldCharType="end"/>
      </w:r>
      <w:r w:rsidRPr="008D604B">
        <w:t>).</w:t>
      </w:r>
    </w:p>
    <w:p w:rsidR="00234376" w:rsidRPr="008D604B" w:rsidRDefault="00234376" w:rsidP="008E03A7">
      <w:r w:rsidRPr="008D604B">
        <w:t xml:space="preserve">The derivation of the test probability matrices are described in detail in </w:t>
      </w:r>
      <w:r w:rsidR="009A22FD" w:rsidRPr="008D604B">
        <w:t>‘</w:t>
      </w:r>
      <w:r w:rsidRPr="008D604B">
        <w:fldChar w:fldCharType="begin"/>
      </w:r>
      <w:r w:rsidRPr="008D604B">
        <w:instrText xml:space="preserve"> REF _Ref212433107 \h  \* MERGEFORMAT </w:instrText>
      </w:r>
      <w:r w:rsidRPr="008D604B">
        <w:fldChar w:fldCharType="separate"/>
      </w:r>
      <w:r w:rsidR="007D3DFF" w:rsidRPr="00537C3C">
        <w:t xml:space="preserve">Appendix </w:t>
      </w:r>
      <w:r w:rsidR="007D3DFF">
        <w:rPr>
          <w:noProof/>
        </w:rPr>
        <w:t>K</w:t>
      </w:r>
      <w:r w:rsidR="007D3DFF">
        <w:t xml:space="preserve">  </w:t>
      </w:r>
      <w:r w:rsidR="007D3DFF" w:rsidRPr="00537C3C">
        <w:t>Derivation of test probability matrices for cytology</w:t>
      </w:r>
      <w:r w:rsidRPr="008D604B">
        <w:fldChar w:fldCharType="end"/>
      </w:r>
      <w:r w:rsidRPr="008D604B">
        <w:t>’.</w:t>
      </w:r>
    </w:p>
    <w:p w:rsidR="00234376" w:rsidRPr="008D604B" w:rsidRDefault="00234376" w:rsidP="008E03A7">
      <w:pPr>
        <w:pStyle w:val="Heading6"/>
      </w:pPr>
      <w:bookmarkStart w:id="545" w:name="_Ref210023863"/>
      <w:r w:rsidRPr="008D604B">
        <w:t>Cytology unsatisfactory rates</w:t>
      </w:r>
      <w:bookmarkEnd w:id="545"/>
    </w:p>
    <w:p w:rsidR="00234376" w:rsidRDefault="00234376" w:rsidP="00234376">
      <w:pPr>
        <w:rPr>
          <w:rFonts w:cs="Arial"/>
        </w:rPr>
      </w:pPr>
      <w:r w:rsidRPr="008D604B">
        <w:t xml:space="preserve">We used the available data on cytology unsatisfactory rates in </w:t>
      </w:r>
      <w:smartTag w:uri="urn:schemas-microsoft-com:office:smarttags" w:element="place">
        <w:smartTag w:uri="urn:schemas-microsoft-com:office:smarttags" w:element="country-region">
          <w:r w:rsidRPr="008D604B">
            <w:t>Australia</w:t>
          </w:r>
        </w:smartTag>
      </w:smartTag>
      <w:r w:rsidRPr="008D604B">
        <w:t xml:space="preserve"> to derive baseline values and ranges for sensitivity analysis, which are summarised in </w:t>
      </w:r>
      <w:r w:rsidRPr="008D604B">
        <w:fldChar w:fldCharType="begin"/>
      </w:r>
      <w:r w:rsidRPr="008D604B">
        <w:instrText xml:space="preserve"> REF _Ref205197735 \h  \* MERGEFORMAT </w:instrText>
      </w:r>
      <w:r w:rsidRPr="008D604B">
        <w:fldChar w:fldCharType="separate"/>
      </w:r>
      <w:r w:rsidR="007D3DFF" w:rsidRPr="008D604B">
        <w:t xml:space="preserve">Table </w:t>
      </w:r>
      <w:r w:rsidR="007D3DFF">
        <w:rPr>
          <w:noProof/>
        </w:rPr>
        <w:t>30</w:t>
      </w:r>
      <w:r w:rsidRPr="008D604B">
        <w:fldChar w:fldCharType="end"/>
      </w:r>
      <w:r w:rsidRPr="008D604B">
        <w:t>. Further d</w:t>
      </w:r>
      <w:r w:rsidRPr="008D604B">
        <w:rPr>
          <w:rFonts w:cs="Arial"/>
        </w:rPr>
        <w:t xml:space="preserve">etails are provided in </w:t>
      </w:r>
      <w:r w:rsidRPr="008D604B">
        <w:rPr>
          <w:rFonts w:cs="Arial"/>
        </w:rPr>
        <w:fldChar w:fldCharType="begin"/>
      </w:r>
      <w:r w:rsidRPr="008D604B">
        <w:rPr>
          <w:rFonts w:cs="Arial"/>
        </w:rPr>
        <w:instrText xml:space="preserve"> REF _Ref212432848 \h  \* MERGEFORMAT </w:instrText>
      </w:r>
      <w:r w:rsidRPr="008D604B">
        <w:rPr>
          <w:rFonts w:cs="Arial"/>
        </w:rPr>
      </w:r>
      <w:r w:rsidRPr="008D604B">
        <w:rPr>
          <w:rFonts w:cs="Arial"/>
        </w:rPr>
        <w:fldChar w:fldCharType="separate"/>
      </w:r>
      <w:r w:rsidR="007D3DFF" w:rsidRPr="00537C3C">
        <w:t xml:space="preserve">Appendix </w:t>
      </w:r>
      <w:r w:rsidR="007D3DFF">
        <w:rPr>
          <w:noProof/>
        </w:rPr>
        <w:t>J</w:t>
      </w:r>
      <w:r w:rsidR="007D3DFF">
        <w:t xml:space="preserve">  </w:t>
      </w:r>
      <w:r w:rsidR="007D3DFF" w:rsidRPr="00537C3C">
        <w:t>Detailed model data sources</w:t>
      </w:r>
      <w:r w:rsidRPr="008D604B">
        <w:rPr>
          <w:rFonts w:cs="Arial"/>
        </w:rPr>
        <w:fldChar w:fldCharType="end"/>
      </w:r>
      <w:r w:rsidRPr="008D604B">
        <w:rPr>
          <w:rFonts w:cs="Arial"/>
        </w:rPr>
        <w:t>’.</w:t>
      </w:r>
    </w:p>
    <w:p w:rsidR="00234376" w:rsidRPr="008D604B" w:rsidRDefault="00234376" w:rsidP="008E03A7">
      <w:pPr>
        <w:pStyle w:val="Caption"/>
      </w:pPr>
      <w:bookmarkStart w:id="546" w:name="_Ref205197735"/>
      <w:bookmarkStart w:id="547" w:name="_Toc208728042"/>
      <w:bookmarkStart w:id="548" w:name="_Ref209593368"/>
      <w:bookmarkStart w:id="549" w:name="_Ref219607006"/>
      <w:bookmarkStart w:id="550" w:name="_Toc95971266"/>
      <w:r w:rsidRPr="008D604B">
        <w:lastRenderedPageBreak/>
        <w:t xml:space="preserve">Table </w:t>
      </w:r>
      <w:fldSimple w:instr=" SEQ Table \* ARABIC ">
        <w:r w:rsidR="007D3DFF">
          <w:rPr>
            <w:noProof/>
          </w:rPr>
          <w:t>30</w:t>
        </w:r>
      </w:fldSimple>
      <w:bookmarkEnd w:id="546"/>
      <w:r w:rsidRPr="008D604B">
        <w:tab/>
        <w:t>Model values for rates of unsatisfactory cytology, by test technology</w:t>
      </w:r>
      <w:bookmarkEnd w:id="547"/>
      <w:bookmarkEnd w:id="548"/>
      <w:bookmarkEnd w:id="549"/>
      <w:r w:rsidRPr="008D604B">
        <w:t>.</w:t>
      </w:r>
      <w:bookmarkEnd w:id="550"/>
    </w:p>
    <w:tbl>
      <w:tblPr>
        <w:tblW w:w="8443" w:type="dxa"/>
        <w:tblInd w:w="1137" w:type="dxa"/>
        <w:tblCellMar>
          <w:left w:w="57" w:type="dxa"/>
          <w:right w:w="57" w:type="dxa"/>
        </w:tblCellMar>
        <w:tblLook w:val="01E0" w:firstRow="1" w:lastRow="1" w:firstColumn="1" w:lastColumn="1" w:noHBand="0" w:noVBand="0"/>
      </w:tblPr>
      <w:tblGrid>
        <w:gridCol w:w="1637"/>
        <w:gridCol w:w="1699"/>
        <w:gridCol w:w="1988"/>
        <w:gridCol w:w="3119"/>
      </w:tblGrid>
      <w:tr w:rsidR="00FB1277" w:rsidRPr="008D604B">
        <w:tc>
          <w:tcPr>
            <w:tcW w:w="1637" w:type="dxa"/>
            <w:tcBorders>
              <w:top w:val="single" w:sz="4" w:space="0" w:color="auto"/>
            </w:tcBorders>
          </w:tcPr>
          <w:p w:rsidR="00FB1277" w:rsidRPr="008D604B" w:rsidRDefault="00FB1277" w:rsidP="008E03A7">
            <w:pPr>
              <w:pStyle w:val="TableHeading0"/>
            </w:pPr>
            <w:r w:rsidRPr="008D604B">
              <w:t>Test type</w:t>
            </w:r>
          </w:p>
        </w:tc>
        <w:tc>
          <w:tcPr>
            <w:tcW w:w="3687" w:type="dxa"/>
            <w:gridSpan w:val="2"/>
            <w:tcBorders>
              <w:top w:val="single" w:sz="4" w:space="0" w:color="auto"/>
            </w:tcBorders>
          </w:tcPr>
          <w:p w:rsidR="00FB1277" w:rsidRPr="008D604B" w:rsidRDefault="00FB1277" w:rsidP="00FB1277">
            <w:pPr>
              <w:pStyle w:val="TableHeading0"/>
              <w:jc w:val="center"/>
            </w:pPr>
            <w:r w:rsidRPr="008D604B">
              <w:t>Unsatisfactory rate used in model</w:t>
            </w:r>
          </w:p>
        </w:tc>
        <w:tc>
          <w:tcPr>
            <w:tcW w:w="3119" w:type="dxa"/>
            <w:tcBorders>
              <w:top w:val="single" w:sz="4" w:space="0" w:color="auto"/>
            </w:tcBorders>
          </w:tcPr>
          <w:p w:rsidR="00FB1277" w:rsidRPr="008D604B" w:rsidRDefault="00FB1277" w:rsidP="008E03A7">
            <w:pPr>
              <w:pStyle w:val="TableHeading0"/>
            </w:pPr>
            <w:r w:rsidRPr="008D604B">
              <w:t>Reference</w:t>
            </w:r>
          </w:p>
        </w:tc>
      </w:tr>
      <w:tr w:rsidR="00FB1277" w:rsidRPr="008D604B">
        <w:tc>
          <w:tcPr>
            <w:tcW w:w="1637" w:type="dxa"/>
            <w:tcBorders>
              <w:bottom w:val="single" w:sz="4" w:space="0" w:color="auto"/>
            </w:tcBorders>
          </w:tcPr>
          <w:p w:rsidR="00FB1277" w:rsidRPr="008D604B" w:rsidRDefault="00FB1277" w:rsidP="008E03A7">
            <w:pPr>
              <w:pStyle w:val="TableHeading0"/>
            </w:pPr>
          </w:p>
        </w:tc>
        <w:tc>
          <w:tcPr>
            <w:tcW w:w="1699" w:type="dxa"/>
            <w:tcBorders>
              <w:bottom w:val="single" w:sz="4" w:space="0" w:color="auto"/>
            </w:tcBorders>
          </w:tcPr>
          <w:p w:rsidR="00FB1277" w:rsidRPr="008D604B" w:rsidRDefault="00FB1277" w:rsidP="008E03A7">
            <w:pPr>
              <w:pStyle w:val="TableHeading0"/>
              <w:jc w:val="center"/>
            </w:pPr>
            <w:r w:rsidRPr="008D604B">
              <w:t>Baseline (%)</w:t>
            </w:r>
          </w:p>
        </w:tc>
        <w:tc>
          <w:tcPr>
            <w:tcW w:w="1988" w:type="dxa"/>
            <w:tcBorders>
              <w:bottom w:val="single" w:sz="4" w:space="0" w:color="auto"/>
            </w:tcBorders>
          </w:tcPr>
          <w:p w:rsidR="00FB1277" w:rsidRPr="008D604B" w:rsidRDefault="00FB1277" w:rsidP="00FB1277">
            <w:pPr>
              <w:pStyle w:val="TableHeading0"/>
              <w:jc w:val="center"/>
            </w:pPr>
            <w:r w:rsidRPr="008D604B">
              <w:t xml:space="preserve">Range for sensitivity analysis (%) </w:t>
            </w:r>
            <w:r w:rsidRPr="008D604B">
              <w:rPr>
                <w:vertAlign w:val="superscript"/>
              </w:rPr>
              <w:t>a</w:t>
            </w:r>
          </w:p>
        </w:tc>
        <w:tc>
          <w:tcPr>
            <w:tcW w:w="3119" w:type="dxa"/>
            <w:tcBorders>
              <w:bottom w:val="single" w:sz="4" w:space="0" w:color="auto"/>
            </w:tcBorders>
          </w:tcPr>
          <w:p w:rsidR="00FB1277" w:rsidRPr="008D604B" w:rsidRDefault="00FB1277" w:rsidP="008E03A7">
            <w:pPr>
              <w:pStyle w:val="TableHeading0"/>
            </w:pPr>
          </w:p>
        </w:tc>
      </w:tr>
      <w:tr w:rsidR="00234376" w:rsidRPr="008D604B">
        <w:tc>
          <w:tcPr>
            <w:tcW w:w="1637" w:type="dxa"/>
            <w:tcBorders>
              <w:top w:val="single" w:sz="4" w:space="0" w:color="auto"/>
            </w:tcBorders>
          </w:tcPr>
          <w:p w:rsidR="00234376" w:rsidRPr="008D604B" w:rsidRDefault="00234376" w:rsidP="008E03A7">
            <w:pPr>
              <w:pStyle w:val="TableText0"/>
            </w:pPr>
            <w:r w:rsidRPr="008D604B">
              <w:t>Conventional cytology</w:t>
            </w:r>
          </w:p>
        </w:tc>
        <w:tc>
          <w:tcPr>
            <w:tcW w:w="1699" w:type="dxa"/>
            <w:tcBorders>
              <w:top w:val="single" w:sz="4" w:space="0" w:color="auto"/>
            </w:tcBorders>
          </w:tcPr>
          <w:p w:rsidR="00234376" w:rsidRPr="008D604B" w:rsidRDefault="00234376" w:rsidP="008E03A7">
            <w:pPr>
              <w:pStyle w:val="TableText0"/>
              <w:jc w:val="center"/>
            </w:pPr>
            <w:r w:rsidRPr="008D604B">
              <w:t>2.2</w:t>
            </w:r>
          </w:p>
        </w:tc>
        <w:tc>
          <w:tcPr>
            <w:tcW w:w="1988" w:type="dxa"/>
            <w:tcBorders>
              <w:top w:val="single" w:sz="4" w:space="0" w:color="auto"/>
            </w:tcBorders>
          </w:tcPr>
          <w:p w:rsidR="00234376" w:rsidRPr="008D604B" w:rsidRDefault="00234376" w:rsidP="008E03A7">
            <w:pPr>
              <w:pStyle w:val="TableText0"/>
              <w:jc w:val="center"/>
            </w:pPr>
            <w:r w:rsidRPr="008D604B">
              <w:t>0.5–5.0</w:t>
            </w:r>
          </w:p>
        </w:tc>
        <w:tc>
          <w:tcPr>
            <w:tcW w:w="3119" w:type="dxa"/>
            <w:tcBorders>
              <w:top w:val="single" w:sz="4" w:space="0" w:color="auto"/>
            </w:tcBorders>
          </w:tcPr>
          <w:p w:rsidR="00234376" w:rsidRPr="008D604B" w:rsidRDefault="00234376" w:rsidP="008E03A7">
            <w:pPr>
              <w:pStyle w:val="TableText0"/>
            </w:pPr>
            <w:r w:rsidRPr="008D604B">
              <w:t xml:space="preserve">Davey et al. 2007a; data from NSW </w:t>
            </w:r>
            <w:bookmarkStart w:id="551" w:name="OLE_LINK208"/>
            <w:bookmarkStart w:id="552" w:name="OLE_LINK209"/>
            <w:r w:rsidRPr="008D604B">
              <w:t xml:space="preserve">Pap Test Registry </w:t>
            </w:r>
            <w:bookmarkEnd w:id="551"/>
            <w:bookmarkEnd w:id="552"/>
            <w:r w:rsidRPr="008D604B">
              <w:t>&amp; VCCR</w:t>
            </w:r>
          </w:p>
        </w:tc>
      </w:tr>
      <w:tr w:rsidR="00234376" w:rsidRPr="008D604B">
        <w:tc>
          <w:tcPr>
            <w:tcW w:w="1637" w:type="dxa"/>
          </w:tcPr>
          <w:p w:rsidR="00234376" w:rsidRPr="008D604B" w:rsidRDefault="00234376" w:rsidP="008E03A7">
            <w:pPr>
              <w:pStyle w:val="TableText0"/>
            </w:pPr>
            <w:r w:rsidRPr="008D604B">
              <w:t>Manual LBC</w:t>
            </w:r>
          </w:p>
        </w:tc>
        <w:tc>
          <w:tcPr>
            <w:tcW w:w="1699" w:type="dxa"/>
          </w:tcPr>
          <w:p w:rsidR="00234376" w:rsidRPr="008D604B" w:rsidRDefault="00234376" w:rsidP="008E03A7">
            <w:pPr>
              <w:pStyle w:val="TableText0"/>
              <w:jc w:val="center"/>
            </w:pPr>
            <w:r w:rsidRPr="008D604B">
              <w:t>1.8</w:t>
            </w:r>
          </w:p>
        </w:tc>
        <w:tc>
          <w:tcPr>
            <w:tcW w:w="1988" w:type="dxa"/>
          </w:tcPr>
          <w:p w:rsidR="00234376" w:rsidRPr="008D604B" w:rsidRDefault="00234376" w:rsidP="008E03A7">
            <w:pPr>
              <w:pStyle w:val="TableText0"/>
              <w:jc w:val="center"/>
            </w:pPr>
            <w:r w:rsidRPr="008D604B">
              <w:t>0.5–2.57</w:t>
            </w:r>
          </w:p>
        </w:tc>
        <w:tc>
          <w:tcPr>
            <w:tcW w:w="3119" w:type="dxa"/>
          </w:tcPr>
          <w:p w:rsidR="00234376" w:rsidRPr="008D604B" w:rsidRDefault="00234376" w:rsidP="008E03A7">
            <w:pPr>
              <w:pStyle w:val="TableText0"/>
            </w:pPr>
            <w:r w:rsidRPr="008D604B">
              <w:t xml:space="preserve">Davey et al. 2007a; pilot study in </w:t>
            </w:r>
            <w:bookmarkStart w:id="553" w:name="OLE_LINK210"/>
            <w:bookmarkStart w:id="554" w:name="OLE_LINK211"/>
            <w:r w:rsidRPr="008D604B">
              <w:t>DHM</w:t>
            </w:r>
            <w:r w:rsidRPr="008D604B">
              <w:rPr>
                <w:vertAlign w:val="superscript"/>
              </w:rPr>
              <w:t> b</w:t>
            </w:r>
            <w:bookmarkEnd w:id="553"/>
            <w:bookmarkEnd w:id="554"/>
            <w:r w:rsidRPr="008D604B">
              <w:t xml:space="preserve">; Ronco et al. 2007; Bolger et al. 2006; CADTH </w:t>
            </w:r>
            <w:r w:rsidRPr="008D604B">
              <w:fldChar w:fldCharType="begin"/>
            </w:r>
            <w:r w:rsidRPr="008D604B">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8D604B">
              <w:fldChar w:fldCharType="separate"/>
            </w:r>
            <w:r w:rsidRPr="008D604B">
              <w:t>(Krahn et al. 2008)</w:t>
            </w:r>
            <w:r w:rsidRPr="008D604B">
              <w:fldChar w:fldCharType="end"/>
            </w:r>
          </w:p>
        </w:tc>
      </w:tr>
      <w:tr w:rsidR="00234376" w:rsidRPr="008D604B">
        <w:tc>
          <w:tcPr>
            <w:tcW w:w="1637" w:type="dxa"/>
            <w:tcBorders>
              <w:bottom w:val="single" w:sz="4" w:space="0" w:color="auto"/>
            </w:tcBorders>
          </w:tcPr>
          <w:p w:rsidR="00234376" w:rsidRPr="008D604B" w:rsidRDefault="00234376" w:rsidP="008E03A7">
            <w:pPr>
              <w:pStyle w:val="TableText0"/>
            </w:pPr>
            <w:r w:rsidRPr="008D604B">
              <w:t>Automated LBC</w:t>
            </w:r>
          </w:p>
        </w:tc>
        <w:tc>
          <w:tcPr>
            <w:tcW w:w="1699" w:type="dxa"/>
            <w:tcBorders>
              <w:bottom w:val="single" w:sz="4" w:space="0" w:color="auto"/>
            </w:tcBorders>
          </w:tcPr>
          <w:p w:rsidR="00234376" w:rsidRPr="008D604B" w:rsidRDefault="00234376" w:rsidP="008E03A7">
            <w:pPr>
              <w:pStyle w:val="TableText0"/>
              <w:jc w:val="center"/>
            </w:pPr>
            <w:r w:rsidRPr="008D604B">
              <w:t>1.8</w:t>
            </w:r>
          </w:p>
        </w:tc>
        <w:tc>
          <w:tcPr>
            <w:tcW w:w="1988" w:type="dxa"/>
            <w:tcBorders>
              <w:bottom w:val="single" w:sz="4" w:space="0" w:color="auto"/>
            </w:tcBorders>
          </w:tcPr>
          <w:p w:rsidR="00234376" w:rsidRPr="008D604B" w:rsidRDefault="00234376" w:rsidP="008E03A7">
            <w:pPr>
              <w:pStyle w:val="TableText0"/>
              <w:jc w:val="center"/>
            </w:pPr>
            <w:r w:rsidRPr="008D604B">
              <w:t>0.5–2.0</w:t>
            </w:r>
          </w:p>
        </w:tc>
        <w:tc>
          <w:tcPr>
            <w:tcW w:w="3119" w:type="dxa"/>
            <w:tcBorders>
              <w:bottom w:val="single" w:sz="4" w:space="0" w:color="auto"/>
            </w:tcBorders>
          </w:tcPr>
          <w:p w:rsidR="00234376" w:rsidRPr="008D604B" w:rsidRDefault="00234376" w:rsidP="008E03A7">
            <w:pPr>
              <w:pStyle w:val="TableText0"/>
            </w:pPr>
            <w:r w:rsidRPr="008D604B">
              <w:t>Davey et al. 2007a; pilot study in DHM</w:t>
            </w:r>
            <w:r w:rsidRPr="008D604B">
              <w:rPr>
                <w:vertAlign w:val="superscript"/>
              </w:rPr>
              <w:t> b</w:t>
            </w:r>
            <w:r w:rsidRPr="008D604B">
              <w:t>; Bolger et al. 2006</w:t>
            </w:r>
          </w:p>
        </w:tc>
      </w:tr>
    </w:tbl>
    <w:p w:rsidR="00234376" w:rsidRPr="008D604B" w:rsidRDefault="00234376" w:rsidP="00234376">
      <w:pPr>
        <w:spacing w:after="120"/>
        <w:rPr>
          <w:rFonts w:cs="Arial"/>
          <w:bCs/>
          <w:sz w:val="20"/>
        </w:rPr>
      </w:pPr>
      <w:r w:rsidRPr="008D604B">
        <w:rPr>
          <w:rFonts w:cs="Arial"/>
          <w:bCs/>
          <w:sz w:val="20"/>
          <w:vertAlign w:val="superscript"/>
        </w:rPr>
        <w:t xml:space="preserve">a </w:t>
      </w:r>
      <w:r w:rsidRPr="008D604B">
        <w:rPr>
          <w:rFonts w:cs="Arial"/>
          <w:bCs/>
          <w:sz w:val="20"/>
        </w:rPr>
        <w:t>Within these ranges, the sensitivity analysis of the relative performance of the test technologies was constrained such that the unsatisfactory rate of conventional cytology was always ≥ the unsatisfactory rate of manual LBC or automated LBC.</w:t>
      </w:r>
    </w:p>
    <w:p w:rsidR="00FB1277" w:rsidRPr="008D604B" w:rsidRDefault="00234376" w:rsidP="008E03A7">
      <w:pPr>
        <w:spacing w:after="120"/>
        <w:jc w:val="both"/>
        <w:rPr>
          <w:rFonts w:cs="Arial"/>
          <w:bCs/>
          <w:sz w:val="20"/>
        </w:rPr>
      </w:pPr>
      <w:bookmarkStart w:id="555" w:name="OLE_LINK601"/>
      <w:bookmarkStart w:id="556" w:name="OLE_LINK602"/>
      <w:r w:rsidRPr="008D604B">
        <w:rPr>
          <w:rFonts w:cs="Arial"/>
          <w:vertAlign w:val="superscript"/>
        </w:rPr>
        <w:t xml:space="preserve">b </w:t>
      </w:r>
      <w:r w:rsidRPr="008D604B">
        <w:rPr>
          <w:rFonts w:cs="Arial"/>
          <w:bCs/>
          <w:sz w:val="20"/>
        </w:rPr>
        <w:t xml:space="preserve">Personal communication, Dr. Annabelle Farnsworth, </w:t>
      </w:r>
      <w:bookmarkStart w:id="557" w:name="OLE_LINK630"/>
      <w:bookmarkStart w:id="558" w:name="OLE_LINK631"/>
      <w:r w:rsidRPr="008D604B">
        <w:rPr>
          <w:rFonts w:cs="Arial"/>
          <w:bCs/>
          <w:sz w:val="20"/>
        </w:rPr>
        <w:t xml:space="preserve">Douglass </w:t>
      </w:r>
      <w:bookmarkStart w:id="559" w:name="OLE_LINK214"/>
      <w:bookmarkStart w:id="560" w:name="OLE_LINK215"/>
      <w:bookmarkStart w:id="561" w:name="OLE_LINK212"/>
      <w:bookmarkStart w:id="562" w:name="OLE_LINK213"/>
      <w:r w:rsidRPr="008D604B">
        <w:rPr>
          <w:rFonts w:cs="Arial"/>
          <w:bCs/>
          <w:sz w:val="20"/>
        </w:rPr>
        <w:t xml:space="preserve">Hanly </w:t>
      </w:r>
      <w:bookmarkStart w:id="563" w:name="OLE_LINK216"/>
      <w:bookmarkStart w:id="564" w:name="OLE_LINK217"/>
      <w:bookmarkEnd w:id="559"/>
      <w:bookmarkEnd w:id="560"/>
      <w:r w:rsidRPr="008D604B">
        <w:rPr>
          <w:rFonts w:cs="Arial"/>
          <w:bCs/>
          <w:sz w:val="20"/>
        </w:rPr>
        <w:t xml:space="preserve">Moir </w:t>
      </w:r>
      <w:bookmarkEnd w:id="563"/>
      <w:bookmarkEnd w:id="564"/>
      <w:r w:rsidRPr="008D604B">
        <w:rPr>
          <w:rFonts w:cs="Arial"/>
          <w:bCs/>
          <w:sz w:val="20"/>
        </w:rPr>
        <w:t>Laboratories</w:t>
      </w:r>
      <w:bookmarkEnd w:id="557"/>
      <w:bookmarkEnd w:id="558"/>
      <w:bookmarkEnd w:id="561"/>
      <w:bookmarkEnd w:id="562"/>
      <w:r w:rsidRPr="008D604B">
        <w:rPr>
          <w:rFonts w:cs="Arial"/>
          <w:bCs/>
          <w:sz w:val="20"/>
        </w:rPr>
        <w:t>, Sydney.</w:t>
      </w:r>
    </w:p>
    <w:bookmarkEnd w:id="555"/>
    <w:bookmarkEnd w:id="556"/>
    <w:p w:rsidR="00234376" w:rsidRPr="008D604B" w:rsidRDefault="00234376" w:rsidP="008E03A7">
      <w:pPr>
        <w:spacing w:after="120"/>
        <w:jc w:val="both"/>
        <w:rPr>
          <w:rFonts w:cs="Arial"/>
          <w:bCs/>
        </w:rPr>
      </w:pPr>
    </w:p>
    <w:p w:rsidR="00234376" w:rsidRPr="008D604B" w:rsidRDefault="00234376" w:rsidP="008E03A7">
      <w:pPr>
        <w:pStyle w:val="Heading5"/>
      </w:pPr>
      <w:r w:rsidRPr="008D604B">
        <w:t>Test characteristics</w:t>
      </w:r>
      <w:r w:rsidR="00FB1277" w:rsidRPr="008D604B">
        <w:t xml:space="preserve"> </w:t>
      </w:r>
      <w:r w:rsidRPr="008D604B">
        <w:t>—</w:t>
      </w:r>
      <w:r w:rsidR="00FB1277" w:rsidRPr="008D604B">
        <w:t xml:space="preserve"> </w:t>
      </w:r>
      <w:r w:rsidRPr="008D604B">
        <w:t>colposcopy</w:t>
      </w:r>
    </w:p>
    <w:p w:rsidR="00234376" w:rsidRPr="008D604B" w:rsidRDefault="00234376" w:rsidP="00234376">
      <w:pPr>
        <w:rPr>
          <w:rFonts w:cs="Arial"/>
        </w:rPr>
      </w:pPr>
      <w:r w:rsidRPr="008D604B">
        <w:t xml:space="preserve">We derived a test probability matrix for colposcopy based on data on over 21 000 colposcopies supplied by the Royal Women’s Hospital in </w:t>
      </w:r>
      <w:smartTag w:uri="urn:schemas-microsoft-com:office:smarttags" w:element="State">
        <w:r w:rsidRPr="008D604B">
          <w:t>Victoria</w:t>
        </w:r>
      </w:smartTag>
      <w:r w:rsidRPr="008D604B">
        <w:t xml:space="preserve"> (personal communication, Dr. Jeffrey Tan, Royal Women’s Hospital, </w:t>
      </w:r>
      <w:smartTag w:uri="urn:schemas-microsoft-com:office:smarttags" w:element="place">
        <w:smartTag w:uri="urn:schemas-microsoft-com:office:smarttags" w:element="City">
          <w:r w:rsidRPr="008D604B">
            <w:t>Melbourne</w:t>
          </w:r>
        </w:smartTag>
      </w:smartTag>
      <w:r w:rsidRPr="008D604B">
        <w:t xml:space="preserve">). The test probability matrix specifies the relationship between each possible underlying natural history health state at the time of testing and the probability that a biopsy would be taken. These data were also used to derive an age-specific probability of unsatisfactory colposcopy. </w:t>
      </w:r>
      <w:r w:rsidRPr="008D604B">
        <w:rPr>
          <w:rFonts w:cs="Arial"/>
        </w:rPr>
        <w:t xml:space="preserve">Details are provided in </w:t>
      </w:r>
      <w:r w:rsidRPr="008D604B">
        <w:rPr>
          <w:rFonts w:cs="Arial"/>
        </w:rPr>
        <w:fldChar w:fldCharType="begin"/>
      </w:r>
      <w:r w:rsidRPr="008D604B">
        <w:rPr>
          <w:rFonts w:cs="Arial"/>
        </w:rPr>
        <w:instrText xml:space="preserve"> REF _Ref212432848 \h  \* MERGEFORMAT </w:instrText>
      </w:r>
      <w:r w:rsidRPr="008D604B">
        <w:rPr>
          <w:rFonts w:cs="Arial"/>
        </w:rPr>
      </w:r>
      <w:r w:rsidRPr="008D604B">
        <w:rPr>
          <w:rFonts w:cs="Arial"/>
        </w:rPr>
        <w:fldChar w:fldCharType="separate"/>
      </w:r>
      <w:r w:rsidR="007D3DFF" w:rsidRPr="00537C3C">
        <w:t xml:space="preserve">Appendix </w:t>
      </w:r>
      <w:r w:rsidR="007D3DFF">
        <w:rPr>
          <w:noProof/>
        </w:rPr>
        <w:t>J</w:t>
      </w:r>
      <w:r w:rsidR="007D3DFF">
        <w:t xml:space="preserve">  </w:t>
      </w:r>
      <w:r w:rsidR="007D3DFF" w:rsidRPr="00537C3C">
        <w:t>Detailed model data sources</w:t>
      </w:r>
      <w:r w:rsidRPr="008D604B">
        <w:rPr>
          <w:rFonts w:cs="Arial"/>
        </w:rPr>
        <w:fldChar w:fldCharType="end"/>
      </w:r>
      <w:r w:rsidRPr="008D604B">
        <w:rPr>
          <w:rFonts w:cs="Arial"/>
        </w:rPr>
        <w:t>.</w:t>
      </w:r>
    </w:p>
    <w:p w:rsidR="00234376" w:rsidRPr="008D604B" w:rsidRDefault="00234376" w:rsidP="008E03A7">
      <w:pPr>
        <w:pStyle w:val="Heading5"/>
      </w:pPr>
      <w:r w:rsidRPr="008D604B">
        <w:t>Test characteristics—Hybrid Capture II (HCII)</w:t>
      </w:r>
    </w:p>
    <w:p w:rsidR="00234376" w:rsidRDefault="00234376" w:rsidP="00234376">
      <w:r w:rsidRPr="008D604B">
        <w:t xml:space="preserve">The test characteristics of HCII were assessed in order to simulate current practice in </w:t>
      </w:r>
      <w:smartTag w:uri="urn:schemas-microsoft-com:office:smarttags" w:element="place">
        <w:smartTag w:uri="urn:schemas-microsoft-com:office:smarttags" w:element="country-region">
          <w:r w:rsidRPr="008D604B">
            <w:t>Australia</w:t>
          </w:r>
        </w:smartTag>
      </w:smartTag>
      <w:r w:rsidRPr="008D604B">
        <w:t xml:space="preserve">, where it is used as a test of cure following treatment for CIN 2 and 3. Values used in the model are presented in </w:t>
      </w:r>
      <w:r w:rsidRPr="008D604B">
        <w:fldChar w:fldCharType="begin"/>
      </w:r>
      <w:r w:rsidRPr="008D604B">
        <w:instrText xml:space="preserve"> REF _Ref213054388 \h  \* MERGEFORMAT </w:instrText>
      </w:r>
      <w:r w:rsidRPr="008D604B">
        <w:fldChar w:fldCharType="separate"/>
      </w:r>
      <w:r w:rsidR="007D3DFF" w:rsidRPr="00537C3C">
        <w:t xml:space="preserve">Table </w:t>
      </w:r>
      <w:r w:rsidR="007D3DFF">
        <w:rPr>
          <w:noProof/>
        </w:rPr>
        <w:t>31</w:t>
      </w:r>
      <w:r w:rsidRPr="008D604B">
        <w:fldChar w:fldCharType="end"/>
      </w:r>
      <w:r w:rsidRPr="008D604B">
        <w:t xml:space="preserve">. </w:t>
      </w:r>
      <w:r w:rsidRPr="008D604B">
        <w:rPr>
          <w:rFonts w:cs="Arial"/>
        </w:rPr>
        <w:t xml:space="preserve">Details are provided in </w:t>
      </w:r>
      <w:r w:rsidRPr="008D604B">
        <w:rPr>
          <w:rFonts w:cs="Arial"/>
        </w:rPr>
        <w:fldChar w:fldCharType="begin"/>
      </w:r>
      <w:r w:rsidRPr="008D604B">
        <w:rPr>
          <w:rFonts w:cs="Arial"/>
        </w:rPr>
        <w:instrText xml:space="preserve"> REF _Ref212432848 \h  \* MERGEFORMAT </w:instrText>
      </w:r>
      <w:r w:rsidRPr="008D604B">
        <w:rPr>
          <w:rFonts w:cs="Arial"/>
        </w:rPr>
      </w:r>
      <w:r w:rsidRPr="008D604B">
        <w:rPr>
          <w:rFonts w:cs="Arial"/>
        </w:rPr>
        <w:fldChar w:fldCharType="separate"/>
      </w:r>
      <w:r w:rsidR="007D3DFF" w:rsidRPr="00537C3C">
        <w:t xml:space="preserve">Appendix </w:t>
      </w:r>
      <w:r w:rsidR="007D3DFF">
        <w:rPr>
          <w:noProof/>
        </w:rPr>
        <w:t>J</w:t>
      </w:r>
      <w:r w:rsidR="007D3DFF">
        <w:t xml:space="preserve">  </w:t>
      </w:r>
      <w:r w:rsidR="007D3DFF" w:rsidRPr="00537C3C">
        <w:t>Detailed model data sources</w:t>
      </w:r>
      <w:r w:rsidRPr="008D604B">
        <w:rPr>
          <w:rFonts w:cs="Arial"/>
        </w:rPr>
        <w:fldChar w:fldCharType="end"/>
      </w:r>
      <w:r w:rsidRPr="008D604B">
        <w:rPr>
          <w:rFonts w:cs="Arial"/>
        </w:rPr>
        <w:t>.</w:t>
      </w:r>
    </w:p>
    <w:p w:rsidR="00234376" w:rsidRPr="00537C3C" w:rsidRDefault="00234376" w:rsidP="008E03A7">
      <w:pPr>
        <w:pStyle w:val="Caption"/>
      </w:pPr>
      <w:bookmarkStart w:id="565" w:name="_Ref213054388"/>
      <w:bookmarkStart w:id="566" w:name="_Toc95971267"/>
      <w:bookmarkStart w:id="567" w:name="OLE_LINK28"/>
      <w:bookmarkStart w:id="568" w:name="OLE_LINK31"/>
      <w:r w:rsidRPr="00537C3C">
        <w:t xml:space="preserve">Table </w:t>
      </w:r>
      <w:fldSimple w:instr=" SEQ Table \* ARABIC ">
        <w:r w:rsidR="007D3DFF">
          <w:rPr>
            <w:noProof/>
          </w:rPr>
          <w:t>31</w:t>
        </w:r>
      </w:fldSimple>
      <w:bookmarkEnd w:id="565"/>
      <w:r w:rsidRPr="00537C3C">
        <w:tab/>
        <w:t xml:space="preserve">Modelled test characteristics of Hybrid Capture </w:t>
      </w:r>
      <w:r w:rsidRPr="00BB76D8">
        <w:t>II</w:t>
      </w:r>
      <w:r w:rsidRPr="00537C3C">
        <w:t xml:space="preserve"> </w:t>
      </w:r>
      <w:r w:rsidRPr="00BB76D8">
        <w:t>HPV</w:t>
      </w:r>
      <w:r w:rsidRPr="00537C3C">
        <w:t xml:space="preserve"> test (based on international data).</w:t>
      </w:r>
      <w:bookmarkEnd w:id="566"/>
    </w:p>
    <w:tbl>
      <w:tblPr>
        <w:tblW w:w="0" w:type="auto"/>
        <w:tblInd w:w="840" w:type="dxa"/>
        <w:tblBorders>
          <w:top w:val="single" w:sz="4" w:space="0" w:color="auto"/>
          <w:bottom w:val="single" w:sz="4" w:space="0" w:color="auto"/>
          <w:insideH w:val="single" w:sz="4" w:space="0" w:color="auto"/>
        </w:tblBorders>
        <w:tblLook w:val="01E0" w:firstRow="1" w:lastRow="1" w:firstColumn="1" w:lastColumn="1" w:noHBand="0" w:noVBand="0"/>
      </w:tblPr>
      <w:tblGrid>
        <w:gridCol w:w="1258"/>
        <w:gridCol w:w="2703"/>
        <w:gridCol w:w="1701"/>
        <w:gridCol w:w="1701"/>
      </w:tblGrid>
      <w:tr w:rsidR="00234376" w:rsidRPr="00537C3C">
        <w:tc>
          <w:tcPr>
            <w:tcW w:w="1258" w:type="dxa"/>
            <w:vMerge w:val="restart"/>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Model health state</w:t>
            </w:r>
          </w:p>
        </w:tc>
        <w:tc>
          <w:tcPr>
            <w:tcW w:w="2703" w:type="dxa"/>
            <w:tcBorders>
              <w:bottom w:val="nil"/>
            </w:tcBorders>
          </w:tcPr>
          <w:p w:rsidR="00234376" w:rsidRPr="00537C3C" w:rsidRDefault="00234376" w:rsidP="008E03A7">
            <w:pPr>
              <w:pStyle w:val="TableHeading0"/>
              <w:spacing w:before="0" w:after="0"/>
              <w:rPr>
                <w:rFonts w:ascii="Arial Narrow" w:hAnsi="Arial Narrow"/>
                <w:bCs/>
                <w:sz w:val="20"/>
              </w:rPr>
            </w:pPr>
            <w:r w:rsidRPr="00537C3C">
              <w:rPr>
                <w:rFonts w:ascii="Arial Narrow" w:hAnsi="Arial Narrow"/>
                <w:bCs/>
                <w:sz w:val="20"/>
              </w:rPr>
              <w:t xml:space="preserve">Gold standard used </w:t>
            </w:r>
          </w:p>
        </w:tc>
        <w:tc>
          <w:tcPr>
            <w:tcW w:w="3402" w:type="dxa"/>
            <w:gridSpan w:val="2"/>
          </w:tcPr>
          <w:p w:rsidR="00234376" w:rsidRPr="00537C3C" w:rsidRDefault="00234376" w:rsidP="008E03A7">
            <w:pPr>
              <w:pStyle w:val="TableHeading0"/>
              <w:spacing w:before="0" w:after="0"/>
              <w:jc w:val="center"/>
            </w:pPr>
            <w:r w:rsidRPr="00537C3C">
              <w:rPr>
                <w:rFonts w:ascii="Arial Narrow" w:hAnsi="Arial Narrow"/>
                <w:bCs/>
                <w:sz w:val="20"/>
              </w:rPr>
              <w:t xml:space="preserve">Hybrid Capture </w:t>
            </w:r>
            <w:r w:rsidRPr="00BB76D8">
              <w:rPr>
                <w:rFonts w:ascii="Arial Narrow" w:hAnsi="Arial Narrow"/>
                <w:bCs/>
                <w:sz w:val="20"/>
              </w:rPr>
              <w:t>II</w:t>
            </w:r>
            <w:r w:rsidRPr="00537C3C">
              <w:rPr>
                <w:rFonts w:ascii="Arial Narrow" w:hAnsi="Arial Narrow"/>
                <w:bCs/>
                <w:sz w:val="20"/>
              </w:rPr>
              <w:t xml:space="preserve"> positivity rate</w:t>
            </w:r>
          </w:p>
        </w:tc>
      </w:tr>
      <w:tr w:rsidR="00234376" w:rsidRPr="00537C3C">
        <w:tc>
          <w:tcPr>
            <w:tcW w:w="1258" w:type="dxa"/>
            <w:vMerge/>
          </w:tcPr>
          <w:p w:rsidR="00234376" w:rsidRPr="00537C3C" w:rsidRDefault="00234376" w:rsidP="008E03A7">
            <w:pPr>
              <w:pStyle w:val="TableHeading0"/>
              <w:spacing w:before="0" w:after="0"/>
              <w:rPr>
                <w:rFonts w:ascii="Arial Narrow" w:hAnsi="Arial Narrow"/>
                <w:bCs/>
                <w:sz w:val="20"/>
              </w:rPr>
            </w:pPr>
          </w:p>
        </w:tc>
        <w:tc>
          <w:tcPr>
            <w:tcW w:w="2703" w:type="dxa"/>
            <w:tcBorders>
              <w:top w:val="nil"/>
              <w:bottom w:val="nil"/>
            </w:tcBorders>
          </w:tcPr>
          <w:p w:rsidR="00234376" w:rsidRPr="00537C3C" w:rsidRDefault="00234376" w:rsidP="008E03A7">
            <w:pPr>
              <w:pStyle w:val="TableHeading0"/>
              <w:spacing w:before="0" w:after="0"/>
              <w:rPr>
                <w:rFonts w:ascii="Arial Narrow" w:hAnsi="Arial Narrow"/>
                <w:bCs/>
                <w:sz w:val="20"/>
              </w:rPr>
            </w:pPr>
          </w:p>
        </w:tc>
        <w:tc>
          <w:tcPr>
            <w:tcW w:w="3402" w:type="dxa"/>
            <w:gridSpan w:val="2"/>
            <w:tcBorders>
              <w:bottom w:val="nil"/>
            </w:tcBorders>
          </w:tcPr>
          <w:p w:rsidR="00234376" w:rsidRPr="00537C3C" w:rsidRDefault="00234376" w:rsidP="008E03A7">
            <w:pPr>
              <w:pStyle w:val="TableHeading0"/>
              <w:spacing w:before="0" w:after="0"/>
              <w:jc w:val="center"/>
            </w:pPr>
            <w:r w:rsidRPr="00537C3C">
              <w:t>Test of cure</w:t>
            </w:r>
          </w:p>
        </w:tc>
      </w:tr>
      <w:tr w:rsidR="00234376" w:rsidRPr="00537C3C">
        <w:tc>
          <w:tcPr>
            <w:tcW w:w="1258" w:type="dxa"/>
            <w:vMerge/>
          </w:tcPr>
          <w:p w:rsidR="00234376" w:rsidRPr="00537C3C" w:rsidRDefault="00234376" w:rsidP="008E03A7">
            <w:pPr>
              <w:pStyle w:val="TableHeading0"/>
              <w:spacing w:before="0" w:after="0"/>
              <w:rPr>
                <w:rFonts w:ascii="Arial Narrow" w:hAnsi="Arial Narrow"/>
                <w:bCs/>
                <w:sz w:val="20"/>
              </w:rPr>
            </w:pPr>
          </w:p>
        </w:tc>
        <w:tc>
          <w:tcPr>
            <w:tcW w:w="2703" w:type="dxa"/>
            <w:tcBorders>
              <w:top w:val="nil"/>
            </w:tcBorders>
          </w:tcPr>
          <w:p w:rsidR="00234376" w:rsidRPr="00537C3C" w:rsidRDefault="00234376" w:rsidP="008E03A7">
            <w:pPr>
              <w:pStyle w:val="TableHeading0"/>
              <w:spacing w:before="0" w:after="0"/>
              <w:rPr>
                <w:rFonts w:ascii="Arial Narrow" w:hAnsi="Arial Narrow"/>
                <w:bCs/>
                <w:sz w:val="20"/>
              </w:rPr>
            </w:pPr>
          </w:p>
        </w:tc>
        <w:tc>
          <w:tcPr>
            <w:tcW w:w="1701" w:type="dxa"/>
            <w:tcBorders>
              <w:top w:val="nil"/>
            </w:tcBorders>
          </w:tcPr>
          <w:p w:rsidR="00234376" w:rsidRPr="00537C3C" w:rsidRDefault="00234376" w:rsidP="008E03A7">
            <w:pPr>
              <w:pStyle w:val="TableHeading0"/>
              <w:spacing w:before="0" w:after="0"/>
              <w:jc w:val="center"/>
            </w:pPr>
            <w:r w:rsidRPr="00537C3C">
              <w:t>Baseline (%)</w:t>
            </w:r>
          </w:p>
        </w:tc>
        <w:tc>
          <w:tcPr>
            <w:tcW w:w="1701" w:type="dxa"/>
            <w:tcBorders>
              <w:top w:val="nil"/>
            </w:tcBorders>
          </w:tcPr>
          <w:p w:rsidR="00234376" w:rsidRPr="00537C3C" w:rsidRDefault="00234376" w:rsidP="008E03A7">
            <w:pPr>
              <w:pStyle w:val="TableHeading0"/>
              <w:spacing w:before="0" w:after="0"/>
              <w:jc w:val="center"/>
            </w:pPr>
            <w:r w:rsidRPr="00537C3C">
              <w:t>Range (%)</w:t>
            </w:r>
          </w:p>
        </w:tc>
      </w:tr>
      <w:tr w:rsidR="00234376" w:rsidRPr="00537C3C">
        <w:tblPrEx>
          <w:tblBorders>
            <w:left w:val="single" w:sz="4" w:space="0" w:color="auto"/>
            <w:right w:val="single" w:sz="4" w:space="0" w:color="auto"/>
            <w:insideV w:val="single" w:sz="4" w:space="0" w:color="auto"/>
          </w:tblBorders>
        </w:tblPrEx>
        <w:tc>
          <w:tcPr>
            <w:tcW w:w="1258" w:type="dxa"/>
            <w:tcBorders>
              <w:left w:val="nil"/>
              <w:bottom w:val="nil"/>
              <w:right w:val="nil"/>
            </w:tcBorders>
          </w:tcPr>
          <w:p w:rsidR="00234376" w:rsidRPr="00537C3C" w:rsidRDefault="00234376" w:rsidP="008E03A7">
            <w:pPr>
              <w:pStyle w:val="TableText0"/>
              <w:rPr>
                <w:rFonts w:ascii="Arial Narrow" w:hAnsi="Arial Narrow"/>
              </w:rPr>
            </w:pPr>
            <w:smartTag w:uri="urn:schemas-microsoft-com:office:smarttags" w:element="place">
              <w:smartTag w:uri="urn:schemas-microsoft-com:office:smarttags" w:element="City">
                <w:r w:rsidRPr="00537C3C">
                  <w:rPr>
                    <w:rFonts w:ascii="Arial Narrow" w:hAnsi="Arial Narrow"/>
                  </w:rPr>
                  <w:t>Normal</w:t>
                </w:r>
              </w:smartTag>
            </w:smartTag>
          </w:p>
        </w:tc>
        <w:tc>
          <w:tcPr>
            <w:tcW w:w="2703" w:type="dxa"/>
            <w:tcBorders>
              <w:left w:val="nil"/>
              <w:bottom w:val="nil"/>
              <w:right w:val="nil"/>
            </w:tcBorders>
          </w:tcPr>
          <w:p w:rsidR="00234376" w:rsidRPr="00537C3C" w:rsidRDefault="00234376" w:rsidP="008E03A7">
            <w:pPr>
              <w:pStyle w:val="TableText0"/>
              <w:rPr>
                <w:rFonts w:ascii="Arial Narrow" w:hAnsi="Arial Narrow"/>
              </w:rPr>
            </w:pPr>
            <w:r w:rsidRPr="00537C3C">
              <w:rPr>
                <w:rFonts w:ascii="Arial Narrow" w:hAnsi="Arial Narrow"/>
              </w:rPr>
              <w:t>PCR –ve, normal cytology</w:t>
            </w:r>
          </w:p>
        </w:tc>
        <w:tc>
          <w:tcPr>
            <w:tcW w:w="1701" w:type="dxa"/>
            <w:tcBorders>
              <w:left w:val="nil"/>
              <w:bottom w:val="nil"/>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1.4</w:t>
            </w:r>
          </w:p>
        </w:tc>
        <w:tc>
          <w:tcPr>
            <w:tcW w:w="1701" w:type="dxa"/>
            <w:tcBorders>
              <w:left w:val="nil"/>
              <w:bottom w:val="nil"/>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1.4–4.2</w:t>
            </w:r>
          </w:p>
        </w:tc>
      </w:tr>
      <w:tr w:rsidR="00234376" w:rsidRPr="00537C3C">
        <w:tblPrEx>
          <w:tblBorders>
            <w:left w:val="single" w:sz="4" w:space="0" w:color="auto"/>
            <w:right w:val="single" w:sz="4" w:space="0" w:color="auto"/>
            <w:insideV w:val="single" w:sz="4" w:space="0" w:color="auto"/>
          </w:tblBorders>
        </w:tblPrEx>
        <w:tc>
          <w:tcPr>
            <w:tcW w:w="1258" w:type="dxa"/>
            <w:tcBorders>
              <w:top w:val="nil"/>
              <w:left w:val="nil"/>
              <w:bottom w:val="nil"/>
              <w:right w:val="nil"/>
            </w:tcBorders>
          </w:tcPr>
          <w:p w:rsidR="00234376" w:rsidRPr="00537C3C" w:rsidRDefault="00234376" w:rsidP="008E03A7">
            <w:pPr>
              <w:pStyle w:val="TableText0"/>
              <w:rPr>
                <w:rFonts w:ascii="Arial Narrow" w:hAnsi="Arial Narrow"/>
              </w:rPr>
            </w:pPr>
            <w:r w:rsidRPr="00BB76D8">
              <w:rPr>
                <w:rFonts w:ascii="Arial Narrow" w:hAnsi="Arial Narrow"/>
              </w:rPr>
              <w:t>HPV</w:t>
            </w:r>
            <w:r w:rsidRPr="00537C3C">
              <w:rPr>
                <w:rFonts w:ascii="Arial Narrow" w:hAnsi="Arial Narrow"/>
              </w:rPr>
              <w:t xml:space="preserve"> (no </w:t>
            </w:r>
            <w:r w:rsidRPr="00BB76D8">
              <w:rPr>
                <w:rFonts w:ascii="Arial Narrow" w:hAnsi="Arial Narrow"/>
              </w:rPr>
              <w:t>CIN</w:t>
            </w:r>
            <w:r w:rsidRPr="00537C3C">
              <w:rPr>
                <w:rFonts w:ascii="Arial Narrow" w:hAnsi="Arial Narrow"/>
              </w:rPr>
              <w:t>)</w:t>
            </w:r>
          </w:p>
        </w:tc>
        <w:tc>
          <w:tcPr>
            <w:tcW w:w="2703" w:type="dxa"/>
            <w:tcBorders>
              <w:top w:val="nil"/>
              <w:left w:val="nil"/>
              <w:bottom w:val="nil"/>
              <w:right w:val="nil"/>
            </w:tcBorders>
          </w:tcPr>
          <w:p w:rsidR="00234376" w:rsidRPr="00537C3C" w:rsidRDefault="00234376" w:rsidP="008E03A7">
            <w:pPr>
              <w:pStyle w:val="TableText0"/>
              <w:rPr>
                <w:rFonts w:ascii="Arial Narrow" w:hAnsi="Arial Narrow"/>
              </w:rPr>
            </w:pPr>
            <w:r w:rsidRPr="00537C3C">
              <w:rPr>
                <w:rFonts w:ascii="Arial Narrow" w:hAnsi="Arial Narrow"/>
              </w:rPr>
              <w:t>PCR +ve, normal cytology</w:t>
            </w:r>
          </w:p>
        </w:tc>
        <w:tc>
          <w:tcPr>
            <w:tcW w:w="1701" w:type="dxa"/>
            <w:tcBorders>
              <w:top w:val="nil"/>
              <w:left w:val="nil"/>
              <w:bottom w:val="nil"/>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49.7</w:t>
            </w:r>
          </w:p>
        </w:tc>
        <w:tc>
          <w:tcPr>
            <w:tcW w:w="1701" w:type="dxa"/>
            <w:tcBorders>
              <w:top w:val="nil"/>
              <w:left w:val="nil"/>
              <w:bottom w:val="nil"/>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49.7–92.5</w:t>
            </w:r>
          </w:p>
        </w:tc>
      </w:tr>
      <w:tr w:rsidR="00234376" w:rsidRPr="00537C3C">
        <w:tblPrEx>
          <w:tblBorders>
            <w:left w:val="single" w:sz="4" w:space="0" w:color="auto"/>
            <w:right w:val="single" w:sz="4" w:space="0" w:color="auto"/>
            <w:insideV w:val="single" w:sz="4" w:space="0" w:color="auto"/>
          </w:tblBorders>
        </w:tblPrEx>
        <w:tc>
          <w:tcPr>
            <w:tcW w:w="1258" w:type="dxa"/>
            <w:tcBorders>
              <w:top w:val="nil"/>
              <w:left w:val="nil"/>
              <w:bottom w:val="nil"/>
              <w:right w:val="nil"/>
            </w:tcBorders>
          </w:tcPr>
          <w:p w:rsidR="00234376" w:rsidRPr="00537C3C" w:rsidRDefault="00234376" w:rsidP="008E03A7">
            <w:pPr>
              <w:pStyle w:val="TableText0"/>
              <w:rPr>
                <w:rFonts w:ascii="Arial Narrow" w:hAnsi="Arial Narrow"/>
              </w:rPr>
            </w:pPr>
            <w:r w:rsidRPr="00BB76D8">
              <w:rPr>
                <w:rFonts w:ascii="Arial Narrow" w:hAnsi="Arial Narrow"/>
              </w:rPr>
              <w:t>CIN</w:t>
            </w:r>
            <w:r w:rsidRPr="00537C3C">
              <w:rPr>
                <w:rFonts w:ascii="Arial Narrow" w:hAnsi="Arial Narrow"/>
              </w:rPr>
              <w:t xml:space="preserve"> 1</w:t>
            </w:r>
          </w:p>
        </w:tc>
        <w:tc>
          <w:tcPr>
            <w:tcW w:w="2703" w:type="dxa"/>
            <w:tcBorders>
              <w:top w:val="nil"/>
              <w:left w:val="nil"/>
              <w:bottom w:val="nil"/>
              <w:right w:val="nil"/>
            </w:tcBorders>
          </w:tcPr>
          <w:p w:rsidR="00234376" w:rsidRPr="00537C3C" w:rsidRDefault="00234376" w:rsidP="008E03A7">
            <w:pPr>
              <w:pStyle w:val="TableText0"/>
              <w:rPr>
                <w:rFonts w:ascii="Arial Narrow" w:hAnsi="Arial Narrow"/>
              </w:rPr>
            </w:pPr>
            <w:r w:rsidRPr="00537C3C">
              <w:rPr>
                <w:rFonts w:ascii="Arial Narrow" w:hAnsi="Arial Narrow"/>
              </w:rPr>
              <w:t>Histology (or cytology if no histology)</w:t>
            </w:r>
          </w:p>
        </w:tc>
        <w:tc>
          <w:tcPr>
            <w:tcW w:w="1701" w:type="dxa"/>
            <w:tcBorders>
              <w:top w:val="nil"/>
              <w:left w:val="nil"/>
              <w:bottom w:val="nil"/>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84.2</w:t>
            </w:r>
          </w:p>
        </w:tc>
        <w:tc>
          <w:tcPr>
            <w:tcW w:w="1701" w:type="dxa"/>
            <w:tcBorders>
              <w:top w:val="nil"/>
              <w:left w:val="nil"/>
              <w:bottom w:val="nil"/>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69.4–98.9</w:t>
            </w:r>
          </w:p>
        </w:tc>
      </w:tr>
      <w:tr w:rsidR="00234376" w:rsidRPr="00537C3C">
        <w:tblPrEx>
          <w:tblBorders>
            <w:left w:val="single" w:sz="4" w:space="0" w:color="auto"/>
            <w:right w:val="single" w:sz="4" w:space="0" w:color="auto"/>
            <w:insideV w:val="single" w:sz="4" w:space="0" w:color="auto"/>
          </w:tblBorders>
        </w:tblPrEx>
        <w:tc>
          <w:tcPr>
            <w:tcW w:w="1258" w:type="dxa"/>
            <w:tcBorders>
              <w:top w:val="nil"/>
              <w:left w:val="nil"/>
              <w:bottom w:val="nil"/>
              <w:right w:val="nil"/>
            </w:tcBorders>
          </w:tcPr>
          <w:p w:rsidR="00234376" w:rsidRPr="00537C3C" w:rsidRDefault="00234376" w:rsidP="008E03A7">
            <w:pPr>
              <w:pStyle w:val="TableText0"/>
              <w:rPr>
                <w:rFonts w:ascii="Arial Narrow" w:hAnsi="Arial Narrow"/>
              </w:rPr>
            </w:pPr>
            <w:r w:rsidRPr="00BB76D8">
              <w:rPr>
                <w:rFonts w:ascii="Arial Narrow" w:hAnsi="Arial Narrow"/>
              </w:rPr>
              <w:t>CIN</w:t>
            </w:r>
            <w:r w:rsidRPr="00537C3C">
              <w:rPr>
                <w:rFonts w:ascii="Arial Narrow" w:hAnsi="Arial Narrow"/>
              </w:rPr>
              <w:t xml:space="preserve"> 2</w:t>
            </w:r>
          </w:p>
        </w:tc>
        <w:tc>
          <w:tcPr>
            <w:tcW w:w="2703" w:type="dxa"/>
            <w:tcBorders>
              <w:top w:val="nil"/>
              <w:left w:val="nil"/>
              <w:bottom w:val="nil"/>
              <w:right w:val="nil"/>
            </w:tcBorders>
          </w:tcPr>
          <w:p w:rsidR="00234376" w:rsidRPr="00537C3C" w:rsidRDefault="00234376" w:rsidP="008E03A7">
            <w:pPr>
              <w:pStyle w:val="TableText0"/>
              <w:rPr>
                <w:rFonts w:ascii="Arial Narrow" w:hAnsi="Arial Narrow"/>
              </w:rPr>
            </w:pPr>
            <w:r w:rsidRPr="00537C3C">
              <w:rPr>
                <w:rFonts w:ascii="Arial Narrow" w:hAnsi="Arial Narrow"/>
              </w:rPr>
              <w:t>Histology</w:t>
            </w:r>
          </w:p>
        </w:tc>
        <w:tc>
          <w:tcPr>
            <w:tcW w:w="1701" w:type="dxa"/>
            <w:tcBorders>
              <w:top w:val="nil"/>
              <w:left w:val="nil"/>
              <w:bottom w:val="nil"/>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94.4</w:t>
            </w:r>
          </w:p>
        </w:tc>
        <w:tc>
          <w:tcPr>
            <w:tcW w:w="1701" w:type="dxa"/>
            <w:tcBorders>
              <w:top w:val="nil"/>
              <w:left w:val="nil"/>
              <w:bottom w:val="nil"/>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90.9–97.9</w:t>
            </w:r>
          </w:p>
        </w:tc>
      </w:tr>
      <w:tr w:rsidR="00234376" w:rsidRPr="00537C3C">
        <w:tblPrEx>
          <w:tblBorders>
            <w:left w:val="single" w:sz="4" w:space="0" w:color="auto"/>
            <w:right w:val="single" w:sz="4" w:space="0" w:color="auto"/>
            <w:insideV w:val="single" w:sz="4" w:space="0" w:color="auto"/>
          </w:tblBorders>
        </w:tblPrEx>
        <w:tc>
          <w:tcPr>
            <w:tcW w:w="1258" w:type="dxa"/>
            <w:tcBorders>
              <w:top w:val="nil"/>
              <w:left w:val="nil"/>
              <w:right w:val="nil"/>
            </w:tcBorders>
          </w:tcPr>
          <w:p w:rsidR="00234376" w:rsidRPr="00537C3C" w:rsidRDefault="00234376" w:rsidP="008E03A7">
            <w:pPr>
              <w:pStyle w:val="TableText0"/>
              <w:rPr>
                <w:rFonts w:ascii="Arial Narrow" w:hAnsi="Arial Narrow"/>
              </w:rPr>
            </w:pPr>
            <w:r w:rsidRPr="00BB76D8">
              <w:rPr>
                <w:rFonts w:ascii="Arial Narrow" w:hAnsi="Arial Narrow"/>
              </w:rPr>
              <w:t>CIN</w:t>
            </w:r>
            <w:r w:rsidRPr="00537C3C">
              <w:rPr>
                <w:rFonts w:ascii="Arial Narrow" w:hAnsi="Arial Narrow"/>
              </w:rPr>
              <w:t xml:space="preserve"> 3+</w:t>
            </w:r>
          </w:p>
        </w:tc>
        <w:tc>
          <w:tcPr>
            <w:tcW w:w="2703" w:type="dxa"/>
            <w:tcBorders>
              <w:top w:val="nil"/>
              <w:left w:val="nil"/>
              <w:right w:val="nil"/>
            </w:tcBorders>
          </w:tcPr>
          <w:p w:rsidR="00234376" w:rsidRPr="00537C3C" w:rsidRDefault="00234376" w:rsidP="008E03A7">
            <w:pPr>
              <w:pStyle w:val="TableText0"/>
              <w:rPr>
                <w:rFonts w:ascii="Arial Narrow" w:hAnsi="Arial Narrow"/>
              </w:rPr>
            </w:pPr>
            <w:r w:rsidRPr="00537C3C">
              <w:rPr>
                <w:rFonts w:ascii="Arial Narrow" w:hAnsi="Arial Narrow"/>
              </w:rPr>
              <w:t>Histology</w:t>
            </w:r>
          </w:p>
        </w:tc>
        <w:tc>
          <w:tcPr>
            <w:tcW w:w="1701" w:type="dxa"/>
            <w:tcBorders>
              <w:top w:val="nil"/>
              <w:left w:val="nil"/>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94.4</w:t>
            </w:r>
          </w:p>
        </w:tc>
        <w:tc>
          <w:tcPr>
            <w:tcW w:w="1701" w:type="dxa"/>
            <w:tcBorders>
              <w:top w:val="nil"/>
              <w:left w:val="nil"/>
              <w:right w:val="nil"/>
            </w:tcBorders>
          </w:tcPr>
          <w:p w:rsidR="00234376" w:rsidRPr="00537C3C" w:rsidRDefault="00234376" w:rsidP="008E03A7">
            <w:pPr>
              <w:pStyle w:val="TableText0"/>
              <w:jc w:val="center"/>
              <w:rPr>
                <w:rFonts w:ascii="Arial Narrow" w:hAnsi="Arial Narrow"/>
              </w:rPr>
            </w:pPr>
            <w:r w:rsidRPr="00537C3C">
              <w:rPr>
                <w:rFonts w:ascii="Arial Narrow" w:hAnsi="Arial Narrow"/>
              </w:rPr>
              <w:t>90.9–97.9</w:t>
            </w:r>
          </w:p>
        </w:tc>
      </w:tr>
    </w:tbl>
    <w:bookmarkEnd w:id="567"/>
    <w:bookmarkEnd w:id="568"/>
    <w:p w:rsidR="00234376" w:rsidRPr="00537C3C" w:rsidRDefault="00234376" w:rsidP="008E03A7">
      <w:pPr>
        <w:pStyle w:val="TableNotes"/>
        <w:spacing w:after="0"/>
      </w:pPr>
      <w:r w:rsidRPr="00234376">
        <w:rPr>
          <w:i/>
        </w:rPr>
        <w:t>Abbreviations</w:t>
      </w:r>
      <w:r w:rsidRPr="00537C3C">
        <w:rPr>
          <w:i/>
        </w:rPr>
        <w:t>:</w:t>
      </w:r>
      <w:r w:rsidRPr="00537C3C">
        <w:t xml:space="preserve"> PCR = polymerase chain reaction; </w:t>
      </w:r>
      <w:r w:rsidRPr="00BB76D8">
        <w:t>CIN</w:t>
      </w:r>
      <w:r w:rsidRPr="00537C3C">
        <w:t xml:space="preserve"> = cervical intraepithelial neoplasia.</w:t>
      </w:r>
    </w:p>
    <w:p w:rsidR="00234376" w:rsidRPr="00537C3C" w:rsidRDefault="00234376" w:rsidP="008E03A7">
      <w:pPr>
        <w:spacing w:after="120"/>
        <w:jc w:val="both"/>
        <w:rPr>
          <w:rFonts w:cs="Arial"/>
        </w:rPr>
      </w:pPr>
    </w:p>
    <w:p w:rsidR="00234376" w:rsidRPr="00537C3C" w:rsidRDefault="00234376" w:rsidP="008E03A7">
      <w:pPr>
        <w:pStyle w:val="Heading5"/>
      </w:pPr>
      <w:r w:rsidRPr="00537C3C">
        <w:t>Treatment failure and post-treatment recurrence</w:t>
      </w:r>
    </w:p>
    <w:p w:rsidR="00234376" w:rsidRDefault="00234376" w:rsidP="00234376">
      <w:pPr>
        <w:rPr>
          <w:rFonts w:cs="Arial"/>
        </w:rPr>
      </w:pPr>
      <w:r w:rsidRPr="00537C3C">
        <w:rPr>
          <w:rFonts w:cs="Arial"/>
        </w:rPr>
        <w:t xml:space="preserve">The treatment failure rate within the first year and annual recurrence rates thereafter were obtained from our own review and meta-analysis of data from relevant studies </w:t>
      </w:r>
      <w:r w:rsidRPr="00537C3C">
        <w:rPr>
          <w:rFonts w:cs="Arial"/>
        </w:rPr>
        <w:fldChar w:fldCharType="begin"/>
      </w:r>
      <w:r w:rsidRPr="00537C3C">
        <w:rPr>
          <w:rFonts w:cs="Arial"/>
        </w:rPr>
        <w:instrText xml:space="preserve"> ADDIN REFMGR.CITE &lt;Refman&gt;&lt;Cite&gt;&lt;Author&gt;Flannelly&lt;/Author&gt;&lt;Year&gt;1997&lt;/Year&gt;&lt;RecNum&gt;1520&lt;/RecNum&gt;&lt;IDText&gt;A study of treatment failures following large loop excision of the transformation zone for the treatment of cervical intraepithelial neoplasia&lt;/IDText&gt;&lt;MDL Ref_Type="Journal"&gt;&lt;Ref_Type&gt;Journal&lt;/Ref_Type&gt;&lt;Ref_ID&gt;1520&lt;/Ref_ID&gt;&lt;Title_Primary&gt;A study of treatment failures following large loop excision of the transformation zone for the treatment of cervical intraepithelial neoplasia&lt;/Title_Primary&gt;&lt;Authors_Primary&gt;Flannelly,G.&lt;/Authors_Primary&gt;&lt;Authors_Primary&gt;Langhan,H.&lt;/Authors_Primary&gt;&lt;Authors_Primary&gt;Jandial,L.&lt;/Authors_Primary&gt;&lt;Authors_Primary&gt;Mana,E.&lt;/Authors_Primary&gt;&lt;Authors_Primary&gt;Campbell,M.&lt;/Authors_Primary&gt;&lt;Authors_Primary&gt;Kitchener,H.&lt;/Authors_Primary&gt;&lt;Date_Primary&gt;1997/6&lt;/Date_Primary&gt;&lt;Keywords&gt;Adolescent&lt;/Keywords&gt;&lt;Keywords&gt;Adult&lt;/Keywords&gt;&lt;Keywords&gt;Aftercare&lt;/Keywords&gt;&lt;Keywords&gt;Aged&lt;/Keywords&gt;&lt;Keywords&gt;Biopsy&lt;/Keywords&gt;&lt;Keywords&gt;Cancer&lt;/Keywords&gt;&lt;Keywords&gt;Cervical Intraepithelial&lt;/Keywords&gt;&lt;Keywords&gt;Cervical Intraepithelial Neoplasia&lt;/Keywords&gt;&lt;Keywords&gt;Cervix Neoplasms&lt;/Keywords&gt;&lt;Keywords&gt;Colposcopy&lt;/Keywords&gt;&lt;Keywords&gt;cytology&lt;/Keywords&gt;&lt;Keywords&gt;Diagnostic&lt;/Keywords&gt;&lt;Keywords&gt;Disease&lt;/Keywords&gt;&lt;Keywords&gt;Electrosurgery&lt;/Keywords&gt;&lt;Keywords&gt;Female&lt;/Keywords&gt;&lt;Keywords&gt;Histological Techniques&lt;/Keywords&gt;&lt;Keywords&gt;histology&lt;/Keywords&gt;&lt;Keywords&gt;Hospitals&lt;/Keywords&gt;&lt;Keywords&gt;Human&lt;/Keywords&gt;&lt;Keywords&gt;Incidence&lt;/Keywords&gt;&lt;Keywords&gt;Middle Age&lt;/Keywords&gt;&lt;Keywords&gt;Neoplasia&lt;/Keywords&gt;&lt;Keywords&gt;Neoplasm Recurrence,Local&lt;/Keywords&gt;&lt;Keywords&gt;pathology&lt;/Keywords&gt;&lt;Keywords&gt;Recurrence&lt;/Keywords&gt;&lt;Keywords&gt;Retrospective Studies&lt;/Keywords&gt;&lt;Keywords&gt;Risk&lt;/Keywords&gt;&lt;Keywords&gt;Scotland&lt;/Keywords&gt;&lt;Keywords&gt;standards&lt;/Keywords&gt;&lt;Keywords&gt;surgery&lt;/Keywords&gt;&lt;Keywords&gt;Time&lt;/Keywords&gt;&lt;Keywords&gt;Treatment Failure&lt;/Keywords&gt;&lt;Keywords&gt;Vaginal Smears&lt;/Keywords&gt;&lt;Keywords&gt;Women&lt;/Keywords&gt;&lt;Reprint&gt;Not in File&lt;/Reprint&gt;&lt;Start_Page&gt;718&lt;/Start_Page&gt;&lt;End_Page&gt;722&lt;/End_Page&gt;&lt;Periodical&gt;Br J Obstet Gynaecol JID - 7503752&lt;/Periodical&gt;&lt;Volume&gt;104&lt;/Volume&gt;&lt;Issue&gt;6&lt;/Issue&gt;&lt;Address&gt;Wellbeing Centre for the Prevention of Cervical Cancer, Aberdeen Royal Hospitals NHS Trust, UKFAU - Flannelly, G&lt;/Address&gt;&lt;ZZ_JournalStdAbbrev&gt;&lt;f name="System"&gt;Br J Obstet Gynaecol JID - 7503752&lt;/f&gt;&lt;/ZZ_JournalStdAbbrev&gt;&lt;ZZ_WorkformID&gt;1&lt;/ZZ_WorkformID&gt;&lt;/MDL&gt;&lt;/Cite&gt;&lt;Cite&gt;&lt;Author&gt;Cecchini&lt;/Author&gt;&lt;Year&gt;2002&lt;/Year&gt;&lt;RecNum&gt;4756&lt;/RecNum&gt;&lt;IDText&gt;Recurrence after treatment by loop electrosurgical excision procedure (LEEP) of high-grade cervical intraepithelial neoplasia&lt;/IDText&gt;&lt;MDL Ref_Type="Journal"&gt;&lt;Ref_Type&gt;Journal&lt;/Ref_Type&gt;&lt;Ref_ID&gt;4756&lt;/Ref_ID&gt;&lt;Title_Primary&gt;Recurrence after treatment by loop electrosurgical excision procedure (LEEP) of high-grade cervical intraepithelial neoplasia&lt;/Title_Primary&gt;&lt;Authors_Primary&gt;Cecchini,S.&lt;/Authors_Primary&gt;&lt;Authors_Primary&gt;Visioli,C.B.&lt;/Authors_Primary&gt;&lt;Authors_Primary&gt;Zappa,M.&lt;/Authors_Primary&gt;&lt;Authors_Primary&gt;Ciatto,S.&lt;/Authors_Primary&gt;&lt;Date_Primary&gt;2002/11&lt;/Date_Primary&gt;&lt;Keywords&gt;analysis&lt;/Keywords&gt;&lt;Keywords&gt;Cervical Intraepithelial&lt;/Keywords&gt;&lt;Keywords&gt;Cervical Intraepithelial Neoplasia&lt;/Keywords&gt;&lt;Keywords&gt;Italy&lt;/Keywords&gt;&lt;Keywords&gt;Multivariate Analysis&lt;/Keywords&gt;&lt;Keywords&gt;Neoplasia&lt;/Keywords&gt;&lt;Keywords&gt;Recurrence&lt;/Keywords&gt;&lt;Keywords&gt;Risk&lt;/Keywords&gt;&lt;Keywords&gt;screening&lt;/Keywords&gt;&lt;Keywords&gt;Time&lt;/Keywords&gt;&lt;Reprint&gt;Not in File&lt;/Reprint&gt;&lt;Start_Page&gt;478&lt;/Start_Page&gt;&lt;End_Page&gt;480&lt;/End_Page&gt;&lt;Periodical&gt;Tumori&lt;/Periodical&gt;&lt;Volume&gt;88&lt;/Volume&gt;&lt;Issue&gt;6&lt;/Issue&gt;&lt;ZZ_JournalFull&gt;&lt;f name="System"&gt;Tumori&lt;/f&gt;&lt;/ZZ_JournalFull&gt;&lt;ZZ_WorkformID&gt;1&lt;/ZZ_WorkformID&gt;&lt;/MDL&gt;&lt;/Cite&gt;&lt;Cite&gt;&lt;Author&gt;Wright&lt;/Author&gt;&lt;Year&gt;1992&lt;/Year&gt;&lt;RecNum&gt;4418&lt;/RecNum&gt;&lt;IDText&gt;Treatment of cervical intraepithelial neoplasia using the loop electrosurgical excision procedure.[see comment]&lt;/IDText&gt;&lt;MDL Ref_Type="Journal"&gt;&lt;Ref_Type&gt;Journal&lt;/Ref_Type&gt;&lt;Ref_ID&gt;4418&lt;/Ref_ID&gt;&lt;Title_Primary&gt;Treatment of cervical intraepithelial neoplasia using the loop electrosurgical excision procedure.[see comment]&lt;/Title_Primary&gt;&lt;Authors_Primary&gt;Wright,T.C.,Jr.&lt;/Authors_Primary&gt;&lt;Authors_Primary&gt;Gagnon,S.&lt;/Authors_Primary&gt;&lt;Authors_Primary&gt;Richart,R.M.&lt;/Authors_Primary&gt;&lt;Authors_Primary&gt;Ferenczy,A.&lt;/Authors_Primary&gt;&lt;Date_Primary&gt;1992/2&lt;/Date_Primary&gt;&lt;Keywords&gt;Anesthesia&lt;/Keywords&gt;&lt;Keywords&gt;Cervical Intraepithelial&lt;/Keywords&gt;&lt;Keywords&gt;Cervical Intraepithelial Neoplasia&lt;/Keywords&gt;&lt;Keywords&gt;Clinical&lt;/Keywords&gt;&lt;Keywords&gt;Cryotherapy&lt;/Keywords&gt;&lt;Keywords&gt;diagnosis&lt;/Keywords&gt;&lt;Keywords&gt;Disease&lt;/Keywords&gt;&lt;Keywords&gt;Electrodes&lt;/Keywords&gt;&lt;Keywords&gt;Local&lt;/Keywords&gt;&lt;Keywords&gt;Neoplasia&lt;/Keywords&gt;&lt;Keywords&gt;New York&lt;/Keywords&gt;&lt;Keywords&gt;pathology&lt;/Keywords&gt;&lt;Keywords&gt;Patients&lt;/Keywords&gt;&lt;Keywords&gt;therapy&lt;/Keywords&gt;&lt;Keywords&gt;Women&lt;/Keywords&gt;&lt;Reprint&gt;Not in File&lt;/Reprint&gt;&lt;Start_Page&gt;173&lt;/Start_Page&gt;&lt;End_Page&gt;178&lt;/End_Page&gt;&lt;Periodical&gt;Obstetrics &amp;amp; Gynecology&lt;/Periodical&gt;&lt;Volume&gt;79&lt;/Volume&gt;&lt;Issue&gt;2&lt;/Issue&gt;&lt;ZZ_JournalFull&gt;&lt;f name="System"&gt;Obstetrics &amp;amp; Gynecology&lt;/f&gt;&lt;/ZZ_JournalFull&gt;&lt;ZZ_WorkformID&gt;1&lt;/ZZ_WorkformID&gt;&lt;/MDL&gt;&lt;/Cite&gt;&lt;Cite&gt;&lt;Author&gt;Powell&lt;/Author&gt;&lt;Year&gt;1996&lt;/Year&gt;&lt;RecNum&gt;4415&lt;/RecNum&gt;&lt;IDText&gt;The use of large loop excision of the transformation zone (LLETZ) in an outpatient setting&lt;/IDText&gt;&lt;MDL Ref_Type="Journal"&gt;&lt;Ref_Type&gt;Journal&lt;/Ref_Type&gt;&lt;Ref_ID&gt;4415&lt;/Ref_ID&gt;&lt;Title_Primary&gt;The use of large loop excision of the transformation zone (LLETZ) in an outpatient setting&lt;/Title_Primary&gt;&lt;Authors_Primary&gt;Powell,B.&lt;/Authors_Primary&gt;&lt;Date_Primary&gt;1996/8&lt;/Date_Primary&gt;&lt;Keywords&gt;Australia&lt;/Keywords&gt;&lt;Keywords&gt;Biopsy&lt;/Keywords&gt;&lt;Keywords&gt;Cervical Intraepithelial&lt;/Keywords&gt;&lt;Keywords&gt;Cervical Intraepithelial Neoplasia&lt;/Keywords&gt;&lt;Keywords&gt;deficiency&lt;/Keywords&gt;&lt;Keywords&gt;diagnosis&lt;/Keywords&gt;&lt;Keywords&gt;histology&lt;/Keywords&gt;&lt;Keywords&gt;Neoplasia&lt;/Keywords&gt;&lt;Keywords&gt;Patients&lt;/Keywords&gt;&lt;Keywords&gt;South Australia&lt;/Keywords&gt;&lt;Reprint&gt;Not in File&lt;/Reprint&gt;&lt;Start_Page&gt;338&lt;/Start_Page&gt;&lt;End_Page&gt;346&lt;/End_Page&gt;&lt;Periodical&gt;Australian &amp;amp; New Zealand Journal of Obstetrics &amp;amp; Gynaecology&lt;/Periodical&gt;&lt;Volume&gt;36&lt;/Volume&gt;&lt;Issue&gt;3&lt;/Issue&gt;&lt;ZZ_JournalFull&gt;&lt;f name="System"&gt;Australian &amp;amp; New Zealand Journal of Obstetrics &amp;amp; Gynaecology&lt;/f&gt;&lt;/ZZ_JournalFull&gt;&lt;ZZ_WorkformID&gt;1&lt;/ZZ_WorkformID&gt;&lt;/MDL&gt;&lt;/Cite&gt;&lt;Cite&gt;&lt;Author&gt;Paraskevaidis&lt;/Author&gt;&lt;Year&gt;2000&lt;/Year&gt;&lt;RecNum&gt;4761&lt;/RecNum&gt;&lt;IDText&gt;Cervical intraepithelial neoplasia outcomes after large loop excision with clear margins&lt;/IDText&gt;&lt;MDL Ref_Type="Journal"&gt;&lt;Ref_Type&gt;Journal&lt;/Ref_Type&gt;&lt;Ref_ID&gt;4761&lt;/Ref_ID&gt;&lt;Title_Primary&gt;Cervical intraepithelial neoplasia outcomes after large loop excision with clear margins&lt;/Title_Primary&gt;&lt;Authors_Primary&gt;Paraskevaidis,E.&lt;/Authors_Primary&gt;&lt;Authors_Primary&gt;Lolis,E.D.&lt;/Authors_Primary&gt;&lt;Authors_Primary&gt;Koliopoulos,G.&lt;/Authors_Primary&gt;&lt;Authors_Primary&gt;Alamanos,Y.&lt;/Authors_Primary&gt;&lt;Authors_Primary&gt;Fotiou,S.&lt;/Authors_Primary&gt;&lt;Authors_Primary&gt;Kitchener,H.C.&lt;/Authors_Primary&gt;&lt;Date_Primary&gt;2000/6&lt;/Date_Primary&gt;&lt;Keywords&gt;analysis&lt;/Keywords&gt;&lt;Keywords&gt;Case-Control Studies&lt;/Keywords&gt;&lt;Keywords&gt;Cervical Intraepithelial&lt;/Keywords&gt;&lt;Keywords&gt;Cervical Intraepithelial Neoplasia&lt;/Keywords&gt;&lt;Keywords&gt;Colposcopy&lt;/Keywords&gt;&lt;Keywords&gt;Confidence Intervals&lt;/Keywords&gt;&lt;Keywords&gt;control&lt;/Keywords&gt;&lt;Keywords&gt;Greece&lt;/Keywords&gt;&lt;Keywords&gt;Gynecology&lt;/Keywords&gt;&lt;Keywords&gt;methods&lt;/Keywords&gt;&lt;Keywords&gt;Multiple&lt;/Keywords&gt;&lt;Keywords&gt;Neoplasia&lt;/Keywords&gt;&lt;Keywords&gt;Odds Ratio&lt;/Keywords&gt;&lt;Keywords&gt;Recurrence&lt;/Keywords&gt;&lt;Keywords&gt;Regression Analysis&lt;/Keywords&gt;&lt;Keywords&gt;Risk&lt;/Keywords&gt;&lt;Keywords&gt;Risk Factors&lt;/Keywords&gt;&lt;Keywords&gt;Universities&lt;/Keywords&gt;&lt;Keywords&gt;Women&lt;/Keywords&gt;&lt;Reprint&gt;Not in File&lt;/Reprint&gt;&lt;Start_Page&gt;t&lt;/Start_Page&gt;&lt;End_Page&gt;31&lt;/End_Page&gt;&lt;Periodical&gt;Obstetrics &amp;amp; Gynecology&lt;/Periodical&gt;&lt;Volume&gt;95&lt;/Volume&gt;&lt;Issue&gt;6:Pt 1&lt;/Issue&gt;&lt;ZZ_JournalFull&gt;&lt;f name="System"&gt;Obstetrics &amp;amp; Gynecology&lt;/f&gt;&lt;/ZZ_JournalFull&gt;&lt;ZZ_WorkformID&gt;1&lt;/ZZ_WorkformID&gt;&lt;/MDL&gt;&lt;/Cite&gt;&lt;Cite&gt;&lt;Author&gt;Baldauf&lt;/Author&gt;&lt;Year&gt;1998&lt;/Year&gt;&lt;RecNum&gt;4762&lt;/RecNum&gt;&lt;IDText&gt;Cytology and colposcopy after loop electrosurgical excision: implications for follow-up&lt;/IDText&gt;&lt;MDL Ref_Type="Journal"&gt;&lt;Ref_Type&gt;Journal&lt;/Ref_Type&gt;&lt;Ref_ID&gt;4762&lt;/Ref_ID&gt;&lt;Title_Primary&gt;Cytology and colposcopy after loop electrosurgical excision: implications for follow-up&lt;/Title_Primary&gt;&lt;Authors_Primary&gt;Baldauf,J.J.&lt;/Authors_Primary&gt;&lt;Authors_Primary&gt;Dreyfus,M.&lt;/Authors_Primary&gt;&lt;Authors_Primary&gt;Ritter,J.&lt;/Authors_Primary&gt;&lt;Authors_Primary&gt;Cuenin,C.&lt;/Authors_Primary&gt;&lt;Authors_Primary&gt;Tissier,I.&lt;/Authors_Primary&gt;&lt;Authors_Primary&gt;Meyer,P.&lt;/Authors_Primary&gt;&lt;Date_Primary&gt;1998/7&lt;/Date_Primary&gt;&lt;Keywords&gt;Colposcopy&lt;/Keywords&gt;&lt;Keywords&gt;Comparative Study&lt;/Keywords&gt;&lt;Keywords&gt;cytology&lt;/Keywords&gt;&lt;Keywords&gt;diagnosis&lt;/Keywords&gt;&lt;Keywords&gt;France&lt;/Keywords&gt;&lt;Keywords&gt;Gynecology&lt;/Keywords&gt;&lt;Keywords&gt;methods&lt;/Keywords&gt;&lt;Keywords&gt;Obstetrics&lt;/Keywords&gt;&lt;Keywords&gt;Patients&lt;/Keywords&gt;&lt;Keywords&gt;Recurrence&lt;/Keywords&gt;&lt;Keywords&gt;Risk&lt;/Keywords&gt;&lt;Keywords&gt;Risk Factors&lt;/Keywords&gt;&lt;Keywords&gt;Time&lt;/Keywords&gt;&lt;Keywords&gt;Treatment Failure&lt;/Keywords&gt;&lt;Keywords&gt;Universities&lt;/Keywords&gt;&lt;Keywords&gt;Women&lt;/Keywords&gt;&lt;Reprint&gt;Not in File&lt;/Reprint&gt;&lt;Start_Page&gt;124&lt;/Start_Page&gt;&lt;End_Page&gt;130&lt;/End_Page&gt;&lt;Periodical&gt;Obstetrics &amp;amp; Gynecology&lt;/Periodical&gt;&lt;Volume&gt;92&lt;/Volume&gt;&lt;Issue&gt;1&lt;/Issue&gt;&lt;ZZ_JournalFull&gt;&lt;f name="System"&gt;Obstetrics &amp;amp; Gynecology&lt;/f&gt;&lt;/ZZ_JournalFull&gt;&lt;ZZ_WorkformID&gt;1&lt;/ZZ_WorkformID&gt;&lt;/MDL&gt;&lt;/Cite&gt;&lt;Cite&gt;&lt;Author&gt;Bigrigg&lt;/Author&gt;&lt;Year&gt;1994&lt;/Year&gt;&lt;RecNum&gt;4764&lt;/RecNum&gt;&lt;IDText&gt;Efficacy and safety of large-loop excision of the transformation zone&lt;/IDText&gt;&lt;MDL Ref_Type="Journal"&gt;&lt;Ref_Type&gt;Journal&lt;/Ref_Type&gt;&lt;Ref_ID&gt;4764&lt;/Ref_ID&gt;&lt;Title_Primary&gt;Efficacy and safety of large-loop excision of the transformation zone&lt;/Title_Primary&gt;&lt;Authors_Primary&gt;Bigrigg,A.&lt;/Authors_Primary&gt;&lt;Authors_Primary&gt;Haffenden,D.K.&lt;/Authors_Primary&gt;&lt;Authors_Primary&gt;Sheehan,A.L.&lt;/Authors_Primary&gt;&lt;Authors_Primary&gt;Codling,B.W.&lt;/Authors_Primary&gt;&lt;Authors_Primary&gt;Read,M.D.&lt;/Authors_Primary&gt;&lt;Date_Primary&gt;1994&lt;/Date_Primary&gt;&lt;Keywords&gt;Cervical Intraepithelial&lt;/Keywords&gt;&lt;Keywords&gt;Cervical Intraepithelial Neoplasia&lt;/Keywords&gt;&lt;Keywords&gt;control&lt;/Keywords&gt;&lt;Keywords&gt;cytology&lt;/Keywords&gt;&lt;Keywords&gt;Fertility&lt;/Keywords&gt;&lt;Keywords&gt;histology&lt;/Keywords&gt;&lt;Keywords&gt;history&lt;/Keywords&gt;&lt;Keywords&gt;Menstruation&lt;/Keywords&gt;&lt;Keywords&gt;Neoplasia&lt;/Keywords&gt;&lt;Keywords&gt;Obstetrics&lt;/Keywords&gt;&lt;Keywords&gt;Recurrence&lt;/Keywords&gt;&lt;Keywords&gt;Safety&lt;/Keywords&gt;&lt;Keywords&gt;Universities&lt;/Keywords&gt;&lt;Keywords&gt;Women&lt;/Keywords&gt;&lt;Reprint&gt;Not in File&lt;/Reprint&gt;&lt;Start_Page&gt;32&lt;/Start_Page&gt;&lt;End_Page&gt;34&lt;/End_Page&gt;&lt;Periodical&gt;Lancet&lt;/Periodical&gt;&lt;Volume&gt;343&lt;/Volume&gt;&lt;Issue&gt;8888&lt;/Issue&gt;&lt;ZZ_JournalFull&gt;&lt;f name="System"&gt;Lancet&lt;/f&gt;&lt;/ZZ_JournalFull&gt;&lt;ZZ_WorkformID&gt;1&lt;/ZZ_WorkformID&gt;&lt;/MDL&gt;&lt;/Cite&gt;&lt;Cite&gt;&lt;Author&gt;Oyesanya&lt;/Author&gt;&lt;Year&gt;1993&lt;/Year&gt;&lt;RecNum&gt;4763&lt;/RecNum&gt;&lt;IDText&gt;A comparison between loop diathermy conization and cold-knife conization for management of cervical dysplasia associated with unsatisfactory colposcopy&lt;/IDText&gt;&lt;MDL Ref_Type="Journal"&gt;&lt;Ref_Type&gt;Journal&lt;/Ref_Type&gt;&lt;Ref_ID&gt;4763&lt;/Ref_ID&gt;&lt;Title_Primary&gt;A comparison between loop diathermy conization and cold-knife conization for management of cervical dysplasia associated with unsatisfactory colposcopy&lt;/Title_Primary&gt;&lt;Authors_Primary&gt;Oyesanya,O.A.&lt;/Authors_Primary&gt;&lt;Authors_Primary&gt;Amerasinghe,C.&lt;/Authors_Primary&gt;&lt;Authors_Primary&gt;Manning,E.A.&lt;/Authors_Primary&gt;&lt;Date_Primary&gt;1993/7&lt;/Date_Primary&gt;&lt;Keywords&gt;Anesthesia&lt;/Keywords&gt;&lt;Keywords&gt;blood&lt;/Keywords&gt;&lt;Keywords&gt;Colposcopy&lt;/Keywords&gt;&lt;Keywords&gt;Comparative Study&lt;/Keywords&gt;&lt;Keywords&gt;complications&lt;/Keywords&gt;&lt;Keywords&gt;Conization&lt;/Keywords&gt;&lt;Keywords&gt;control&lt;/Keywords&gt;&lt;Keywords&gt;cytology&lt;/Keywords&gt;&lt;Keywords&gt;England&lt;/Keywords&gt;&lt;Keywords&gt;General&lt;/Keywords&gt;&lt;Keywords&gt;Local&lt;/Keywords&gt;&lt;Keywords&gt;London&lt;/Keywords&gt;&lt;Keywords&gt;Obstetrics&lt;/Keywords&gt;&lt;Keywords&gt;Parity&lt;/Keywords&gt;&lt;Keywords&gt;Postoperative Complications&lt;/Keywords&gt;&lt;Keywords&gt;Women&lt;/Keywords&gt;&lt;Reprint&gt;Not in File&lt;/Reprint&gt;&lt;Start_Page&gt;84&lt;/Start_Page&gt;&lt;End_Page&gt;88&lt;/End_Page&gt;&lt;Periodical&gt;Gynecologic Oncology&lt;/Periodical&gt;&lt;Volume&gt;50&lt;/Volume&gt;&lt;Issue&gt;1&lt;/Issue&gt;&lt;ZZ_JournalFull&gt;&lt;f name="System"&gt;Gynecologic Oncology&lt;/f&gt;&lt;/ZZ_JournalFull&gt;&lt;ZZ_WorkformID&gt;1&lt;/ZZ_WorkformID&gt;&lt;/MDL&gt;&lt;/Cite&gt;&lt;/Refman&gt;</w:instrText>
      </w:r>
      <w:r w:rsidRPr="00537C3C">
        <w:rPr>
          <w:rFonts w:cs="Arial"/>
        </w:rPr>
        <w:fldChar w:fldCharType="separate"/>
      </w:r>
      <w:r w:rsidRPr="00537C3C">
        <w:rPr>
          <w:rFonts w:cs="Arial"/>
        </w:rPr>
        <w:t>(Baldauf et al. 1998; Bigrigg et al. 1994; Cecchini et al. 2002; Flannelly et al. 1997; Oyesanya et al. 1993; Paraskevaidis et al. 2000; Powell 1996; Wright et al. 1992)</w:t>
      </w:r>
      <w:r w:rsidRPr="00537C3C">
        <w:rPr>
          <w:rFonts w:cs="Arial"/>
        </w:rPr>
        <w:fldChar w:fldCharType="end"/>
      </w:r>
      <w:r w:rsidRPr="00537C3C">
        <w:rPr>
          <w:rFonts w:cs="Arial"/>
        </w:rPr>
        <w:t xml:space="preserve">. Details are provided in </w:t>
      </w:r>
      <w:r w:rsidRPr="00234376">
        <w:rPr>
          <w:rFonts w:cs="Arial"/>
        </w:rPr>
        <w:fldChar w:fldCharType="begin"/>
      </w:r>
      <w:r w:rsidRPr="00234376">
        <w:rPr>
          <w:rFonts w:cs="Arial"/>
        </w:rPr>
        <w:instrText xml:space="preserve"> REF _Ref212432848 </w:instrText>
      </w:r>
      <w:r>
        <w:rPr>
          <w:rFonts w:cs="Arial"/>
        </w:rPr>
        <w:instrText>\</w:instrText>
      </w:r>
      <w:r w:rsidRPr="00234376">
        <w:rPr>
          <w:rFonts w:cs="Arial"/>
        </w:rPr>
        <w:instrText xml:space="preserve">h  </w:instrText>
      </w:r>
      <w:r>
        <w:rPr>
          <w:rFonts w:cs="Arial"/>
        </w:rPr>
        <w:instrText>\</w:instrText>
      </w:r>
      <w:r w:rsidRPr="00234376">
        <w:rPr>
          <w:rFonts w:cs="Arial"/>
        </w:rPr>
        <w:instrText xml:space="preserve">* MERGEFORMAT </w:instrText>
      </w:r>
      <w:r w:rsidRPr="00234376">
        <w:rPr>
          <w:rFonts w:cs="Arial"/>
        </w:rPr>
      </w:r>
      <w:r w:rsidRPr="00234376">
        <w:rPr>
          <w:rFonts w:cs="Arial"/>
        </w:rPr>
        <w:fldChar w:fldCharType="separate"/>
      </w:r>
      <w:r w:rsidR="007D3DFF" w:rsidRPr="00537C3C">
        <w:t xml:space="preserve">Appendix </w:t>
      </w:r>
      <w:r w:rsidR="007D3DFF">
        <w:rPr>
          <w:noProof/>
        </w:rPr>
        <w:t>J</w:t>
      </w:r>
      <w:r w:rsidR="007D3DFF">
        <w:t xml:space="preserve">  </w:t>
      </w:r>
      <w:r w:rsidR="007D3DFF" w:rsidRPr="00537C3C">
        <w:t>Detailed model data sources</w:t>
      </w:r>
      <w:r w:rsidRPr="00234376">
        <w:rPr>
          <w:rFonts w:cs="Arial"/>
        </w:rPr>
        <w:fldChar w:fldCharType="end"/>
      </w:r>
      <w:r w:rsidRPr="00537C3C">
        <w:rPr>
          <w:rFonts w:cs="Arial"/>
        </w:rPr>
        <w:t>.</w:t>
      </w:r>
    </w:p>
    <w:p w:rsidR="00234376" w:rsidRPr="00537C3C" w:rsidRDefault="00234376" w:rsidP="008E03A7">
      <w:pPr>
        <w:pStyle w:val="Heading5"/>
      </w:pPr>
      <w:bookmarkStart w:id="569" w:name="_Ref210551369"/>
      <w:r w:rsidRPr="00537C3C">
        <w:lastRenderedPageBreak/>
        <w:t>Costs</w:t>
      </w:r>
      <w:bookmarkEnd w:id="569"/>
    </w:p>
    <w:p w:rsidR="00234376" w:rsidRDefault="00234376" w:rsidP="00234376">
      <w:pPr>
        <w:rPr>
          <w:rFonts w:cs="Arial"/>
        </w:rPr>
      </w:pPr>
      <w:bookmarkStart w:id="570" w:name="_Toc157164838"/>
      <w:bookmarkStart w:id="571" w:name="_Toc192668365"/>
      <w:r w:rsidRPr="00537C3C">
        <w:rPr>
          <w:rFonts w:cs="Arial"/>
        </w:rPr>
        <w:t>Costs included in the modelled economic evaluation included those related to screening, diagnosis, treatment and follow-up of cervical abnormalities, and to the treatment of cervical cancer, based on current Australian clinical practice.</w:t>
      </w:r>
    </w:p>
    <w:p w:rsidR="00234376" w:rsidRPr="00537C3C" w:rsidRDefault="00234376" w:rsidP="008E03A7">
      <w:pPr>
        <w:spacing w:after="120"/>
        <w:jc w:val="both"/>
        <w:rPr>
          <w:rFonts w:cs="Arial"/>
        </w:rPr>
      </w:pPr>
      <w:r w:rsidRPr="00537C3C">
        <w:rPr>
          <w:rFonts w:cs="Arial"/>
        </w:rPr>
        <w:t>Unit costs for modelled resources were sourced from:</w:t>
      </w:r>
    </w:p>
    <w:p w:rsidR="00234376" w:rsidRPr="00537C3C" w:rsidRDefault="00234376" w:rsidP="008E03A7">
      <w:pPr>
        <w:numPr>
          <w:ilvl w:val="0"/>
          <w:numId w:val="12"/>
        </w:numPr>
        <w:spacing w:after="120"/>
        <w:jc w:val="both"/>
        <w:rPr>
          <w:rFonts w:cs="Arial"/>
        </w:rPr>
      </w:pPr>
      <w:r w:rsidRPr="00537C3C">
        <w:rPr>
          <w:rFonts w:cs="Arial"/>
        </w:rPr>
        <w:t xml:space="preserve">the Applicant’s requested </w:t>
      </w:r>
      <w:r w:rsidRPr="00BB76D8">
        <w:rPr>
          <w:rFonts w:cs="Arial"/>
        </w:rPr>
        <w:t>MBS</w:t>
      </w:r>
      <w:r w:rsidRPr="00537C3C">
        <w:rPr>
          <w:rFonts w:cs="Arial"/>
        </w:rPr>
        <w:t xml:space="preserve"> fees</w:t>
      </w:r>
    </w:p>
    <w:p w:rsidR="00234376" w:rsidRPr="00537C3C" w:rsidRDefault="00234376" w:rsidP="008E03A7">
      <w:pPr>
        <w:numPr>
          <w:ilvl w:val="0"/>
          <w:numId w:val="12"/>
        </w:numPr>
        <w:spacing w:after="120"/>
        <w:jc w:val="both"/>
        <w:rPr>
          <w:rFonts w:cs="Arial"/>
        </w:rPr>
      </w:pPr>
      <w:r w:rsidRPr="00537C3C">
        <w:rPr>
          <w:rFonts w:cs="Arial"/>
        </w:rPr>
        <w:t>Medicare Benefits Schedule Online (August 2008) (outpatient medical services)</w:t>
      </w:r>
    </w:p>
    <w:p w:rsidR="00234376" w:rsidRPr="00537C3C" w:rsidRDefault="00234376" w:rsidP="008E03A7">
      <w:pPr>
        <w:numPr>
          <w:ilvl w:val="0"/>
          <w:numId w:val="12"/>
        </w:numPr>
        <w:spacing w:after="120"/>
        <w:rPr>
          <w:rFonts w:cs="Arial"/>
        </w:rPr>
      </w:pPr>
      <w:r w:rsidRPr="00537C3C">
        <w:rPr>
          <w:rFonts w:cs="Arial"/>
        </w:rPr>
        <w:t>National Hospital Cost Data Collection Round 11 (2006–07, public) (inpatient hospital services)</w:t>
      </w:r>
    </w:p>
    <w:p w:rsidR="00234376" w:rsidRPr="00537C3C" w:rsidRDefault="00234376" w:rsidP="008E03A7">
      <w:pPr>
        <w:numPr>
          <w:ilvl w:val="0"/>
          <w:numId w:val="12"/>
        </w:numPr>
        <w:spacing w:after="120"/>
        <w:jc w:val="both"/>
        <w:rPr>
          <w:rFonts w:cs="Arial"/>
        </w:rPr>
      </w:pPr>
      <w:r w:rsidRPr="006C24DD">
        <w:rPr>
          <w:rFonts w:cs="Arial"/>
        </w:rPr>
        <w:t>Pharmaceutical Benefits Schedule</w:t>
      </w:r>
      <w:r w:rsidRPr="00537C3C">
        <w:rPr>
          <w:rFonts w:cs="Arial"/>
        </w:rPr>
        <w:t xml:space="preserve"> (PBS) Online (August 2008) where applicable.</w:t>
      </w:r>
    </w:p>
    <w:p w:rsidR="00234376" w:rsidRDefault="00234376" w:rsidP="00234376">
      <w:pPr>
        <w:spacing w:after="120"/>
        <w:rPr>
          <w:rFonts w:cs="Arial"/>
        </w:rPr>
      </w:pPr>
      <w:r w:rsidRPr="00733570">
        <w:rPr>
          <w:rFonts w:cs="Arial"/>
        </w:rPr>
        <w:t>Data on the usage of resource items were based on PBS and MBS use statistics for 2007</w:t>
      </w:r>
      <w:r w:rsidR="00F26D6F" w:rsidRPr="00733570">
        <w:rPr>
          <w:rFonts w:cs="Arial"/>
        </w:rPr>
        <w:t xml:space="preserve"> </w:t>
      </w:r>
      <w:r w:rsidR="00733570" w:rsidRPr="00733570">
        <w:rPr>
          <w:rFonts w:cs="Arial"/>
        </w:rPr>
        <w:t>(</w:t>
      </w:r>
      <w:r w:rsidR="00F26D6F" w:rsidRPr="00733570">
        <w:rPr>
          <w:rFonts w:cs="Arial"/>
        </w:rPr>
        <w:t xml:space="preserve">Medicare </w:t>
      </w:r>
      <w:smartTag w:uri="urn:schemas-microsoft-com:office:smarttags" w:element="place">
        <w:smartTag w:uri="urn:schemas-microsoft-com:office:smarttags" w:element="country-region">
          <w:r w:rsidR="00F26D6F" w:rsidRPr="00733570">
            <w:rPr>
              <w:rFonts w:cs="Arial"/>
            </w:rPr>
            <w:t>Australia</w:t>
          </w:r>
        </w:smartTag>
      </w:smartTag>
      <w:r w:rsidR="00F26D6F" w:rsidRPr="00733570">
        <w:rPr>
          <w:rFonts w:cs="Arial"/>
        </w:rPr>
        <w:t>, 2008</w:t>
      </w:r>
      <w:r w:rsidR="00733570" w:rsidRPr="00733570">
        <w:rPr>
          <w:rFonts w:cs="Arial"/>
        </w:rPr>
        <w:t>)</w:t>
      </w:r>
      <w:r w:rsidRPr="00733570">
        <w:rPr>
          <w:rFonts w:cs="Arial"/>
        </w:rPr>
        <w:t>. Literature sources and advisory panel expert opinion were used, as necessary, to supplement data on local clinical practice. The distribution of cancer stage (FIGO) at diagnosis was based on data provided by the Queensland Gynaecological Cancer Centre and the Royal</w:t>
      </w:r>
      <w:r w:rsidRPr="00537C3C">
        <w:rPr>
          <w:rFonts w:cs="Arial"/>
        </w:rPr>
        <w:t xml:space="preserve"> Women’s Hospital, </w:t>
      </w:r>
      <w:smartTag w:uri="urn:schemas-microsoft-com:office:smarttags" w:element="place">
        <w:smartTag w:uri="urn:schemas-microsoft-com:office:smarttags" w:element="City">
          <w:r w:rsidRPr="00537C3C">
            <w:rPr>
              <w:rFonts w:cs="Arial"/>
            </w:rPr>
            <w:t>Melbourne</w:t>
          </w:r>
        </w:smartTag>
      </w:smartTag>
      <w:r w:rsidRPr="00537C3C">
        <w:rPr>
          <w:rFonts w:cs="Arial"/>
        </w:rPr>
        <w:t>.</w:t>
      </w:r>
    </w:p>
    <w:p w:rsidR="00234376" w:rsidRPr="00537C3C" w:rsidRDefault="00234376" w:rsidP="008E03A7">
      <w:pPr>
        <w:spacing w:after="120"/>
      </w:pPr>
      <w:r>
        <w:fldChar w:fldCharType="begin"/>
      </w:r>
      <w:r>
        <w:instrText xml:space="preserve"> REF _Ref215907557 \h  \* MERGEFORMAT </w:instrText>
      </w:r>
      <w:r>
        <w:fldChar w:fldCharType="separate"/>
      </w:r>
      <w:r w:rsidR="007D3DFF" w:rsidRPr="00537C3C">
        <w:t xml:space="preserve">Table </w:t>
      </w:r>
      <w:r w:rsidR="007D3DFF">
        <w:rPr>
          <w:noProof/>
        </w:rPr>
        <w:t>32</w:t>
      </w:r>
      <w:r>
        <w:fldChar w:fldCharType="end"/>
      </w:r>
      <w:r w:rsidRPr="00537C3C">
        <w:rPr>
          <w:noProof/>
        </w:rPr>
        <w:t xml:space="preserve"> </w:t>
      </w:r>
      <w:r w:rsidRPr="00537C3C">
        <w:t>summarises of the cost items included in the modelled evaluation. Subsequent sections describe in more detail the calculation of the summary cost items.</w:t>
      </w:r>
      <w:bookmarkStart w:id="572" w:name="_Ref209500821"/>
    </w:p>
    <w:p w:rsidR="00234376" w:rsidRPr="00537C3C" w:rsidRDefault="00234376" w:rsidP="008E03A7">
      <w:pPr>
        <w:pStyle w:val="Caption"/>
      </w:pPr>
      <w:bookmarkStart w:id="573" w:name="_Ref215907557"/>
      <w:bookmarkStart w:id="574" w:name="_Ref215907562"/>
      <w:bookmarkStart w:id="575" w:name="_Toc95971268"/>
      <w:r w:rsidRPr="00537C3C">
        <w:lastRenderedPageBreak/>
        <w:t xml:space="preserve">Table </w:t>
      </w:r>
      <w:fldSimple w:instr=" SEQ Table \* ARABIC ">
        <w:r w:rsidR="007D3DFF">
          <w:rPr>
            <w:noProof/>
          </w:rPr>
          <w:t>32</w:t>
        </w:r>
      </w:fldSimple>
      <w:bookmarkEnd w:id="573"/>
      <w:r w:rsidRPr="00537C3C">
        <w:tab/>
        <w:t>Cost items used in the modelled economic evaluation</w:t>
      </w:r>
      <w:bookmarkEnd w:id="574"/>
      <w:r w:rsidRPr="00537C3C">
        <w:t>.</w:t>
      </w:r>
      <w:bookmarkEnd w:id="575"/>
    </w:p>
    <w:tbl>
      <w:tblPr>
        <w:tblW w:w="8828" w:type="dxa"/>
        <w:tblInd w:w="949" w:type="dxa"/>
        <w:tblLayout w:type="fixed"/>
        <w:tblLook w:val="01E0" w:firstRow="1" w:lastRow="1" w:firstColumn="1" w:lastColumn="1" w:noHBand="0" w:noVBand="0"/>
      </w:tblPr>
      <w:tblGrid>
        <w:gridCol w:w="5272"/>
        <w:gridCol w:w="1136"/>
        <w:gridCol w:w="2420"/>
      </w:tblGrid>
      <w:tr w:rsidR="00234376" w:rsidRPr="00537C3C">
        <w:tc>
          <w:tcPr>
            <w:tcW w:w="5272" w:type="dxa"/>
            <w:tcBorders>
              <w:top w:val="single" w:sz="4" w:space="0" w:color="auto"/>
              <w:bottom w:val="single" w:sz="4" w:space="0" w:color="auto"/>
            </w:tcBorders>
          </w:tcPr>
          <w:bookmarkEnd w:id="572"/>
          <w:p w:rsidR="00234376" w:rsidRPr="00537C3C" w:rsidRDefault="00234376" w:rsidP="008E03A7">
            <w:pPr>
              <w:pStyle w:val="TableHeading10pt"/>
              <w:ind w:left="142" w:hanging="142"/>
            </w:pPr>
            <w:r w:rsidRPr="00537C3C">
              <w:t>Cost item</w:t>
            </w:r>
          </w:p>
        </w:tc>
        <w:tc>
          <w:tcPr>
            <w:tcW w:w="1136" w:type="dxa"/>
            <w:tcBorders>
              <w:top w:val="single" w:sz="4" w:space="0" w:color="auto"/>
              <w:bottom w:val="single" w:sz="4" w:space="0" w:color="auto"/>
            </w:tcBorders>
          </w:tcPr>
          <w:p w:rsidR="00234376" w:rsidRPr="00537C3C" w:rsidRDefault="00234376" w:rsidP="008E03A7">
            <w:pPr>
              <w:pStyle w:val="TableHeading10pt"/>
              <w:ind w:left="11" w:hanging="11"/>
            </w:pPr>
            <w:r w:rsidRPr="00537C3C">
              <w:t>Calculated unit costs</w:t>
            </w:r>
          </w:p>
        </w:tc>
        <w:tc>
          <w:tcPr>
            <w:tcW w:w="2420" w:type="dxa"/>
            <w:tcBorders>
              <w:top w:val="single" w:sz="4" w:space="0" w:color="auto"/>
              <w:bottom w:val="single" w:sz="4" w:space="0" w:color="auto"/>
            </w:tcBorders>
          </w:tcPr>
          <w:p w:rsidR="00234376" w:rsidRDefault="00234376" w:rsidP="00234376">
            <w:pPr>
              <w:pStyle w:val="TableHeading10pt"/>
              <w:ind w:left="142" w:hanging="142"/>
              <w:jc w:val="center"/>
            </w:pPr>
            <w:r w:rsidRPr="00537C3C">
              <w:t>Table</w:t>
            </w:r>
          </w:p>
        </w:tc>
      </w:tr>
      <w:tr w:rsidR="00234376" w:rsidRPr="00537C3C">
        <w:tc>
          <w:tcPr>
            <w:tcW w:w="5272" w:type="dxa"/>
            <w:tcBorders>
              <w:top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Cost of conventional Pap test</w:t>
            </w:r>
          </w:p>
        </w:tc>
        <w:tc>
          <w:tcPr>
            <w:tcW w:w="1136" w:type="dxa"/>
            <w:tcBorders>
              <w:top w:val="single" w:sz="4" w:space="0" w:color="auto"/>
            </w:tcBorders>
          </w:tcPr>
          <w:p w:rsidR="00234376" w:rsidRDefault="00234376" w:rsidP="00234376">
            <w:pPr>
              <w:pStyle w:val="TableText0"/>
              <w:tabs>
                <w:tab w:val="decimal" w:pos="460"/>
              </w:tabs>
              <w:rPr>
                <w:rFonts w:ascii="Arial Narrow" w:hAnsi="Arial Narrow"/>
              </w:rPr>
            </w:pPr>
            <w:r w:rsidRPr="00537C3C">
              <w:rPr>
                <w:rFonts w:ascii="Arial Narrow" w:hAnsi="Arial Narrow"/>
              </w:rPr>
              <w:t>$58.50</w:t>
            </w:r>
          </w:p>
        </w:tc>
        <w:tc>
          <w:tcPr>
            <w:tcW w:w="2420" w:type="dxa"/>
            <w:tcBorders>
              <w:top w:val="single" w:sz="4" w:space="0" w:color="auto"/>
            </w:tcBorders>
          </w:tcPr>
          <w:p w:rsidR="00234376" w:rsidRPr="00537C3C" w:rsidRDefault="00234376" w:rsidP="008E03A7">
            <w:pPr>
              <w:pStyle w:val="TableText0"/>
              <w:jc w:val="center"/>
              <w:rPr>
                <w:rFonts w:ascii="Arial Narrow" w:hAnsi="Arial Narrow"/>
              </w:rPr>
            </w:pPr>
            <w:r>
              <w:fldChar w:fldCharType="begin"/>
            </w:r>
            <w:r>
              <w:instrText xml:space="preserve"> REF _Ref209516824 \h  \* MERGEFORMAT </w:instrText>
            </w:r>
            <w:r>
              <w:fldChar w:fldCharType="separate"/>
            </w:r>
            <w:r w:rsidR="007D3DFF" w:rsidRPr="007D3DFF">
              <w:rPr>
                <w:rFonts w:ascii="Arial Narrow" w:hAnsi="Arial Narrow"/>
              </w:rPr>
              <w:t>Table 35</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Cost of repeat conventional Pap test after unsatisfactory screening test</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$65.96</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_Ref209516824 \h  \* MERGEFORMAT </w:instrText>
            </w:r>
            <w:r>
              <w:fldChar w:fldCharType="separate"/>
            </w:r>
            <w:r w:rsidR="007D3DFF" w:rsidRPr="007D3DFF">
              <w:rPr>
                <w:rFonts w:ascii="Arial Narrow" w:hAnsi="Arial Narrow"/>
              </w:rPr>
              <w:t>Table 35</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 xml:space="preserve">Cost of </w:t>
            </w:r>
            <w:r w:rsidRPr="00BB76D8">
              <w:rPr>
                <w:rFonts w:ascii="Arial Narrow" w:hAnsi="Arial Narrow"/>
              </w:rPr>
              <w:t>LBC</w:t>
            </w:r>
            <w:r w:rsidRPr="00537C3C">
              <w:rPr>
                <w:rFonts w:ascii="Arial Narrow" w:hAnsi="Arial Narrow"/>
              </w:rPr>
              <w:t xml:space="preserve"> (manual reading, $10.90 incremental cost)</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$69.40</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_Ref209516824 \h  \* MERGEFORMAT </w:instrText>
            </w:r>
            <w:r>
              <w:fldChar w:fldCharType="separate"/>
            </w:r>
            <w:r w:rsidR="007D3DFF" w:rsidRPr="007D3DFF">
              <w:rPr>
                <w:rFonts w:ascii="Arial Narrow" w:hAnsi="Arial Narrow"/>
              </w:rPr>
              <w:t>Table 35</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 xml:space="preserve">Cost of repeat </w:t>
            </w:r>
            <w:r w:rsidRPr="00BB76D8">
              <w:rPr>
                <w:rFonts w:ascii="Arial Narrow" w:hAnsi="Arial Narrow"/>
              </w:rPr>
              <w:t>LBC</w:t>
            </w:r>
            <w:r w:rsidRPr="00537C3C">
              <w:rPr>
                <w:rFonts w:ascii="Arial Narrow" w:hAnsi="Arial Narrow"/>
              </w:rPr>
              <w:t xml:space="preserve"> after unsatisfactory screening test (manual reading, $10.90 incremental cost) </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$76.86</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_Ref209516824 \h  \* MERGEFORMAT </w:instrText>
            </w:r>
            <w:r>
              <w:fldChar w:fldCharType="separate"/>
            </w:r>
            <w:r w:rsidR="007D3DFF" w:rsidRPr="007D3DFF">
              <w:rPr>
                <w:rFonts w:ascii="Arial Narrow" w:hAnsi="Arial Narrow"/>
              </w:rPr>
              <w:t>Table 35</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 xml:space="preserve">Cost of </w:t>
            </w:r>
            <w:r w:rsidRPr="00BB76D8">
              <w:rPr>
                <w:rFonts w:ascii="Arial Narrow" w:hAnsi="Arial Narrow"/>
              </w:rPr>
              <w:t>LBC</w:t>
            </w:r>
            <w:r w:rsidRPr="00537C3C">
              <w:rPr>
                <w:rFonts w:ascii="Arial Narrow" w:hAnsi="Arial Narrow"/>
              </w:rPr>
              <w:t xml:space="preserve"> (manual reading, $2.40 incremental cost) </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$60.90</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_Ref209516824 \h  \* MERGEFORMAT </w:instrText>
            </w:r>
            <w:r>
              <w:fldChar w:fldCharType="separate"/>
            </w:r>
            <w:r w:rsidR="007D3DFF" w:rsidRPr="007D3DFF">
              <w:rPr>
                <w:rFonts w:ascii="Arial Narrow" w:hAnsi="Arial Narrow"/>
              </w:rPr>
              <w:t>Table 35</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 xml:space="preserve">Cost of repeat </w:t>
            </w:r>
            <w:r w:rsidRPr="00BB76D8">
              <w:rPr>
                <w:rFonts w:ascii="Arial Narrow" w:hAnsi="Arial Narrow"/>
              </w:rPr>
              <w:t>LBC</w:t>
            </w:r>
            <w:r w:rsidRPr="00537C3C">
              <w:rPr>
                <w:rFonts w:ascii="Arial Narrow" w:hAnsi="Arial Narrow"/>
              </w:rPr>
              <w:t xml:space="preserve"> after unsatisfactory screening test (manual reading, $2.40 incremental cost) </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$68.36</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_Ref209516824 \h  \* MERGEFORMAT </w:instrText>
            </w:r>
            <w:r>
              <w:fldChar w:fldCharType="separate"/>
            </w:r>
            <w:r w:rsidR="007D3DFF" w:rsidRPr="007D3DFF">
              <w:rPr>
                <w:rFonts w:ascii="Arial Narrow" w:hAnsi="Arial Narrow"/>
              </w:rPr>
              <w:t>Table 35</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 xml:space="preserve">Cost of </w:t>
            </w:r>
            <w:r w:rsidRPr="00BB76D8">
              <w:rPr>
                <w:rFonts w:ascii="Arial Narrow" w:hAnsi="Arial Narrow"/>
              </w:rPr>
              <w:t>LBC</w:t>
            </w:r>
            <w:r w:rsidRPr="00537C3C">
              <w:rPr>
                <w:rFonts w:ascii="Arial Narrow" w:hAnsi="Arial Narrow"/>
              </w:rPr>
              <w:t xml:space="preserve"> automated (TPI)</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$74.90</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_Ref209516824 \h  \* MERGEFORMAT </w:instrText>
            </w:r>
            <w:r>
              <w:fldChar w:fldCharType="separate"/>
            </w:r>
            <w:r w:rsidR="007D3DFF" w:rsidRPr="007D3DFF">
              <w:rPr>
                <w:rFonts w:ascii="Arial Narrow" w:hAnsi="Arial Narrow"/>
              </w:rPr>
              <w:t>Table 35</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 xml:space="preserve">Cost of repeat </w:t>
            </w:r>
            <w:r w:rsidRPr="00BB76D8">
              <w:rPr>
                <w:rFonts w:ascii="Arial Narrow" w:hAnsi="Arial Narrow"/>
              </w:rPr>
              <w:t>LBC</w:t>
            </w:r>
            <w:r w:rsidRPr="00537C3C">
              <w:rPr>
                <w:rFonts w:ascii="Arial Narrow" w:hAnsi="Arial Narrow"/>
              </w:rPr>
              <w:t xml:space="preserve"> automated after unsatisfactory screening test (TPI)</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$82.36</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_Ref209516824 \h  \* MERGEFORMAT </w:instrText>
            </w:r>
            <w:r>
              <w:fldChar w:fldCharType="separate"/>
            </w:r>
            <w:r w:rsidR="007D3DFF" w:rsidRPr="007D3DFF">
              <w:rPr>
                <w:rFonts w:ascii="Arial Narrow" w:hAnsi="Arial Narrow"/>
              </w:rPr>
              <w:t>Table 35</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Cost of results/ referral consultation following abnormal cytology result</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$38.11</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_Ref211660825 \h  \* MERGEFORMAT </w:instrText>
            </w:r>
            <w:r>
              <w:fldChar w:fldCharType="separate"/>
            </w:r>
            <w:r w:rsidR="007D3DFF" w:rsidRPr="007D3DFF">
              <w:rPr>
                <w:rFonts w:ascii="Arial Narrow" w:hAnsi="Arial Narrow"/>
              </w:rPr>
              <w:t>Table 36</w:t>
            </w:r>
            <w:r>
              <w:fldChar w:fldCharType="end"/>
            </w:r>
          </w:p>
        </w:tc>
      </w:tr>
      <w:tr w:rsidR="00234376" w:rsidRPr="00537C3C">
        <w:tc>
          <w:tcPr>
            <w:tcW w:w="5272" w:type="dxa"/>
            <w:tcBorders>
              <w:top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Cost of colposcopy, no biopsy</w:t>
            </w:r>
          </w:p>
        </w:tc>
        <w:tc>
          <w:tcPr>
            <w:tcW w:w="1136" w:type="dxa"/>
            <w:tcBorders>
              <w:top w:val="single" w:sz="4" w:space="0" w:color="auto"/>
            </w:tcBorders>
          </w:tcPr>
          <w:p w:rsidR="00234376" w:rsidRDefault="00234376" w:rsidP="00234376">
            <w:pPr>
              <w:pStyle w:val="TableText0"/>
              <w:tabs>
                <w:tab w:val="decimal" w:pos="460"/>
              </w:tabs>
              <w:rPr>
                <w:rFonts w:ascii="Arial Narrow" w:hAnsi="Arial Narrow"/>
              </w:rPr>
            </w:pPr>
            <w:r w:rsidRPr="00537C3C">
              <w:rPr>
                <w:rFonts w:ascii="Arial Narrow" w:hAnsi="Arial Narrow"/>
              </w:rPr>
              <w:t>$134.90</w:t>
            </w:r>
          </w:p>
        </w:tc>
        <w:tc>
          <w:tcPr>
            <w:tcW w:w="2420" w:type="dxa"/>
            <w:tcBorders>
              <w:top w:val="single" w:sz="4" w:space="0" w:color="auto"/>
            </w:tcBorders>
          </w:tcPr>
          <w:p w:rsidR="00234376" w:rsidRPr="00537C3C" w:rsidRDefault="00234376" w:rsidP="008E03A7">
            <w:pPr>
              <w:pStyle w:val="TableText0"/>
              <w:jc w:val="center"/>
              <w:rPr>
                <w:rFonts w:ascii="Arial Narrow" w:hAnsi="Arial Narrow"/>
              </w:rPr>
            </w:pPr>
            <w:r>
              <w:fldChar w:fldCharType="begin"/>
            </w:r>
            <w:r>
              <w:instrText xml:space="preserve"> REF _Ref209517073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37</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Cost of colposcopy, with biopsy</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$284.78</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_Ref209517084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38</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Cost of cytology performed at colposcopy (conventional)</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w:t>
            </w:r>
            <w:r w:rsidR="005900AA">
              <w:rPr>
                <w:rFonts w:ascii="Arial Narrow" w:hAnsi="Arial Narrow"/>
              </w:rPr>
              <w:t>23.60</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_Ref211661060 \h  \* MERGEFORMAT </w:instrText>
            </w:r>
            <w:r>
              <w:fldChar w:fldCharType="separate"/>
            </w:r>
            <w:r w:rsidR="007D3DFF" w:rsidRPr="007D3DFF">
              <w:rPr>
                <w:rFonts w:ascii="Arial Narrow" w:hAnsi="Arial Narrow"/>
              </w:rPr>
              <w:t>Table 39</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Cost of cytology performed at colposcopy (</w:t>
            </w:r>
            <w:r w:rsidRPr="00BB76D8">
              <w:rPr>
                <w:rFonts w:ascii="Arial Narrow" w:hAnsi="Arial Narrow"/>
              </w:rPr>
              <w:t>LBC</w:t>
            </w:r>
            <w:r w:rsidRPr="00537C3C">
              <w:rPr>
                <w:rFonts w:ascii="Arial Narrow" w:hAnsi="Arial Narrow"/>
              </w:rPr>
              <w:t xml:space="preserve"> manual, $10.90 increm cost)</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$32</w:t>
            </w:r>
            <w:r w:rsidR="005900AA">
              <w:rPr>
                <w:rFonts w:ascii="Arial Narrow" w:hAnsi="Arial Narrow"/>
              </w:rPr>
              <w:t>.84</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_Ref211661060 \h  \* MERGEFORMAT </w:instrText>
            </w:r>
            <w:r>
              <w:fldChar w:fldCharType="separate"/>
            </w:r>
            <w:r w:rsidR="007D3DFF" w:rsidRPr="007D3DFF">
              <w:rPr>
                <w:rFonts w:ascii="Arial Narrow" w:hAnsi="Arial Narrow"/>
              </w:rPr>
              <w:t>Table 39</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Cost of cytology performed at colposcopy (</w:t>
            </w:r>
            <w:r w:rsidRPr="00BB76D8">
              <w:rPr>
                <w:rFonts w:ascii="Arial Narrow" w:hAnsi="Arial Narrow"/>
              </w:rPr>
              <w:t>LBC</w:t>
            </w:r>
            <w:r w:rsidRPr="00537C3C">
              <w:rPr>
                <w:rFonts w:ascii="Arial Narrow" w:hAnsi="Arial Narrow"/>
              </w:rPr>
              <w:t xml:space="preserve"> manual, $2.40 increm cost)</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$2</w:t>
            </w:r>
            <w:r w:rsidR="005900AA">
              <w:rPr>
                <w:rFonts w:ascii="Arial Narrow" w:hAnsi="Arial Narrow"/>
              </w:rPr>
              <w:t>5</w:t>
            </w:r>
            <w:r w:rsidRPr="00537C3C">
              <w:rPr>
                <w:rFonts w:ascii="Arial Narrow" w:hAnsi="Arial Narrow"/>
              </w:rPr>
              <w:t>.6</w:t>
            </w:r>
            <w:r w:rsidR="005900AA">
              <w:rPr>
                <w:rFonts w:ascii="Arial Narrow" w:hAnsi="Arial Narrow"/>
              </w:rPr>
              <w:t>4</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_Ref211661060 \h  \* MERGEFORMAT </w:instrText>
            </w:r>
            <w:r>
              <w:fldChar w:fldCharType="separate"/>
            </w:r>
            <w:r w:rsidR="007D3DFF" w:rsidRPr="007D3DFF">
              <w:rPr>
                <w:rFonts w:ascii="Arial Narrow" w:hAnsi="Arial Narrow"/>
              </w:rPr>
              <w:t>Table 39</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Cost of cytology performed at colposcopy (</w:t>
            </w:r>
            <w:r w:rsidRPr="00BB76D8">
              <w:rPr>
                <w:rFonts w:ascii="Arial Narrow" w:hAnsi="Arial Narrow"/>
              </w:rPr>
              <w:t>LBC</w:t>
            </w:r>
            <w:r w:rsidRPr="00537C3C">
              <w:rPr>
                <w:rFonts w:ascii="Arial Narrow" w:hAnsi="Arial Narrow"/>
              </w:rPr>
              <w:t xml:space="preserve"> automated)</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$3</w:t>
            </w:r>
            <w:r w:rsidR="005900AA">
              <w:rPr>
                <w:rFonts w:ascii="Arial Narrow" w:hAnsi="Arial Narrow"/>
              </w:rPr>
              <w:t>7</w:t>
            </w:r>
            <w:r w:rsidRPr="00537C3C">
              <w:rPr>
                <w:rFonts w:ascii="Arial Narrow" w:hAnsi="Arial Narrow"/>
              </w:rPr>
              <w:t>.5</w:t>
            </w:r>
            <w:r w:rsidR="005900AA">
              <w:rPr>
                <w:rFonts w:ascii="Arial Narrow" w:hAnsi="Arial Narrow"/>
              </w:rPr>
              <w:t>0</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_Ref211661060 \h  \* MERGEFORMAT </w:instrText>
            </w:r>
            <w:r>
              <w:fldChar w:fldCharType="separate"/>
            </w:r>
            <w:r w:rsidR="007D3DFF" w:rsidRPr="007D3DFF">
              <w:rPr>
                <w:rFonts w:ascii="Arial Narrow" w:hAnsi="Arial Narrow"/>
              </w:rPr>
              <w:t>Table 39</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 xml:space="preserve">Cost of treating </w:t>
            </w:r>
            <w:r w:rsidRPr="00BB76D8">
              <w:rPr>
                <w:rFonts w:ascii="Arial Narrow" w:hAnsi="Arial Narrow"/>
              </w:rPr>
              <w:t>CIN</w:t>
            </w:r>
            <w:r w:rsidRPr="00537C3C">
              <w:rPr>
                <w:rFonts w:ascii="Arial Narrow" w:hAnsi="Arial Narrow"/>
              </w:rPr>
              <w:t xml:space="preserve"> 2/3</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$1112.26</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_Ref209517102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40</w:t>
            </w:r>
            <w:r>
              <w:fldChar w:fldCharType="end"/>
            </w:r>
            <w:r w:rsidRPr="00537C3C">
              <w:rPr>
                <w:rFonts w:ascii="Arial Narrow" w:hAnsi="Arial Narrow"/>
              </w:rPr>
              <w:t xml:space="preserve"> &amp; </w:t>
            </w:r>
            <w:r>
              <w:fldChar w:fldCharType="begin"/>
            </w:r>
            <w:r>
              <w:instrText xml:space="preserve"> REF _Ref209517104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41</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 xml:space="preserve">Cost of follow-up for treated </w:t>
            </w:r>
            <w:r w:rsidRPr="00BB76D8">
              <w:rPr>
                <w:rFonts w:ascii="Arial Narrow" w:hAnsi="Arial Narrow"/>
              </w:rPr>
              <w:t>CIN</w:t>
            </w:r>
            <w:r w:rsidRPr="00537C3C">
              <w:rPr>
                <w:rFonts w:ascii="Arial Narrow" w:hAnsi="Arial Narrow"/>
              </w:rPr>
              <w:t xml:space="preserve"> 2/3 (Conventional cytology)</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$378.04</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_Ref209517111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42</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 xml:space="preserve">Cost of follow-up for treated </w:t>
            </w:r>
            <w:r w:rsidRPr="00BB76D8">
              <w:rPr>
                <w:rFonts w:ascii="Arial Narrow" w:hAnsi="Arial Narrow"/>
              </w:rPr>
              <w:t>CIN</w:t>
            </w:r>
            <w:r w:rsidRPr="00537C3C">
              <w:rPr>
                <w:rFonts w:ascii="Arial Narrow" w:hAnsi="Arial Narrow"/>
              </w:rPr>
              <w:t xml:space="preserve"> 2/3 (</w:t>
            </w:r>
            <w:r w:rsidRPr="00BB76D8">
              <w:rPr>
                <w:rFonts w:ascii="Arial Narrow" w:hAnsi="Arial Narrow"/>
              </w:rPr>
              <w:t>LBC</w:t>
            </w:r>
            <w:r w:rsidRPr="00537C3C">
              <w:rPr>
                <w:rFonts w:ascii="Arial Narrow" w:hAnsi="Arial Narrow"/>
              </w:rPr>
              <w:t xml:space="preserve"> manual, $10.90 incremental cost)</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w:t>
            </w:r>
            <w:r w:rsidR="005900AA">
              <w:rPr>
                <w:rFonts w:ascii="Arial Narrow" w:hAnsi="Arial Narrow"/>
              </w:rPr>
              <w:t>397.72</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_Ref209517111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42</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 xml:space="preserve">Cost of follow-up for treated </w:t>
            </w:r>
            <w:r w:rsidRPr="00BB76D8">
              <w:rPr>
                <w:rFonts w:ascii="Arial Narrow" w:hAnsi="Arial Narrow"/>
              </w:rPr>
              <w:t>CIN</w:t>
            </w:r>
            <w:r w:rsidRPr="00537C3C">
              <w:rPr>
                <w:rFonts w:ascii="Arial Narrow" w:hAnsi="Arial Narrow"/>
              </w:rPr>
              <w:t xml:space="preserve"> 2/3 (</w:t>
            </w:r>
            <w:r w:rsidRPr="00BB76D8">
              <w:rPr>
                <w:rFonts w:ascii="Arial Narrow" w:hAnsi="Arial Narrow"/>
              </w:rPr>
              <w:t>LBC</w:t>
            </w:r>
            <w:r w:rsidRPr="00537C3C">
              <w:rPr>
                <w:rFonts w:ascii="Arial Narrow" w:hAnsi="Arial Narrow"/>
              </w:rPr>
              <w:t xml:space="preserve"> manual, $2.40 incremental cost)</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$3</w:t>
            </w:r>
            <w:r w:rsidR="005900AA">
              <w:rPr>
                <w:rFonts w:ascii="Arial Narrow" w:hAnsi="Arial Narrow"/>
              </w:rPr>
              <w:t>72.63</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_Ref209517111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42</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 xml:space="preserve">Cost of follow-up for treated </w:t>
            </w:r>
            <w:r w:rsidRPr="00BB76D8">
              <w:rPr>
                <w:rFonts w:ascii="Arial Narrow" w:hAnsi="Arial Narrow"/>
              </w:rPr>
              <w:t>CIN</w:t>
            </w:r>
            <w:r w:rsidRPr="00537C3C">
              <w:rPr>
                <w:rFonts w:ascii="Arial Narrow" w:hAnsi="Arial Narrow"/>
              </w:rPr>
              <w:t xml:space="preserve"> 2/3 (</w:t>
            </w:r>
            <w:r w:rsidRPr="00BB76D8">
              <w:rPr>
                <w:rFonts w:ascii="Arial Narrow" w:hAnsi="Arial Narrow"/>
              </w:rPr>
              <w:t>LBC</w:t>
            </w:r>
            <w:r w:rsidRPr="00537C3C">
              <w:rPr>
                <w:rFonts w:ascii="Arial Narrow" w:hAnsi="Arial Narrow"/>
              </w:rPr>
              <w:t xml:space="preserve"> automated)</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$4</w:t>
            </w:r>
            <w:r w:rsidR="005900AA">
              <w:rPr>
                <w:rFonts w:ascii="Arial Narrow" w:hAnsi="Arial Narrow"/>
              </w:rPr>
              <w:t>13</w:t>
            </w:r>
            <w:r w:rsidRPr="00537C3C">
              <w:rPr>
                <w:rFonts w:ascii="Arial Narrow" w:hAnsi="Arial Narrow"/>
              </w:rPr>
              <w:t>.</w:t>
            </w:r>
            <w:r w:rsidR="005900AA">
              <w:rPr>
                <w:rFonts w:ascii="Arial Narrow" w:hAnsi="Arial Narrow"/>
              </w:rPr>
              <w:t>9</w:t>
            </w:r>
            <w:r w:rsidRPr="00537C3C">
              <w:rPr>
                <w:rFonts w:ascii="Arial Narrow" w:hAnsi="Arial Narrow"/>
              </w:rPr>
              <w:t>6</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_Ref209517111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42</w:t>
            </w:r>
            <w:r>
              <w:fldChar w:fldCharType="end"/>
            </w:r>
          </w:p>
        </w:tc>
      </w:tr>
      <w:tr w:rsidR="00234376" w:rsidRPr="00537C3C">
        <w:tc>
          <w:tcPr>
            <w:tcW w:w="5272" w:type="dxa"/>
            <w:tcBorders>
              <w:top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Cancer work-up—proportion weighted</w:t>
            </w:r>
          </w:p>
        </w:tc>
        <w:tc>
          <w:tcPr>
            <w:tcW w:w="1136" w:type="dxa"/>
            <w:tcBorders>
              <w:top w:val="single" w:sz="4" w:space="0" w:color="auto"/>
            </w:tcBorders>
          </w:tcPr>
          <w:p w:rsidR="00234376" w:rsidRDefault="00234376" w:rsidP="00234376">
            <w:pPr>
              <w:pStyle w:val="TableText0"/>
              <w:tabs>
                <w:tab w:val="decimal" w:pos="460"/>
              </w:tabs>
              <w:rPr>
                <w:rFonts w:ascii="Arial Narrow" w:hAnsi="Arial Narrow"/>
              </w:rPr>
            </w:pPr>
          </w:p>
        </w:tc>
        <w:tc>
          <w:tcPr>
            <w:tcW w:w="2420" w:type="dxa"/>
            <w:tcBorders>
              <w:top w:val="single" w:sz="4" w:space="0" w:color="auto"/>
            </w:tcBorders>
          </w:tcPr>
          <w:p w:rsidR="00234376" w:rsidRPr="00537C3C" w:rsidRDefault="00234376" w:rsidP="008E03A7">
            <w:pPr>
              <w:pStyle w:val="TableText0"/>
              <w:jc w:val="center"/>
              <w:rPr>
                <w:rFonts w:ascii="Arial Narrow" w:hAnsi="Arial Narrow"/>
              </w:rPr>
            </w:pP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Localised</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$1815.28</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_Ref209517141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43</w:t>
            </w:r>
            <w:r>
              <w:fldChar w:fldCharType="end"/>
            </w:r>
            <w:r w:rsidRPr="00537C3C">
              <w:rPr>
                <w:rFonts w:ascii="Arial Narrow" w:hAnsi="Arial Narrow"/>
              </w:rPr>
              <w:t xml:space="preserve"> &amp; </w:t>
            </w:r>
            <w:r>
              <w:fldChar w:fldCharType="begin"/>
            </w:r>
            <w:r>
              <w:instrText xml:space="preserve"> REF _Ref209517187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47</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Locally advanced / regional</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$1994.50</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_Ref209517141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43</w:t>
            </w:r>
            <w:r>
              <w:fldChar w:fldCharType="end"/>
            </w:r>
            <w:r w:rsidRPr="00537C3C">
              <w:rPr>
                <w:rFonts w:ascii="Arial Narrow" w:hAnsi="Arial Narrow"/>
              </w:rPr>
              <w:t xml:space="preserve"> &amp; </w:t>
            </w:r>
            <w:r>
              <w:fldChar w:fldCharType="begin"/>
            </w:r>
            <w:r>
              <w:instrText xml:space="preserve"> REF _Ref209517187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47</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Distant</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$1965.24</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_Ref209517141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43</w:t>
            </w:r>
            <w:r>
              <w:fldChar w:fldCharType="end"/>
            </w:r>
            <w:r w:rsidRPr="00537C3C">
              <w:rPr>
                <w:rFonts w:ascii="Arial Narrow" w:hAnsi="Arial Narrow"/>
              </w:rPr>
              <w:t xml:space="preserve"> &amp; </w:t>
            </w:r>
            <w:r>
              <w:fldChar w:fldCharType="begin"/>
            </w:r>
            <w:r>
              <w:instrText xml:space="preserve"> REF _Ref209517187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47</w:t>
            </w:r>
            <w:r>
              <w:fldChar w:fldCharType="end"/>
            </w:r>
          </w:p>
        </w:tc>
      </w:tr>
      <w:tr w:rsidR="00234376" w:rsidRPr="00537C3C">
        <w:tc>
          <w:tcPr>
            <w:tcW w:w="5272" w:type="dxa"/>
            <w:tcBorders>
              <w:top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Cancer treatment—proportion weighted</w:t>
            </w:r>
          </w:p>
        </w:tc>
        <w:tc>
          <w:tcPr>
            <w:tcW w:w="1136" w:type="dxa"/>
            <w:tcBorders>
              <w:top w:val="single" w:sz="4" w:space="0" w:color="auto"/>
            </w:tcBorders>
          </w:tcPr>
          <w:p w:rsidR="00234376" w:rsidRDefault="00234376" w:rsidP="00234376">
            <w:pPr>
              <w:pStyle w:val="TableText0"/>
              <w:tabs>
                <w:tab w:val="decimal" w:pos="460"/>
              </w:tabs>
              <w:rPr>
                <w:rFonts w:ascii="Arial Narrow" w:hAnsi="Arial Narrow"/>
              </w:rPr>
            </w:pPr>
          </w:p>
        </w:tc>
        <w:tc>
          <w:tcPr>
            <w:tcW w:w="2420" w:type="dxa"/>
            <w:tcBorders>
              <w:top w:val="single" w:sz="4" w:space="0" w:color="auto"/>
            </w:tcBorders>
          </w:tcPr>
          <w:p w:rsidR="00234376" w:rsidRPr="00537C3C" w:rsidRDefault="00234376" w:rsidP="008E03A7">
            <w:pPr>
              <w:pStyle w:val="TableText0"/>
              <w:jc w:val="center"/>
              <w:rPr>
                <w:rFonts w:ascii="Arial Narrow" w:hAnsi="Arial Narrow"/>
              </w:rPr>
            </w:pP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Localised</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$9907.88</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_Ref209517141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43</w:t>
            </w:r>
            <w:r>
              <w:fldChar w:fldCharType="end"/>
            </w:r>
            <w:r w:rsidRPr="00537C3C">
              <w:rPr>
                <w:rFonts w:ascii="Arial Narrow" w:hAnsi="Arial Narrow"/>
              </w:rPr>
              <w:t xml:space="preserve"> &amp; </w:t>
            </w:r>
            <w:r>
              <w:fldChar w:fldCharType="begin"/>
            </w:r>
            <w:r>
              <w:instrText xml:space="preserve"> REF _Ref209517155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45</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Locally advanced / regional</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$15434.18</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_Ref209517141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43</w:t>
            </w:r>
            <w:r>
              <w:fldChar w:fldCharType="end"/>
            </w:r>
            <w:r w:rsidRPr="00537C3C">
              <w:rPr>
                <w:rFonts w:ascii="Arial Narrow" w:hAnsi="Arial Narrow"/>
              </w:rPr>
              <w:t xml:space="preserve"> &amp; </w:t>
            </w:r>
            <w:r>
              <w:fldChar w:fldCharType="begin"/>
            </w:r>
            <w:r>
              <w:instrText xml:space="preserve"> REF _Ref209517167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46</w:t>
            </w:r>
            <w:r>
              <w:fldChar w:fldCharType="end"/>
            </w:r>
          </w:p>
        </w:tc>
      </w:tr>
      <w:tr w:rsidR="00234376" w:rsidRPr="00537C3C">
        <w:tc>
          <w:tcPr>
            <w:tcW w:w="5272" w:type="dxa"/>
          </w:tcPr>
          <w:p w:rsidR="00234376" w:rsidRPr="00537C3C" w:rsidRDefault="00234376" w:rsidP="008E03A7">
            <w:pPr>
              <w:pStyle w:val="TableText0"/>
              <w:rPr>
                <w:rFonts w:ascii="Arial Narrow" w:hAnsi="Arial Narrow"/>
              </w:rPr>
            </w:pPr>
            <w:r w:rsidRPr="00537C3C">
              <w:rPr>
                <w:rFonts w:ascii="Arial Narrow" w:hAnsi="Arial Narrow"/>
              </w:rPr>
              <w:t>Distant</w:t>
            </w:r>
          </w:p>
        </w:tc>
        <w:tc>
          <w:tcPr>
            <w:tcW w:w="1136" w:type="dxa"/>
          </w:tcPr>
          <w:p w:rsidR="00234376" w:rsidRDefault="00234376" w:rsidP="00234376">
            <w:pPr>
              <w:pStyle w:val="TableText0"/>
              <w:tabs>
                <w:tab w:val="decimal" w:pos="460"/>
              </w:tabs>
              <w:rPr>
                <w:rFonts w:ascii="Arial Narrow" w:hAnsi="Arial Narrow"/>
              </w:rPr>
            </w:pPr>
            <w:r w:rsidRPr="00537C3C">
              <w:rPr>
                <w:rFonts w:ascii="Arial Narrow" w:hAnsi="Arial Narrow"/>
              </w:rPr>
              <w:t>$8957.25</w:t>
            </w:r>
          </w:p>
        </w:tc>
        <w:tc>
          <w:tcPr>
            <w:tcW w:w="2420" w:type="dxa"/>
          </w:tcPr>
          <w:p w:rsidR="00234376" w:rsidRPr="00537C3C" w:rsidRDefault="00234376" w:rsidP="008E03A7">
            <w:pPr>
              <w:pStyle w:val="TableText0"/>
              <w:jc w:val="center"/>
              <w:rPr>
                <w:rFonts w:ascii="Arial Narrow" w:hAnsi="Arial Narrow"/>
              </w:rPr>
            </w:pPr>
            <w:r>
              <w:fldChar w:fldCharType="begin"/>
            </w:r>
            <w:r>
              <w:instrText xml:space="preserve"> REF _Ref209517141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43</w:t>
            </w:r>
            <w:r>
              <w:fldChar w:fldCharType="end"/>
            </w:r>
            <w:r w:rsidRPr="00537C3C">
              <w:rPr>
                <w:rFonts w:ascii="Arial Narrow" w:hAnsi="Arial Narrow"/>
              </w:rPr>
              <w:t xml:space="preserve"> &amp; </w:t>
            </w:r>
            <w:r>
              <w:fldChar w:fldCharType="begin"/>
            </w:r>
            <w:r>
              <w:instrText xml:space="preserve"> REF _Ref209517167 \h  \* MERGEFORMAT </w:instrText>
            </w:r>
            <w:r>
              <w:fldChar w:fldCharType="separate"/>
            </w:r>
            <w:r w:rsidR="007D3DFF" w:rsidRPr="007D3DFF">
              <w:rPr>
                <w:rFonts w:ascii="Arial Narrow" w:hAnsi="Arial Narrow"/>
              </w:rPr>
              <w:t xml:space="preserve">Table </w:t>
            </w:r>
            <w:r w:rsidR="007D3DFF" w:rsidRPr="007D3DFF">
              <w:rPr>
                <w:rFonts w:ascii="Arial Narrow" w:hAnsi="Arial Narrow"/>
                <w:noProof/>
              </w:rPr>
              <w:t>46</w:t>
            </w:r>
            <w:r>
              <w:fldChar w:fldCharType="end"/>
            </w:r>
          </w:p>
        </w:tc>
      </w:tr>
      <w:tr w:rsidR="00234376" w:rsidRPr="00537C3C">
        <w:tc>
          <w:tcPr>
            <w:tcW w:w="5272" w:type="dxa"/>
            <w:tcBorders>
              <w:bottom w:val="single" w:sz="4" w:space="0" w:color="auto"/>
            </w:tcBorders>
          </w:tcPr>
          <w:p w:rsidR="00234376" w:rsidRPr="00537C3C" w:rsidRDefault="00234376" w:rsidP="008E03A7">
            <w:pPr>
              <w:pStyle w:val="TableText0"/>
              <w:rPr>
                <w:rFonts w:ascii="Arial Narrow" w:hAnsi="Arial Narrow"/>
              </w:rPr>
            </w:pPr>
            <w:r w:rsidRPr="00537C3C">
              <w:rPr>
                <w:rFonts w:ascii="Arial Narrow" w:hAnsi="Arial Narrow"/>
              </w:rPr>
              <w:t>Cost of terminal care (assumption)</w:t>
            </w:r>
          </w:p>
        </w:tc>
        <w:tc>
          <w:tcPr>
            <w:tcW w:w="1136" w:type="dxa"/>
            <w:tcBorders>
              <w:bottom w:val="single" w:sz="4" w:space="0" w:color="auto"/>
            </w:tcBorders>
          </w:tcPr>
          <w:p w:rsidR="00234376" w:rsidRDefault="00234376" w:rsidP="00234376">
            <w:pPr>
              <w:pStyle w:val="TableText0"/>
              <w:tabs>
                <w:tab w:val="decimal" w:pos="460"/>
              </w:tabs>
              <w:rPr>
                <w:rFonts w:ascii="Arial Narrow" w:hAnsi="Arial Narrow"/>
              </w:rPr>
            </w:pPr>
            <w:r w:rsidRPr="00537C3C">
              <w:rPr>
                <w:rFonts w:ascii="Arial Narrow" w:hAnsi="Arial Narrow"/>
              </w:rPr>
              <w:t>$8957.25</w:t>
            </w:r>
          </w:p>
        </w:tc>
        <w:tc>
          <w:tcPr>
            <w:tcW w:w="2420" w:type="dxa"/>
            <w:tcBorders>
              <w:bottom w:val="single" w:sz="4" w:space="0" w:color="auto"/>
            </w:tcBorders>
          </w:tcPr>
          <w:p w:rsidR="00234376" w:rsidRPr="00537C3C" w:rsidRDefault="00234376" w:rsidP="008E03A7">
            <w:pPr>
              <w:pStyle w:val="TableText0"/>
              <w:jc w:val="center"/>
              <w:rPr>
                <w:rFonts w:ascii="Arial Narrow" w:hAnsi="Arial Narrow"/>
              </w:rPr>
            </w:pPr>
            <w:r w:rsidRPr="00537C3C">
              <w:rPr>
                <w:rFonts w:ascii="Arial Narrow" w:hAnsi="Arial Narrow"/>
              </w:rPr>
              <w:t>Assumption</w:t>
            </w:r>
          </w:p>
        </w:tc>
      </w:tr>
      <w:bookmarkEnd w:id="570"/>
      <w:bookmarkEnd w:id="571"/>
    </w:tbl>
    <w:p w:rsidR="00234376" w:rsidRDefault="00234376" w:rsidP="00234376">
      <w:pPr>
        <w:rPr>
          <w:rFonts w:cs="Arial"/>
          <w:sz w:val="16"/>
        </w:rPr>
      </w:pPr>
    </w:p>
    <w:p w:rsidR="00234376" w:rsidRPr="00537C3C" w:rsidRDefault="00234376" w:rsidP="008E03A7">
      <w:pPr>
        <w:pStyle w:val="Heading6"/>
      </w:pPr>
      <w:bookmarkStart w:id="576" w:name="_Ref210542867"/>
      <w:r w:rsidRPr="00537C3C">
        <w:t>Cost of Pap test</w:t>
      </w:r>
      <w:bookmarkEnd w:id="576"/>
    </w:p>
    <w:p w:rsidR="00234376" w:rsidRDefault="00234376" w:rsidP="00234376">
      <w:pPr>
        <w:spacing w:after="120"/>
        <w:rPr>
          <w:rFonts w:cs="Arial"/>
        </w:rPr>
      </w:pPr>
      <w:r w:rsidRPr="00537C3C">
        <w:rPr>
          <w:rFonts w:cs="Arial"/>
        </w:rPr>
        <w:t xml:space="preserve">The cost of screening tests includes the average costs of a medical consultation, the </w:t>
      </w:r>
      <w:r w:rsidRPr="00BB76D8">
        <w:rPr>
          <w:rFonts w:cs="Arial"/>
        </w:rPr>
        <w:t>MBS</w:t>
      </w:r>
      <w:r w:rsidRPr="00537C3C">
        <w:rPr>
          <w:rFonts w:cs="Arial"/>
        </w:rPr>
        <w:t xml:space="preserve"> fee for reading of cytology, and the patient episode initiation fee, applicable to all medical consultations where a Pap test is taken.</w:t>
      </w:r>
    </w:p>
    <w:p w:rsidR="00234376" w:rsidRDefault="00234376" w:rsidP="00234376">
      <w:pPr>
        <w:spacing w:after="120"/>
        <w:rPr>
          <w:rFonts w:cs="Arial"/>
        </w:rPr>
      </w:pPr>
      <w:r w:rsidRPr="00537C3C">
        <w:rPr>
          <w:rFonts w:cs="Arial"/>
        </w:rPr>
        <w:t>The weighted-average cost of a medical surgery consultation in 2008,</w:t>
      </w:r>
      <w:r w:rsidRPr="00110B9C">
        <w:rPr>
          <w:rFonts w:cs="Arial"/>
        </w:rPr>
        <w:t xml:space="preserve"> </w:t>
      </w:r>
      <w:r w:rsidRPr="00537C3C">
        <w:rPr>
          <w:rFonts w:cs="Arial"/>
        </w:rPr>
        <w:t xml:space="preserve">based on use data from Medicare </w:t>
      </w:r>
      <w:smartTag w:uri="urn:schemas-microsoft-com:office:smarttags" w:element="place">
        <w:smartTag w:uri="urn:schemas-microsoft-com:office:smarttags" w:element="country-region">
          <w:r w:rsidRPr="00537C3C">
            <w:rPr>
              <w:rFonts w:cs="Arial"/>
            </w:rPr>
            <w:t>Australia</w:t>
          </w:r>
        </w:smartTag>
      </w:smartTag>
      <w:r w:rsidRPr="00537C3C">
        <w:rPr>
          <w:rFonts w:cs="Arial"/>
        </w:rPr>
        <w:t xml:space="preserve"> in 2007, is $38.11 (</w:t>
      </w:r>
      <w:r>
        <w:fldChar w:fldCharType="begin"/>
      </w:r>
      <w:r>
        <w:instrText xml:space="preserve"> REF _Ref209501845 \h  \* MERGEFORMAT </w:instrText>
      </w:r>
      <w:r>
        <w:fldChar w:fldCharType="separate"/>
      </w:r>
      <w:r w:rsidR="007D3DFF" w:rsidRPr="00537C3C">
        <w:t xml:space="preserve">Table </w:t>
      </w:r>
      <w:r w:rsidR="007D3DFF">
        <w:rPr>
          <w:noProof/>
        </w:rPr>
        <w:t>33</w:t>
      </w:r>
      <w:r>
        <w:fldChar w:fldCharType="end"/>
      </w:r>
      <w:r w:rsidRPr="00537C3C">
        <w:rPr>
          <w:rFonts w:cs="Arial"/>
        </w:rPr>
        <w:t>).</w:t>
      </w:r>
    </w:p>
    <w:p w:rsidR="00234376" w:rsidRPr="00537C3C" w:rsidRDefault="00234376" w:rsidP="008E03A7">
      <w:pPr>
        <w:pStyle w:val="TableNamea"/>
        <w:ind w:left="1644"/>
      </w:pPr>
      <w:bookmarkStart w:id="577" w:name="_Ref209501845"/>
      <w:bookmarkStart w:id="578" w:name="_Toc95971269"/>
      <w:r w:rsidRPr="00537C3C">
        <w:lastRenderedPageBreak/>
        <w:t xml:space="preserve">Table </w:t>
      </w:r>
      <w:fldSimple w:instr=" SEQ Table \* ARABIC ">
        <w:r w:rsidR="007D3DFF">
          <w:rPr>
            <w:noProof/>
          </w:rPr>
          <w:t>33</w:t>
        </w:r>
      </w:fldSimple>
      <w:bookmarkEnd w:id="577"/>
      <w:r w:rsidRPr="00537C3C">
        <w:tab/>
        <w:t>Average costs of medical consultation (</w:t>
      </w:r>
      <w:bookmarkStart w:id="579" w:name="OLE_LINK504"/>
      <w:bookmarkStart w:id="580" w:name="OLE_LINK505"/>
      <w:r w:rsidRPr="00537C3C">
        <w:t>Medicare Australia 2007</w:t>
      </w:r>
      <w:bookmarkEnd w:id="579"/>
      <w:bookmarkEnd w:id="580"/>
      <w:r w:rsidRPr="00537C3C">
        <w:t>).</w:t>
      </w:r>
      <w:bookmarkEnd w:id="578"/>
    </w:p>
    <w:tbl>
      <w:tblPr>
        <w:tblW w:w="8397" w:type="dxa"/>
        <w:tblInd w:w="697" w:type="dxa"/>
        <w:tblBorders>
          <w:top w:val="single" w:sz="4" w:space="0" w:color="auto"/>
          <w:bottom w:val="single" w:sz="4" w:space="0" w:color="auto"/>
        </w:tblBorders>
        <w:tblLook w:val="0000" w:firstRow="0" w:lastRow="0" w:firstColumn="0" w:lastColumn="0" w:noHBand="0" w:noVBand="0"/>
      </w:tblPr>
      <w:tblGrid>
        <w:gridCol w:w="3294"/>
        <w:gridCol w:w="1087"/>
        <w:gridCol w:w="994"/>
        <w:gridCol w:w="1562"/>
        <w:gridCol w:w="1460"/>
      </w:tblGrid>
      <w:tr w:rsidR="00234376" w:rsidRPr="00537C3C">
        <w:trPr>
          <w:trHeight w:val="600"/>
        </w:trPr>
        <w:tc>
          <w:tcPr>
            <w:tcW w:w="3294" w:type="dxa"/>
            <w:tcBorders>
              <w:top w:val="single" w:sz="4" w:space="0" w:color="auto"/>
              <w:bottom w:val="single" w:sz="4" w:space="0" w:color="auto"/>
            </w:tcBorders>
            <w:noWrap/>
            <w:vAlign w:val="bottom"/>
          </w:tcPr>
          <w:p w:rsidR="00234376" w:rsidRPr="00537C3C" w:rsidRDefault="00234376" w:rsidP="008E03A7">
            <w:pPr>
              <w:pStyle w:val="TableHeading10pt"/>
              <w:ind w:left="142" w:hanging="142"/>
            </w:pPr>
            <w:r w:rsidRPr="00537C3C">
              <w:t>Components</w:t>
            </w:r>
          </w:p>
        </w:tc>
        <w:tc>
          <w:tcPr>
            <w:tcW w:w="1087" w:type="dxa"/>
            <w:tcBorders>
              <w:top w:val="single" w:sz="4" w:space="0" w:color="auto"/>
              <w:bottom w:val="single" w:sz="4" w:space="0" w:color="auto"/>
            </w:tcBorders>
            <w:noWrap/>
            <w:vAlign w:val="bottom"/>
          </w:tcPr>
          <w:p w:rsidR="00234376" w:rsidRPr="00537C3C" w:rsidRDefault="00234376" w:rsidP="008E03A7">
            <w:pPr>
              <w:pStyle w:val="TableHeading10pt"/>
              <w:ind w:left="142" w:hanging="142"/>
            </w:pPr>
            <w:r w:rsidRPr="00BB76D8">
              <w:t>MBS</w:t>
            </w:r>
            <w:r w:rsidRPr="00537C3C">
              <w:t xml:space="preserve"> item</w:t>
            </w:r>
          </w:p>
        </w:tc>
        <w:tc>
          <w:tcPr>
            <w:tcW w:w="994" w:type="dxa"/>
            <w:tcBorders>
              <w:top w:val="single" w:sz="4" w:space="0" w:color="auto"/>
              <w:bottom w:val="single" w:sz="4" w:space="0" w:color="auto"/>
            </w:tcBorders>
            <w:noWrap/>
            <w:vAlign w:val="bottom"/>
          </w:tcPr>
          <w:p w:rsidR="00234376" w:rsidRPr="00537C3C" w:rsidRDefault="00234376" w:rsidP="008E03A7">
            <w:pPr>
              <w:pStyle w:val="TableHeading10pt"/>
              <w:ind w:left="142" w:hanging="142"/>
            </w:pPr>
            <w:r w:rsidRPr="00537C3C">
              <w:t>Unit cost</w:t>
            </w:r>
          </w:p>
        </w:tc>
        <w:tc>
          <w:tcPr>
            <w:tcW w:w="1562" w:type="dxa"/>
            <w:tcBorders>
              <w:top w:val="single" w:sz="4" w:space="0" w:color="auto"/>
              <w:bottom w:val="single" w:sz="4" w:space="0" w:color="auto"/>
            </w:tcBorders>
            <w:vAlign w:val="bottom"/>
          </w:tcPr>
          <w:p w:rsidR="00234376" w:rsidRDefault="00234376" w:rsidP="00234376">
            <w:pPr>
              <w:pStyle w:val="TableHeading10pt"/>
              <w:jc w:val="center"/>
            </w:pPr>
            <w:r w:rsidRPr="00537C3C">
              <w:t>Proportion of consultations</w:t>
            </w:r>
          </w:p>
        </w:tc>
        <w:tc>
          <w:tcPr>
            <w:tcW w:w="1460" w:type="dxa"/>
            <w:tcBorders>
              <w:top w:val="single" w:sz="4" w:space="0" w:color="auto"/>
              <w:bottom w:val="single" w:sz="4" w:space="0" w:color="auto"/>
            </w:tcBorders>
            <w:vAlign w:val="bottom"/>
          </w:tcPr>
          <w:p w:rsidR="00234376" w:rsidRDefault="00234376" w:rsidP="00234376">
            <w:pPr>
              <w:pStyle w:val="TableHeading10pt"/>
              <w:jc w:val="center"/>
            </w:pPr>
            <w:r w:rsidRPr="00537C3C">
              <w:t>Weighted cost (schedule fee)</w:t>
            </w:r>
          </w:p>
        </w:tc>
      </w:tr>
      <w:tr w:rsidR="00234376" w:rsidRPr="00537C3C">
        <w:trPr>
          <w:trHeight w:val="300"/>
        </w:trPr>
        <w:tc>
          <w:tcPr>
            <w:tcW w:w="3294" w:type="dxa"/>
            <w:tcBorders>
              <w:top w:val="single" w:sz="4" w:space="0" w:color="auto"/>
            </w:tcBorders>
            <w:noWrap/>
            <w:vAlign w:val="bottom"/>
          </w:tcPr>
          <w:p w:rsidR="00234376" w:rsidRPr="00537C3C" w:rsidRDefault="00234376" w:rsidP="008E03A7">
            <w:pPr>
              <w:pStyle w:val="TableText0"/>
              <w:rPr>
                <w:rFonts w:ascii="Arial Narrow" w:hAnsi="Arial Narrow"/>
              </w:rPr>
            </w:pPr>
            <w:r w:rsidRPr="00537C3C">
              <w:rPr>
                <w:rFonts w:ascii="Arial Narrow" w:hAnsi="Arial Narrow"/>
              </w:rPr>
              <w:t>GP consultation—limited management</w:t>
            </w:r>
          </w:p>
        </w:tc>
        <w:tc>
          <w:tcPr>
            <w:tcW w:w="1087" w:type="dxa"/>
            <w:tcBorders>
              <w:top w:val="single" w:sz="4" w:space="0" w:color="auto"/>
            </w:tcBorders>
            <w:noWrap/>
            <w:vAlign w:val="bottom"/>
          </w:tcPr>
          <w:p w:rsidR="00234376" w:rsidRPr="00537C3C" w:rsidRDefault="00234376" w:rsidP="008E03A7">
            <w:pPr>
              <w:pStyle w:val="TableText0"/>
              <w:rPr>
                <w:rFonts w:ascii="Arial Narrow" w:hAnsi="Arial Narrow"/>
              </w:rPr>
            </w:pPr>
            <w:r w:rsidRPr="00537C3C">
              <w:rPr>
                <w:rFonts w:ascii="Arial Narrow" w:hAnsi="Arial Narrow"/>
              </w:rPr>
              <w:t>3</w:t>
            </w:r>
          </w:p>
        </w:tc>
        <w:tc>
          <w:tcPr>
            <w:tcW w:w="994" w:type="dxa"/>
            <w:tcBorders>
              <w:top w:val="single" w:sz="4" w:space="0" w:color="auto"/>
            </w:tcBorders>
            <w:noWrap/>
            <w:vAlign w:val="bottom"/>
          </w:tcPr>
          <w:p w:rsidR="00234376" w:rsidRPr="00537C3C" w:rsidRDefault="00234376" w:rsidP="008E03A7">
            <w:pPr>
              <w:pStyle w:val="TableText0"/>
              <w:rPr>
                <w:rFonts w:ascii="Arial Narrow" w:hAnsi="Arial Narrow"/>
              </w:rPr>
            </w:pPr>
            <w:r w:rsidRPr="00537C3C">
              <w:rPr>
                <w:rFonts w:ascii="Arial Narrow" w:hAnsi="Arial Narrow"/>
              </w:rPr>
              <w:t>$15.00</w:t>
            </w:r>
          </w:p>
        </w:tc>
        <w:tc>
          <w:tcPr>
            <w:tcW w:w="1562" w:type="dxa"/>
            <w:tcBorders>
              <w:top w:val="single" w:sz="4" w:space="0" w:color="auto"/>
            </w:tcBorders>
            <w:noWrap/>
            <w:vAlign w:val="bottom"/>
          </w:tcPr>
          <w:p w:rsidR="00234376" w:rsidRDefault="00234376" w:rsidP="00234376">
            <w:pPr>
              <w:pStyle w:val="TableText0"/>
              <w:jc w:val="center"/>
              <w:rPr>
                <w:rFonts w:ascii="Arial Narrow" w:hAnsi="Arial Narrow"/>
              </w:rPr>
            </w:pPr>
            <w:r w:rsidRPr="00537C3C">
              <w:rPr>
                <w:rFonts w:ascii="Arial Narrow" w:hAnsi="Arial Narrow"/>
              </w:rPr>
              <w:t>0.015</w:t>
            </w:r>
          </w:p>
        </w:tc>
        <w:tc>
          <w:tcPr>
            <w:tcW w:w="1460" w:type="dxa"/>
            <w:tcBorders>
              <w:top w:val="single" w:sz="4" w:space="0" w:color="auto"/>
            </w:tcBorders>
            <w:noWrap/>
            <w:vAlign w:val="bottom"/>
          </w:tcPr>
          <w:p w:rsidR="00234376" w:rsidRPr="00537C3C" w:rsidRDefault="00234376" w:rsidP="008E03A7">
            <w:pPr>
              <w:pStyle w:val="TableText0"/>
              <w:tabs>
                <w:tab w:val="decimal" w:pos="602"/>
              </w:tabs>
              <w:rPr>
                <w:rFonts w:ascii="Arial Narrow" w:hAnsi="Arial Narrow"/>
              </w:rPr>
            </w:pPr>
            <w:r w:rsidRPr="00537C3C">
              <w:rPr>
                <w:rFonts w:ascii="Arial Narrow" w:hAnsi="Arial Narrow"/>
              </w:rPr>
              <w:t>$0.23</w:t>
            </w:r>
          </w:p>
        </w:tc>
      </w:tr>
      <w:tr w:rsidR="00234376" w:rsidRPr="00537C3C">
        <w:trPr>
          <w:trHeight w:val="300"/>
        </w:trPr>
        <w:tc>
          <w:tcPr>
            <w:tcW w:w="32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GP consultation, &lt; 20 min</w:t>
            </w:r>
          </w:p>
        </w:tc>
        <w:tc>
          <w:tcPr>
            <w:tcW w:w="1087"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23</w:t>
            </w:r>
          </w:p>
        </w:tc>
        <w:tc>
          <w:tcPr>
            <w:tcW w:w="9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$32.80</w:t>
            </w:r>
          </w:p>
        </w:tc>
        <w:tc>
          <w:tcPr>
            <w:tcW w:w="1562" w:type="dxa"/>
            <w:noWrap/>
            <w:vAlign w:val="bottom"/>
          </w:tcPr>
          <w:p w:rsidR="00234376" w:rsidRDefault="00234376" w:rsidP="00234376">
            <w:pPr>
              <w:pStyle w:val="TableText0"/>
              <w:jc w:val="center"/>
              <w:rPr>
                <w:rFonts w:ascii="Arial Narrow" w:hAnsi="Arial Narrow"/>
              </w:rPr>
            </w:pPr>
            <w:r w:rsidRPr="00537C3C">
              <w:rPr>
                <w:rFonts w:ascii="Arial Narrow" w:hAnsi="Arial Narrow"/>
              </w:rPr>
              <w:t>0.735</w:t>
            </w:r>
          </w:p>
        </w:tc>
        <w:tc>
          <w:tcPr>
            <w:tcW w:w="1460" w:type="dxa"/>
            <w:noWrap/>
            <w:vAlign w:val="bottom"/>
          </w:tcPr>
          <w:p w:rsidR="00234376" w:rsidRPr="00537C3C" w:rsidRDefault="00234376" w:rsidP="008E03A7">
            <w:pPr>
              <w:pStyle w:val="TableText0"/>
              <w:tabs>
                <w:tab w:val="decimal" w:pos="602"/>
              </w:tabs>
              <w:rPr>
                <w:rFonts w:ascii="Arial Narrow" w:hAnsi="Arial Narrow"/>
              </w:rPr>
            </w:pPr>
            <w:r w:rsidRPr="00537C3C">
              <w:rPr>
                <w:rFonts w:ascii="Arial Narrow" w:hAnsi="Arial Narrow"/>
              </w:rPr>
              <w:t>$24.09</w:t>
            </w:r>
          </w:p>
        </w:tc>
      </w:tr>
      <w:tr w:rsidR="00234376" w:rsidRPr="00537C3C">
        <w:trPr>
          <w:trHeight w:val="300"/>
        </w:trPr>
        <w:tc>
          <w:tcPr>
            <w:tcW w:w="32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GP consultation, 20–40 min</w:t>
            </w:r>
          </w:p>
        </w:tc>
        <w:tc>
          <w:tcPr>
            <w:tcW w:w="1087"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36</w:t>
            </w:r>
          </w:p>
        </w:tc>
        <w:tc>
          <w:tcPr>
            <w:tcW w:w="9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$62.30</w:t>
            </w:r>
          </w:p>
        </w:tc>
        <w:tc>
          <w:tcPr>
            <w:tcW w:w="1562" w:type="dxa"/>
            <w:noWrap/>
            <w:vAlign w:val="bottom"/>
          </w:tcPr>
          <w:p w:rsidR="00234376" w:rsidRDefault="00234376" w:rsidP="00234376">
            <w:pPr>
              <w:pStyle w:val="TableText0"/>
              <w:jc w:val="center"/>
              <w:rPr>
                <w:rFonts w:ascii="Arial Narrow" w:hAnsi="Arial Narrow"/>
              </w:rPr>
            </w:pPr>
            <w:r w:rsidRPr="00537C3C">
              <w:rPr>
                <w:rFonts w:ascii="Arial Narrow" w:hAnsi="Arial Narrow"/>
              </w:rPr>
              <w:t>0.108</w:t>
            </w:r>
          </w:p>
        </w:tc>
        <w:tc>
          <w:tcPr>
            <w:tcW w:w="1460" w:type="dxa"/>
            <w:noWrap/>
            <w:vAlign w:val="bottom"/>
          </w:tcPr>
          <w:p w:rsidR="00234376" w:rsidRPr="00537C3C" w:rsidRDefault="00234376" w:rsidP="008E03A7">
            <w:pPr>
              <w:pStyle w:val="TableText0"/>
              <w:tabs>
                <w:tab w:val="decimal" w:pos="602"/>
              </w:tabs>
              <w:rPr>
                <w:rFonts w:ascii="Arial Narrow" w:hAnsi="Arial Narrow"/>
              </w:rPr>
            </w:pPr>
            <w:r w:rsidRPr="00537C3C">
              <w:rPr>
                <w:rFonts w:ascii="Arial Narrow" w:hAnsi="Arial Narrow"/>
              </w:rPr>
              <w:t>$6.75</w:t>
            </w:r>
          </w:p>
        </w:tc>
      </w:tr>
      <w:tr w:rsidR="00234376" w:rsidRPr="00537C3C">
        <w:trPr>
          <w:trHeight w:val="300"/>
        </w:trPr>
        <w:tc>
          <w:tcPr>
            <w:tcW w:w="32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GP consultation, &gt; 40 min</w:t>
            </w:r>
          </w:p>
        </w:tc>
        <w:tc>
          <w:tcPr>
            <w:tcW w:w="1087"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44</w:t>
            </w:r>
          </w:p>
        </w:tc>
        <w:tc>
          <w:tcPr>
            <w:tcW w:w="9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$91.70</w:t>
            </w:r>
          </w:p>
        </w:tc>
        <w:tc>
          <w:tcPr>
            <w:tcW w:w="1562" w:type="dxa"/>
            <w:noWrap/>
            <w:vAlign w:val="bottom"/>
          </w:tcPr>
          <w:p w:rsidR="00234376" w:rsidRDefault="00234376" w:rsidP="00234376">
            <w:pPr>
              <w:pStyle w:val="TableText0"/>
              <w:jc w:val="center"/>
              <w:rPr>
                <w:rFonts w:ascii="Arial Narrow" w:hAnsi="Arial Narrow"/>
              </w:rPr>
            </w:pPr>
            <w:r w:rsidRPr="00537C3C">
              <w:rPr>
                <w:rFonts w:ascii="Arial Narrow" w:hAnsi="Arial Narrow"/>
              </w:rPr>
              <w:t>0.010</w:t>
            </w:r>
          </w:p>
        </w:tc>
        <w:tc>
          <w:tcPr>
            <w:tcW w:w="1460" w:type="dxa"/>
            <w:noWrap/>
            <w:vAlign w:val="bottom"/>
          </w:tcPr>
          <w:p w:rsidR="00234376" w:rsidRPr="00537C3C" w:rsidRDefault="00234376" w:rsidP="008E03A7">
            <w:pPr>
              <w:pStyle w:val="TableText0"/>
              <w:tabs>
                <w:tab w:val="decimal" w:pos="602"/>
              </w:tabs>
              <w:rPr>
                <w:rFonts w:ascii="Arial Narrow" w:hAnsi="Arial Narrow"/>
              </w:rPr>
            </w:pPr>
            <w:r w:rsidRPr="00537C3C">
              <w:rPr>
                <w:rFonts w:ascii="Arial Narrow" w:hAnsi="Arial Narrow"/>
              </w:rPr>
              <w:t>$0.92</w:t>
            </w:r>
          </w:p>
        </w:tc>
      </w:tr>
      <w:tr w:rsidR="00234376" w:rsidRPr="00537C3C">
        <w:trPr>
          <w:trHeight w:val="300"/>
        </w:trPr>
        <w:tc>
          <w:tcPr>
            <w:tcW w:w="32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Non-GP consultation, &lt; 5 min</w:t>
            </w:r>
          </w:p>
        </w:tc>
        <w:tc>
          <w:tcPr>
            <w:tcW w:w="1087"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52</w:t>
            </w:r>
          </w:p>
        </w:tc>
        <w:tc>
          <w:tcPr>
            <w:tcW w:w="9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$11.00</w:t>
            </w:r>
          </w:p>
        </w:tc>
        <w:tc>
          <w:tcPr>
            <w:tcW w:w="1562" w:type="dxa"/>
            <w:noWrap/>
            <w:vAlign w:val="bottom"/>
          </w:tcPr>
          <w:p w:rsidR="00234376" w:rsidRDefault="00234376" w:rsidP="00234376">
            <w:pPr>
              <w:pStyle w:val="TableText0"/>
              <w:jc w:val="center"/>
              <w:rPr>
                <w:rFonts w:ascii="Arial Narrow" w:hAnsi="Arial Narrow"/>
              </w:rPr>
            </w:pPr>
            <w:r w:rsidRPr="00537C3C">
              <w:rPr>
                <w:rFonts w:ascii="Arial Narrow" w:hAnsi="Arial Narrow"/>
              </w:rPr>
              <w:t>0.000</w:t>
            </w:r>
          </w:p>
        </w:tc>
        <w:tc>
          <w:tcPr>
            <w:tcW w:w="1460" w:type="dxa"/>
            <w:noWrap/>
            <w:vAlign w:val="bottom"/>
          </w:tcPr>
          <w:p w:rsidR="00234376" w:rsidRPr="00537C3C" w:rsidRDefault="00234376" w:rsidP="008E03A7">
            <w:pPr>
              <w:pStyle w:val="TableText0"/>
              <w:tabs>
                <w:tab w:val="decimal" w:pos="602"/>
              </w:tabs>
              <w:rPr>
                <w:rFonts w:ascii="Arial Narrow" w:hAnsi="Arial Narrow"/>
              </w:rPr>
            </w:pPr>
            <w:r w:rsidRPr="00537C3C">
              <w:rPr>
                <w:rFonts w:ascii="Arial Narrow" w:hAnsi="Arial Narrow"/>
              </w:rPr>
              <w:t>$0.00</w:t>
            </w:r>
          </w:p>
        </w:tc>
      </w:tr>
      <w:tr w:rsidR="00234376" w:rsidRPr="00537C3C">
        <w:trPr>
          <w:trHeight w:val="300"/>
        </w:trPr>
        <w:tc>
          <w:tcPr>
            <w:tcW w:w="32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Non-GP consultation, 5–25 min</w:t>
            </w:r>
          </w:p>
        </w:tc>
        <w:tc>
          <w:tcPr>
            <w:tcW w:w="1087"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53</w:t>
            </w:r>
          </w:p>
        </w:tc>
        <w:tc>
          <w:tcPr>
            <w:tcW w:w="9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$21.00</w:t>
            </w:r>
          </w:p>
        </w:tc>
        <w:tc>
          <w:tcPr>
            <w:tcW w:w="1562" w:type="dxa"/>
            <w:noWrap/>
            <w:vAlign w:val="bottom"/>
          </w:tcPr>
          <w:p w:rsidR="00234376" w:rsidRDefault="00234376" w:rsidP="00234376">
            <w:pPr>
              <w:pStyle w:val="TableText0"/>
              <w:jc w:val="center"/>
              <w:rPr>
                <w:rFonts w:ascii="Arial Narrow" w:hAnsi="Arial Narrow"/>
              </w:rPr>
            </w:pPr>
            <w:r w:rsidRPr="00537C3C">
              <w:rPr>
                <w:rFonts w:ascii="Arial Narrow" w:hAnsi="Arial Narrow"/>
              </w:rPr>
              <w:t>0.032</w:t>
            </w:r>
          </w:p>
        </w:tc>
        <w:tc>
          <w:tcPr>
            <w:tcW w:w="1460" w:type="dxa"/>
            <w:noWrap/>
            <w:vAlign w:val="bottom"/>
          </w:tcPr>
          <w:p w:rsidR="00234376" w:rsidRPr="00537C3C" w:rsidRDefault="00234376" w:rsidP="008E03A7">
            <w:pPr>
              <w:pStyle w:val="TableText0"/>
              <w:tabs>
                <w:tab w:val="decimal" w:pos="602"/>
              </w:tabs>
              <w:rPr>
                <w:rFonts w:ascii="Arial Narrow" w:hAnsi="Arial Narrow"/>
              </w:rPr>
            </w:pPr>
            <w:r w:rsidRPr="00537C3C">
              <w:rPr>
                <w:rFonts w:ascii="Arial Narrow" w:hAnsi="Arial Narrow"/>
              </w:rPr>
              <w:t>$0.67</w:t>
            </w:r>
          </w:p>
        </w:tc>
      </w:tr>
      <w:tr w:rsidR="00234376" w:rsidRPr="00537C3C">
        <w:trPr>
          <w:trHeight w:val="300"/>
        </w:trPr>
        <w:tc>
          <w:tcPr>
            <w:tcW w:w="32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Non-GP consultation, &gt; 45 min</w:t>
            </w:r>
          </w:p>
        </w:tc>
        <w:tc>
          <w:tcPr>
            <w:tcW w:w="1087"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54</w:t>
            </w:r>
          </w:p>
        </w:tc>
        <w:tc>
          <w:tcPr>
            <w:tcW w:w="9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$38.00</w:t>
            </w:r>
          </w:p>
        </w:tc>
        <w:tc>
          <w:tcPr>
            <w:tcW w:w="1562" w:type="dxa"/>
            <w:noWrap/>
            <w:vAlign w:val="bottom"/>
          </w:tcPr>
          <w:p w:rsidR="00234376" w:rsidRDefault="00234376" w:rsidP="00234376">
            <w:pPr>
              <w:pStyle w:val="TableText0"/>
              <w:jc w:val="center"/>
              <w:rPr>
                <w:rFonts w:ascii="Arial Narrow" w:hAnsi="Arial Narrow"/>
              </w:rPr>
            </w:pPr>
            <w:r w:rsidRPr="00537C3C">
              <w:rPr>
                <w:rFonts w:ascii="Arial Narrow" w:hAnsi="Arial Narrow"/>
              </w:rPr>
              <w:t>0.006</w:t>
            </w:r>
          </w:p>
        </w:tc>
        <w:tc>
          <w:tcPr>
            <w:tcW w:w="1460" w:type="dxa"/>
            <w:noWrap/>
            <w:vAlign w:val="bottom"/>
          </w:tcPr>
          <w:p w:rsidR="00234376" w:rsidRPr="00537C3C" w:rsidRDefault="00234376" w:rsidP="008E03A7">
            <w:pPr>
              <w:pStyle w:val="TableText0"/>
              <w:tabs>
                <w:tab w:val="decimal" w:pos="602"/>
              </w:tabs>
              <w:rPr>
                <w:rFonts w:ascii="Arial Narrow" w:hAnsi="Arial Narrow"/>
              </w:rPr>
            </w:pPr>
            <w:r w:rsidRPr="00537C3C">
              <w:rPr>
                <w:rFonts w:ascii="Arial Narrow" w:hAnsi="Arial Narrow"/>
              </w:rPr>
              <w:t>$0.23</w:t>
            </w:r>
          </w:p>
        </w:tc>
      </w:tr>
      <w:tr w:rsidR="00234376" w:rsidRPr="00537C3C">
        <w:trPr>
          <w:trHeight w:val="300"/>
        </w:trPr>
        <w:tc>
          <w:tcPr>
            <w:tcW w:w="32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Non-GP consultation, 25–45 min</w:t>
            </w:r>
          </w:p>
        </w:tc>
        <w:tc>
          <w:tcPr>
            <w:tcW w:w="1087"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57</w:t>
            </w:r>
          </w:p>
        </w:tc>
        <w:tc>
          <w:tcPr>
            <w:tcW w:w="9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$61.00</w:t>
            </w:r>
          </w:p>
        </w:tc>
        <w:tc>
          <w:tcPr>
            <w:tcW w:w="1562" w:type="dxa"/>
            <w:noWrap/>
            <w:vAlign w:val="bottom"/>
          </w:tcPr>
          <w:p w:rsidR="00234376" w:rsidRDefault="00234376" w:rsidP="00234376">
            <w:pPr>
              <w:pStyle w:val="TableText0"/>
              <w:jc w:val="center"/>
              <w:rPr>
                <w:rFonts w:ascii="Arial Narrow" w:hAnsi="Arial Narrow"/>
              </w:rPr>
            </w:pPr>
            <w:r w:rsidRPr="00537C3C">
              <w:rPr>
                <w:rFonts w:ascii="Arial Narrow" w:hAnsi="Arial Narrow"/>
              </w:rPr>
              <w:t>0.001</w:t>
            </w:r>
          </w:p>
        </w:tc>
        <w:tc>
          <w:tcPr>
            <w:tcW w:w="1460" w:type="dxa"/>
            <w:noWrap/>
            <w:vAlign w:val="bottom"/>
          </w:tcPr>
          <w:p w:rsidR="00234376" w:rsidRPr="00537C3C" w:rsidRDefault="00234376" w:rsidP="008E03A7">
            <w:pPr>
              <w:pStyle w:val="TableText0"/>
              <w:tabs>
                <w:tab w:val="decimal" w:pos="602"/>
              </w:tabs>
              <w:rPr>
                <w:rFonts w:ascii="Arial Narrow" w:hAnsi="Arial Narrow"/>
              </w:rPr>
            </w:pPr>
            <w:r w:rsidRPr="00537C3C">
              <w:rPr>
                <w:rFonts w:ascii="Arial Narrow" w:hAnsi="Arial Narrow"/>
              </w:rPr>
              <w:t>$0.08</w:t>
            </w:r>
          </w:p>
        </w:tc>
      </w:tr>
      <w:tr w:rsidR="00234376" w:rsidRPr="00537C3C">
        <w:trPr>
          <w:trHeight w:val="300"/>
        </w:trPr>
        <w:tc>
          <w:tcPr>
            <w:tcW w:w="32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Specialist consultation, initial</w:t>
            </w:r>
          </w:p>
        </w:tc>
        <w:tc>
          <w:tcPr>
            <w:tcW w:w="1087"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104</w:t>
            </w:r>
          </w:p>
        </w:tc>
        <w:tc>
          <w:tcPr>
            <w:tcW w:w="9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$77.25</w:t>
            </w:r>
          </w:p>
        </w:tc>
        <w:tc>
          <w:tcPr>
            <w:tcW w:w="1562" w:type="dxa"/>
            <w:noWrap/>
            <w:vAlign w:val="bottom"/>
          </w:tcPr>
          <w:p w:rsidR="00234376" w:rsidRDefault="00234376" w:rsidP="00234376">
            <w:pPr>
              <w:pStyle w:val="TableText0"/>
              <w:jc w:val="center"/>
              <w:rPr>
                <w:rFonts w:ascii="Arial Narrow" w:hAnsi="Arial Narrow"/>
              </w:rPr>
            </w:pPr>
            <w:r w:rsidRPr="00537C3C">
              <w:rPr>
                <w:rFonts w:ascii="Arial Narrow" w:hAnsi="Arial Narrow"/>
              </w:rPr>
              <w:t>0.040</w:t>
            </w:r>
          </w:p>
        </w:tc>
        <w:tc>
          <w:tcPr>
            <w:tcW w:w="1460" w:type="dxa"/>
            <w:noWrap/>
            <w:vAlign w:val="bottom"/>
          </w:tcPr>
          <w:p w:rsidR="00234376" w:rsidRPr="00537C3C" w:rsidRDefault="00234376" w:rsidP="008E03A7">
            <w:pPr>
              <w:pStyle w:val="TableText0"/>
              <w:tabs>
                <w:tab w:val="decimal" w:pos="602"/>
              </w:tabs>
              <w:rPr>
                <w:rFonts w:ascii="Arial Narrow" w:hAnsi="Arial Narrow"/>
              </w:rPr>
            </w:pPr>
            <w:r w:rsidRPr="00537C3C">
              <w:rPr>
                <w:rFonts w:ascii="Arial Narrow" w:hAnsi="Arial Narrow"/>
              </w:rPr>
              <w:t>$3.12</w:t>
            </w:r>
          </w:p>
        </w:tc>
      </w:tr>
      <w:tr w:rsidR="00234376" w:rsidRPr="00537C3C">
        <w:trPr>
          <w:trHeight w:val="300"/>
        </w:trPr>
        <w:tc>
          <w:tcPr>
            <w:tcW w:w="32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Specialist consultation, subsequent</w:t>
            </w:r>
          </w:p>
        </w:tc>
        <w:tc>
          <w:tcPr>
            <w:tcW w:w="1087"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105</w:t>
            </w:r>
          </w:p>
        </w:tc>
        <w:tc>
          <w:tcPr>
            <w:tcW w:w="994"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$38.80</w:t>
            </w:r>
          </w:p>
        </w:tc>
        <w:tc>
          <w:tcPr>
            <w:tcW w:w="1562" w:type="dxa"/>
            <w:noWrap/>
            <w:vAlign w:val="bottom"/>
          </w:tcPr>
          <w:p w:rsidR="00234376" w:rsidRDefault="00234376" w:rsidP="00234376">
            <w:pPr>
              <w:pStyle w:val="TableText0"/>
              <w:jc w:val="center"/>
              <w:rPr>
                <w:rFonts w:ascii="Arial Narrow" w:hAnsi="Arial Narrow"/>
              </w:rPr>
            </w:pPr>
            <w:r w:rsidRPr="00537C3C">
              <w:rPr>
                <w:rFonts w:ascii="Arial Narrow" w:hAnsi="Arial Narrow"/>
              </w:rPr>
              <w:t>0.052</w:t>
            </w:r>
          </w:p>
        </w:tc>
        <w:tc>
          <w:tcPr>
            <w:tcW w:w="1460" w:type="dxa"/>
            <w:noWrap/>
            <w:vAlign w:val="bottom"/>
          </w:tcPr>
          <w:p w:rsidR="00234376" w:rsidRPr="00537C3C" w:rsidRDefault="00234376" w:rsidP="008E03A7">
            <w:pPr>
              <w:pStyle w:val="TableText0"/>
              <w:tabs>
                <w:tab w:val="decimal" w:pos="602"/>
              </w:tabs>
              <w:rPr>
                <w:rFonts w:ascii="Arial Narrow" w:hAnsi="Arial Narrow"/>
              </w:rPr>
            </w:pPr>
            <w:r w:rsidRPr="00537C3C">
              <w:rPr>
                <w:rFonts w:ascii="Arial Narrow" w:hAnsi="Arial Narrow"/>
              </w:rPr>
              <w:t>$2.01</w:t>
            </w:r>
          </w:p>
        </w:tc>
      </w:tr>
      <w:tr w:rsidR="00234376" w:rsidRPr="00537C3C">
        <w:trPr>
          <w:trHeight w:val="300"/>
        </w:trPr>
        <w:tc>
          <w:tcPr>
            <w:tcW w:w="3294" w:type="dxa"/>
            <w:tcBorders>
              <w:bottom w:val="single" w:sz="4" w:space="0" w:color="auto"/>
            </w:tcBorders>
            <w:noWrap/>
            <w:vAlign w:val="bottom"/>
          </w:tcPr>
          <w:p w:rsidR="00234376" w:rsidRPr="00537C3C" w:rsidRDefault="00234376" w:rsidP="008E03A7">
            <w:pPr>
              <w:pStyle w:val="TableText0"/>
              <w:rPr>
                <w:rFonts w:ascii="Arial Narrow" w:hAnsi="Arial Narrow"/>
                <w:b/>
              </w:rPr>
            </w:pPr>
            <w:r w:rsidRPr="00537C3C">
              <w:rPr>
                <w:rFonts w:ascii="Arial Narrow" w:hAnsi="Arial Narrow"/>
                <w:b/>
              </w:rPr>
              <w:t>Weighted-average cost per consultation</w:t>
            </w:r>
          </w:p>
        </w:tc>
        <w:tc>
          <w:tcPr>
            <w:tcW w:w="1087" w:type="dxa"/>
            <w:tcBorders>
              <w:bottom w:val="single" w:sz="4" w:space="0" w:color="auto"/>
            </w:tcBorders>
            <w:noWrap/>
            <w:vAlign w:val="bottom"/>
          </w:tcPr>
          <w:p w:rsidR="00234376" w:rsidRPr="00537C3C" w:rsidRDefault="00234376" w:rsidP="008E03A7">
            <w:pPr>
              <w:pStyle w:val="TableText0"/>
              <w:rPr>
                <w:rFonts w:ascii="Arial Narrow" w:hAnsi="Arial Narrow"/>
                <w:b/>
              </w:rPr>
            </w:pPr>
          </w:p>
        </w:tc>
        <w:tc>
          <w:tcPr>
            <w:tcW w:w="994" w:type="dxa"/>
            <w:tcBorders>
              <w:bottom w:val="single" w:sz="4" w:space="0" w:color="auto"/>
            </w:tcBorders>
            <w:noWrap/>
            <w:vAlign w:val="bottom"/>
          </w:tcPr>
          <w:p w:rsidR="00234376" w:rsidRPr="00537C3C" w:rsidRDefault="00234376" w:rsidP="008E03A7">
            <w:pPr>
              <w:pStyle w:val="TableText0"/>
              <w:rPr>
                <w:rFonts w:ascii="Arial Narrow" w:hAnsi="Arial Narrow"/>
                <w:b/>
              </w:rPr>
            </w:pPr>
          </w:p>
        </w:tc>
        <w:tc>
          <w:tcPr>
            <w:tcW w:w="1562" w:type="dxa"/>
            <w:tcBorders>
              <w:bottom w:val="single" w:sz="4" w:space="0" w:color="auto"/>
            </w:tcBorders>
            <w:noWrap/>
            <w:vAlign w:val="bottom"/>
          </w:tcPr>
          <w:p w:rsidR="00234376" w:rsidRDefault="00234376" w:rsidP="00234376">
            <w:pPr>
              <w:pStyle w:val="TableText0"/>
              <w:jc w:val="center"/>
              <w:rPr>
                <w:rFonts w:ascii="Arial Narrow" w:hAnsi="Arial Narrow"/>
                <w:b/>
              </w:rPr>
            </w:pPr>
            <w:r w:rsidRPr="00537C3C">
              <w:rPr>
                <w:rFonts w:ascii="Arial Narrow" w:hAnsi="Arial Narrow"/>
                <w:b/>
              </w:rPr>
              <w:t>1.000</w:t>
            </w:r>
          </w:p>
        </w:tc>
        <w:tc>
          <w:tcPr>
            <w:tcW w:w="1460" w:type="dxa"/>
            <w:tcBorders>
              <w:bottom w:val="single" w:sz="4" w:space="0" w:color="auto"/>
            </w:tcBorders>
            <w:noWrap/>
            <w:vAlign w:val="bottom"/>
          </w:tcPr>
          <w:p w:rsidR="00234376" w:rsidRPr="00537C3C" w:rsidRDefault="00234376" w:rsidP="008E03A7">
            <w:pPr>
              <w:pStyle w:val="TableText0"/>
              <w:tabs>
                <w:tab w:val="decimal" w:pos="602"/>
              </w:tabs>
              <w:rPr>
                <w:rFonts w:ascii="Arial Narrow" w:hAnsi="Arial Narrow"/>
                <w:b/>
              </w:rPr>
            </w:pPr>
            <w:r w:rsidRPr="00537C3C">
              <w:rPr>
                <w:rFonts w:ascii="Arial Narrow" w:hAnsi="Arial Narrow"/>
                <w:b/>
              </w:rPr>
              <w:t>$38.11</w:t>
            </w:r>
          </w:p>
        </w:tc>
      </w:tr>
    </w:tbl>
    <w:p w:rsidR="00234376" w:rsidRPr="00537C3C" w:rsidRDefault="00234376" w:rsidP="008E03A7">
      <w:pPr>
        <w:spacing w:after="120"/>
        <w:jc w:val="both"/>
        <w:rPr>
          <w:rFonts w:cs="Arial"/>
        </w:rPr>
      </w:pPr>
    </w:p>
    <w:p w:rsidR="00234376" w:rsidRPr="00D0290F" w:rsidRDefault="00234376" w:rsidP="00234376">
      <w:pPr>
        <w:rPr>
          <w:rFonts w:cs="Arial"/>
        </w:rPr>
      </w:pPr>
      <w:r w:rsidRPr="00D0290F">
        <w:rPr>
          <w:rFonts w:cs="Arial"/>
        </w:rPr>
        <w:t>An additional adjustment is made to this average cost per consultation to take account of the fact that a Pap test may be the secondary reason for a medical consultation. A weighting factor to account for a ‘single service’ has been calculated on the bas</w:t>
      </w:r>
      <w:r w:rsidRPr="00D0290F" w:rsidDel="00110B9C">
        <w:rPr>
          <w:rFonts w:cs="Arial"/>
        </w:rPr>
        <w:t>is</w:t>
      </w:r>
      <w:r w:rsidRPr="00D0290F">
        <w:rPr>
          <w:rFonts w:cs="Arial"/>
        </w:rPr>
        <w:t xml:space="preserve"> o</w:t>
      </w:r>
      <w:r w:rsidRPr="00D0290F" w:rsidDel="00110B9C">
        <w:rPr>
          <w:rFonts w:cs="Arial"/>
        </w:rPr>
        <w:t>f</w:t>
      </w:r>
      <w:r w:rsidRPr="00D0290F">
        <w:rPr>
          <w:rFonts w:cs="Arial"/>
        </w:rPr>
        <w:t xml:space="preserve"> AIHW general practice activity data </w:t>
      </w:r>
      <w:r w:rsidR="00BA5E60" w:rsidRPr="00D0290F">
        <w:t>for 2006–07 (Britt, 2008</w:t>
      </w:r>
      <w:r w:rsidRPr="00D0290F">
        <w:rPr>
          <w:rFonts w:cs="Arial"/>
        </w:rPr>
        <w:t>) (</w:t>
      </w:r>
      <w:r w:rsidRPr="00D0290F">
        <w:rPr>
          <w:rFonts w:cs="Arial"/>
        </w:rPr>
        <w:fldChar w:fldCharType="begin"/>
      </w:r>
      <w:r w:rsidRPr="00D0290F">
        <w:rPr>
          <w:rFonts w:cs="Arial"/>
        </w:rPr>
        <w:instrText xml:space="preserve"> REF _Ref95889356 \h </w:instrText>
      </w:r>
      <w:r w:rsidR="00CC3BE5" w:rsidRPr="00D0290F">
        <w:rPr>
          <w:rFonts w:cs="Arial"/>
        </w:rPr>
        <w:instrText xml:space="preserve"> \* MERGEFORMAT </w:instrText>
      </w:r>
      <w:r w:rsidRPr="00D0290F">
        <w:rPr>
          <w:rFonts w:cs="Arial"/>
        </w:rPr>
      </w:r>
      <w:r w:rsidRPr="00D0290F">
        <w:rPr>
          <w:rFonts w:cs="Arial"/>
        </w:rPr>
        <w:fldChar w:fldCharType="separate"/>
      </w:r>
      <w:r w:rsidR="007D3DFF" w:rsidRPr="00D0290F">
        <w:t xml:space="preserve">Table </w:t>
      </w:r>
      <w:r w:rsidR="007D3DFF">
        <w:rPr>
          <w:noProof/>
        </w:rPr>
        <w:t>34</w:t>
      </w:r>
      <w:r w:rsidRPr="00D0290F">
        <w:rPr>
          <w:rFonts w:cs="Arial"/>
        </w:rPr>
        <w:fldChar w:fldCharType="end"/>
      </w:r>
      <w:r w:rsidRPr="00D0290F">
        <w:rPr>
          <w:rFonts w:cs="Arial"/>
        </w:rPr>
        <w:t>).</w:t>
      </w:r>
    </w:p>
    <w:p w:rsidR="00234376" w:rsidRPr="00537C3C" w:rsidRDefault="00234376" w:rsidP="008E03A7">
      <w:pPr>
        <w:pStyle w:val="TableNamea"/>
        <w:ind w:left="1644"/>
      </w:pPr>
      <w:bookmarkStart w:id="581" w:name="_Ref95889356"/>
      <w:bookmarkStart w:id="582" w:name="_Toc95971270"/>
      <w:r w:rsidRPr="00D0290F">
        <w:t xml:space="preserve">Table </w:t>
      </w:r>
      <w:fldSimple w:instr=" SEQ Table \* ARABIC ">
        <w:r w:rsidR="007D3DFF">
          <w:rPr>
            <w:noProof/>
          </w:rPr>
          <w:t>34</w:t>
        </w:r>
      </w:fldSimple>
      <w:bookmarkEnd w:id="581"/>
      <w:r w:rsidRPr="00D0290F">
        <w:tab/>
        <w:t>Problems managed per GP encounter—single-service weighting (</w:t>
      </w:r>
      <w:bookmarkStart w:id="583" w:name="OLE_LINK506"/>
      <w:bookmarkStart w:id="584" w:name="OLE_LINK507"/>
      <w:r w:rsidRPr="00D0290F">
        <w:t>AIHW (2008</w:t>
      </w:r>
      <w:bookmarkEnd w:id="583"/>
      <w:bookmarkEnd w:id="584"/>
      <w:r w:rsidRPr="00D0290F">
        <w:t>)—General practice activity in Australia 2006–07 (Table 7.1)).</w:t>
      </w:r>
      <w:bookmarkEnd w:id="582"/>
    </w:p>
    <w:tbl>
      <w:tblPr>
        <w:tblW w:w="8647" w:type="dxa"/>
        <w:tblInd w:w="697" w:type="dxa"/>
        <w:tblBorders>
          <w:top w:val="single" w:sz="4" w:space="0" w:color="auto"/>
          <w:bottom w:val="single" w:sz="4" w:space="0" w:color="auto"/>
        </w:tblBorders>
        <w:tblLayout w:type="fixed"/>
        <w:tblLook w:val="0000" w:firstRow="0" w:lastRow="0" w:firstColumn="0" w:lastColumn="0" w:noHBand="0" w:noVBand="0"/>
      </w:tblPr>
      <w:tblGrid>
        <w:gridCol w:w="1400"/>
        <w:gridCol w:w="1811"/>
        <w:gridCol w:w="1812"/>
        <w:gridCol w:w="1812"/>
        <w:gridCol w:w="1812"/>
      </w:tblGrid>
      <w:tr w:rsidR="00234376" w:rsidRPr="00537C3C">
        <w:trPr>
          <w:trHeight w:val="600"/>
        </w:trPr>
        <w:tc>
          <w:tcPr>
            <w:tcW w:w="1400" w:type="dxa"/>
            <w:tcBorders>
              <w:top w:val="single" w:sz="4" w:space="0" w:color="auto"/>
              <w:bottom w:val="single" w:sz="4" w:space="0" w:color="auto"/>
            </w:tcBorders>
            <w:vAlign w:val="bottom"/>
          </w:tcPr>
          <w:p w:rsidR="00234376" w:rsidRDefault="00234376" w:rsidP="00234376">
            <w:pPr>
              <w:pStyle w:val="TableHeading10pt"/>
            </w:pPr>
            <w:r w:rsidRPr="00537C3C" w:rsidDel="00A316F5">
              <w:t>No.</w:t>
            </w:r>
            <w:r w:rsidRPr="00537C3C">
              <w:t xml:space="preserve"> problems managed at visit</w:t>
            </w:r>
          </w:p>
        </w:tc>
        <w:tc>
          <w:tcPr>
            <w:tcW w:w="1811" w:type="dxa"/>
            <w:tcBorders>
              <w:top w:val="single" w:sz="4" w:space="0" w:color="auto"/>
              <w:bottom w:val="single" w:sz="4" w:space="0" w:color="auto"/>
            </w:tcBorders>
            <w:vAlign w:val="bottom"/>
          </w:tcPr>
          <w:p w:rsidR="00234376" w:rsidRDefault="00234376" w:rsidP="00234376">
            <w:pPr>
              <w:pStyle w:val="TableHeading10pt"/>
              <w:jc w:val="center"/>
            </w:pPr>
            <w:r w:rsidRPr="00537C3C">
              <w:t>No. encounters</w:t>
            </w:r>
          </w:p>
        </w:tc>
        <w:tc>
          <w:tcPr>
            <w:tcW w:w="1812" w:type="dxa"/>
            <w:tcBorders>
              <w:top w:val="single" w:sz="4" w:space="0" w:color="auto"/>
              <w:bottom w:val="single" w:sz="4" w:space="0" w:color="auto"/>
            </w:tcBorders>
            <w:vAlign w:val="bottom"/>
          </w:tcPr>
          <w:p w:rsidR="00234376" w:rsidRDefault="00234376" w:rsidP="00234376">
            <w:pPr>
              <w:pStyle w:val="TableHeading10pt"/>
              <w:jc w:val="center"/>
            </w:pPr>
            <w:r w:rsidRPr="00537C3C" w:rsidDel="00A316F5">
              <w:t>Proportion of</w:t>
            </w:r>
            <w:r w:rsidRPr="00537C3C">
              <w:t xml:space="preserve"> encounters</w:t>
            </w:r>
          </w:p>
        </w:tc>
        <w:tc>
          <w:tcPr>
            <w:tcW w:w="1812" w:type="dxa"/>
            <w:tcBorders>
              <w:top w:val="single" w:sz="4" w:space="0" w:color="auto"/>
              <w:bottom w:val="single" w:sz="4" w:space="0" w:color="auto"/>
            </w:tcBorders>
            <w:vAlign w:val="bottom"/>
          </w:tcPr>
          <w:p w:rsidR="00234376" w:rsidRDefault="00234376" w:rsidP="00234376">
            <w:pPr>
              <w:pStyle w:val="TableHeading10pt"/>
              <w:jc w:val="center"/>
            </w:pPr>
            <w:r w:rsidRPr="00537C3C">
              <w:t>Single service weighting</w:t>
            </w:r>
          </w:p>
        </w:tc>
        <w:tc>
          <w:tcPr>
            <w:tcW w:w="1812" w:type="dxa"/>
            <w:tcBorders>
              <w:top w:val="single" w:sz="4" w:space="0" w:color="auto"/>
              <w:bottom w:val="single" w:sz="4" w:space="0" w:color="auto"/>
            </w:tcBorders>
            <w:noWrap/>
            <w:vAlign w:val="bottom"/>
          </w:tcPr>
          <w:p w:rsidR="00234376" w:rsidRDefault="00234376" w:rsidP="00234376">
            <w:pPr>
              <w:pStyle w:val="TableHeading10pt"/>
              <w:jc w:val="center"/>
            </w:pPr>
            <w:r w:rsidRPr="00537C3C">
              <w:t>Weighted-average single service adjustment</w:t>
            </w:r>
          </w:p>
        </w:tc>
      </w:tr>
      <w:tr w:rsidR="00234376" w:rsidRPr="00537C3C">
        <w:trPr>
          <w:trHeight w:val="300"/>
        </w:trPr>
        <w:tc>
          <w:tcPr>
            <w:tcW w:w="1400" w:type="dxa"/>
            <w:tcBorders>
              <w:top w:val="single" w:sz="4" w:space="0" w:color="auto"/>
            </w:tcBorders>
            <w:noWrap/>
            <w:vAlign w:val="bottom"/>
          </w:tcPr>
          <w:p w:rsidR="00234376" w:rsidRPr="00537C3C" w:rsidRDefault="00234376" w:rsidP="008E03A7">
            <w:pPr>
              <w:pStyle w:val="TableText0"/>
              <w:rPr>
                <w:rFonts w:ascii="Arial Narrow" w:hAnsi="Arial Narrow"/>
              </w:rPr>
            </w:pPr>
            <w:r w:rsidRPr="00537C3C">
              <w:rPr>
                <w:rFonts w:ascii="Arial Narrow" w:hAnsi="Arial Narrow"/>
              </w:rPr>
              <w:t>1</w:t>
            </w:r>
          </w:p>
        </w:tc>
        <w:tc>
          <w:tcPr>
            <w:tcW w:w="1811" w:type="dxa"/>
            <w:tcBorders>
              <w:top w:val="single" w:sz="4" w:space="0" w:color="auto"/>
            </w:tcBorders>
            <w:noWrap/>
            <w:vAlign w:val="bottom"/>
          </w:tcPr>
          <w:p w:rsidR="00234376" w:rsidRPr="00537C3C" w:rsidRDefault="00234376" w:rsidP="008E03A7">
            <w:pPr>
              <w:pStyle w:val="TableText0"/>
              <w:tabs>
                <w:tab w:val="decimal" w:pos="1027"/>
              </w:tabs>
              <w:rPr>
                <w:rFonts w:ascii="Arial Narrow" w:hAnsi="Arial Narrow"/>
              </w:rPr>
            </w:pPr>
            <w:r w:rsidRPr="00537C3C">
              <w:rPr>
                <w:rFonts w:ascii="Arial Narrow" w:hAnsi="Arial Narrow"/>
              </w:rPr>
              <w:t>59635</w:t>
            </w:r>
          </w:p>
        </w:tc>
        <w:tc>
          <w:tcPr>
            <w:tcW w:w="1812" w:type="dxa"/>
            <w:tcBorders>
              <w:top w:val="single" w:sz="4" w:space="0" w:color="auto"/>
            </w:tcBorders>
            <w:noWrap/>
            <w:vAlign w:val="bottom"/>
          </w:tcPr>
          <w:p w:rsidR="00234376" w:rsidRPr="00537C3C" w:rsidRDefault="00234376" w:rsidP="008E03A7">
            <w:pPr>
              <w:pStyle w:val="TableText0"/>
              <w:tabs>
                <w:tab w:val="decimal" w:pos="778"/>
              </w:tabs>
              <w:rPr>
                <w:rFonts w:ascii="Arial Narrow" w:hAnsi="Arial Narrow"/>
              </w:rPr>
            </w:pPr>
            <w:r w:rsidRPr="00537C3C">
              <w:rPr>
                <w:rFonts w:ascii="Arial Narrow" w:hAnsi="Arial Narrow"/>
              </w:rPr>
              <w:t>0.650</w:t>
            </w:r>
          </w:p>
        </w:tc>
        <w:tc>
          <w:tcPr>
            <w:tcW w:w="1812" w:type="dxa"/>
            <w:tcBorders>
              <w:top w:val="single" w:sz="4" w:space="0" w:color="auto"/>
            </w:tcBorders>
            <w:noWrap/>
            <w:vAlign w:val="bottom"/>
          </w:tcPr>
          <w:p w:rsidR="00234376" w:rsidRPr="00537C3C" w:rsidRDefault="00234376" w:rsidP="008E03A7">
            <w:pPr>
              <w:pStyle w:val="TableText0"/>
              <w:tabs>
                <w:tab w:val="decimal" w:pos="812"/>
              </w:tabs>
              <w:rPr>
                <w:rFonts w:ascii="Arial Narrow" w:hAnsi="Arial Narrow"/>
              </w:rPr>
            </w:pPr>
            <w:r w:rsidRPr="00537C3C">
              <w:rPr>
                <w:rFonts w:ascii="Arial Narrow" w:hAnsi="Arial Narrow"/>
              </w:rPr>
              <w:t>1</w:t>
            </w:r>
          </w:p>
        </w:tc>
        <w:tc>
          <w:tcPr>
            <w:tcW w:w="1812" w:type="dxa"/>
            <w:tcBorders>
              <w:top w:val="single" w:sz="4" w:space="0" w:color="auto"/>
            </w:tcBorders>
            <w:noWrap/>
            <w:vAlign w:val="bottom"/>
          </w:tcPr>
          <w:p w:rsidR="00234376" w:rsidRPr="00537C3C" w:rsidRDefault="00234376" w:rsidP="008E03A7">
            <w:pPr>
              <w:pStyle w:val="TableText0"/>
              <w:tabs>
                <w:tab w:val="decimal" w:pos="704"/>
              </w:tabs>
              <w:rPr>
                <w:rFonts w:ascii="Arial Narrow" w:hAnsi="Arial Narrow"/>
              </w:rPr>
            </w:pPr>
            <w:r w:rsidRPr="00537C3C">
              <w:rPr>
                <w:rFonts w:ascii="Arial Narrow" w:hAnsi="Arial Narrow"/>
              </w:rPr>
              <w:t>0.650</w:t>
            </w:r>
          </w:p>
        </w:tc>
      </w:tr>
      <w:tr w:rsidR="00234376" w:rsidRPr="00537C3C">
        <w:trPr>
          <w:trHeight w:val="300"/>
        </w:trPr>
        <w:tc>
          <w:tcPr>
            <w:tcW w:w="1400"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2</w:t>
            </w:r>
          </w:p>
        </w:tc>
        <w:tc>
          <w:tcPr>
            <w:tcW w:w="1811" w:type="dxa"/>
            <w:noWrap/>
            <w:vAlign w:val="bottom"/>
          </w:tcPr>
          <w:p w:rsidR="00234376" w:rsidRPr="00537C3C" w:rsidRDefault="00234376" w:rsidP="008E03A7">
            <w:pPr>
              <w:pStyle w:val="TableText0"/>
              <w:tabs>
                <w:tab w:val="decimal" w:pos="1027"/>
              </w:tabs>
              <w:rPr>
                <w:rFonts w:ascii="Arial Narrow" w:hAnsi="Arial Narrow"/>
              </w:rPr>
            </w:pPr>
            <w:r w:rsidRPr="00537C3C">
              <w:rPr>
                <w:rFonts w:ascii="Arial Narrow" w:hAnsi="Arial Narrow"/>
              </w:rPr>
              <w:t>22073</w:t>
            </w:r>
          </w:p>
        </w:tc>
        <w:tc>
          <w:tcPr>
            <w:tcW w:w="1812" w:type="dxa"/>
            <w:noWrap/>
            <w:vAlign w:val="bottom"/>
          </w:tcPr>
          <w:p w:rsidR="00234376" w:rsidRPr="00537C3C" w:rsidRDefault="00234376" w:rsidP="008E03A7">
            <w:pPr>
              <w:pStyle w:val="TableText0"/>
              <w:tabs>
                <w:tab w:val="decimal" w:pos="778"/>
              </w:tabs>
              <w:rPr>
                <w:rFonts w:ascii="Arial Narrow" w:hAnsi="Arial Narrow"/>
              </w:rPr>
            </w:pPr>
            <w:r w:rsidRPr="00537C3C">
              <w:rPr>
                <w:rFonts w:ascii="Arial Narrow" w:hAnsi="Arial Narrow"/>
              </w:rPr>
              <w:t>0.240</w:t>
            </w:r>
          </w:p>
        </w:tc>
        <w:tc>
          <w:tcPr>
            <w:tcW w:w="1812" w:type="dxa"/>
            <w:noWrap/>
            <w:vAlign w:val="bottom"/>
          </w:tcPr>
          <w:p w:rsidR="00234376" w:rsidRPr="00537C3C" w:rsidRDefault="00234376" w:rsidP="008E03A7">
            <w:pPr>
              <w:pStyle w:val="TableText0"/>
              <w:tabs>
                <w:tab w:val="decimal" w:pos="812"/>
              </w:tabs>
              <w:rPr>
                <w:rFonts w:ascii="Arial Narrow" w:hAnsi="Arial Narrow"/>
              </w:rPr>
            </w:pPr>
            <w:r w:rsidRPr="00537C3C">
              <w:rPr>
                <w:rFonts w:ascii="Arial Narrow" w:hAnsi="Arial Narrow"/>
              </w:rPr>
              <w:t>0.5</w:t>
            </w:r>
          </w:p>
        </w:tc>
        <w:tc>
          <w:tcPr>
            <w:tcW w:w="1812" w:type="dxa"/>
            <w:noWrap/>
            <w:vAlign w:val="bottom"/>
          </w:tcPr>
          <w:p w:rsidR="00234376" w:rsidRPr="00537C3C" w:rsidRDefault="00234376" w:rsidP="008E03A7">
            <w:pPr>
              <w:pStyle w:val="TableText0"/>
              <w:tabs>
                <w:tab w:val="decimal" w:pos="704"/>
              </w:tabs>
              <w:rPr>
                <w:rFonts w:ascii="Arial Narrow" w:hAnsi="Arial Narrow"/>
              </w:rPr>
            </w:pPr>
            <w:r w:rsidRPr="00537C3C">
              <w:rPr>
                <w:rFonts w:ascii="Arial Narrow" w:hAnsi="Arial Narrow"/>
              </w:rPr>
              <w:t>0.120</w:t>
            </w:r>
          </w:p>
        </w:tc>
      </w:tr>
      <w:tr w:rsidR="00234376" w:rsidRPr="00537C3C">
        <w:trPr>
          <w:trHeight w:val="300"/>
        </w:trPr>
        <w:tc>
          <w:tcPr>
            <w:tcW w:w="1400"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3</w:t>
            </w:r>
          </w:p>
        </w:tc>
        <w:tc>
          <w:tcPr>
            <w:tcW w:w="1811" w:type="dxa"/>
            <w:noWrap/>
            <w:vAlign w:val="bottom"/>
          </w:tcPr>
          <w:p w:rsidR="00234376" w:rsidRPr="00537C3C" w:rsidRDefault="00234376" w:rsidP="008E03A7">
            <w:pPr>
              <w:pStyle w:val="TableText0"/>
              <w:tabs>
                <w:tab w:val="decimal" w:pos="1027"/>
              </w:tabs>
              <w:rPr>
                <w:rFonts w:ascii="Arial Narrow" w:hAnsi="Arial Narrow"/>
              </w:rPr>
            </w:pPr>
            <w:r w:rsidRPr="00537C3C">
              <w:rPr>
                <w:rFonts w:ascii="Arial Narrow" w:hAnsi="Arial Narrow"/>
              </w:rPr>
              <w:t>7835</w:t>
            </w:r>
          </w:p>
        </w:tc>
        <w:tc>
          <w:tcPr>
            <w:tcW w:w="1812" w:type="dxa"/>
            <w:noWrap/>
            <w:vAlign w:val="bottom"/>
          </w:tcPr>
          <w:p w:rsidR="00234376" w:rsidRPr="00537C3C" w:rsidRDefault="00234376" w:rsidP="008E03A7">
            <w:pPr>
              <w:pStyle w:val="TableText0"/>
              <w:tabs>
                <w:tab w:val="decimal" w:pos="778"/>
              </w:tabs>
              <w:rPr>
                <w:rFonts w:ascii="Arial Narrow" w:hAnsi="Arial Narrow"/>
              </w:rPr>
            </w:pPr>
            <w:r w:rsidRPr="00537C3C">
              <w:rPr>
                <w:rFonts w:ascii="Arial Narrow" w:hAnsi="Arial Narrow"/>
              </w:rPr>
              <w:t>0.085</w:t>
            </w:r>
          </w:p>
        </w:tc>
        <w:tc>
          <w:tcPr>
            <w:tcW w:w="1812" w:type="dxa"/>
            <w:noWrap/>
            <w:vAlign w:val="bottom"/>
          </w:tcPr>
          <w:p w:rsidR="00234376" w:rsidRPr="00537C3C" w:rsidRDefault="00234376" w:rsidP="008E03A7">
            <w:pPr>
              <w:pStyle w:val="TableText0"/>
              <w:tabs>
                <w:tab w:val="decimal" w:pos="812"/>
              </w:tabs>
              <w:rPr>
                <w:rFonts w:ascii="Arial Narrow" w:hAnsi="Arial Narrow"/>
              </w:rPr>
            </w:pPr>
            <w:r w:rsidRPr="00537C3C">
              <w:rPr>
                <w:rFonts w:ascii="Arial Narrow" w:hAnsi="Arial Narrow"/>
              </w:rPr>
              <w:t>0.33</w:t>
            </w:r>
          </w:p>
        </w:tc>
        <w:tc>
          <w:tcPr>
            <w:tcW w:w="1812" w:type="dxa"/>
            <w:noWrap/>
            <w:vAlign w:val="bottom"/>
          </w:tcPr>
          <w:p w:rsidR="00234376" w:rsidRPr="00537C3C" w:rsidRDefault="00234376" w:rsidP="008E03A7">
            <w:pPr>
              <w:pStyle w:val="TableText0"/>
              <w:tabs>
                <w:tab w:val="decimal" w:pos="704"/>
              </w:tabs>
              <w:rPr>
                <w:rFonts w:ascii="Arial Narrow" w:hAnsi="Arial Narrow"/>
              </w:rPr>
            </w:pPr>
            <w:r w:rsidRPr="00537C3C">
              <w:rPr>
                <w:rFonts w:ascii="Arial Narrow" w:hAnsi="Arial Narrow"/>
              </w:rPr>
              <w:t>0.028</w:t>
            </w:r>
          </w:p>
        </w:tc>
      </w:tr>
      <w:tr w:rsidR="00234376" w:rsidRPr="00537C3C">
        <w:trPr>
          <w:trHeight w:val="300"/>
        </w:trPr>
        <w:tc>
          <w:tcPr>
            <w:tcW w:w="1400"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4</w:t>
            </w:r>
          </w:p>
        </w:tc>
        <w:tc>
          <w:tcPr>
            <w:tcW w:w="1811" w:type="dxa"/>
            <w:noWrap/>
            <w:vAlign w:val="bottom"/>
          </w:tcPr>
          <w:p w:rsidR="00234376" w:rsidRPr="00537C3C" w:rsidRDefault="00234376" w:rsidP="008E03A7">
            <w:pPr>
              <w:pStyle w:val="TableText0"/>
              <w:tabs>
                <w:tab w:val="decimal" w:pos="1027"/>
              </w:tabs>
              <w:rPr>
                <w:rFonts w:ascii="Arial Narrow" w:hAnsi="Arial Narrow"/>
              </w:rPr>
            </w:pPr>
            <w:r w:rsidRPr="00537C3C">
              <w:rPr>
                <w:rFonts w:ascii="Arial Narrow" w:hAnsi="Arial Narrow"/>
              </w:rPr>
              <w:t>2262</w:t>
            </w:r>
          </w:p>
        </w:tc>
        <w:tc>
          <w:tcPr>
            <w:tcW w:w="1812" w:type="dxa"/>
            <w:noWrap/>
            <w:vAlign w:val="bottom"/>
          </w:tcPr>
          <w:p w:rsidR="00234376" w:rsidRPr="00537C3C" w:rsidRDefault="00234376" w:rsidP="008E03A7">
            <w:pPr>
              <w:pStyle w:val="TableText0"/>
              <w:tabs>
                <w:tab w:val="decimal" w:pos="778"/>
              </w:tabs>
              <w:rPr>
                <w:rFonts w:ascii="Arial Narrow" w:hAnsi="Arial Narrow"/>
              </w:rPr>
            </w:pPr>
            <w:r w:rsidRPr="00537C3C">
              <w:rPr>
                <w:rFonts w:ascii="Arial Narrow" w:hAnsi="Arial Narrow"/>
              </w:rPr>
              <w:t>0.025</w:t>
            </w:r>
          </w:p>
        </w:tc>
        <w:tc>
          <w:tcPr>
            <w:tcW w:w="1812" w:type="dxa"/>
            <w:noWrap/>
            <w:vAlign w:val="bottom"/>
          </w:tcPr>
          <w:p w:rsidR="00234376" w:rsidRPr="00537C3C" w:rsidRDefault="00234376" w:rsidP="008E03A7">
            <w:pPr>
              <w:pStyle w:val="TableText0"/>
              <w:tabs>
                <w:tab w:val="decimal" w:pos="812"/>
              </w:tabs>
              <w:rPr>
                <w:rFonts w:ascii="Arial Narrow" w:hAnsi="Arial Narrow"/>
              </w:rPr>
            </w:pPr>
            <w:r w:rsidRPr="00537C3C">
              <w:rPr>
                <w:rFonts w:ascii="Arial Narrow" w:hAnsi="Arial Narrow"/>
              </w:rPr>
              <w:t>0.25</w:t>
            </w:r>
          </w:p>
        </w:tc>
        <w:tc>
          <w:tcPr>
            <w:tcW w:w="1812" w:type="dxa"/>
            <w:noWrap/>
            <w:vAlign w:val="bottom"/>
          </w:tcPr>
          <w:p w:rsidR="00234376" w:rsidRPr="00537C3C" w:rsidRDefault="00234376" w:rsidP="008E03A7">
            <w:pPr>
              <w:pStyle w:val="TableText0"/>
              <w:tabs>
                <w:tab w:val="decimal" w:pos="704"/>
              </w:tabs>
              <w:rPr>
                <w:rFonts w:ascii="Arial Narrow" w:hAnsi="Arial Narrow"/>
              </w:rPr>
            </w:pPr>
            <w:r w:rsidRPr="00537C3C">
              <w:rPr>
                <w:rFonts w:ascii="Arial Narrow" w:hAnsi="Arial Narrow"/>
              </w:rPr>
              <w:t>0.006</w:t>
            </w:r>
          </w:p>
        </w:tc>
      </w:tr>
      <w:tr w:rsidR="00234376" w:rsidRPr="00537C3C">
        <w:trPr>
          <w:trHeight w:val="300"/>
        </w:trPr>
        <w:tc>
          <w:tcPr>
            <w:tcW w:w="1400" w:type="dxa"/>
            <w:tcBorders>
              <w:bottom w:val="single" w:sz="4" w:space="0" w:color="auto"/>
            </w:tcBorders>
            <w:noWrap/>
            <w:vAlign w:val="bottom"/>
          </w:tcPr>
          <w:p w:rsidR="00234376" w:rsidRPr="00537C3C" w:rsidRDefault="00234376" w:rsidP="008E03A7">
            <w:pPr>
              <w:pStyle w:val="TableText0"/>
              <w:rPr>
                <w:rFonts w:ascii="Arial Narrow" w:hAnsi="Arial Narrow"/>
                <w:b/>
              </w:rPr>
            </w:pPr>
            <w:r w:rsidRPr="00537C3C">
              <w:rPr>
                <w:rFonts w:ascii="Arial Narrow" w:hAnsi="Arial Narrow"/>
                <w:b/>
              </w:rPr>
              <w:t>Total</w:t>
            </w:r>
          </w:p>
        </w:tc>
        <w:tc>
          <w:tcPr>
            <w:tcW w:w="1811" w:type="dxa"/>
            <w:tcBorders>
              <w:bottom w:val="single" w:sz="4" w:space="0" w:color="auto"/>
            </w:tcBorders>
            <w:noWrap/>
            <w:vAlign w:val="bottom"/>
          </w:tcPr>
          <w:p w:rsidR="00234376" w:rsidRPr="00537C3C" w:rsidRDefault="00234376" w:rsidP="008E03A7">
            <w:pPr>
              <w:pStyle w:val="TableText0"/>
              <w:tabs>
                <w:tab w:val="decimal" w:pos="1027"/>
              </w:tabs>
              <w:rPr>
                <w:rFonts w:ascii="Arial Narrow" w:hAnsi="Arial Narrow"/>
                <w:b/>
              </w:rPr>
            </w:pPr>
            <w:r w:rsidRPr="00537C3C">
              <w:rPr>
                <w:rFonts w:ascii="Arial Narrow" w:hAnsi="Arial Narrow"/>
                <w:b/>
              </w:rPr>
              <w:t>91805</w:t>
            </w:r>
          </w:p>
        </w:tc>
        <w:tc>
          <w:tcPr>
            <w:tcW w:w="1812" w:type="dxa"/>
            <w:tcBorders>
              <w:bottom w:val="single" w:sz="4" w:space="0" w:color="auto"/>
            </w:tcBorders>
            <w:noWrap/>
            <w:vAlign w:val="bottom"/>
          </w:tcPr>
          <w:p w:rsidR="00234376" w:rsidRPr="00537C3C" w:rsidRDefault="00234376" w:rsidP="008E03A7">
            <w:pPr>
              <w:pStyle w:val="TableText0"/>
              <w:tabs>
                <w:tab w:val="decimal" w:pos="778"/>
              </w:tabs>
              <w:rPr>
                <w:rFonts w:ascii="Arial Narrow" w:hAnsi="Arial Narrow"/>
                <w:b/>
              </w:rPr>
            </w:pPr>
            <w:r w:rsidRPr="00537C3C">
              <w:rPr>
                <w:rFonts w:ascii="Arial Narrow" w:hAnsi="Arial Narrow"/>
                <w:b/>
              </w:rPr>
              <w:t>1</w:t>
            </w:r>
          </w:p>
        </w:tc>
        <w:tc>
          <w:tcPr>
            <w:tcW w:w="1812" w:type="dxa"/>
            <w:tcBorders>
              <w:bottom w:val="single" w:sz="4" w:space="0" w:color="auto"/>
            </w:tcBorders>
            <w:noWrap/>
            <w:vAlign w:val="bottom"/>
          </w:tcPr>
          <w:p w:rsidR="00234376" w:rsidRPr="00537C3C" w:rsidRDefault="00234376" w:rsidP="008E03A7">
            <w:pPr>
              <w:pStyle w:val="TableText0"/>
              <w:tabs>
                <w:tab w:val="decimal" w:pos="812"/>
              </w:tabs>
              <w:rPr>
                <w:rFonts w:ascii="Arial Narrow" w:hAnsi="Arial Narrow"/>
                <w:b/>
              </w:rPr>
            </w:pPr>
          </w:p>
        </w:tc>
        <w:tc>
          <w:tcPr>
            <w:tcW w:w="1812" w:type="dxa"/>
            <w:tcBorders>
              <w:bottom w:val="single" w:sz="4" w:space="0" w:color="auto"/>
            </w:tcBorders>
            <w:noWrap/>
            <w:vAlign w:val="bottom"/>
          </w:tcPr>
          <w:p w:rsidR="00234376" w:rsidRPr="00537C3C" w:rsidRDefault="00234376" w:rsidP="008E03A7">
            <w:pPr>
              <w:pStyle w:val="TableText0"/>
              <w:tabs>
                <w:tab w:val="decimal" w:pos="704"/>
              </w:tabs>
              <w:rPr>
                <w:rFonts w:ascii="Arial Narrow" w:hAnsi="Arial Narrow"/>
                <w:b/>
              </w:rPr>
            </w:pPr>
            <w:r w:rsidRPr="00537C3C">
              <w:rPr>
                <w:rFonts w:ascii="Arial Narrow" w:hAnsi="Arial Narrow"/>
                <w:b/>
              </w:rPr>
              <w:t>0.804</w:t>
            </w:r>
          </w:p>
        </w:tc>
      </w:tr>
    </w:tbl>
    <w:p w:rsidR="00234376" w:rsidRPr="00537C3C" w:rsidRDefault="00234376" w:rsidP="008E03A7">
      <w:pPr>
        <w:spacing w:after="120"/>
        <w:jc w:val="both"/>
        <w:rPr>
          <w:rFonts w:cs="Arial"/>
        </w:rPr>
      </w:pPr>
    </w:p>
    <w:p w:rsidR="00234376" w:rsidRDefault="00234376" w:rsidP="00CC3BE5">
      <w:pPr>
        <w:spacing w:after="120"/>
        <w:jc w:val="both"/>
        <w:rPr>
          <w:rFonts w:cs="Arial"/>
        </w:rPr>
      </w:pPr>
      <w:r w:rsidRPr="00537C3C">
        <w:rPr>
          <w:rFonts w:cs="Arial"/>
        </w:rPr>
        <w:t xml:space="preserve">The costs of a Pap test using conventional cytology, </w:t>
      </w:r>
      <w:r w:rsidRPr="00BB76D8">
        <w:rPr>
          <w:rFonts w:cs="Arial"/>
        </w:rPr>
        <w:t>LBC</w:t>
      </w:r>
      <w:r w:rsidRPr="00537C3C">
        <w:rPr>
          <w:rFonts w:cs="Arial"/>
        </w:rPr>
        <w:t xml:space="preserve"> with manual reading and </w:t>
      </w:r>
      <w:r w:rsidRPr="00BB76D8">
        <w:rPr>
          <w:rFonts w:cs="Arial"/>
        </w:rPr>
        <w:t>LBC</w:t>
      </w:r>
      <w:r w:rsidRPr="00537C3C">
        <w:rPr>
          <w:rFonts w:cs="Arial"/>
        </w:rPr>
        <w:t xml:space="preserve"> with automated reading are presented below. It is assumed that medical consultation costs for screening tests are adjusted using the single service adjustment factor above; if repeat cytology is required because of an unsatisfactory smear, it is assumed that this is the only reason for the consultation.</w:t>
      </w:r>
    </w:p>
    <w:p w:rsidR="00234376" w:rsidRPr="00537C3C" w:rsidRDefault="00234376" w:rsidP="008E03A7">
      <w:pPr>
        <w:pStyle w:val="TableNamea"/>
        <w:ind w:left="1644"/>
      </w:pPr>
      <w:bookmarkStart w:id="585" w:name="_Ref209516824"/>
      <w:bookmarkStart w:id="586" w:name="_Toc95971271"/>
      <w:r w:rsidRPr="00537C3C">
        <w:lastRenderedPageBreak/>
        <w:t xml:space="preserve">Table </w:t>
      </w:r>
      <w:fldSimple w:instr=" SEQ Table \* ARABIC ">
        <w:r w:rsidR="007D3DFF">
          <w:rPr>
            <w:noProof/>
          </w:rPr>
          <w:t>35</w:t>
        </w:r>
      </w:fldSimple>
      <w:bookmarkEnd w:id="585"/>
      <w:r w:rsidRPr="00537C3C">
        <w:tab/>
        <w:t>Cost of screening tests (</w:t>
      </w:r>
      <w:r w:rsidRPr="00537C3C">
        <w:rPr>
          <w:rFonts w:cs="Arial"/>
        </w:rPr>
        <w:t>CC</w:t>
      </w:r>
      <w:r w:rsidRPr="00537C3C">
        <w:t xml:space="preserve">, </w:t>
      </w:r>
      <w:r w:rsidRPr="00BB76D8">
        <w:t>LBC</w:t>
      </w:r>
      <w:r w:rsidRPr="00537C3C">
        <w:t xml:space="preserve"> with manual reading and automated </w:t>
      </w:r>
      <w:r w:rsidRPr="00BB76D8">
        <w:t>LBC</w:t>
      </w:r>
      <w:r w:rsidRPr="00537C3C">
        <w:t>).</w:t>
      </w:r>
      <w:bookmarkEnd w:id="586"/>
    </w:p>
    <w:tbl>
      <w:tblPr>
        <w:tblW w:w="8953" w:type="dxa"/>
        <w:tblInd w:w="624" w:type="dxa"/>
        <w:tblLayout w:type="fixed"/>
        <w:tblCellMar>
          <w:left w:w="57" w:type="dxa"/>
          <w:right w:w="57" w:type="dxa"/>
        </w:tblCellMar>
        <w:tblLook w:val="0000" w:firstRow="0" w:lastRow="0" w:firstColumn="0" w:lastColumn="0" w:noHBand="0" w:noVBand="0"/>
      </w:tblPr>
      <w:tblGrid>
        <w:gridCol w:w="2932"/>
        <w:gridCol w:w="1613"/>
        <w:gridCol w:w="1102"/>
        <w:gridCol w:w="1102"/>
        <w:gridCol w:w="1102"/>
        <w:gridCol w:w="1102"/>
      </w:tblGrid>
      <w:tr w:rsidR="00234376" w:rsidRPr="00537C3C">
        <w:trPr>
          <w:trHeight w:val="227"/>
        </w:trPr>
        <w:tc>
          <w:tcPr>
            <w:tcW w:w="2932" w:type="dxa"/>
            <w:tcBorders>
              <w:top w:val="single" w:sz="4" w:space="0" w:color="auto"/>
              <w:bottom w:val="single" w:sz="4" w:space="0" w:color="auto"/>
            </w:tcBorders>
            <w:noWrap/>
          </w:tcPr>
          <w:p w:rsidR="00234376" w:rsidRPr="00537C3C" w:rsidRDefault="00234376" w:rsidP="008E03A7">
            <w:pPr>
              <w:pStyle w:val="TableHeading10pt"/>
            </w:pPr>
            <w:r w:rsidRPr="00537C3C">
              <w:t>Components</w:t>
            </w:r>
          </w:p>
        </w:tc>
        <w:tc>
          <w:tcPr>
            <w:tcW w:w="1613" w:type="dxa"/>
            <w:tcBorders>
              <w:top w:val="single" w:sz="4" w:space="0" w:color="auto"/>
              <w:bottom w:val="single" w:sz="4" w:space="0" w:color="auto"/>
            </w:tcBorders>
            <w:noWrap/>
          </w:tcPr>
          <w:p w:rsidR="00234376" w:rsidRPr="00537C3C" w:rsidRDefault="00234376" w:rsidP="008E03A7">
            <w:pPr>
              <w:pStyle w:val="TableHeading10pt"/>
            </w:pPr>
            <w:r w:rsidRPr="00BB76D8">
              <w:t>MBS</w:t>
            </w:r>
            <w:r w:rsidRPr="00537C3C">
              <w:t xml:space="preserve"> item</w:t>
            </w:r>
          </w:p>
        </w:tc>
        <w:tc>
          <w:tcPr>
            <w:tcW w:w="1102" w:type="dxa"/>
            <w:tcBorders>
              <w:top w:val="single" w:sz="4" w:space="0" w:color="auto"/>
              <w:bottom w:val="single" w:sz="4" w:space="0" w:color="auto"/>
            </w:tcBorders>
          </w:tcPr>
          <w:p w:rsidR="00234376" w:rsidRDefault="00234376" w:rsidP="00234376">
            <w:pPr>
              <w:pStyle w:val="TableHeading10pt"/>
              <w:jc w:val="center"/>
            </w:pPr>
            <w:r w:rsidRPr="00537C3C">
              <w:t>Unit cost (100% schedule)</w:t>
            </w:r>
          </w:p>
        </w:tc>
        <w:tc>
          <w:tcPr>
            <w:tcW w:w="1102" w:type="dxa"/>
            <w:tcBorders>
              <w:top w:val="single" w:sz="4" w:space="0" w:color="auto"/>
              <w:bottom w:val="single" w:sz="4" w:space="0" w:color="auto"/>
            </w:tcBorders>
          </w:tcPr>
          <w:p w:rsidR="00234376" w:rsidRDefault="00234376" w:rsidP="00234376">
            <w:pPr>
              <w:pStyle w:val="TableHeading10pt"/>
              <w:jc w:val="center"/>
            </w:pPr>
            <w:r w:rsidRPr="00537C3C">
              <w:t>Weighting for single service</w:t>
            </w:r>
          </w:p>
        </w:tc>
        <w:tc>
          <w:tcPr>
            <w:tcW w:w="1102" w:type="dxa"/>
            <w:tcBorders>
              <w:top w:val="single" w:sz="4" w:space="0" w:color="auto"/>
              <w:bottom w:val="single" w:sz="4" w:space="0" w:color="auto"/>
            </w:tcBorders>
          </w:tcPr>
          <w:p w:rsidR="00234376" w:rsidRDefault="00234376" w:rsidP="00234376">
            <w:pPr>
              <w:pStyle w:val="TableHeading10pt"/>
              <w:jc w:val="center"/>
            </w:pPr>
            <w:r w:rsidRPr="00537C3C">
              <w:t>Cost (initial screen)</w:t>
            </w:r>
          </w:p>
        </w:tc>
        <w:tc>
          <w:tcPr>
            <w:tcW w:w="1102" w:type="dxa"/>
            <w:tcBorders>
              <w:top w:val="single" w:sz="4" w:space="0" w:color="auto"/>
              <w:bottom w:val="single" w:sz="4" w:space="0" w:color="auto"/>
            </w:tcBorders>
          </w:tcPr>
          <w:p w:rsidR="00234376" w:rsidRDefault="00234376" w:rsidP="00234376">
            <w:pPr>
              <w:pStyle w:val="TableHeading10pt"/>
              <w:jc w:val="center"/>
            </w:pPr>
            <w:r w:rsidRPr="00537C3C">
              <w:t>Cost (repeat cytology for unsat)</w:t>
            </w:r>
          </w:p>
        </w:tc>
      </w:tr>
      <w:tr w:rsidR="00234376" w:rsidRPr="00537C3C">
        <w:trPr>
          <w:trHeight w:val="227"/>
        </w:trPr>
        <w:tc>
          <w:tcPr>
            <w:tcW w:w="2932" w:type="dxa"/>
            <w:tcBorders>
              <w:top w:val="single" w:sz="4" w:space="0" w:color="auto"/>
            </w:tcBorders>
            <w:noWrap/>
          </w:tcPr>
          <w:p w:rsidR="00234376" w:rsidRPr="00537C3C" w:rsidRDefault="00234376" w:rsidP="008E03A7">
            <w:pPr>
              <w:pStyle w:val="TableText0"/>
              <w:rPr>
                <w:rFonts w:ascii="Arial Narrow" w:hAnsi="Arial Narrow"/>
                <w:b/>
              </w:rPr>
            </w:pPr>
            <w:r w:rsidRPr="00537C3C">
              <w:rPr>
                <w:rFonts w:ascii="Arial Narrow" w:hAnsi="Arial Narrow"/>
                <w:b/>
              </w:rPr>
              <w:t>Cost of conventional Pap test</w:t>
            </w:r>
          </w:p>
        </w:tc>
        <w:tc>
          <w:tcPr>
            <w:tcW w:w="1613" w:type="dxa"/>
            <w:tcBorders>
              <w:top w:val="single" w:sz="4" w:space="0" w:color="auto"/>
            </w:tcBorders>
          </w:tcPr>
          <w:p w:rsidR="00234376" w:rsidRPr="00537C3C" w:rsidRDefault="00234376" w:rsidP="008E03A7">
            <w:pPr>
              <w:pStyle w:val="TableText0"/>
              <w:rPr>
                <w:rFonts w:ascii="Arial Narrow" w:hAnsi="Arial Narrow"/>
                <w:b/>
              </w:rPr>
            </w:pPr>
          </w:p>
        </w:tc>
        <w:tc>
          <w:tcPr>
            <w:tcW w:w="1102" w:type="dxa"/>
            <w:tcBorders>
              <w:top w:val="single" w:sz="4" w:space="0" w:color="auto"/>
            </w:tcBorders>
            <w:noWrap/>
          </w:tcPr>
          <w:p w:rsidR="00234376" w:rsidRPr="00537C3C" w:rsidRDefault="00234376" w:rsidP="008E03A7">
            <w:pPr>
              <w:pStyle w:val="TableText0"/>
              <w:rPr>
                <w:rFonts w:ascii="Arial Narrow" w:hAnsi="Arial Narrow"/>
                <w:b/>
              </w:rPr>
            </w:pPr>
          </w:p>
        </w:tc>
        <w:tc>
          <w:tcPr>
            <w:tcW w:w="1102" w:type="dxa"/>
            <w:tcBorders>
              <w:top w:val="single" w:sz="4" w:space="0" w:color="auto"/>
            </w:tcBorders>
            <w:noWrap/>
          </w:tcPr>
          <w:p w:rsidR="00234376" w:rsidRPr="00537C3C" w:rsidRDefault="00234376" w:rsidP="008E03A7">
            <w:pPr>
              <w:pStyle w:val="TableText0"/>
              <w:rPr>
                <w:rFonts w:ascii="Arial Narrow" w:hAnsi="Arial Narrow"/>
                <w:b/>
              </w:rPr>
            </w:pPr>
          </w:p>
        </w:tc>
        <w:tc>
          <w:tcPr>
            <w:tcW w:w="1102" w:type="dxa"/>
            <w:tcBorders>
              <w:top w:val="single" w:sz="4" w:space="0" w:color="auto"/>
            </w:tcBorders>
          </w:tcPr>
          <w:p w:rsidR="00234376" w:rsidRPr="00537C3C" w:rsidRDefault="00234376" w:rsidP="008E03A7">
            <w:pPr>
              <w:pStyle w:val="TableText0"/>
              <w:rPr>
                <w:rFonts w:ascii="Arial Narrow" w:hAnsi="Arial Narrow"/>
                <w:b/>
              </w:rPr>
            </w:pPr>
          </w:p>
        </w:tc>
        <w:tc>
          <w:tcPr>
            <w:tcW w:w="1102" w:type="dxa"/>
            <w:tcBorders>
              <w:top w:val="single" w:sz="4" w:space="0" w:color="auto"/>
            </w:tcBorders>
          </w:tcPr>
          <w:p w:rsidR="00234376" w:rsidRPr="00537C3C" w:rsidRDefault="00234376" w:rsidP="008E03A7">
            <w:pPr>
              <w:pStyle w:val="TableText0"/>
              <w:rPr>
                <w:rFonts w:ascii="Arial Narrow" w:hAnsi="Arial Narrow"/>
                <w:b/>
              </w:rPr>
            </w:pP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r w:rsidRPr="00537C3C">
              <w:rPr>
                <w:rFonts w:ascii="Arial Narrow" w:hAnsi="Arial Narrow"/>
              </w:rPr>
              <w:t>Weighted-average cost of a consultation</w:t>
            </w:r>
          </w:p>
        </w:tc>
        <w:tc>
          <w:tcPr>
            <w:tcW w:w="1613" w:type="dxa"/>
          </w:tcPr>
          <w:p w:rsidR="00234376" w:rsidRPr="00537C3C" w:rsidRDefault="00234376" w:rsidP="008E03A7">
            <w:pPr>
              <w:pStyle w:val="TableText0"/>
              <w:rPr>
                <w:rFonts w:ascii="Arial Narrow" w:hAnsi="Arial Narrow"/>
              </w:rPr>
            </w:pPr>
            <w:r w:rsidRPr="00537C3C">
              <w:rPr>
                <w:rFonts w:ascii="Arial Narrow" w:hAnsi="Arial Narrow"/>
              </w:rPr>
              <w:t>3, 23, 36, 44, 52, 53, 54, 57, 104, 105</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$38.11</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0.804</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$30.65</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$38.11</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r w:rsidRPr="00537C3C">
              <w:rPr>
                <w:rFonts w:ascii="Arial Narrow" w:hAnsi="Arial Narrow"/>
              </w:rPr>
              <w:t>Pap test</w:t>
            </w:r>
          </w:p>
        </w:tc>
        <w:tc>
          <w:tcPr>
            <w:tcW w:w="1613" w:type="dxa"/>
            <w:noWrap/>
          </w:tcPr>
          <w:p w:rsidR="00234376" w:rsidRPr="00537C3C" w:rsidRDefault="00234376" w:rsidP="008E03A7">
            <w:pPr>
              <w:pStyle w:val="TableText0"/>
              <w:rPr>
                <w:rFonts w:ascii="Arial Narrow" w:hAnsi="Arial Narrow"/>
              </w:rPr>
            </w:pPr>
            <w:r w:rsidRPr="00537C3C">
              <w:rPr>
                <w:rFonts w:ascii="Arial Narrow" w:hAnsi="Arial Narrow"/>
              </w:rPr>
              <w:t>73053, 73057</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$19.60</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$19.60</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$19.60</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r w:rsidRPr="00537C3C">
              <w:rPr>
                <w:rFonts w:ascii="Arial Narrow" w:hAnsi="Arial Narrow"/>
              </w:rPr>
              <w:t>Initiation of patient episode</w:t>
            </w:r>
          </w:p>
        </w:tc>
        <w:tc>
          <w:tcPr>
            <w:tcW w:w="1613" w:type="dxa"/>
            <w:noWrap/>
          </w:tcPr>
          <w:p w:rsidR="00234376" w:rsidRPr="00537C3C" w:rsidRDefault="00234376" w:rsidP="008E03A7">
            <w:pPr>
              <w:pStyle w:val="TableText0"/>
              <w:rPr>
                <w:rFonts w:ascii="Arial Narrow" w:hAnsi="Arial Narrow"/>
              </w:rPr>
            </w:pPr>
            <w:r w:rsidRPr="00537C3C">
              <w:rPr>
                <w:rFonts w:ascii="Arial Narrow" w:hAnsi="Arial Narrow"/>
              </w:rPr>
              <w:t>73922</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b/>
              </w:rPr>
            </w:pPr>
            <w:r w:rsidRPr="00537C3C">
              <w:rPr>
                <w:rFonts w:ascii="Arial Narrow" w:hAnsi="Arial Narrow"/>
                <w:b/>
              </w:rPr>
              <w:t xml:space="preserve">Total cost </w:t>
            </w:r>
          </w:p>
        </w:tc>
        <w:tc>
          <w:tcPr>
            <w:tcW w:w="1613" w:type="dxa"/>
            <w:noWrap/>
          </w:tcPr>
          <w:p w:rsidR="00234376" w:rsidRPr="00537C3C" w:rsidRDefault="00234376" w:rsidP="008E03A7">
            <w:pPr>
              <w:pStyle w:val="TableText0"/>
              <w:rPr>
                <w:rFonts w:ascii="Arial Narrow" w:hAnsi="Arial Narrow"/>
                <w:b/>
              </w:rPr>
            </w:pPr>
          </w:p>
        </w:tc>
        <w:tc>
          <w:tcPr>
            <w:tcW w:w="1102" w:type="dxa"/>
            <w:noWrap/>
          </w:tcPr>
          <w:p w:rsidR="00234376" w:rsidRPr="00537C3C" w:rsidRDefault="00234376" w:rsidP="008E03A7">
            <w:pPr>
              <w:pStyle w:val="TableText0"/>
              <w:tabs>
                <w:tab w:val="decimal" w:pos="577"/>
              </w:tabs>
              <w:rPr>
                <w:rFonts w:ascii="Arial Narrow" w:hAnsi="Arial Narrow"/>
                <w:b/>
              </w:rPr>
            </w:pPr>
          </w:p>
        </w:tc>
        <w:tc>
          <w:tcPr>
            <w:tcW w:w="1102" w:type="dxa"/>
            <w:noWrap/>
          </w:tcPr>
          <w:p w:rsidR="00234376" w:rsidRPr="00537C3C" w:rsidRDefault="00234376" w:rsidP="008E03A7">
            <w:pPr>
              <w:pStyle w:val="TableText0"/>
              <w:tabs>
                <w:tab w:val="decimal" w:pos="577"/>
              </w:tabs>
              <w:rPr>
                <w:rFonts w:ascii="Arial Narrow" w:hAnsi="Arial Narrow"/>
                <w:b/>
              </w:rPr>
            </w:pPr>
          </w:p>
        </w:tc>
        <w:tc>
          <w:tcPr>
            <w:tcW w:w="1102" w:type="dxa"/>
          </w:tcPr>
          <w:p w:rsidR="00234376" w:rsidRPr="00537C3C" w:rsidRDefault="00234376" w:rsidP="008E03A7">
            <w:pPr>
              <w:pStyle w:val="TableText0"/>
              <w:tabs>
                <w:tab w:val="decimal" w:pos="577"/>
              </w:tabs>
              <w:rPr>
                <w:rFonts w:ascii="Arial Narrow" w:hAnsi="Arial Narrow"/>
                <w:b/>
              </w:rPr>
            </w:pPr>
            <w:r w:rsidRPr="00537C3C">
              <w:rPr>
                <w:rFonts w:ascii="Arial Narrow" w:hAnsi="Arial Narrow"/>
                <w:b/>
              </w:rPr>
              <w:t>$58.50</w:t>
            </w:r>
          </w:p>
        </w:tc>
        <w:tc>
          <w:tcPr>
            <w:tcW w:w="1102" w:type="dxa"/>
          </w:tcPr>
          <w:p w:rsidR="00234376" w:rsidRPr="00537C3C" w:rsidRDefault="00234376" w:rsidP="008E03A7">
            <w:pPr>
              <w:pStyle w:val="TableText0"/>
              <w:tabs>
                <w:tab w:val="decimal" w:pos="577"/>
              </w:tabs>
              <w:rPr>
                <w:rFonts w:ascii="Arial Narrow" w:hAnsi="Arial Narrow"/>
                <w:b/>
              </w:rPr>
            </w:pPr>
            <w:r w:rsidRPr="00537C3C">
              <w:rPr>
                <w:rFonts w:ascii="Arial Narrow" w:hAnsi="Arial Narrow"/>
                <w:b/>
              </w:rPr>
              <w:t>$65.96</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p>
        </w:tc>
        <w:tc>
          <w:tcPr>
            <w:tcW w:w="1613" w:type="dxa"/>
            <w:noWrap/>
          </w:tcPr>
          <w:p w:rsidR="00234376" w:rsidRPr="00537C3C" w:rsidRDefault="00234376" w:rsidP="008E03A7">
            <w:pPr>
              <w:pStyle w:val="TableText0"/>
              <w:rPr>
                <w:rFonts w:ascii="Arial Narrow" w:hAnsi="Arial Narrow"/>
              </w:rPr>
            </w:pPr>
          </w:p>
        </w:tc>
        <w:tc>
          <w:tcPr>
            <w:tcW w:w="1102" w:type="dxa"/>
            <w:noWrap/>
          </w:tcPr>
          <w:p w:rsidR="00234376" w:rsidRPr="00537C3C" w:rsidRDefault="00234376" w:rsidP="008E03A7">
            <w:pPr>
              <w:pStyle w:val="TableText0"/>
              <w:tabs>
                <w:tab w:val="decimal" w:pos="577"/>
              </w:tabs>
              <w:rPr>
                <w:rFonts w:ascii="Arial Narrow" w:hAnsi="Arial Narrow"/>
              </w:rPr>
            </w:pPr>
          </w:p>
        </w:tc>
        <w:tc>
          <w:tcPr>
            <w:tcW w:w="1102" w:type="dxa"/>
            <w:noWrap/>
          </w:tcPr>
          <w:p w:rsidR="00234376" w:rsidRPr="00537C3C" w:rsidRDefault="00234376" w:rsidP="008E03A7">
            <w:pPr>
              <w:pStyle w:val="TableText0"/>
              <w:tabs>
                <w:tab w:val="decimal" w:pos="577"/>
              </w:tabs>
              <w:rPr>
                <w:rFonts w:ascii="Arial Narrow" w:hAnsi="Arial Narrow"/>
              </w:rPr>
            </w:pPr>
          </w:p>
        </w:tc>
        <w:tc>
          <w:tcPr>
            <w:tcW w:w="1102" w:type="dxa"/>
          </w:tcPr>
          <w:p w:rsidR="00234376" w:rsidRPr="00537C3C" w:rsidRDefault="00234376" w:rsidP="008E03A7">
            <w:pPr>
              <w:pStyle w:val="TableText0"/>
              <w:tabs>
                <w:tab w:val="decimal" w:pos="577"/>
              </w:tabs>
              <w:rPr>
                <w:rFonts w:ascii="Arial Narrow" w:hAnsi="Arial Narrow"/>
              </w:rPr>
            </w:pPr>
          </w:p>
        </w:tc>
        <w:tc>
          <w:tcPr>
            <w:tcW w:w="1102" w:type="dxa"/>
          </w:tcPr>
          <w:p w:rsidR="00234376" w:rsidRPr="00537C3C" w:rsidRDefault="00234376" w:rsidP="008E03A7">
            <w:pPr>
              <w:pStyle w:val="TableText0"/>
              <w:tabs>
                <w:tab w:val="decimal" w:pos="577"/>
              </w:tabs>
              <w:rPr>
                <w:rFonts w:ascii="Arial Narrow" w:hAnsi="Arial Narrow"/>
              </w:rPr>
            </w:pPr>
          </w:p>
        </w:tc>
      </w:tr>
      <w:tr w:rsidR="00234376" w:rsidRPr="00537C3C">
        <w:trPr>
          <w:trHeight w:val="227"/>
        </w:trPr>
        <w:tc>
          <w:tcPr>
            <w:tcW w:w="5647" w:type="dxa"/>
            <w:gridSpan w:val="3"/>
            <w:noWrap/>
          </w:tcPr>
          <w:p w:rsidR="00234376" w:rsidRPr="00537C3C" w:rsidRDefault="00234376" w:rsidP="008E03A7">
            <w:pPr>
              <w:pStyle w:val="TableText0"/>
              <w:rPr>
                <w:rFonts w:ascii="Arial Narrow" w:hAnsi="Arial Narrow"/>
                <w:b/>
              </w:rPr>
            </w:pPr>
            <w:r w:rsidRPr="00537C3C">
              <w:rPr>
                <w:rFonts w:ascii="Arial Narrow" w:hAnsi="Arial Narrow"/>
                <w:b/>
              </w:rPr>
              <w:t xml:space="preserve">Cost of </w:t>
            </w:r>
            <w:r w:rsidRPr="00BB76D8">
              <w:rPr>
                <w:rFonts w:ascii="Arial Narrow" w:hAnsi="Arial Narrow"/>
                <w:b/>
              </w:rPr>
              <w:t>LBC</w:t>
            </w:r>
            <w:r w:rsidRPr="00537C3C">
              <w:rPr>
                <w:rFonts w:ascii="Arial Narrow" w:hAnsi="Arial Narrow"/>
                <w:b/>
              </w:rPr>
              <w:t xml:space="preserve"> (manual reading—$10.90 incremental cost)</w:t>
            </w:r>
          </w:p>
        </w:tc>
        <w:tc>
          <w:tcPr>
            <w:tcW w:w="1102" w:type="dxa"/>
            <w:noWrap/>
          </w:tcPr>
          <w:p w:rsidR="00234376" w:rsidRPr="00537C3C" w:rsidRDefault="00234376" w:rsidP="008E03A7">
            <w:pPr>
              <w:pStyle w:val="TableText0"/>
              <w:rPr>
                <w:rFonts w:ascii="Arial Narrow" w:hAnsi="Arial Narrow"/>
                <w:b/>
              </w:rPr>
            </w:pPr>
          </w:p>
        </w:tc>
        <w:tc>
          <w:tcPr>
            <w:tcW w:w="1102" w:type="dxa"/>
          </w:tcPr>
          <w:p w:rsidR="00234376" w:rsidRPr="00537C3C" w:rsidRDefault="00234376" w:rsidP="008E03A7">
            <w:pPr>
              <w:pStyle w:val="TableText0"/>
              <w:rPr>
                <w:rFonts w:ascii="Arial Narrow" w:hAnsi="Arial Narrow"/>
                <w:b/>
              </w:rPr>
            </w:pPr>
          </w:p>
        </w:tc>
        <w:tc>
          <w:tcPr>
            <w:tcW w:w="1102" w:type="dxa"/>
          </w:tcPr>
          <w:p w:rsidR="00234376" w:rsidRPr="00537C3C" w:rsidRDefault="00234376" w:rsidP="008E03A7">
            <w:pPr>
              <w:pStyle w:val="TableText0"/>
              <w:rPr>
                <w:rFonts w:ascii="Arial Narrow" w:hAnsi="Arial Narrow"/>
                <w:b/>
              </w:rPr>
            </w:pP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r w:rsidRPr="00537C3C">
              <w:rPr>
                <w:rFonts w:ascii="Arial Narrow" w:hAnsi="Arial Narrow"/>
              </w:rPr>
              <w:t>Weighted-average cost of a consultation</w:t>
            </w:r>
          </w:p>
        </w:tc>
        <w:tc>
          <w:tcPr>
            <w:tcW w:w="1613" w:type="dxa"/>
          </w:tcPr>
          <w:p w:rsidR="00234376" w:rsidRPr="00537C3C" w:rsidRDefault="00234376" w:rsidP="008E03A7">
            <w:pPr>
              <w:pStyle w:val="TableText0"/>
              <w:rPr>
                <w:rFonts w:ascii="Arial Narrow" w:hAnsi="Arial Narrow"/>
              </w:rPr>
            </w:pPr>
            <w:r w:rsidRPr="00537C3C">
              <w:rPr>
                <w:rFonts w:ascii="Arial Narrow" w:hAnsi="Arial Narrow"/>
              </w:rPr>
              <w:t>3, 23, 36, 44, 52, 53, 54, 57, 104, 105</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$38.11</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0.804</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$30.65</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$38.11</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r w:rsidRPr="00BB76D8">
              <w:rPr>
                <w:rFonts w:ascii="Arial Narrow" w:hAnsi="Arial Narrow"/>
              </w:rPr>
              <w:t>LBC</w:t>
            </w:r>
            <w:r w:rsidRPr="00537C3C">
              <w:rPr>
                <w:rFonts w:ascii="Arial Narrow" w:hAnsi="Arial Narrow"/>
              </w:rPr>
              <w:t xml:space="preserve"> (manual—higher incremental cost) </w:t>
            </w:r>
            <w:r w:rsidRPr="00234376">
              <w:rPr>
                <w:rFonts w:ascii="Arial Narrow" w:hAnsi="Arial Narrow"/>
                <w:vertAlign w:val="superscript"/>
              </w:rPr>
              <w:t>a</w:t>
            </w:r>
          </w:p>
        </w:tc>
        <w:tc>
          <w:tcPr>
            <w:tcW w:w="1613" w:type="dxa"/>
            <w:noWrap/>
          </w:tcPr>
          <w:p w:rsidR="00234376" w:rsidRPr="00537C3C" w:rsidRDefault="00234376" w:rsidP="008E03A7">
            <w:pPr>
              <w:pStyle w:val="TableText0"/>
              <w:rPr>
                <w:rFonts w:ascii="Arial Narrow" w:hAnsi="Arial Narrow"/>
              </w:rPr>
            </w:pPr>
            <w:r w:rsidRPr="00A316F5">
              <w:rPr>
                <w:rFonts w:ascii="Arial Narrow" w:hAnsi="Arial Narrow"/>
              </w:rPr>
              <w:t>n/</w:t>
            </w:r>
            <w:r w:rsidRPr="00537C3C">
              <w:rPr>
                <w:rFonts w:ascii="Arial Narrow" w:hAnsi="Arial Narrow"/>
              </w:rPr>
              <w:t>a</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$30.50</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$30.50</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$30.50</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r w:rsidRPr="00537C3C">
              <w:rPr>
                <w:rFonts w:ascii="Arial Narrow" w:hAnsi="Arial Narrow"/>
              </w:rPr>
              <w:t>Initiation of patient episode</w:t>
            </w:r>
          </w:p>
        </w:tc>
        <w:tc>
          <w:tcPr>
            <w:tcW w:w="1613" w:type="dxa"/>
            <w:noWrap/>
          </w:tcPr>
          <w:p w:rsidR="00234376" w:rsidRPr="00537C3C" w:rsidRDefault="00234376" w:rsidP="008E03A7">
            <w:pPr>
              <w:pStyle w:val="TableText0"/>
              <w:rPr>
                <w:rFonts w:ascii="Arial Narrow" w:hAnsi="Arial Narrow"/>
              </w:rPr>
            </w:pPr>
            <w:r w:rsidRPr="00537C3C">
              <w:rPr>
                <w:rFonts w:ascii="Arial Narrow" w:hAnsi="Arial Narrow"/>
              </w:rPr>
              <w:t>73922</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b/>
              </w:rPr>
            </w:pPr>
            <w:r w:rsidRPr="00537C3C">
              <w:rPr>
                <w:rFonts w:ascii="Arial Narrow" w:hAnsi="Arial Narrow"/>
                <w:b/>
              </w:rPr>
              <w:t xml:space="preserve">Total cost </w:t>
            </w:r>
          </w:p>
        </w:tc>
        <w:tc>
          <w:tcPr>
            <w:tcW w:w="1613" w:type="dxa"/>
            <w:noWrap/>
          </w:tcPr>
          <w:p w:rsidR="00234376" w:rsidRPr="00537C3C" w:rsidRDefault="00234376" w:rsidP="008E03A7">
            <w:pPr>
              <w:pStyle w:val="TableText0"/>
              <w:rPr>
                <w:rFonts w:ascii="Arial Narrow" w:hAnsi="Arial Narrow"/>
                <w:b/>
              </w:rPr>
            </w:pPr>
          </w:p>
        </w:tc>
        <w:tc>
          <w:tcPr>
            <w:tcW w:w="1102" w:type="dxa"/>
            <w:noWrap/>
          </w:tcPr>
          <w:p w:rsidR="00234376" w:rsidRPr="00537C3C" w:rsidRDefault="00234376" w:rsidP="008E03A7">
            <w:pPr>
              <w:pStyle w:val="TableText0"/>
              <w:tabs>
                <w:tab w:val="decimal" w:pos="577"/>
              </w:tabs>
              <w:rPr>
                <w:rFonts w:ascii="Arial Narrow" w:hAnsi="Arial Narrow"/>
                <w:b/>
              </w:rPr>
            </w:pPr>
          </w:p>
        </w:tc>
        <w:tc>
          <w:tcPr>
            <w:tcW w:w="1102" w:type="dxa"/>
            <w:noWrap/>
          </w:tcPr>
          <w:p w:rsidR="00234376" w:rsidRPr="00537C3C" w:rsidRDefault="00234376" w:rsidP="008E03A7">
            <w:pPr>
              <w:pStyle w:val="TableText0"/>
              <w:tabs>
                <w:tab w:val="decimal" w:pos="577"/>
              </w:tabs>
              <w:rPr>
                <w:rFonts w:ascii="Arial Narrow" w:hAnsi="Arial Narrow"/>
                <w:b/>
              </w:rPr>
            </w:pPr>
          </w:p>
        </w:tc>
        <w:tc>
          <w:tcPr>
            <w:tcW w:w="1102" w:type="dxa"/>
          </w:tcPr>
          <w:p w:rsidR="00234376" w:rsidRPr="00537C3C" w:rsidRDefault="00234376" w:rsidP="008E03A7">
            <w:pPr>
              <w:pStyle w:val="TableText0"/>
              <w:tabs>
                <w:tab w:val="decimal" w:pos="577"/>
              </w:tabs>
              <w:rPr>
                <w:rFonts w:ascii="Arial Narrow" w:hAnsi="Arial Narrow"/>
                <w:b/>
              </w:rPr>
            </w:pPr>
            <w:r w:rsidRPr="00537C3C">
              <w:rPr>
                <w:rFonts w:ascii="Arial Narrow" w:hAnsi="Arial Narrow"/>
                <w:b/>
              </w:rPr>
              <w:t>$69.40</w:t>
            </w:r>
          </w:p>
        </w:tc>
        <w:tc>
          <w:tcPr>
            <w:tcW w:w="1102" w:type="dxa"/>
          </w:tcPr>
          <w:p w:rsidR="00234376" w:rsidRPr="00537C3C" w:rsidRDefault="00234376" w:rsidP="008E03A7">
            <w:pPr>
              <w:pStyle w:val="TableText0"/>
              <w:tabs>
                <w:tab w:val="decimal" w:pos="577"/>
              </w:tabs>
              <w:rPr>
                <w:rFonts w:ascii="Arial Narrow" w:hAnsi="Arial Narrow"/>
                <w:b/>
              </w:rPr>
            </w:pPr>
            <w:r w:rsidRPr="00537C3C">
              <w:rPr>
                <w:rFonts w:ascii="Arial Narrow" w:hAnsi="Arial Narrow"/>
                <w:b/>
              </w:rPr>
              <w:t>$76.86</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p>
        </w:tc>
        <w:tc>
          <w:tcPr>
            <w:tcW w:w="1613" w:type="dxa"/>
            <w:noWrap/>
          </w:tcPr>
          <w:p w:rsidR="00234376" w:rsidRPr="00537C3C" w:rsidRDefault="00234376" w:rsidP="008E03A7">
            <w:pPr>
              <w:pStyle w:val="TableText0"/>
              <w:rPr>
                <w:rFonts w:ascii="Arial Narrow" w:hAnsi="Arial Narrow"/>
              </w:rPr>
            </w:pPr>
          </w:p>
        </w:tc>
        <w:tc>
          <w:tcPr>
            <w:tcW w:w="1102" w:type="dxa"/>
            <w:noWrap/>
          </w:tcPr>
          <w:p w:rsidR="00234376" w:rsidRPr="00537C3C" w:rsidRDefault="00234376" w:rsidP="008E03A7">
            <w:pPr>
              <w:pStyle w:val="TableText0"/>
              <w:tabs>
                <w:tab w:val="decimal" w:pos="577"/>
              </w:tabs>
              <w:rPr>
                <w:rFonts w:ascii="Arial Narrow" w:hAnsi="Arial Narrow"/>
              </w:rPr>
            </w:pPr>
          </w:p>
        </w:tc>
        <w:tc>
          <w:tcPr>
            <w:tcW w:w="1102" w:type="dxa"/>
            <w:noWrap/>
          </w:tcPr>
          <w:p w:rsidR="00234376" w:rsidRPr="00537C3C" w:rsidRDefault="00234376" w:rsidP="008E03A7">
            <w:pPr>
              <w:pStyle w:val="TableText0"/>
              <w:tabs>
                <w:tab w:val="decimal" w:pos="577"/>
              </w:tabs>
              <w:rPr>
                <w:rFonts w:ascii="Arial Narrow" w:hAnsi="Arial Narrow"/>
              </w:rPr>
            </w:pPr>
          </w:p>
        </w:tc>
        <w:tc>
          <w:tcPr>
            <w:tcW w:w="1102" w:type="dxa"/>
          </w:tcPr>
          <w:p w:rsidR="00234376" w:rsidRPr="00537C3C" w:rsidRDefault="00234376" w:rsidP="008E03A7">
            <w:pPr>
              <w:pStyle w:val="TableText0"/>
              <w:tabs>
                <w:tab w:val="decimal" w:pos="577"/>
              </w:tabs>
              <w:rPr>
                <w:rFonts w:ascii="Arial Narrow" w:hAnsi="Arial Narrow"/>
              </w:rPr>
            </w:pPr>
          </w:p>
        </w:tc>
        <w:tc>
          <w:tcPr>
            <w:tcW w:w="1102" w:type="dxa"/>
          </w:tcPr>
          <w:p w:rsidR="00234376" w:rsidRPr="00537C3C" w:rsidRDefault="00234376" w:rsidP="008E03A7">
            <w:pPr>
              <w:pStyle w:val="TableText0"/>
              <w:tabs>
                <w:tab w:val="decimal" w:pos="577"/>
              </w:tabs>
              <w:rPr>
                <w:rFonts w:ascii="Arial Narrow" w:hAnsi="Arial Narrow"/>
              </w:rPr>
            </w:pPr>
          </w:p>
        </w:tc>
      </w:tr>
      <w:tr w:rsidR="00234376" w:rsidRPr="00537C3C">
        <w:trPr>
          <w:trHeight w:val="227"/>
        </w:trPr>
        <w:tc>
          <w:tcPr>
            <w:tcW w:w="5647" w:type="dxa"/>
            <w:gridSpan w:val="3"/>
            <w:noWrap/>
          </w:tcPr>
          <w:p w:rsidR="00234376" w:rsidRPr="00537C3C" w:rsidRDefault="00234376" w:rsidP="008E03A7">
            <w:pPr>
              <w:pStyle w:val="TableText0"/>
              <w:rPr>
                <w:rFonts w:ascii="Arial Narrow" w:hAnsi="Arial Narrow"/>
                <w:b/>
              </w:rPr>
            </w:pPr>
            <w:r w:rsidRPr="00537C3C">
              <w:rPr>
                <w:rFonts w:ascii="Arial Narrow" w:hAnsi="Arial Narrow"/>
                <w:b/>
              </w:rPr>
              <w:t xml:space="preserve">Cost of </w:t>
            </w:r>
            <w:r w:rsidRPr="00BB76D8">
              <w:rPr>
                <w:rFonts w:ascii="Arial Narrow" w:hAnsi="Arial Narrow"/>
                <w:b/>
              </w:rPr>
              <w:t>LBC</w:t>
            </w:r>
            <w:r w:rsidRPr="00537C3C">
              <w:rPr>
                <w:rFonts w:ascii="Arial Narrow" w:hAnsi="Arial Narrow"/>
                <w:b/>
              </w:rPr>
              <w:t xml:space="preserve"> (manual reading—$2.40 incremental cost) </w:t>
            </w:r>
          </w:p>
        </w:tc>
        <w:tc>
          <w:tcPr>
            <w:tcW w:w="1102" w:type="dxa"/>
            <w:noWrap/>
          </w:tcPr>
          <w:p w:rsidR="00234376" w:rsidRPr="00537C3C" w:rsidRDefault="00234376" w:rsidP="008E03A7">
            <w:pPr>
              <w:pStyle w:val="TableText0"/>
              <w:rPr>
                <w:rFonts w:ascii="Arial Narrow" w:hAnsi="Arial Narrow"/>
                <w:b/>
              </w:rPr>
            </w:pPr>
          </w:p>
        </w:tc>
        <w:tc>
          <w:tcPr>
            <w:tcW w:w="1102" w:type="dxa"/>
          </w:tcPr>
          <w:p w:rsidR="00234376" w:rsidRPr="00537C3C" w:rsidRDefault="00234376" w:rsidP="008E03A7">
            <w:pPr>
              <w:pStyle w:val="TableText0"/>
              <w:rPr>
                <w:rFonts w:ascii="Arial Narrow" w:hAnsi="Arial Narrow"/>
                <w:b/>
              </w:rPr>
            </w:pPr>
          </w:p>
        </w:tc>
        <w:tc>
          <w:tcPr>
            <w:tcW w:w="1102" w:type="dxa"/>
          </w:tcPr>
          <w:p w:rsidR="00234376" w:rsidRPr="00537C3C" w:rsidRDefault="00234376" w:rsidP="008E03A7">
            <w:pPr>
              <w:pStyle w:val="TableText0"/>
              <w:rPr>
                <w:rFonts w:ascii="Arial Narrow" w:hAnsi="Arial Narrow"/>
                <w:b/>
              </w:rPr>
            </w:pP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r w:rsidRPr="00537C3C">
              <w:rPr>
                <w:rFonts w:ascii="Arial Narrow" w:hAnsi="Arial Narrow"/>
              </w:rPr>
              <w:t>Weighted-average cost of a consultation</w:t>
            </w:r>
          </w:p>
        </w:tc>
        <w:tc>
          <w:tcPr>
            <w:tcW w:w="1613" w:type="dxa"/>
          </w:tcPr>
          <w:p w:rsidR="00234376" w:rsidRPr="00537C3C" w:rsidRDefault="00234376" w:rsidP="008E03A7">
            <w:pPr>
              <w:pStyle w:val="TableText0"/>
              <w:rPr>
                <w:rFonts w:ascii="Arial Narrow" w:hAnsi="Arial Narrow"/>
              </w:rPr>
            </w:pPr>
            <w:r w:rsidRPr="00537C3C">
              <w:rPr>
                <w:rFonts w:ascii="Arial Narrow" w:hAnsi="Arial Narrow"/>
              </w:rPr>
              <w:t>3, 23, 36, 44, 52, 53, 54, 57, 104, 105</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$38.11</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0.804</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$30.65</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$38.11</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r w:rsidRPr="00BB76D8">
              <w:rPr>
                <w:rFonts w:ascii="Arial Narrow" w:hAnsi="Arial Narrow"/>
              </w:rPr>
              <w:t>LBC</w:t>
            </w:r>
            <w:r w:rsidRPr="00537C3C">
              <w:rPr>
                <w:rFonts w:ascii="Arial Narrow" w:hAnsi="Arial Narrow"/>
              </w:rPr>
              <w:t xml:space="preserve"> (manual—lower incremental cost) </w:t>
            </w:r>
            <w:r w:rsidRPr="00234376">
              <w:rPr>
                <w:rFonts w:ascii="Arial Narrow" w:hAnsi="Arial Narrow"/>
                <w:vertAlign w:val="superscript"/>
              </w:rPr>
              <w:t>b</w:t>
            </w:r>
          </w:p>
        </w:tc>
        <w:tc>
          <w:tcPr>
            <w:tcW w:w="1613" w:type="dxa"/>
            <w:noWrap/>
          </w:tcPr>
          <w:p w:rsidR="00234376" w:rsidRPr="00537C3C" w:rsidRDefault="00234376" w:rsidP="008E03A7">
            <w:pPr>
              <w:pStyle w:val="TableText0"/>
              <w:rPr>
                <w:rFonts w:ascii="Arial Narrow" w:hAnsi="Arial Narrow"/>
              </w:rPr>
            </w:pPr>
            <w:r w:rsidRPr="00A316F5">
              <w:rPr>
                <w:rFonts w:ascii="Arial Narrow" w:hAnsi="Arial Narrow"/>
              </w:rPr>
              <w:t>n/</w:t>
            </w:r>
            <w:r w:rsidRPr="00537C3C">
              <w:rPr>
                <w:rFonts w:ascii="Arial Narrow" w:hAnsi="Arial Narrow"/>
              </w:rPr>
              <w:t>a</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$22.00</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$22.00</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$22.00</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r w:rsidRPr="00537C3C">
              <w:rPr>
                <w:rFonts w:ascii="Arial Narrow" w:hAnsi="Arial Narrow"/>
              </w:rPr>
              <w:t>Initiation of patient episode</w:t>
            </w:r>
          </w:p>
        </w:tc>
        <w:tc>
          <w:tcPr>
            <w:tcW w:w="1613" w:type="dxa"/>
            <w:noWrap/>
          </w:tcPr>
          <w:p w:rsidR="00234376" w:rsidRPr="00537C3C" w:rsidRDefault="00234376" w:rsidP="008E03A7">
            <w:pPr>
              <w:pStyle w:val="TableText0"/>
              <w:rPr>
                <w:rFonts w:ascii="Arial Narrow" w:hAnsi="Arial Narrow"/>
              </w:rPr>
            </w:pPr>
            <w:r w:rsidRPr="00537C3C">
              <w:rPr>
                <w:rFonts w:ascii="Arial Narrow" w:hAnsi="Arial Narrow"/>
              </w:rPr>
              <w:t>73922</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b/>
              </w:rPr>
            </w:pPr>
            <w:r w:rsidRPr="00537C3C">
              <w:rPr>
                <w:rFonts w:ascii="Arial Narrow" w:hAnsi="Arial Narrow"/>
                <w:b/>
              </w:rPr>
              <w:t xml:space="preserve">Total cost </w:t>
            </w:r>
          </w:p>
        </w:tc>
        <w:tc>
          <w:tcPr>
            <w:tcW w:w="1613" w:type="dxa"/>
            <w:noWrap/>
          </w:tcPr>
          <w:p w:rsidR="00234376" w:rsidRPr="00537C3C" w:rsidRDefault="00234376" w:rsidP="008E03A7">
            <w:pPr>
              <w:pStyle w:val="TableText0"/>
              <w:rPr>
                <w:rFonts w:ascii="Arial Narrow" w:hAnsi="Arial Narrow"/>
                <w:b/>
              </w:rPr>
            </w:pPr>
          </w:p>
        </w:tc>
        <w:tc>
          <w:tcPr>
            <w:tcW w:w="1102" w:type="dxa"/>
            <w:noWrap/>
          </w:tcPr>
          <w:p w:rsidR="00234376" w:rsidRPr="00537C3C" w:rsidRDefault="00234376" w:rsidP="008E03A7">
            <w:pPr>
              <w:pStyle w:val="TableText0"/>
              <w:tabs>
                <w:tab w:val="decimal" w:pos="577"/>
              </w:tabs>
              <w:rPr>
                <w:rFonts w:ascii="Arial Narrow" w:hAnsi="Arial Narrow"/>
                <w:b/>
              </w:rPr>
            </w:pPr>
          </w:p>
        </w:tc>
        <w:tc>
          <w:tcPr>
            <w:tcW w:w="1102" w:type="dxa"/>
            <w:noWrap/>
          </w:tcPr>
          <w:p w:rsidR="00234376" w:rsidRPr="00537C3C" w:rsidRDefault="00234376" w:rsidP="008E03A7">
            <w:pPr>
              <w:pStyle w:val="TableText0"/>
              <w:tabs>
                <w:tab w:val="decimal" w:pos="577"/>
              </w:tabs>
              <w:rPr>
                <w:rFonts w:ascii="Arial Narrow" w:hAnsi="Arial Narrow"/>
                <w:b/>
              </w:rPr>
            </w:pPr>
          </w:p>
        </w:tc>
        <w:tc>
          <w:tcPr>
            <w:tcW w:w="1102" w:type="dxa"/>
          </w:tcPr>
          <w:p w:rsidR="00234376" w:rsidRPr="00537C3C" w:rsidRDefault="00234376" w:rsidP="008E03A7">
            <w:pPr>
              <w:pStyle w:val="TableText0"/>
              <w:tabs>
                <w:tab w:val="decimal" w:pos="577"/>
              </w:tabs>
              <w:rPr>
                <w:rFonts w:ascii="Arial Narrow" w:hAnsi="Arial Narrow"/>
                <w:b/>
              </w:rPr>
            </w:pPr>
            <w:r w:rsidRPr="00537C3C">
              <w:rPr>
                <w:rFonts w:ascii="Arial Narrow" w:hAnsi="Arial Narrow"/>
                <w:b/>
              </w:rPr>
              <w:t>$60.90</w:t>
            </w:r>
          </w:p>
        </w:tc>
        <w:tc>
          <w:tcPr>
            <w:tcW w:w="1102" w:type="dxa"/>
          </w:tcPr>
          <w:p w:rsidR="00234376" w:rsidRPr="00537C3C" w:rsidRDefault="00234376" w:rsidP="008E03A7">
            <w:pPr>
              <w:pStyle w:val="TableText0"/>
              <w:tabs>
                <w:tab w:val="decimal" w:pos="577"/>
              </w:tabs>
              <w:rPr>
                <w:rFonts w:ascii="Arial Narrow" w:hAnsi="Arial Narrow"/>
                <w:b/>
              </w:rPr>
            </w:pPr>
            <w:r w:rsidRPr="00537C3C">
              <w:rPr>
                <w:rFonts w:ascii="Arial Narrow" w:hAnsi="Arial Narrow"/>
                <w:b/>
              </w:rPr>
              <w:t>$68.36</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p>
        </w:tc>
        <w:tc>
          <w:tcPr>
            <w:tcW w:w="1613" w:type="dxa"/>
            <w:noWrap/>
          </w:tcPr>
          <w:p w:rsidR="00234376" w:rsidRPr="00537C3C" w:rsidRDefault="00234376" w:rsidP="008E03A7">
            <w:pPr>
              <w:pStyle w:val="TableText0"/>
              <w:rPr>
                <w:rFonts w:ascii="Arial Narrow" w:hAnsi="Arial Narrow"/>
              </w:rPr>
            </w:pPr>
          </w:p>
        </w:tc>
        <w:tc>
          <w:tcPr>
            <w:tcW w:w="1102" w:type="dxa"/>
            <w:noWrap/>
          </w:tcPr>
          <w:p w:rsidR="00234376" w:rsidRPr="00537C3C" w:rsidRDefault="00234376" w:rsidP="008E03A7">
            <w:pPr>
              <w:pStyle w:val="TableText0"/>
              <w:tabs>
                <w:tab w:val="decimal" w:pos="577"/>
              </w:tabs>
              <w:rPr>
                <w:rFonts w:ascii="Arial Narrow" w:hAnsi="Arial Narrow"/>
              </w:rPr>
            </w:pPr>
          </w:p>
        </w:tc>
        <w:tc>
          <w:tcPr>
            <w:tcW w:w="1102" w:type="dxa"/>
            <w:noWrap/>
          </w:tcPr>
          <w:p w:rsidR="00234376" w:rsidRPr="00537C3C" w:rsidRDefault="00234376" w:rsidP="008E03A7">
            <w:pPr>
              <w:pStyle w:val="TableText0"/>
              <w:tabs>
                <w:tab w:val="decimal" w:pos="577"/>
              </w:tabs>
              <w:rPr>
                <w:rFonts w:ascii="Arial Narrow" w:hAnsi="Arial Narrow"/>
              </w:rPr>
            </w:pPr>
          </w:p>
        </w:tc>
        <w:tc>
          <w:tcPr>
            <w:tcW w:w="1102" w:type="dxa"/>
          </w:tcPr>
          <w:p w:rsidR="00234376" w:rsidRPr="00537C3C" w:rsidRDefault="00234376" w:rsidP="008E03A7">
            <w:pPr>
              <w:pStyle w:val="TableText0"/>
              <w:tabs>
                <w:tab w:val="decimal" w:pos="577"/>
              </w:tabs>
              <w:rPr>
                <w:rFonts w:ascii="Arial Narrow" w:hAnsi="Arial Narrow"/>
              </w:rPr>
            </w:pPr>
          </w:p>
        </w:tc>
        <w:tc>
          <w:tcPr>
            <w:tcW w:w="1102" w:type="dxa"/>
          </w:tcPr>
          <w:p w:rsidR="00234376" w:rsidRPr="00537C3C" w:rsidRDefault="00234376" w:rsidP="008E03A7">
            <w:pPr>
              <w:pStyle w:val="TableText0"/>
              <w:tabs>
                <w:tab w:val="decimal" w:pos="577"/>
              </w:tabs>
              <w:rPr>
                <w:rFonts w:ascii="Arial Narrow" w:hAnsi="Arial Narrow"/>
              </w:rPr>
            </w:pPr>
          </w:p>
        </w:tc>
      </w:tr>
      <w:tr w:rsidR="00234376" w:rsidRPr="00537C3C">
        <w:trPr>
          <w:trHeight w:val="227"/>
        </w:trPr>
        <w:tc>
          <w:tcPr>
            <w:tcW w:w="2932" w:type="dxa"/>
            <w:noWrap/>
          </w:tcPr>
          <w:p w:rsidR="00234376" w:rsidRPr="00537C3C" w:rsidRDefault="00234376" w:rsidP="008E03A7">
            <w:pPr>
              <w:pStyle w:val="TableText0"/>
              <w:rPr>
                <w:rFonts w:ascii="Arial Narrow" w:hAnsi="Arial Narrow"/>
                <w:b/>
              </w:rPr>
            </w:pPr>
            <w:r w:rsidRPr="00537C3C">
              <w:rPr>
                <w:rFonts w:ascii="Arial Narrow" w:hAnsi="Arial Narrow"/>
                <w:b/>
              </w:rPr>
              <w:t xml:space="preserve">Cost of </w:t>
            </w:r>
            <w:r w:rsidRPr="00BB76D8">
              <w:rPr>
                <w:rFonts w:ascii="Arial Narrow" w:hAnsi="Arial Narrow"/>
                <w:b/>
              </w:rPr>
              <w:t>LBC</w:t>
            </w:r>
            <w:r w:rsidRPr="00537C3C">
              <w:rPr>
                <w:rFonts w:ascii="Arial Narrow" w:hAnsi="Arial Narrow"/>
                <w:b/>
              </w:rPr>
              <w:t xml:space="preserve"> (automated reading)</w:t>
            </w:r>
          </w:p>
        </w:tc>
        <w:tc>
          <w:tcPr>
            <w:tcW w:w="1613" w:type="dxa"/>
            <w:noWrap/>
          </w:tcPr>
          <w:p w:rsidR="00234376" w:rsidRPr="00537C3C" w:rsidRDefault="00234376" w:rsidP="008E03A7">
            <w:pPr>
              <w:pStyle w:val="TableText0"/>
              <w:rPr>
                <w:rFonts w:ascii="Arial Narrow" w:hAnsi="Arial Narrow"/>
                <w:b/>
              </w:rPr>
            </w:pPr>
          </w:p>
        </w:tc>
        <w:tc>
          <w:tcPr>
            <w:tcW w:w="1102" w:type="dxa"/>
            <w:noWrap/>
          </w:tcPr>
          <w:p w:rsidR="00234376" w:rsidRPr="00537C3C" w:rsidRDefault="00234376" w:rsidP="008E03A7">
            <w:pPr>
              <w:pStyle w:val="TableText0"/>
              <w:tabs>
                <w:tab w:val="decimal" w:pos="577"/>
              </w:tabs>
              <w:rPr>
                <w:rFonts w:ascii="Arial Narrow" w:hAnsi="Arial Narrow"/>
                <w:b/>
              </w:rPr>
            </w:pPr>
          </w:p>
        </w:tc>
        <w:tc>
          <w:tcPr>
            <w:tcW w:w="1102" w:type="dxa"/>
            <w:noWrap/>
          </w:tcPr>
          <w:p w:rsidR="00234376" w:rsidRPr="00537C3C" w:rsidRDefault="00234376" w:rsidP="008E03A7">
            <w:pPr>
              <w:pStyle w:val="TableText0"/>
              <w:tabs>
                <w:tab w:val="decimal" w:pos="577"/>
              </w:tabs>
              <w:rPr>
                <w:rFonts w:ascii="Arial Narrow" w:hAnsi="Arial Narrow"/>
                <w:b/>
              </w:rPr>
            </w:pPr>
          </w:p>
        </w:tc>
        <w:tc>
          <w:tcPr>
            <w:tcW w:w="1102" w:type="dxa"/>
          </w:tcPr>
          <w:p w:rsidR="00234376" w:rsidRPr="00537C3C" w:rsidRDefault="00234376" w:rsidP="008E03A7">
            <w:pPr>
              <w:pStyle w:val="TableText0"/>
              <w:tabs>
                <w:tab w:val="decimal" w:pos="577"/>
              </w:tabs>
              <w:rPr>
                <w:rFonts w:ascii="Arial Narrow" w:hAnsi="Arial Narrow"/>
                <w:b/>
              </w:rPr>
            </w:pPr>
          </w:p>
        </w:tc>
        <w:tc>
          <w:tcPr>
            <w:tcW w:w="1102" w:type="dxa"/>
          </w:tcPr>
          <w:p w:rsidR="00234376" w:rsidRPr="00537C3C" w:rsidRDefault="00234376" w:rsidP="008E03A7">
            <w:pPr>
              <w:pStyle w:val="TableText0"/>
              <w:tabs>
                <w:tab w:val="decimal" w:pos="577"/>
              </w:tabs>
              <w:rPr>
                <w:rFonts w:ascii="Arial Narrow" w:hAnsi="Arial Narrow"/>
                <w:b/>
              </w:rPr>
            </w:pP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r w:rsidRPr="00537C3C">
              <w:rPr>
                <w:rFonts w:ascii="Arial Narrow" w:hAnsi="Arial Narrow"/>
              </w:rPr>
              <w:t>Weighted-average cost of a consultation</w:t>
            </w:r>
          </w:p>
        </w:tc>
        <w:tc>
          <w:tcPr>
            <w:tcW w:w="1613" w:type="dxa"/>
          </w:tcPr>
          <w:p w:rsidR="00234376" w:rsidRPr="00537C3C" w:rsidRDefault="00234376" w:rsidP="008E03A7">
            <w:pPr>
              <w:pStyle w:val="TableText0"/>
              <w:rPr>
                <w:rFonts w:ascii="Arial Narrow" w:hAnsi="Arial Narrow"/>
              </w:rPr>
            </w:pPr>
            <w:r w:rsidRPr="00537C3C">
              <w:rPr>
                <w:rFonts w:ascii="Arial Narrow" w:hAnsi="Arial Narrow"/>
              </w:rPr>
              <w:t>3, 23, 36, 44, 52, 53, 54, 57, 104, 105</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$38.11</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0.804</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$30.65</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$38.11</w:t>
            </w:r>
          </w:p>
        </w:tc>
      </w:tr>
      <w:tr w:rsidR="00234376" w:rsidRPr="00537C3C">
        <w:trPr>
          <w:trHeight w:val="227"/>
        </w:trPr>
        <w:tc>
          <w:tcPr>
            <w:tcW w:w="2932" w:type="dxa"/>
            <w:noWrap/>
          </w:tcPr>
          <w:p w:rsidR="00234376" w:rsidRPr="00537C3C" w:rsidRDefault="00234376" w:rsidP="008E03A7">
            <w:pPr>
              <w:pStyle w:val="TableText0"/>
              <w:rPr>
                <w:rFonts w:ascii="Arial Narrow" w:hAnsi="Arial Narrow"/>
              </w:rPr>
            </w:pPr>
            <w:r w:rsidRPr="00BB76D8">
              <w:rPr>
                <w:rFonts w:ascii="Arial Narrow" w:hAnsi="Arial Narrow"/>
              </w:rPr>
              <w:t>LBC</w:t>
            </w:r>
            <w:r w:rsidRPr="00537C3C">
              <w:rPr>
                <w:rFonts w:ascii="Arial Narrow" w:hAnsi="Arial Narrow"/>
              </w:rPr>
              <w:t xml:space="preserve"> automated </w:t>
            </w:r>
            <w:r w:rsidRPr="00234376">
              <w:rPr>
                <w:rFonts w:ascii="Arial Narrow" w:hAnsi="Arial Narrow"/>
                <w:vertAlign w:val="superscript"/>
              </w:rPr>
              <w:t>c</w:t>
            </w:r>
          </w:p>
        </w:tc>
        <w:tc>
          <w:tcPr>
            <w:tcW w:w="1613" w:type="dxa"/>
            <w:noWrap/>
          </w:tcPr>
          <w:p w:rsidR="00234376" w:rsidRPr="00537C3C" w:rsidRDefault="00234376" w:rsidP="008E03A7">
            <w:pPr>
              <w:pStyle w:val="TableText0"/>
              <w:rPr>
                <w:rFonts w:ascii="Arial Narrow" w:hAnsi="Arial Narrow"/>
              </w:rPr>
            </w:pPr>
            <w:r w:rsidRPr="00A316F5">
              <w:rPr>
                <w:rFonts w:ascii="Arial Narrow" w:hAnsi="Arial Narrow"/>
              </w:rPr>
              <w:t>n/</w:t>
            </w:r>
            <w:r w:rsidRPr="00537C3C">
              <w:rPr>
                <w:rFonts w:ascii="Arial Narrow" w:hAnsi="Arial Narrow"/>
              </w:rPr>
              <w:t>a</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$36.00</w:t>
            </w:r>
          </w:p>
        </w:tc>
        <w:tc>
          <w:tcPr>
            <w:tcW w:w="1102" w:type="dxa"/>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$36.00</w:t>
            </w:r>
          </w:p>
        </w:tc>
        <w:tc>
          <w:tcPr>
            <w:tcW w:w="1102" w:type="dxa"/>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$36.00</w:t>
            </w:r>
          </w:p>
        </w:tc>
      </w:tr>
      <w:tr w:rsidR="00234376" w:rsidRPr="00537C3C">
        <w:trPr>
          <w:trHeight w:val="227"/>
        </w:trPr>
        <w:tc>
          <w:tcPr>
            <w:tcW w:w="2932" w:type="dxa"/>
            <w:tcBorders>
              <w:bottom w:val="single" w:sz="4" w:space="0" w:color="auto"/>
            </w:tcBorders>
            <w:noWrap/>
          </w:tcPr>
          <w:p w:rsidR="00234376" w:rsidRPr="00537C3C" w:rsidRDefault="00234376" w:rsidP="008E03A7">
            <w:pPr>
              <w:pStyle w:val="TableText0"/>
              <w:rPr>
                <w:rFonts w:ascii="Arial Narrow" w:hAnsi="Arial Narrow"/>
              </w:rPr>
            </w:pPr>
            <w:r w:rsidRPr="00537C3C">
              <w:rPr>
                <w:rFonts w:ascii="Arial Narrow" w:hAnsi="Arial Narrow"/>
              </w:rPr>
              <w:t>Initiation of patient episode</w:t>
            </w:r>
          </w:p>
        </w:tc>
        <w:tc>
          <w:tcPr>
            <w:tcW w:w="1613" w:type="dxa"/>
            <w:tcBorders>
              <w:bottom w:val="single" w:sz="4" w:space="0" w:color="auto"/>
            </w:tcBorders>
            <w:noWrap/>
          </w:tcPr>
          <w:p w:rsidR="00234376" w:rsidRPr="00537C3C" w:rsidRDefault="00234376" w:rsidP="008E03A7">
            <w:pPr>
              <w:pStyle w:val="TableText0"/>
              <w:rPr>
                <w:rFonts w:ascii="Arial Narrow" w:hAnsi="Arial Narrow"/>
              </w:rPr>
            </w:pPr>
            <w:r w:rsidRPr="00537C3C">
              <w:rPr>
                <w:rFonts w:ascii="Arial Narrow" w:hAnsi="Arial Narrow"/>
              </w:rPr>
              <w:t>73922</w:t>
            </w:r>
          </w:p>
        </w:tc>
        <w:tc>
          <w:tcPr>
            <w:tcW w:w="1102" w:type="dxa"/>
            <w:tcBorders>
              <w:bottom w:val="single" w:sz="4" w:space="0" w:color="auto"/>
            </w:tcBorders>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c>
          <w:tcPr>
            <w:tcW w:w="1102" w:type="dxa"/>
            <w:tcBorders>
              <w:bottom w:val="single" w:sz="4" w:space="0" w:color="auto"/>
            </w:tcBorders>
            <w:noWrap/>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w:t>
            </w:r>
          </w:p>
        </w:tc>
        <w:tc>
          <w:tcPr>
            <w:tcW w:w="1102" w:type="dxa"/>
            <w:tcBorders>
              <w:bottom w:val="single" w:sz="4" w:space="0" w:color="auto"/>
            </w:tcBorders>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c>
          <w:tcPr>
            <w:tcW w:w="1102" w:type="dxa"/>
            <w:tcBorders>
              <w:bottom w:val="single" w:sz="4" w:space="0" w:color="auto"/>
            </w:tcBorders>
          </w:tcPr>
          <w:p w:rsidR="00234376" w:rsidRPr="00537C3C" w:rsidRDefault="00234376" w:rsidP="008E03A7">
            <w:pPr>
              <w:pStyle w:val="TableText0"/>
              <w:tabs>
                <w:tab w:val="decimal" w:pos="577"/>
              </w:tabs>
              <w:rPr>
                <w:rFonts w:ascii="Arial Narrow" w:hAnsi="Arial Narrow"/>
              </w:rPr>
            </w:pPr>
            <w:r w:rsidRPr="00537C3C">
              <w:rPr>
                <w:rFonts w:ascii="Arial Narrow" w:hAnsi="Arial Narrow"/>
              </w:rPr>
              <w:t>$8.25</w:t>
            </w:r>
          </w:p>
        </w:tc>
      </w:tr>
      <w:tr w:rsidR="00234376" w:rsidRPr="00537C3C">
        <w:trPr>
          <w:trHeight w:val="227"/>
        </w:trPr>
        <w:tc>
          <w:tcPr>
            <w:tcW w:w="2932" w:type="dxa"/>
            <w:tcBorders>
              <w:top w:val="single" w:sz="4" w:space="0" w:color="auto"/>
              <w:bottom w:val="single" w:sz="4" w:space="0" w:color="auto"/>
            </w:tcBorders>
            <w:noWrap/>
          </w:tcPr>
          <w:p w:rsidR="00234376" w:rsidRPr="00537C3C" w:rsidRDefault="00234376" w:rsidP="008E03A7">
            <w:pPr>
              <w:pStyle w:val="TableText0"/>
              <w:rPr>
                <w:rFonts w:ascii="Arial Narrow" w:hAnsi="Arial Narrow"/>
                <w:b/>
              </w:rPr>
            </w:pPr>
            <w:r w:rsidRPr="00537C3C">
              <w:rPr>
                <w:rFonts w:ascii="Arial Narrow" w:hAnsi="Arial Narrow"/>
                <w:b/>
              </w:rPr>
              <w:t xml:space="preserve">Total cost </w:t>
            </w:r>
          </w:p>
        </w:tc>
        <w:tc>
          <w:tcPr>
            <w:tcW w:w="1613" w:type="dxa"/>
            <w:tcBorders>
              <w:top w:val="single" w:sz="4" w:space="0" w:color="auto"/>
              <w:bottom w:val="single" w:sz="4" w:space="0" w:color="auto"/>
            </w:tcBorders>
            <w:noWrap/>
          </w:tcPr>
          <w:p w:rsidR="00234376" w:rsidRPr="00537C3C" w:rsidRDefault="00234376" w:rsidP="008E03A7">
            <w:pPr>
              <w:pStyle w:val="TableText0"/>
              <w:rPr>
                <w:rFonts w:ascii="Arial Narrow" w:hAnsi="Arial Narrow"/>
                <w:b/>
              </w:rPr>
            </w:pPr>
          </w:p>
        </w:tc>
        <w:tc>
          <w:tcPr>
            <w:tcW w:w="1102" w:type="dxa"/>
            <w:tcBorders>
              <w:top w:val="single" w:sz="4" w:space="0" w:color="auto"/>
              <w:bottom w:val="single" w:sz="4" w:space="0" w:color="auto"/>
            </w:tcBorders>
            <w:noWrap/>
          </w:tcPr>
          <w:p w:rsidR="00234376" w:rsidRPr="00537C3C" w:rsidRDefault="00234376" w:rsidP="008E03A7">
            <w:pPr>
              <w:pStyle w:val="TableText0"/>
              <w:tabs>
                <w:tab w:val="decimal" w:pos="577"/>
              </w:tabs>
              <w:rPr>
                <w:rFonts w:ascii="Arial Narrow" w:hAnsi="Arial Narrow"/>
                <w:b/>
              </w:rPr>
            </w:pPr>
          </w:p>
        </w:tc>
        <w:tc>
          <w:tcPr>
            <w:tcW w:w="1102" w:type="dxa"/>
            <w:tcBorders>
              <w:top w:val="single" w:sz="4" w:space="0" w:color="auto"/>
              <w:bottom w:val="single" w:sz="4" w:space="0" w:color="auto"/>
            </w:tcBorders>
            <w:noWrap/>
          </w:tcPr>
          <w:p w:rsidR="00234376" w:rsidRPr="00537C3C" w:rsidRDefault="00234376" w:rsidP="008E03A7">
            <w:pPr>
              <w:pStyle w:val="TableText0"/>
              <w:tabs>
                <w:tab w:val="decimal" w:pos="577"/>
              </w:tabs>
              <w:rPr>
                <w:rFonts w:ascii="Arial Narrow" w:hAnsi="Arial Narrow"/>
                <w:b/>
              </w:rPr>
            </w:pPr>
          </w:p>
        </w:tc>
        <w:tc>
          <w:tcPr>
            <w:tcW w:w="1102" w:type="dxa"/>
            <w:tcBorders>
              <w:top w:val="single" w:sz="4" w:space="0" w:color="auto"/>
              <w:bottom w:val="single" w:sz="4" w:space="0" w:color="auto"/>
            </w:tcBorders>
          </w:tcPr>
          <w:p w:rsidR="00234376" w:rsidRPr="00537C3C" w:rsidRDefault="00234376" w:rsidP="008E03A7">
            <w:pPr>
              <w:pStyle w:val="TableText0"/>
              <w:tabs>
                <w:tab w:val="decimal" w:pos="577"/>
              </w:tabs>
              <w:rPr>
                <w:rFonts w:ascii="Arial Narrow" w:hAnsi="Arial Narrow"/>
                <w:b/>
              </w:rPr>
            </w:pPr>
            <w:r w:rsidRPr="00537C3C">
              <w:rPr>
                <w:rFonts w:ascii="Arial Narrow" w:hAnsi="Arial Narrow"/>
                <w:b/>
              </w:rPr>
              <w:t>$74.90</w:t>
            </w:r>
          </w:p>
        </w:tc>
        <w:tc>
          <w:tcPr>
            <w:tcW w:w="1102" w:type="dxa"/>
            <w:tcBorders>
              <w:top w:val="single" w:sz="4" w:space="0" w:color="auto"/>
              <w:bottom w:val="single" w:sz="4" w:space="0" w:color="auto"/>
            </w:tcBorders>
          </w:tcPr>
          <w:p w:rsidR="00234376" w:rsidRPr="00537C3C" w:rsidRDefault="00234376" w:rsidP="008E03A7">
            <w:pPr>
              <w:pStyle w:val="TableText0"/>
              <w:tabs>
                <w:tab w:val="decimal" w:pos="577"/>
              </w:tabs>
              <w:rPr>
                <w:rFonts w:ascii="Arial Narrow" w:hAnsi="Arial Narrow"/>
                <w:b/>
              </w:rPr>
            </w:pPr>
            <w:r w:rsidRPr="00537C3C">
              <w:rPr>
                <w:rFonts w:ascii="Arial Narrow" w:hAnsi="Arial Narrow"/>
                <w:b/>
              </w:rPr>
              <w:t>$82.36</w:t>
            </w:r>
          </w:p>
        </w:tc>
      </w:tr>
    </w:tbl>
    <w:p w:rsidR="00234376" w:rsidRPr="00537C3C" w:rsidRDefault="00234376" w:rsidP="008E03A7">
      <w:pPr>
        <w:pStyle w:val="TableText0"/>
        <w:keepLines/>
        <w:spacing w:before="0" w:after="0"/>
        <w:ind w:firstLine="567"/>
        <w:rPr>
          <w:rFonts w:ascii="Arial Narrow" w:hAnsi="Arial Narrow"/>
        </w:rPr>
      </w:pPr>
      <w:r w:rsidRPr="00234376">
        <w:rPr>
          <w:rFonts w:ascii="Arial Narrow" w:hAnsi="Arial Narrow"/>
          <w:vertAlign w:val="superscript"/>
        </w:rPr>
        <w:t>a</w:t>
      </w:r>
      <w:r w:rsidRPr="00537C3C">
        <w:rPr>
          <w:rFonts w:ascii="Arial Narrow" w:hAnsi="Arial Narrow"/>
        </w:rPr>
        <w:t xml:space="preserve"> Applicant-requested </w:t>
      </w:r>
      <w:r w:rsidRPr="00BB76D8">
        <w:rPr>
          <w:rFonts w:ascii="Arial Narrow" w:hAnsi="Arial Narrow"/>
        </w:rPr>
        <w:t>MBS</w:t>
      </w:r>
      <w:r w:rsidRPr="00537C3C">
        <w:rPr>
          <w:rFonts w:ascii="Arial Narrow" w:hAnsi="Arial Narrow"/>
        </w:rPr>
        <w:t xml:space="preserve"> fee (ThinPrep sponsor, 2002).</w:t>
      </w:r>
    </w:p>
    <w:p w:rsidR="00234376" w:rsidRPr="00537C3C" w:rsidRDefault="00234376" w:rsidP="008E03A7">
      <w:pPr>
        <w:pStyle w:val="TableText0"/>
        <w:keepLines/>
        <w:spacing w:before="0" w:after="0"/>
        <w:ind w:firstLine="567"/>
        <w:rPr>
          <w:rFonts w:ascii="Arial Narrow" w:hAnsi="Arial Narrow"/>
        </w:rPr>
      </w:pPr>
      <w:r w:rsidRPr="00234376">
        <w:rPr>
          <w:rFonts w:ascii="Arial Narrow" w:hAnsi="Arial Narrow"/>
          <w:vertAlign w:val="superscript"/>
        </w:rPr>
        <w:t>b</w:t>
      </w:r>
      <w:r w:rsidRPr="00537C3C">
        <w:rPr>
          <w:rFonts w:ascii="Arial Narrow" w:hAnsi="Arial Narrow"/>
        </w:rPr>
        <w:t xml:space="preserve"> Applicant-requested </w:t>
      </w:r>
      <w:r w:rsidRPr="00BB76D8">
        <w:rPr>
          <w:rFonts w:ascii="Arial Narrow" w:hAnsi="Arial Narrow"/>
        </w:rPr>
        <w:t>MBS</w:t>
      </w:r>
      <w:r w:rsidRPr="00537C3C">
        <w:rPr>
          <w:rFonts w:ascii="Arial Narrow" w:hAnsi="Arial Narrow"/>
        </w:rPr>
        <w:t xml:space="preserve"> fee (SurePath sponsor, 2007).</w:t>
      </w:r>
    </w:p>
    <w:p w:rsidR="00234376" w:rsidRPr="00537C3C" w:rsidRDefault="00234376" w:rsidP="008E03A7">
      <w:pPr>
        <w:pStyle w:val="TableText0"/>
        <w:keepLines/>
        <w:spacing w:before="0" w:after="0"/>
        <w:ind w:firstLine="567"/>
        <w:rPr>
          <w:rFonts w:ascii="Arial Narrow" w:hAnsi="Arial Narrow"/>
        </w:rPr>
      </w:pPr>
      <w:r w:rsidRPr="00234376">
        <w:rPr>
          <w:rFonts w:ascii="Arial Narrow" w:hAnsi="Arial Narrow"/>
          <w:vertAlign w:val="superscript"/>
        </w:rPr>
        <w:t>c</w:t>
      </w:r>
      <w:r w:rsidRPr="00537C3C">
        <w:rPr>
          <w:rFonts w:ascii="Arial Narrow" w:hAnsi="Arial Narrow"/>
        </w:rPr>
        <w:t xml:space="preserve"> Applicant-requested </w:t>
      </w:r>
      <w:r w:rsidRPr="00BB76D8">
        <w:rPr>
          <w:rFonts w:ascii="Arial Narrow" w:hAnsi="Arial Narrow"/>
        </w:rPr>
        <w:t>MBS</w:t>
      </w:r>
      <w:r w:rsidRPr="00537C3C">
        <w:rPr>
          <w:rFonts w:ascii="Arial Narrow" w:hAnsi="Arial Narrow"/>
        </w:rPr>
        <w:t xml:space="preserve"> fee (ThinPrep Imager sponsor, 2007).</w:t>
      </w:r>
    </w:p>
    <w:p w:rsidR="00234376" w:rsidRPr="00537C3C" w:rsidRDefault="00234376" w:rsidP="008E03A7">
      <w:pPr>
        <w:pStyle w:val="TableText0"/>
        <w:keepLines/>
        <w:spacing w:before="0" w:after="0"/>
        <w:ind w:firstLine="567"/>
        <w:rPr>
          <w:rFonts w:ascii="Arial Narrow" w:hAnsi="Arial Narrow"/>
        </w:rPr>
      </w:pPr>
    </w:p>
    <w:p w:rsidR="00234376" w:rsidRPr="00537C3C" w:rsidRDefault="00234376" w:rsidP="008E03A7">
      <w:pPr>
        <w:pStyle w:val="Heading6"/>
      </w:pPr>
      <w:r w:rsidRPr="00537C3C">
        <w:t>Cost of results / referral consultation following abnormal cytology</w:t>
      </w:r>
    </w:p>
    <w:p w:rsidR="00234376" w:rsidRPr="00537C3C" w:rsidRDefault="00234376" w:rsidP="008E03A7">
      <w:pPr>
        <w:rPr>
          <w:rFonts w:cs="Arial"/>
        </w:rPr>
      </w:pPr>
      <w:r w:rsidRPr="00537C3C">
        <w:t xml:space="preserve">We assumed that any abnormal cytology test result would prompt a second medical consultation for the purpose of communicating the test results and proposed management to the patient. When immediate referral for colposcopy is indicated, this visit would also involve providing a referral to a specialist. </w:t>
      </w:r>
      <w:r w:rsidRPr="00537C3C">
        <w:rPr>
          <w:rFonts w:cs="Arial"/>
        </w:rPr>
        <w:t>We assumed that this is the only reason for the consultation, and therefore the single-service adjustment factor was not used.</w:t>
      </w:r>
    </w:p>
    <w:p w:rsidR="00234376" w:rsidRPr="00537C3C" w:rsidRDefault="00234376" w:rsidP="008E03A7">
      <w:pPr>
        <w:pStyle w:val="Caption"/>
      </w:pPr>
      <w:bookmarkStart w:id="587" w:name="_Ref211660825"/>
      <w:bookmarkStart w:id="588" w:name="_Toc95971272"/>
      <w:r w:rsidRPr="00537C3C">
        <w:t xml:space="preserve">Table </w:t>
      </w:r>
      <w:fldSimple w:instr=" SEQ Table \* ARABIC ">
        <w:r w:rsidR="007D3DFF">
          <w:rPr>
            <w:noProof/>
          </w:rPr>
          <w:t>36</w:t>
        </w:r>
      </w:fldSimple>
      <w:bookmarkEnd w:id="587"/>
      <w:r w:rsidRPr="00537C3C">
        <w:tab/>
        <w:t>Cost of results / referral consultation.</w:t>
      </w:r>
      <w:bookmarkEnd w:id="588"/>
    </w:p>
    <w:tbl>
      <w:tblPr>
        <w:tblW w:w="7961" w:type="dxa"/>
        <w:tblInd w:w="675" w:type="dxa"/>
        <w:tblBorders>
          <w:top w:val="single" w:sz="4" w:space="0" w:color="auto"/>
          <w:bottom w:val="single" w:sz="4" w:space="0" w:color="auto"/>
        </w:tblBorders>
        <w:tblLayout w:type="fixed"/>
        <w:tblLook w:val="0000" w:firstRow="0" w:lastRow="0" w:firstColumn="0" w:lastColumn="0" w:noHBand="0" w:noVBand="0"/>
      </w:tblPr>
      <w:tblGrid>
        <w:gridCol w:w="2983"/>
        <w:gridCol w:w="2698"/>
        <w:gridCol w:w="2280"/>
      </w:tblGrid>
      <w:tr w:rsidR="00234376" w:rsidRPr="00537C3C">
        <w:trPr>
          <w:trHeight w:val="227"/>
        </w:trPr>
        <w:tc>
          <w:tcPr>
            <w:tcW w:w="2983" w:type="dxa"/>
            <w:tcBorders>
              <w:top w:val="single" w:sz="4" w:space="0" w:color="auto"/>
              <w:bottom w:val="single" w:sz="4" w:space="0" w:color="auto"/>
            </w:tcBorders>
            <w:noWrap/>
            <w:vAlign w:val="bottom"/>
          </w:tcPr>
          <w:p w:rsidR="00234376" w:rsidRPr="00537C3C" w:rsidRDefault="00234376" w:rsidP="008E03A7">
            <w:pPr>
              <w:pStyle w:val="TableHeading10pt"/>
            </w:pPr>
            <w:r w:rsidRPr="00537C3C">
              <w:t>Components</w:t>
            </w:r>
          </w:p>
        </w:tc>
        <w:tc>
          <w:tcPr>
            <w:tcW w:w="2698" w:type="dxa"/>
            <w:tcBorders>
              <w:top w:val="single" w:sz="4" w:space="0" w:color="auto"/>
              <w:bottom w:val="single" w:sz="4" w:space="0" w:color="auto"/>
            </w:tcBorders>
            <w:noWrap/>
            <w:vAlign w:val="bottom"/>
          </w:tcPr>
          <w:p w:rsidR="00234376" w:rsidRPr="00537C3C" w:rsidRDefault="00234376" w:rsidP="008E03A7">
            <w:pPr>
              <w:pStyle w:val="TableHeading10pt"/>
            </w:pPr>
            <w:r w:rsidRPr="00BB76D8">
              <w:t>MBS</w:t>
            </w:r>
            <w:r w:rsidRPr="00537C3C">
              <w:t xml:space="preserve"> item</w:t>
            </w:r>
          </w:p>
        </w:tc>
        <w:tc>
          <w:tcPr>
            <w:tcW w:w="2280" w:type="dxa"/>
            <w:tcBorders>
              <w:top w:val="single" w:sz="4" w:space="0" w:color="auto"/>
              <w:bottom w:val="single" w:sz="4" w:space="0" w:color="auto"/>
            </w:tcBorders>
            <w:vAlign w:val="bottom"/>
          </w:tcPr>
          <w:p w:rsidR="00234376" w:rsidRPr="00537C3C" w:rsidRDefault="00234376" w:rsidP="008E03A7">
            <w:pPr>
              <w:pStyle w:val="TableHeading10pt"/>
              <w:jc w:val="center"/>
            </w:pPr>
            <w:r w:rsidRPr="00537C3C">
              <w:t>Unit cost (100% schedule)</w:t>
            </w:r>
          </w:p>
        </w:tc>
      </w:tr>
      <w:tr w:rsidR="00234376" w:rsidRPr="00537C3C">
        <w:trPr>
          <w:trHeight w:val="227"/>
        </w:trPr>
        <w:tc>
          <w:tcPr>
            <w:tcW w:w="2983" w:type="dxa"/>
            <w:tcBorders>
              <w:top w:val="single" w:sz="4" w:space="0" w:color="auto"/>
            </w:tcBorders>
            <w:noWrap/>
            <w:vAlign w:val="bottom"/>
          </w:tcPr>
          <w:p w:rsidR="00234376" w:rsidRPr="00537C3C" w:rsidRDefault="00234376" w:rsidP="008E03A7">
            <w:pPr>
              <w:pStyle w:val="TableText0"/>
              <w:rPr>
                <w:rFonts w:ascii="Arial Narrow" w:hAnsi="Arial Narrow"/>
                <w:b/>
              </w:rPr>
            </w:pPr>
            <w:r w:rsidRPr="00537C3C">
              <w:rPr>
                <w:rFonts w:ascii="Arial Narrow" w:hAnsi="Arial Narrow"/>
                <w:b/>
              </w:rPr>
              <w:t>Cost of results / referral consultation</w:t>
            </w:r>
          </w:p>
        </w:tc>
        <w:tc>
          <w:tcPr>
            <w:tcW w:w="2698" w:type="dxa"/>
            <w:tcBorders>
              <w:top w:val="single" w:sz="4" w:space="0" w:color="auto"/>
            </w:tcBorders>
            <w:vAlign w:val="bottom"/>
          </w:tcPr>
          <w:p w:rsidR="00234376" w:rsidRPr="00537C3C" w:rsidRDefault="00234376" w:rsidP="008E03A7">
            <w:pPr>
              <w:pStyle w:val="TableText0"/>
              <w:rPr>
                <w:rFonts w:ascii="Arial Narrow" w:hAnsi="Arial Narrow"/>
                <w:b/>
              </w:rPr>
            </w:pPr>
          </w:p>
        </w:tc>
        <w:tc>
          <w:tcPr>
            <w:tcW w:w="2280" w:type="dxa"/>
            <w:tcBorders>
              <w:top w:val="single" w:sz="4" w:space="0" w:color="auto"/>
            </w:tcBorders>
            <w:noWrap/>
            <w:vAlign w:val="bottom"/>
          </w:tcPr>
          <w:p w:rsidR="00234376" w:rsidRPr="00537C3C" w:rsidRDefault="00234376" w:rsidP="008E03A7">
            <w:pPr>
              <w:pStyle w:val="TableText0"/>
              <w:jc w:val="center"/>
              <w:rPr>
                <w:rFonts w:ascii="Arial Narrow" w:hAnsi="Arial Narrow"/>
                <w:b/>
              </w:rPr>
            </w:pPr>
          </w:p>
        </w:tc>
      </w:tr>
      <w:tr w:rsidR="00234376" w:rsidRPr="00537C3C">
        <w:trPr>
          <w:trHeight w:val="227"/>
        </w:trPr>
        <w:tc>
          <w:tcPr>
            <w:tcW w:w="2983"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Weighted-average cost of a consultation</w:t>
            </w:r>
          </w:p>
        </w:tc>
        <w:tc>
          <w:tcPr>
            <w:tcW w:w="2698" w:type="dxa"/>
            <w:vAlign w:val="bottom"/>
          </w:tcPr>
          <w:p w:rsidR="00234376" w:rsidRPr="00537C3C" w:rsidRDefault="00234376" w:rsidP="008E03A7">
            <w:pPr>
              <w:pStyle w:val="TableText0"/>
              <w:rPr>
                <w:rFonts w:ascii="Arial Narrow" w:hAnsi="Arial Narrow"/>
              </w:rPr>
            </w:pPr>
            <w:r w:rsidRPr="00234376">
              <w:rPr>
                <w:rFonts w:ascii="Arial Narrow" w:hAnsi="Arial Narrow"/>
              </w:rPr>
              <w:t>3</w:t>
            </w:r>
            <w:r w:rsidRPr="00A316F5">
              <w:rPr>
                <w:rFonts w:ascii="Arial Narrow" w:hAnsi="Arial Narrow"/>
              </w:rPr>
              <w:t>, 23, 36, 44, 52, 53, 54, 57, 104, 105</w:t>
            </w:r>
          </w:p>
        </w:tc>
        <w:tc>
          <w:tcPr>
            <w:tcW w:w="2280"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$38.11</w:t>
            </w:r>
          </w:p>
        </w:tc>
      </w:tr>
      <w:tr w:rsidR="00234376" w:rsidRPr="00537C3C">
        <w:trPr>
          <w:trHeight w:val="227"/>
        </w:trPr>
        <w:tc>
          <w:tcPr>
            <w:tcW w:w="2983" w:type="dxa"/>
            <w:tcBorders>
              <w:bottom w:val="single" w:sz="4" w:space="0" w:color="auto"/>
            </w:tcBorders>
            <w:noWrap/>
            <w:vAlign w:val="bottom"/>
          </w:tcPr>
          <w:p w:rsidR="00234376" w:rsidRPr="00537C3C" w:rsidRDefault="00234376" w:rsidP="008E03A7">
            <w:pPr>
              <w:pStyle w:val="TableText0"/>
              <w:rPr>
                <w:rFonts w:ascii="Arial Narrow" w:hAnsi="Arial Narrow"/>
                <w:b/>
              </w:rPr>
            </w:pPr>
            <w:r w:rsidRPr="00537C3C">
              <w:rPr>
                <w:rFonts w:ascii="Arial Narrow" w:hAnsi="Arial Narrow"/>
                <w:b/>
              </w:rPr>
              <w:t xml:space="preserve">Total cost </w:t>
            </w:r>
          </w:p>
        </w:tc>
        <w:tc>
          <w:tcPr>
            <w:tcW w:w="2698" w:type="dxa"/>
            <w:tcBorders>
              <w:bottom w:val="single" w:sz="4" w:space="0" w:color="auto"/>
            </w:tcBorders>
            <w:noWrap/>
            <w:vAlign w:val="bottom"/>
          </w:tcPr>
          <w:p w:rsidR="00234376" w:rsidRPr="00537C3C" w:rsidRDefault="00234376" w:rsidP="008E03A7">
            <w:pPr>
              <w:pStyle w:val="TableText0"/>
              <w:rPr>
                <w:rFonts w:ascii="Arial Narrow" w:hAnsi="Arial Narrow"/>
                <w:b/>
              </w:rPr>
            </w:pPr>
          </w:p>
        </w:tc>
        <w:tc>
          <w:tcPr>
            <w:tcW w:w="2280" w:type="dxa"/>
            <w:tcBorders>
              <w:bottom w:val="single" w:sz="4" w:space="0" w:color="auto"/>
            </w:tcBorders>
            <w:noWrap/>
            <w:vAlign w:val="bottom"/>
          </w:tcPr>
          <w:p w:rsidR="00234376" w:rsidRPr="00537C3C" w:rsidRDefault="00234376" w:rsidP="008E03A7">
            <w:pPr>
              <w:pStyle w:val="TableText0"/>
              <w:jc w:val="center"/>
              <w:rPr>
                <w:rFonts w:ascii="Arial Narrow" w:hAnsi="Arial Narrow"/>
                <w:b/>
              </w:rPr>
            </w:pPr>
          </w:p>
        </w:tc>
      </w:tr>
    </w:tbl>
    <w:p w:rsidR="00234376" w:rsidRPr="00537C3C" w:rsidRDefault="00234376" w:rsidP="008E03A7"/>
    <w:p w:rsidR="00234376" w:rsidRPr="00537C3C" w:rsidRDefault="00234376" w:rsidP="008E03A7">
      <w:pPr>
        <w:pStyle w:val="Heading6"/>
      </w:pPr>
      <w:r w:rsidRPr="00537C3C">
        <w:lastRenderedPageBreak/>
        <w:t>Cost of colposcopy without biopsy</w:t>
      </w:r>
    </w:p>
    <w:p w:rsidR="00234376" w:rsidRDefault="00234376" w:rsidP="00CC3BE5">
      <w:pPr>
        <w:spacing w:after="120"/>
        <w:jc w:val="both"/>
        <w:rPr>
          <w:rFonts w:cs="Arial"/>
        </w:rPr>
      </w:pPr>
      <w:r w:rsidRPr="00537C3C">
        <w:rPr>
          <w:rFonts w:cs="Arial"/>
        </w:rPr>
        <w:t>The cost of a colposcopy without biopsy is comprised of specialist consultation and a colposcopy procedure. It is assumed that all colposcopies are performed in specialist’s rooms without anaesthesia.</w:t>
      </w:r>
    </w:p>
    <w:p w:rsidR="00234376" w:rsidRPr="00537C3C" w:rsidRDefault="00234376" w:rsidP="008E03A7">
      <w:pPr>
        <w:pStyle w:val="TableNamea"/>
        <w:ind w:left="1644"/>
      </w:pPr>
      <w:bookmarkStart w:id="589" w:name="_Ref209517073"/>
      <w:bookmarkStart w:id="590" w:name="_Toc95971273"/>
      <w:r w:rsidRPr="00537C3C">
        <w:t xml:space="preserve">Table </w:t>
      </w:r>
      <w:fldSimple w:instr=" SEQ Table \* ARABIC ">
        <w:r w:rsidR="007D3DFF">
          <w:rPr>
            <w:noProof/>
          </w:rPr>
          <w:t>37</w:t>
        </w:r>
      </w:fldSimple>
      <w:bookmarkEnd w:id="589"/>
      <w:r w:rsidRPr="00537C3C">
        <w:tab/>
        <w:t>Cost of colposcopy, no biopsy.</w:t>
      </w:r>
      <w:bookmarkEnd w:id="590"/>
    </w:p>
    <w:tbl>
      <w:tblPr>
        <w:tblW w:w="8624" w:type="dxa"/>
        <w:tblInd w:w="840" w:type="dxa"/>
        <w:tblBorders>
          <w:top w:val="single" w:sz="4" w:space="0" w:color="auto"/>
          <w:bottom w:val="single" w:sz="4" w:space="0" w:color="auto"/>
        </w:tblBorders>
        <w:tblLayout w:type="fixed"/>
        <w:tblLook w:val="0000" w:firstRow="0" w:lastRow="0" w:firstColumn="0" w:lastColumn="0" w:noHBand="0" w:noVBand="0"/>
      </w:tblPr>
      <w:tblGrid>
        <w:gridCol w:w="1807"/>
        <w:gridCol w:w="1704"/>
        <w:gridCol w:w="1704"/>
        <w:gridCol w:w="1704"/>
        <w:gridCol w:w="1705"/>
      </w:tblGrid>
      <w:tr w:rsidR="00234376" w:rsidRPr="00537C3C">
        <w:trPr>
          <w:trHeight w:val="227"/>
        </w:trPr>
        <w:tc>
          <w:tcPr>
            <w:tcW w:w="1807" w:type="dxa"/>
            <w:tcBorders>
              <w:top w:val="single" w:sz="4" w:space="0" w:color="auto"/>
              <w:bottom w:val="single" w:sz="4" w:space="0" w:color="auto"/>
            </w:tcBorders>
            <w:noWrap/>
            <w:vAlign w:val="bottom"/>
          </w:tcPr>
          <w:p w:rsidR="00234376" w:rsidRPr="00537C3C" w:rsidRDefault="00234376" w:rsidP="008E03A7">
            <w:pPr>
              <w:pStyle w:val="TableHeading10pt"/>
            </w:pPr>
            <w:r w:rsidRPr="00537C3C">
              <w:t>Components</w:t>
            </w:r>
          </w:p>
        </w:tc>
        <w:tc>
          <w:tcPr>
            <w:tcW w:w="1704" w:type="dxa"/>
            <w:tcBorders>
              <w:top w:val="single" w:sz="4" w:space="0" w:color="auto"/>
              <w:bottom w:val="single" w:sz="4" w:space="0" w:color="auto"/>
            </w:tcBorders>
            <w:noWrap/>
            <w:vAlign w:val="bottom"/>
          </w:tcPr>
          <w:p w:rsidR="00234376" w:rsidRPr="00537C3C" w:rsidRDefault="00234376" w:rsidP="008E03A7">
            <w:pPr>
              <w:pStyle w:val="TableHeading10pt"/>
              <w:jc w:val="center"/>
            </w:pPr>
            <w:r w:rsidRPr="00BB76D8">
              <w:t>MBS</w:t>
            </w:r>
            <w:r w:rsidRPr="00537C3C">
              <w:t xml:space="preserve"> item</w:t>
            </w:r>
          </w:p>
        </w:tc>
        <w:tc>
          <w:tcPr>
            <w:tcW w:w="1704" w:type="dxa"/>
            <w:tcBorders>
              <w:top w:val="single" w:sz="4" w:space="0" w:color="auto"/>
              <w:bottom w:val="single" w:sz="4" w:space="0" w:color="auto"/>
            </w:tcBorders>
            <w:vAlign w:val="bottom"/>
          </w:tcPr>
          <w:p w:rsidR="00234376" w:rsidRPr="00537C3C" w:rsidRDefault="00234376" w:rsidP="008E03A7">
            <w:pPr>
              <w:pStyle w:val="TableHeading10pt"/>
              <w:jc w:val="center"/>
            </w:pPr>
            <w:r w:rsidRPr="00537C3C">
              <w:t>Unit cost (100% schedule)</w:t>
            </w:r>
          </w:p>
        </w:tc>
        <w:tc>
          <w:tcPr>
            <w:tcW w:w="1704" w:type="dxa"/>
            <w:tcBorders>
              <w:top w:val="single" w:sz="4" w:space="0" w:color="auto"/>
              <w:bottom w:val="single" w:sz="4" w:space="0" w:color="auto"/>
            </w:tcBorders>
            <w:vAlign w:val="bottom"/>
          </w:tcPr>
          <w:p w:rsidR="00234376" w:rsidRPr="00537C3C" w:rsidRDefault="00234376" w:rsidP="008E03A7">
            <w:pPr>
              <w:pStyle w:val="TableHeading10pt"/>
              <w:jc w:val="center"/>
            </w:pPr>
            <w:r w:rsidRPr="00537C3C">
              <w:t>Weighting for single service</w:t>
            </w:r>
          </w:p>
        </w:tc>
        <w:tc>
          <w:tcPr>
            <w:tcW w:w="1705" w:type="dxa"/>
            <w:tcBorders>
              <w:top w:val="single" w:sz="4" w:space="0" w:color="auto"/>
              <w:bottom w:val="single" w:sz="4" w:space="0" w:color="auto"/>
            </w:tcBorders>
            <w:vAlign w:val="bottom"/>
          </w:tcPr>
          <w:p w:rsidR="00234376" w:rsidRPr="00537C3C" w:rsidRDefault="00234376" w:rsidP="008E03A7">
            <w:pPr>
              <w:pStyle w:val="TableHeading10pt"/>
              <w:jc w:val="center"/>
            </w:pPr>
            <w:r w:rsidRPr="00537C3C">
              <w:t>Cost (initial screen)</w:t>
            </w:r>
          </w:p>
        </w:tc>
      </w:tr>
      <w:tr w:rsidR="00234376" w:rsidRPr="00537C3C">
        <w:tblPrEx>
          <w:tblBorders>
            <w:top w:val="none" w:sz="0" w:space="0" w:color="auto"/>
            <w:bottom w:val="none" w:sz="0" w:space="0" w:color="auto"/>
          </w:tblBorders>
        </w:tblPrEx>
        <w:trPr>
          <w:trHeight w:val="300"/>
        </w:trPr>
        <w:tc>
          <w:tcPr>
            <w:tcW w:w="1807" w:type="dxa"/>
            <w:tcBorders>
              <w:top w:val="nil"/>
              <w:left w:val="nil"/>
              <w:bottom w:val="nil"/>
              <w:right w:val="nil"/>
            </w:tcBorders>
            <w:noWrap/>
            <w:vAlign w:val="bottom"/>
          </w:tcPr>
          <w:p w:rsidR="00234376" w:rsidRPr="00537C3C" w:rsidRDefault="00234376" w:rsidP="008E03A7">
            <w:pPr>
              <w:pStyle w:val="TableText0"/>
              <w:rPr>
                <w:rFonts w:ascii="Arial Narrow" w:hAnsi="Arial Narrow"/>
              </w:rPr>
            </w:pPr>
            <w:r w:rsidRPr="00537C3C">
              <w:rPr>
                <w:rFonts w:ascii="Arial Narrow" w:hAnsi="Arial Narrow"/>
              </w:rPr>
              <w:t>Specialist consultation</w:t>
            </w:r>
          </w:p>
        </w:tc>
        <w:tc>
          <w:tcPr>
            <w:tcW w:w="1704" w:type="dxa"/>
            <w:tcBorders>
              <w:top w:val="nil"/>
              <w:left w:val="nil"/>
              <w:bottom w:val="nil"/>
              <w:right w:val="nil"/>
            </w:tcBorders>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104</w:t>
            </w:r>
          </w:p>
        </w:tc>
        <w:tc>
          <w:tcPr>
            <w:tcW w:w="1704" w:type="dxa"/>
            <w:tcBorders>
              <w:top w:val="nil"/>
              <w:left w:val="nil"/>
              <w:bottom w:val="nil"/>
              <w:right w:val="nil"/>
            </w:tcBorders>
            <w:noWrap/>
            <w:vAlign w:val="bottom"/>
          </w:tcPr>
          <w:p w:rsidR="00234376" w:rsidRPr="00537C3C" w:rsidRDefault="00234376" w:rsidP="008E03A7">
            <w:pPr>
              <w:pStyle w:val="TableText0"/>
              <w:tabs>
                <w:tab w:val="decimal" w:pos="761"/>
              </w:tabs>
              <w:rPr>
                <w:rFonts w:ascii="Arial Narrow" w:hAnsi="Arial Narrow"/>
              </w:rPr>
            </w:pPr>
            <w:r w:rsidRPr="00537C3C">
              <w:rPr>
                <w:rFonts w:ascii="Arial Narrow" w:hAnsi="Arial Narrow"/>
              </w:rPr>
              <w:t>$77.25</w:t>
            </w:r>
          </w:p>
        </w:tc>
        <w:tc>
          <w:tcPr>
            <w:tcW w:w="1704" w:type="dxa"/>
            <w:tcBorders>
              <w:top w:val="nil"/>
              <w:left w:val="nil"/>
              <w:bottom w:val="nil"/>
              <w:right w:val="nil"/>
            </w:tcBorders>
            <w:noWrap/>
            <w:vAlign w:val="bottom"/>
          </w:tcPr>
          <w:p w:rsidR="00234376" w:rsidRPr="00537C3C" w:rsidRDefault="00234376" w:rsidP="008E03A7">
            <w:pPr>
              <w:pStyle w:val="TableText0"/>
              <w:tabs>
                <w:tab w:val="decimal" w:pos="761"/>
              </w:tabs>
              <w:rPr>
                <w:rFonts w:ascii="Arial Narrow" w:hAnsi="Arial Narrow"/>
              </w:rPr>
            </w:pPr>
            <w:r w:rsidRPr="00537C3C">
              <w:rPr>
                <w:rFonts w:ascii="Arial Narrow" w:hAnsi="Arial Narrow"/>
              </w:rPr>
              <w:t>1.000</w:t>
            </w:r>
          </w:p>
        </w:tc>
        <w:tc>
          <w:tcPr>
            <w:tcW w:w="1705" w:type="dxa"/>
            <w:tcBorders>
              <w:top w:val="nil"/>
              <w:left w:val="nil"/>
              <w:bottom w:val="nil"/>
              <w:right w:val="nil"/>
            </w:tcBorders>
            <w:noWrap/>
            <w:vAlign w:val="bottom"/>
          </w:tcPr>
          <w:p w:rsidR="00234376" w:rsidRPr="00537C3C" w:rsidRDefault="00234376" w:rsidP="008E03A7">
            <w:pPr>
              <w:pStyle w:val="TableText0"/>
              <w:tabs>
                <w:tab w:val="decimal" w:pos="761"/>
              </w:tabs>
              <w:rPr>
                <w:rFonts w:ascii="Arial Narrow" w:hAnsi="Arial Narrow"/>
              </w:rPr>
            </w:pPr>
            <w:r w:rsidRPr="00537C3C">
              <w:rPr>
                <w:rFonts w:ascii="Arial Narrow" w:hAnsi="Arial Narrow"/>
              </w:rPr>
              <w:t>$77.25</w:t>
            </w:r>
          </w:p>
        </w:tc>
      </w:tr>
      <w:tr w:rsidR="00234376" w:rsidRPr="00537C3C">
        <w:tblPrEx>
          <w:tblBorders>
            <w:top w:val="none" w:sz="0" w:space="0" w:color="auto"/>
            <w:bottom w:val="none" w:sz="0" w:space="0" w:color="auto"/>
          </w:tblBorders>
        </w:tblPrEx>
        <w:trPr>
          <w:trHeight w:val="300"/>
        </w:trPr>
        <w:tc>
          <w:tcPr>
            <w:tcW w:w="1807" w:type="dxa"/>
            <w:tcBorders>
              <w:top w:val="nil"/>
              <w:left w:val="nil"/>
              <w:right w:val="nil"/>
            </w:tcBorders>
            <w:noWrap/>
            <w:vAlign w:val="bottom"/>
          </w:tcPr>
          <w:p w:rsidR="00234376" w:rsidRPr="00537C3C" w:rsidRDefault="00234376" w:rsidP="008E03A7">
            <w:pPr>
              <w:pStyle w:val="TableText0"/>
              <w:rPr>
                <w:rFonts w:ascii="Arial Narrow" w:hAnsi="Arial Narrow"/>
              </w:rPr>
            </w:pPr>
            <w:r w:rsidRPr="00537C3C">
              <w:rPr>
                <w:rFonts w:ascii="Arial Narrow" w:hAnsi="Arial Narrow"/>
              </w:rPr>
              <w:t>Colposcopy</w:t>
            </w:r>
          </w:p>
        </w:tc>
        <w:tc>
          <w:tcPr>
            <w:tcW w:w="1704" w:type="dxa"/>
            <w:tcBorders>
              <w:top w:val="nil"/>
              <w:left w:val="nil"/>
              <w:right w:val="nil"/>
            </w:tcBorders>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35614</w:t>
            </w:r>
          </w:p>
        </w:tc>
        <w:tc>
          <w:tcPr>
            <w:tcW w:w="1704" w:type="dxa"/>
            <w:tcBorders>
              <w:top w:val="nil"/>
              <w:left w:val="nil"/>
              <w:right w:val="nil"/>
            </w:tcBorders>
            <w:noWrap/>
            <w:vAlign w:val="bottom"/>
          </w:tcPr>
          <w:p w:rsidR="00234376" w:rsidRPr="00537C3C" w:rsidRDefault="00234376" w:rsidP="008E03A7">
            <w:pPr>
              <w:pStyle w:val="TableText0"/>
              <w:tabs>
                <w:tab w:val="decimal" w:pos="761"/>
              </w:tabs>
              <w:rPr>
                <w:rFonts w:ascii="Arial Narrow" w:hAnsi="Arial Narrow"/>
              </w:rPr>
            </w:pPr>
            <w:r w:rsidRPr="00537C3C">
              <w:rPr>
                <w:rFonts w:ascii="Arial Narrow" w:hAnsi="Arial Narrow"/>
              </w:rPr>
              <w:t>$57.65</w:t>
            </w:r>
          </w:p>
        </w:tc>
        <w:tc>
          <w:tcPr>
            <w:tcW w:w="1704" w:type="dxa"/>
            <w:tcBorders>
              <w:top w:val="nil"/>
              <w:left w:val="nil"/>
              <w:right w:val="nil"/>
            </w:tcBorders>
            <w:noWrap/>
            <w:vAlign w:val="bottom"/>
          </w:tcPr>
          <w:p w:rsidR="00234376" w:rsidRPr="00537C3C" w:rsidRDefault="00234376" w:rsidP="008E03A7">
            <w:pPr>
              <w:pStyle w:val="TableText0"/>
              <w:tabs>
                <w:tab w:val="decimal" w:pos="761"/>
              </w:tabs>
              <w:rPr>
                <w:rFonts w:ascii="Arial Narrow" w:hAnsi="Arial Narrow"/>
              </w:rPr>
            </w:pPr>
            <w:r w:rsidRPr="00537C3C">
              <w:rPr>
                <w:rFonts w:ascii="Arial Narrow" w:hAnsi="Arial Narrow"/>
              </w:rPr>
              <w:t>1.000</w:t>
            </w:r>
          </w:p>
        </w:tc>
        <w:tc>
          <w:tcPr>
            <w:tcW w:w="1705" w:type="dxa"/>
            <w:tcBorders>
              <w:top w:val="nil"/>
              <w:left w:val="nil"/>
              <w:right w:val="nil"/>
            </w:tcBorders>
            <w:noWrap/>
            <w:vAlign w:val="bottom"/>
          </w:tcPr>
          <w:p w:rsidR="00234376" w:rsidRPr="00537C3C" w:rsidRDefault="00234376" w:rsidP="008E03A7">
            <w:pPr>
              <w:pStyle w:val="TableText0"/>
              <w:tabs>
                <w:tab w:val="decimal" w:pos="761"/>
              </w:tabs>
              <w:rPr>
                <w:rFonts w:ascii="Arial Narrow" w:hAnsi="Arial Narrow"/>
              </w:rPr>
            </w:pPr>
            <w:r w:rsidRPr="00537C3C">
              <w:rPr>
                <w:rFonts w:ascii="Arial Narrow" w:hAnsi="Arial Narrow"/>
              </w:rPr>
              <w:t>$57.65</w:t>
            </w:r>
          </w:p>
        </w:tc>
      </w:tr>
      <w:tr w:rsidR="00234376" w:rsidRPr="00537C3C">
        <w:tblPrEx>
          <w:tblBorders>
            <w:top w:val="none" w:sz="0" w:space="0" w:color="auto"/>
            <w:bottom w:val="none" w:sz="0" w:space="0" w:color="auto"/>
          </w:tblBorders>
        </w:tblPrEx>
        <w:trPr>
          <w:trHeight w:val="300"/>
        </w:trPr>
        <w:tc>
          <w:tcPr>
            <w:tcW w:w="1807" w:type="dxa"/>
            <w:tcBorders>
              <w:top w:val="nil"/>
              <w:left w:val="nil"/>
              <w:bottom w:val="single" w:sz="4" w:space="0" w:color="auto"/>
              <w:right w:val="nil"/>
            </w:tcBorders>
            <w:noWrap/>
            <w:vAlign w:val="bottom"/>
          </w:tcPr>
          <w:p w:rsidR="00234376" w:rsidRPr="00537C3C" w:rsidRDefault="00234376" w:rsidP="008E03A7">
            <w:pPr>
              <w:pStyle w:val="TableText0"/>
              <w:rPr>
                <w:rFonts w:ascii="Arial Narrow" w:hAnsi="Arial Narrow"/>
                <w:b/>
              </w:rPr>
            </w:pPr>
            <w:r w:rsidRPr="00537C3C">
              <w:rPr>
                <w:rFonts w:ascii="Arial Narrow" w:hAnsi="Arial Narrow"/>
                <w:b/>
              </w:rPr>
              <w:t xml:space="preserve">Total cost </w:t>
            </w:r>
          </w:p>
        </w:tc>
        <w:tc>
          <w:tcPr>
            <w:tcW w:w="1704" w:type="dxa"/>
            <w:tcBorders>
              <w:top w:val="nil"/>
              <w:left w:val="nil"/>
              <w:bottom w:val="single" w:sz="4" w:space="0" w:color="auto"/>
              <w:right w:val="nil"/>
            </w:tcBorders>
            <w:noWrap/>
            <w:vAlign w:val="bottom"/>
          </w:tcPr>
          <w:p w:rsidR="00234376" w:rsidRPr="00537C3C" w:rsidRDefault="00234376" w:rsidP="008E03A7">
            <w:pPr>
              <w:pStyle w:val="TableText0"/>
              <w:jc w:val="center"/>
              <w:rPr>
                <w:rFonts w:ascii="Arial Narrow" w:hAnsi="Arial Narrow"/>
                <w:b/>
              </w:rPr>
            </w:pPr>
          </w:p>
        </w:tc>
        <w:tc>
          <w:tcPr>
            <w:tcW w:w="1704" w:type="dxa"/>
            <w:tcBorders>
              <w:top w:val="nil"/>
              <w:left w:val="nil"/>
              <w:bottom w:val="single" w:sz="4" w:space="0" w:color="auto"/>
              <w:right w:val="nil"/>
            </w:tcBorders>
            <w:noWrap/>
            <w:vAlign w:val="bottom"/>
          </w:tcPr>
          <w:p w:rsidR="00234376" w:rsidRPr="00537C3C" w:rsidRDefault="00234376" w:rsidP="008E03A7">
            <w:pPr>
              <w:pStyle w:val="TableText0"/>
              <w:tabs>
                <w:tab w:val="decimal" w:pos="761"/>
              </w:tabs>
              <w:rPr>
                <w:rFonts w:ascii="Arial Narrow" w:hAnsi="Arial Narrow"/>
                <w:b/>
              </w:rPr>
            </w:pPr>
          </w:p>
        </w:tc>
        <w:tc>
          <w:tcPr>
            <w:tcW w:w="1704" w:type="dxa"/>
            <w:tcBorders>
              <w:top w:val="nil"/>
              <w:left w:val="nil"/>
              <w:bottom w:val="single" w:sz="4" w:space="0" w:color="auto"/>
              <w:right w:val="nil"/>
            </w:tcBorders>
            <w:noWrap/>
            <w:vAlign w:val="bottom"/>
          </w:tcPr>
          <w:p w:rsidR="00234376" w:rsidRPr="00537C3C" w:rsidRDefault="00234376" w:rsidP="008E03A7">
            <w:pPr>
              <w:pStyle w:val="TableText0"/>
              <w:tabs>
                <w:tab w:val="decimal" w:pos="761"/>
              </w:tabs>
              <w:rPr>
                <w:rFonts w:ascii="Arial Narrow" w:hAnsi="Arial Narrow"/>
                <w:b/>
              </w:rPr>
            </w:pPr>
          </w:p>
        </w:tc>
        <w:tc>
          <w:tcPr>
            <w:tcW w:w="1705" w:type="dxa"/>
            <w:tcBorders>
              <w:top w:val="nil"/>
              <w:left w:val="nil"/>
              <w:bottom w:val="single" w:sz="4" w:space="0" w:color="auto"/>
              <w:right w:val="nil"/>
            </w:tcBorders>
            <w:noWrap/>
            <w:vAlign w:val="bottom"/>
          </w:tcPr>
          <w:p w:rsidR="00234376" w:rsidRPr="00537C3C" w:rsidRDefault="00234376" w:rsidP="008E03A7">
            <w:pPr>
              <w:pStyle w:val="TableText0"/>
              <w:tabs>
                <w:tab w:val="decimal" w:pos="761"/>
              </w:tabs>
              <w:rPr>
                <w:rFonts w:ascii="Arial Narrow" w:hAnsi="Arial Narrow"/>
                <w:b/>
              </w:rPr>
            </w:pPr>
            <w:r w:rsidRPr="00537C3C">
              <w:rPr>
                <w:rFonts w:ascii="Arial Narrow" w:hAnsi="Arial Narrow"/>
                <w:b/>
              </w:rPr>
              <w:t>$134.90</w:t>
            </w:r>
          </w:p>
        </w:tc>
      </w:tr>
    </w:tbl>
    <w:p w:rsidR="00234376" w:rsidRPr="00537C3C" w:rsidRDefault="00234376" w:rsidP="008E03A7">
      <w:pPr>
        <w:spacing w:after="120"/>
        <w:jc w:val="both"/>
        <w:rPr>
          <w:rFonts w:cs="Arial"/>
        </w:rPr>
      </w:pPr>
    </w:p>
    <w:p w:rsidR="00234376" w:rsidRPr="00537C3C" w:rsidRDefault="00234376" w:rsidP="008E03A7">
      <w:pPr>
        <w:pStyle w:val="Heading6"/>
      </w:pPr>
      <w:r w:rsidRPr="00537C3C">
        <w:t>Cost of colposcopy with biopsy</w:t>
      </w:r>
    </w:p>
    <w:p w:rsidR="00234376" w:rsidRDefault="00234376" w:rsidP="00CC3BE5">
      <w:pPr>
        <w:spacing w:after="120"/>
        <w:jc w:val="both"/>
        <w:rPr>
          <w:rFonts w:cs="Arial"/>
        </w:rPr>
      </w:pPr>
      <w:r w:rsidRPr="00537C3C">
        <w:rPr>
          <w:rFonts w:cs="Arial"/>
        </w:rPr>
        <w:t xml:space="preserve">The cost of a colposcopy with biopsy is composed of specialist consultation, a biopsy procedure and a colposcopy procedure, discounted because the two procedures are performed at the same time (Multiple services rule, </w:t>
      </w:r>
      <w:r w:rsidRPr="00BB76D8">
        <w:rPr>
          <w:rFonts w:cs="Arial"/>
        </w:rPr>
        <w:t>MBS</w:t>
      </w:r>
      <w:r w:rsidRPr="00537C3C">
        <w:rPr>
          <w:rFonts w:cs="Arial"/>
        </w:rPr>
        <w:t xml:space="preserve"> Schedule note T8.2 Multiple Operations Rule). It is assumed that all colposcopies are performed in specialist’s rooms without anaesthesia.</w:t>
      </w:r>
    </w:p>
    <w:p w:rsidR="00234376" w:rsidRPr="00537C3C" w:rsidRDefault="00234376" w:rsidP="008E03A7">
      <w:pPr>
        <w:pStyle w:val="TableNamea"/>
        <w:ind w:left="1644"/>
      </w:pPr>
      <w:bookmarkStart w:id="591" w:name="_Ref209517084"/>
      <w:bookmarkStart w:id="592" w:name="_Toc95971274"/>
      <w:r w:rsidRPr="00537C3C">
        <w:t xml:space="preserve">Table </w:t>
      </w:r>
      <w:fldSimple w:instr=" SEQ Table \* ARABIC ">
        <w:r w:rsidR="007D3DFF">
          <w:rPr>
            <w:noProof/>
          </w:rPr>
          <w:t>38</w:t>
        </w:r>
      </w:fldSimple>
      <w:bookmarkEnd w:id="591"/>
      <w:r w:rsidRPr="00537C3C">
        <w:tab/>
        <w:t>Cost of colposcopy, with biopsy.</w:t>
      </w:r>
      <w:bookmarkEnd w:id="592"/>
    </w:p>
    <w:tbl>
      <w:tblPr>
        <w:tblW w:w="8789" w:type="dxa"/>
        <w:tblInd w:w="697" w:type="dxa"/>
        <w:tblLook w:val="0000" w:firstRow="0" w:lastRow="0" w:firstColumn="0" w:lastColumn="0" w:noHBand="0" w:noVBand="0"/>
      </w:tblPr>
      <w:tblGrid>
        <w:gridCol w:w="3167"/>
        <w:gridCol w:w="1676"/>
        <w:gridCol w:w="1457"/>
        <w:gridCol w:w="1495"/>
        <w:gridCol w:w="994"/>
      </w:tblGrid>
      <w:tr w:rsidR="00234376" w:rsidRPr="00537C3C">
        <w:trPr>
          <w:trHeight w:val="477"/>
        </w:trPr>
        <w:tc>
          <w:tcPr>
            <w:tcW w:w="3167" w:type="dxa"/>
            <w:tcBorders>
              <w:top w:val="single" w:sz="4" w:space="0" w:color="auto"/>
              <w:left w:val="nil"/>
              <w:bottom w:val="single" w:sz="4" w:space="0" w:color="auto"/>
              <w:right w:val="nil"/>
            </w:tcBorders>
            <w:noWrap/>
            <w:vAlign w:val="bottom"/>
          </w:tcPr>
          <w:p w:rsidR="00234376" w:rsidRPr="00537C3C" w:rsidRDefault="00234376" w:rsidP="008E03A7">
            <w:pPr>
              <w:pStyle w:val="TableHeading10pt"/>
            </w:pPr>
            <w:r w:rsidRPr="00537C3C">
              <w:t>Components</w:t>
            </w:r>
          </w:p>
        </w:tc>
        <w:tc>
          <w:tcPr>
            <w:tcW w:w="1676" w:type="dxa"/>
            <w:tcBorders>
              <w:top w:val="single" w:sz="4" w:space="0" w:color="auto"/>
              <w:left w:val="nil"/>
              <w:bottom w:val="single" w:sz="4" w:space="0" w:color="auto"/>
              <w:right w:val="nil"/>
            </w:tcBorders>
            <w:noWrap/>
            <w:vAlign w:val="bottom"/>
          </w:tcPr>
          <w:p w:rsidR="00234376" w:rsidRPr="00537C3C" w:rsidRDefault="00234376" w:rsidP="008E03A7">
            <w:pPr>
              <w:pStyle w:val="TableHeading10pt"/>
              <w:jc w:val="center"/>
            </w:pPr>
            <w:r w:rsidRPr="00BB76D8">
              <w:t>MBS</w:t>
            </w:r>
            <w:r w:rsidRPr="00537C3C">
              <w:t xml:space="preserve"> item</w:t>
            </w:r>
          </w:p>
        </w:tc>
        <w:tc>
          <w:tcPr>
            <w:tcW w:w="1457" w:type="dxa"/>
            <w:tcBorders>
              <w:top w:val="single" w:sz="4" w:space="0" w:color="auto"/>
              <w:left w:val="nil"/>
              <w:bottom w:val="single" w:sz="4" w:space="0" w:color="auto"/>
              <w:right w:val="nil"/>
            </w:tcBorders>
            <w:vAlign w:val="bottom"/>
          </w:tcPr>
          <w:p w:rsidR="00234376" w:rsidRPr="00537C3C" w:rsidRDefault="00234376" w:rsidP="008E03A7">
            <w:pPr>
              <w:pStyle w:val="TableHeading10pt"/>
              <w:jc w:val="center"/>
            </w:pPr>
            <w:r w:rsidRPr="00537C3C">
              <w:t>Unit cost (100% schedule)</w:t>
            </w:r>
          </w:p>
        </w:tc>
        <w:tc>
          <w:tcPr>
            <w:tcW w:w="1495" w:type="dxa"/>
            <w:tcBorders>
              <w:top w:val="single" w:sz="4" w:space="0" w:color="auto"/>
              <w:left w:val="nil"/>
              <w:bottom w:val="single" w:sz="4" w:space="0" w:color="auto"/>
              <w:right w:val="nil"/>
            </w:tcBorders>
            <w:vAlign w:val="bottom"/>
          </w:tcPr>
          <w:p w:rsidR="00234376" w:rsidRPr="00537C3C" w:rsidRDefault="00234376" w:rsidP="008E03A7">
            <w:pPr>
              <w:pStyle w:val="TableHeading10pt"/>
              <w:jc w:val="center"/>
            </w:pPr>
            <w:r w:rsidRPr="00537C3C">
              <w:t>Proportion of patients</w:t>
            </w:r>
          </w:p>
        </w:tc>
        <w:tc>
          <w:tcPr>
            <w:tcW w:w="994" w:type="dxa"/>
            <w:tcBorders>
              <w:top w:val="single" w:sz="4" w:space="0" w:color="auto"/>
              <w:left w:val="nil"/>
              <w:bottom w:val="single" w:sz="4" w:space="0" w:color="auto"/>
              <w:right w:val="nil"/>
            </w:tcBorders>
            <w:noWrap/>
            <w:vAlign w:val="bottom"/>
          </w:tcPr>
          <w:p w:rsidR="00234376" w:rsidRPr="00537C3C" w:rsidRDefault="00234376" w:rsidP="008E03A7">
            <w:pPr>
              <w:pStyle w:val="TableHeading10pt"/>
              <w:jc w:val="center"/>
            </w:pPr>
            <w:r w:rsidRPr="00537C3C">
              <w:t>Cost</w:t>
            </w:r>
          </w:p>
        </w:tc>
      </w:tr>
      <w:tr w:rsidR="00234376" w:rsidRPr="00537C3C">
        <w:trPr>
          <w:trHeight w:val="300"/>
        </w:trPr>
        <w:tc>
          <w:tcPr>
            <w:tcW w:w="3167" w:type="dxa"/>
            <w:tcBorders>
              <w:top w:val="single" w:sz="4" w:space="0" w:color="auto"/>
              <w:left w:val="nil"/>
              <w:bottom w:val="nil"/>
              <w:right w:val="nil"/>
            </w:tcBorders>
            <w:noWrap/>
            <w:vAlign w:val="bottom"/>
          </w:tcPr>
          <w:p w:rsidR="00234376" w:rsidRPr="00537C3C" w:rsidRDefault="00234376" w:rsidP="008E03A7">
            <w:pPr>
              <w:pStyle w:val="TableText0"/>
              <w:rPr>
                <w:rFonts w:ascii="Arial Narrow" w:hAnsi="Arial Narrow"/>
              </w:rPr>
            </w:pPr>
            <w:r w:rsidRPr="00537C3C">
              <w:rPr>
                <w:rFonts w:ascii="Arial Narrow" w:hAnsi="Arial Narrow"/>
              </w:rPr>
              <w:t>Specialist consultation</w:t>
            </w:r>
          </w:p>
        </w:tc>
        <w:tc>
          <w:tcPr>
            <w:tcW w:w="1676" w:type="dxa"/>
            <w:tcBorders>
              <w:top w:val="single" w:sz="4" w:space="0" w:color="auto"/>
              <w:left w:val="nil"/>
              <w:bottom w:val="nil"/>
              <w:right w:val="nil"/>
            </w:tcBorders>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104</w:t>
            </w:r>
          </w:p>
        </w:tc>
        <w:tc>
          <w:tcPr>
            <w:tcW w:w="1457" w:type="dxa"/>
            <w:tcBorders>
              <w:top w:val="single" w:sz="4" w:space="0" w:color="auto"/>
              <w:left w:val="nil"/>
              <w:bottom w:val="nil"/>
              <w:right w:val="nil"/>
            </w:tcBorders>
            <w:noWrap/>
            <w:vAlign w:val="bottom"/>
          </w:tcPr>
          <w:p w:rsidR="00234376" w:rsidRPr="00537C3C" w:rsidRDefault="00234376" w:rsidP="008E03A7">
            <w:pPr>
              <w:pStyle w:val="TableText0"/>
              <w:tabs>
                <w:tab w:val="decimal" w:pos="708"/>
              </w:tabs>
              <w:rPr>
                <w:rFonts w:ascii="Arial Narrow" w:hAnsi="Arial Narrow"/>
              </w:rPr>
            </w:pPr>
            <w:r w:rsidRPr="00537C3C">
              <w:rPr>
                <w:rFonts w:ascii="Arial Narrow" w:hAnsi="Arial Narrow"/>
              </w:rPr>
              <w:t>$77.25</w:t>
            </w:r>
          </w:p>
        </w:tc>
        <w:tc>
          <w:tcPr>
            <w:tcW w:w="1495" w:type="dxa"/>
            <w:tcBorders>
              <w:top w:val="single" w:sz="4" w:space="0" w:color="auto"/>
              <w:left w:val="nil"/>
              <w:bottom w:val="nil"/>
              <w:right w:val="nil"/>
            </w:tcBorders>
            <w:noWrap/>
            <w:vAlign w:val="bottom"/>
          </w:tcPr>
          <w:p w:rsidR="00234376" w:rsidRPr="00537C3C" w:rsidRDefault="00234376" w:rsidP="008E03A7">
            <w:pPr>
              <w:pStyle w:val="TableText0"/>
              <w:tabs>
                <w:tab w:val="decimal" w:pos="512"/>
              </w:tabs>
              <w:rPr>
                <w:rFonts w:ascii="Arial Narrow" w:hAnsi="Arial Narrow"/>
              </w:rPr>
            </w:pPr>
            <w:r w:rsidRPr="00537C3C">
              <w:rPr>
                <w:rFonts w:ascii="Arial Narrow" w:hAnsi="Arial Narrow"/>
              </w:rPr>
              <w:t>1.000</w:t>
            </w:r>
          </w:p>
        </w:tc>
        <w:tc>
          <w:tcPr>
            <w:tcW w:w="994" w:type="dxa"/>
            <w:tcBorders>
              <w:top w:val="single" w:sz="4" w:space="0" w:color="auto"/>
              <w:left w:val="nil"/>
              <w:bottom w:val="nil"/>
              <w:right w:val="nil"/>
            </w:tcBorders>
            <w:noWrap/>
            <w:vAlign w:val="bottom"/>
          </w:tcPr>
          <w:p w:rsidR="00234376" w:rsidRPr="00537C3C" w:rsidRDefault="00234376" w:rsidP="008E03A7">
            <w:pPr>
              <w:pStyle w:val="TableText0"/>
              <w:tabs>
                <w:tab w:val="decimal" w:pos="448"/>
              </w:tabs>
              <w:rPr>
                <w:rFonts w:ascii="Arial Narrow" w:hAnsi="Arial Narrow"/>
              </w:rPr>
            </w:pPr>
            <w:r w:rsidRPr="00537C3C">
              <w:rPr>
                <w:rFonts w:ascii="Arial Narrow" w:hAnsi="Arial Narrow"/>
              </w:rPr>
              <w:t>$77.25</w:t>
            </w:r>
          </w:p>
        </w:tc>
      </w:tr>
      <w:tr w:rsidR="00234376" w:rsidRPr="00537C3C">
        <w:trPr>
          <w:trHeight w:val="300"/>
        </w:trPr>
        <w:tc>
          <w:tcPr>
            <w:tcW w:w="3167" w:type="dxa"/>
            <w:tcBorders>
              <w:top w:val="nil"/>
              <w:left w:val="nil"/>
              <w:bottom w:val="nil"/>
              <w:right w:val="nil"/>
            </w:tcBorders>
            <w:noWrap/>
            <w:vAlign w:val="bottom"/>
          </w:tcPr>
          <w:p w:rsidR="00234376" w:rsidRPr="00537C3C" w:rsidRDefault="00234376" w:rsidP="008E03A7">
            <w:pPr>
              <w:pStyle w:val="TableText0"/>
              <w:rPr>
                <w:rFonts w:ascii="Arial Narrow" w:hAnsi="Arial Narrow"/>
              </w:rPr>
            </w:pPr>
            <w:r w:rsidRPr="00537C3C">
              <w:rPr>
                <w:rFonts w:ascii="Arial Narrow" w:hAnsi="Arial Narrow"/>
              </w:rPr>
              <w:t xml:space="preserve">Colposcopy </w:t>
            </w:r>
            <w:r w:rsidRPr="00A316F5">
              <w:rPr>
                <w:rFonts w:ascii="Arial Narrow" w:hAnsi="Arial Narrow"/>
                <w:vertAlign w:val="superscript"/>
              </w:rPr>
              <w:t>a</w:t>
            </w:r>
          </w:p>
        </w:tc>
        <w:tc>
          <w:tcPr>
            <w:tcW w:w="1676" w:type="dxa"/>
            <w:tcBorders>
              <w:top w:val="nil"/>
              <w:left w:val="nil"/>
              <w:bottom w:val="nil"/>
              <w:right w:val="nil"/>
            </w:tcBorders>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35614</w:t>
            </w:r>
          </w:p>
        </w:tc>
        <w:tc>
          <w:tcPr>
            <w:tcW w:w="1457" w:type="dxa"/>
            <w:tcBorders>
              <w:top w:val="nil"/>
              <w:left w:val="nil"/>
              <w:bottom w:val="nil"/>
              <w:right w:val="nil"/>
            </w:tcBorders>
            <w:noWrap/>
            <w:vAlign w:val="bottom"/>
          </w:tcPr>
          <w:p w:rsidR="00234376" w:rsidRPr="00537C3C" w:rsidRDefault="00234376" w:rsidP="008E03A7">
            <w:pPr>
              <w:pStyle w:val="TableText0"/>
              <w:tabs>
                <w:tab w:val="decimal" w:pos="708"/>
              </w:tabs>
              <w:rPr>
                <w:rFonts w:ascii="Arial Narrow" w:hAnsi="Arial Narrow"/>
              </w:rPr>
            </w:pPr>
            <w:r w:rsidRPr="00537C3C">
              <w:rPr>
                <w:rFonts w:ascii="Arial Narrow" w:hAnsi="Arial Narrow"/>
              </w:rPr>
              <w:t>$28.83</w:t>
            </w:r>
          </w:p>
        </w:tc>
        <w:tc>
          <w:tcPr>
            <w:tcW w:w="1495" w:type="dxa"/>
            <w:tcBorders>
              <w:top w:val="nil"/>
              <w:left w:val="nil"/>
              <w:bottom w:val="nil"/>
              <w:right w:val="nil"/>
            </w:tcBorders>
            <w:noWrap/>
            <w:vAlign w:val="bottom"/>
          </w:tcPr>
          <w:p w:rsidR="00234376" w:rsidRPr="00537C3C" w:rsidRDefault="00234376" w:rsidP="008E03A7">
            <w:pPr>
              <w:pStyle w:val="TableText0"/>
              <w:tabs>
                <w:tab w:val="decimal" w:pos="512"/>
              </w:tabs>
              <w:rPr>
                <w:rFonts w:ascii="Arial Narrow" w:hAnsi="Arial Narrow"/>
              </w:rPr>
            </w:pPr>
            <w:r w:rsidRPr="00537C3C">
              <w:rPr>
                <w:rFonts w:ascii="Arial Narrow" w:hAnsi="Arial Narrow"/>
              </w:rPr>
              <w:t>1.000</w:t>
            </w:r>
          </w:p>
        </w:tc>
        <w:tc>
          <w:tcPr>
            <w:tcW w:w="994" w:type="dxa"/>
            <w:tcBorders>
              <w:top w:val="nil"/>
              <w:left w:val="nil"/>
              <w:bottom w:val="nil"/>
              <w:right w:val="nil"/>
            </w:tcBorders>
            <w:noWrap/>
            <w:vAlign w:val="bottom"/>
          </w:tcPr>
          <w:p w:rsidR="00234376" w:rsidRPr="00537C3C" w:rsidRDefault="00234376" w:rsidP="008E03A7">
            <w:pPr>
              <w:pStyle w:val="TableText0"/>
              <w:tabs>
                <w:tab w:val="decimal" w:pos="448"/>
              </w:tabs>
              <w:rPr>
                <w:rFonts w:ascii="Arial Narrow" w:hAnsi="Arial Narrow"/>
              </w:rPr>
            </w:pPr>
            <w:r w:rsidRPr="00537C3C">
              <w:rPr>
                <w:rFonts w:ascii="Arial Narrow" w:hAnsi="Arial Narrow"/>
              </w:rPr>
              <w:t>$28.83</w:t>
            </w:r>
          </w:p>
        </w:tc>
      </w:tr>
      <w:tr w:rsidR="00234376" w:rsidRPr="00537C3C">
        <w:trPr>
          <w:trHeight w:val="300"/>
        </w:trPr>
        <w:tc>
          <w:tcPr>
            <w:tcW w:w="3167" w:type="dxa"/>
            <w:tcBorders>
              <w:top w:val="nil"/>
              <w:left w:val="nil"/>
              <w:bottom w:val="nil"/>
              <w:right w:val="nil"/>
            </w:tcBorders>
            <w:noWrap/>
            <w:vAlign w:val="bottom"/>
          </w:tcPr>
          <w:p w:rsidR="00234376" w:rsidRPr="00537C3C" w:rsidRDefault="00234376" w:rsidP="008E03A7">
            <w:pPr>
              <w:pStyle w:val="TableText0"/>
              <w:rPr>
                <w:rFonts w:ascii="Arial Narrow" w:hAnsi="Arial Narrow"/>
              </w:rPr>
            </w:pPr>
            <w:r w:rsidRPr="00537C3C">
              <w:rPr>
                <w:rFonts w:ascii="Arial Narrow" w:hAnsi="Arial Narrow"/>
              </w:rPr>
              <w:t>Biopsy</w:t>
            </w:r>
          </w:p>
        </w:tc>
        <w:tc>
          <w:tcPr>
            <w:tcW w:w="1676" w:type="dxa"/>
            <w:tcBorders>
              <w:top w:val="nil"/>
              <w:left w:val="nil"/>
              <w:bottom w:val="nil"/>
              <w:right w:val="nil"/>
            </w:tcBorders>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35608</w:t>
            </w:r>
          </w:p>
        </w:tc>
        <w:tc>
          <w:tcPr>
            <w:tcW w:w="1457" w:type="dxa"/>
            <w:tcBorders>
              <w:top w:val="nil"/>
              <w:left w:val="nil"/>
              <w:bottom w:val="nil"/>
              <w:right w:val="nil"/>
            </w:tcBorders>
            <w:noWrap/>
            <w:vAlign w:val="bottom"/>
          </w:tcPr>
          <w:p w:rsidR="00234376" w:rsidRPr="00537C3C" w:rsidRDefault="00234376" w:rsidP="008E03A7">
            <w:pPr>
              <w:pStyle w:val="TableText0"/>
              <w:tabs>
                <w:tab w:val="decimal" w:pos="708"/>
              </w:tabs>
              <w:rPr>
                <w:rFonts w:ascii="Arial Narrow" w:hAnsi="Arial Narrow"/>
              </w:rPr>
            </w:pPr>
            <w:r w:rsidRPr="00537C3C">
              <w:rPr>
                <w:rFonts w:ascii="Arial Narrow" w:hAnsi="Arial Narrow"/>
              </w:rPr>
              <w:t>$57.75</w:t>
            </w:r>
          </w:p>
        </w:tc>
        <w:tc>
          <w:tcPr>
            <w:tcW w:w="1495" w:type="dxa"/>
            <w:tcBorders>
              <w:top w:val="nil"/>
              <w:left w:val="nil"/>
              <w:bottom w:val="nil"/>
              <w:right w:val="nil"/>
            </w:tcBorders>
            <w:noWrap/>
            <w:vAlign w:val="bottom"/>
          </w:tcPr>
          <w:p w:rsidR="00234376" w:rsidRPr="00537C3C" w:rsidRDefault="00234376" w:rsidP="008E03A7">
            <w:pPr>
              <w:pStyle w:val="TableText0"/>
              <w:tabs>
                <w:tab w:val="decimal" w:pos="512"/>
              </w:tabs>
              <w:rPr>
                <w:rFonts w:ascii="Arial Narrow" w:hAnsi="Arial Narrow"/>
              </w:rPr>
            </w:pPr>
            <w:r w:rsidRPr="00537C3C">
              <w:rPr>
                <w:rFonts w:ascii="Arial Narrow" w:hAnsi="Arial Narrow"/>
              </w:rPr>
              <w:t>1.000</w:t>
            </w:r>
          </w:p>
        </w:tc>
        <w:tc>
          <w:tcPr>
            <w:tcW w:w="994" w:type="dxa"/>
            <w:tcBorders>
              <w:top w:val="nil"/>
              <w:left w:val="nil"/>
              <w:bottom w:val="nil"/>
              <w:right w:val="nil"/>
            </w:tcBorders>
            <w:noWrap/>
            <w:vAlign w:val="bottom"/>
          </w:tcPr>
          <w:p w:rsidR="00234376" w:rsidRPr="00537C3C" w:rsidRDefault="00234376" w:rsidP="008E03A7">
            <w:pPr>
              <w:pStyle w:val="TableText0"/>
              <w:tabs>
                <w:tab w:val="decimal" w:pos="448"/>
              </w:tabs>
              <w:rPr>
                <w:rFonts w:ascii="Arial Narrow" w:hAnsi="Arial Narrow"/>
              </w:rPr>
            </w:pPr>
            <w:r w:rsidRPr="00537C3C">
              <w:rPr>
                <w:rFonts w:ascii="Arial Narrow" w:hAnsi="Arial Narrow"/>
              </w:rPr>
              <w:t>$57.75</w:t>
            </w:r>
          </w:p>
        </w:tc>
      </w:tr>
      <w:tr w:rsidR="00234376" w:rsidRPr="00537C3C">
        <w:trPr>
          <w:trHeight w:val="300"/>
        </w:trPr>
        <w:tc>
          <w:tcPr>
            <w:tcW w:w="3167" w:type="dxa"/>
            <w:tcBorders>
              <w:top w:val="nil"/>
              <w:left w:val="nil"/>
              <w:bottom w:val="nil"/>
              <w:right w:val="nil"/>
            </w:tcBorders>
            <w:noWrap/>
            <w:vAlign w:val="bottom"/>
          </w:tcPr>
          <w:p w:rsidR="00234376" w:rsidRPr="00537C3C" w:rsidRDefault="00234376" w:rsidP="008E03A7">
            <w:pPr>
              <w:pStyle w:val="TableText0"/>
              <w:rPr>
                <w:rFonts w:ascii="Arial Narrow" w:hAnsi="Arial Narrow"/>
              </w:rPr>
            </w:pPr>
            <w:r w:rsidRPr="00537C3C">
              <w:rPr>
                <w:rFonts w:ascii="Arial Narrow" w:hAnsi="Arial Narrow"/>
              </w:rPr>
              <w:t xml:space="preserve">Histopathology </w:t>
            </w:r>
            <w:r w:rsidRPr="00A316F5">
              <w:rPr>
                <w:rFonts w:ascii="Arial Narrow" w:hAnsi="Arial Narrow"/>
                <w:vertAlign w:val="superscript"/>
              </w:rPr>
              <w:t>b</w:t>
            </w:r>
          </w:p>
        </w:tc>
        <w:tc>
          <w:tcPr>
            <w:tcW w:w="1676" w:type="dxa"/>
            <w:tcBorders>
              <w:top w:val="nil"/>
              <w:left w:val="nil"/>
              <w:bottom w:val="nil"/>
              <w:right w:val="nil"/>
            </w:tcBorders>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72823</w:t>
            </w:r>
          </w:p>
        </w:tc>
        <w:tc>
          <w:tcPr>
            <w:tcW w:w="1457" w:type="dxa"/>
            <w:tcBorders>
              <w:top w:val="nil"/>
              <w:left w:val="nil"/>
              <w:bottom w:val="nil"/>
              <w:right w:val="nil"/>
            </w:tcBorders>
            <w:noWrap/>
            <w:vAlign w:val="bottom"/>
          </w:tcPr>
          <w:p w:rsidR="00234376" w:rsidRPr="00537C3C" w:rsidRDefault="00234376" w:rsidP="008E03A7">
            <w:pPr>
              <w:pStyle w:val="TableText0"/>
              <w:tabs>
                <w:tab w:val="decimal" w:pos="708"/>
              </w:tabs>
              <w:rPr>
                <w:rFonts w:ascii="Arial Narrow" w:hAnsi="Arial Narrow"/>
              </w:rPr>
            </w:pPr>
            <w:r w:rsidRPr="00537C3C">
              <w:rPr>
                <w:rFonts w:ascii="Arial Narrow" w:hAnsi="Arial Narrow"/>
              </w:rPr>
              <w:t>$97.95</w:t>
            </w:r>
          </w:p>
        </w:tc>
        <w:tc>
          <w:tcPr>
            <w:tcW w:w="1495" w:type="dxa"/>
            <w:tcBorders>
              <w:top w:val="nil"/>
              <w:left w:val="nil"/>
              <w:bottom w:val="nil"/>
              <w:right w:val="nil"/>
            </w:tcBorders>
            <w:noWrap/>
            <w:vAlign w:val="bottom"/>
          </w:tcPr>
          <w:p w:rsidR="00234376" w:rsidRPr="00537C3C" w:rsidRDefault="00234376" w:rsidP="008E03A7">
            <w:pPr>
              <w:pStyle w:val="TableText0"/>
              <w:tabs>
                <w:tab w:val="decimal" w:pos="512"/>
              </w:tabs>
              <w:rPr>
                <w:rFonts w:ascii="Arial Narrow" w:hAnsi="Arial Narrow"/>
              </w:rPr>
            </w:pPr>
            <w:r w:rsidRPr="00537C3C">
              <w:rPr>
                <w:rFonts w:ascii="Arial Narrow" w:hAnsi="Arial Narrow"/>
              </w:rPr>
              <w:t>0.667</w:t>
            </w:r>
          </w:p>
        </w:tc>
        <w:tc>
          <w:tcPr>
            <w:tcW w:w="994" w:type="dxa"/>
            <w:tcBorders>
              <w:top w:val="nil"/>
              <w:left w:val="nil"/>
              <w:bottom w:val="nil"/>
              <w:right w:val="nil"/>
            </w:tcBorders>
            <w:noWrap/>
            <w:vAlign w:val="bottom"/>
          </w:tcPr>
          <w:p w:rsidR="00234376" w:rsidRPr="00537C3C" w:rsidRDefault="00234376" w:rsidP="008E03A7">
            <w:pPr>
              <w:pStyle w:val="TableText0"/>
              <w:tabs>
                <w:tab w:val="decimal" w:pos="448"/>
              </w:tabs>
              <w:rPr>
                <w:rFonts w:ascii="Arial Narrow" w:hAnsi="Arial Narrow"/>
              </w:rPr>
            </w:pPr>
            <w:r w:rsidRPr="00537C3C">
              <w:rPr>
                <w:rFonts w:ascii="Arial Narrow" w:hAnsi="Arial Narrow"/>
              </w:rPr>
              <w:t>$65.37</w:t>
            </w:r>
          </w:p>
        </w:tc>
      </w:tr>
      <w:tr w:rsidR="00234376" w:rsidRPr="00537C3C">
        <w:trPr>
          <w:trHeight w:val="300"/>
        </w:trPr>
        <w:tc>
          <w:tcPr>
            <w:tcW w:w="3167" w:type="dxa"/>
            <w:tcBorders>
              <w:top w:val="nil"/>
              <w:left w:val="nil"/>
              <w:bottom w:val="nil"/>
              <w:right w:val="nil"/>
            </w:tcBorders>
            <w:noWrap/>
            <w:vAlign w:val="bottom"/>
          </w:tcPr>
          <w:p w:rsidR="00234376" w:rsidRPr="00537C3C" w:rsidRDefault="00234376" w:rsidP="008E03A7">
            <w:pPr>
              <w:pStyle w:val="TableText0"/>
              <w:rPr>
                <w:rFonts w:ascii="Arial Narrow" w:hAnsi="Arial Narrow"/>
              </w:rPr>
            </w:pPr>
          </w:p>
        </w:tc>
        <w:tc>
          <w:tcPr>
            <w:tcW w:w="1676" w:type="dxa"/>
            <w:tcBorders>
              <w:top w:val="nil"/>
              <w:left w:val="nil"/>
              <w:bottom w:val="nil"/>
              <w:right w:val="nil"/>
            </w:tcBorders>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72824</w:t>
            </w:r>
          </w:p>
        </w:tc>
        <w:tc>
          <w:tcPr>
            <w:tcW w:w="1457" w:type="dxa"/>
            <w:tcBorders>
              <w:top w:val="nil"/>
              <w:left w:val="nil"/>
              <w:bottom w:val="nil"/>
              <w:right w:val="nil"/>
            </w:tcBorders>
            <w:noWrap/>
            <w:vAlign w:val="bottom"/>
          </w:tcPr>
          <w:p w:rsidR="00234376" w:rsidRPr="00537C3C" w:rsidRDefault="00234376" w:rsidP="008E03A7">
            <w:pPr>
              <w:pStyle w:val="TableText0"/>
              <w:tabs>
                <w:tab w:val="decimal" w:pos="708"/>
              </w:tabs>
              <w:rPr>
                <w:rFonts w:ascii="Arial Narrow" w:hAnsi="Arial Narrow"/>
              </w:rPr>
            </w:pPr>
            <w:r w:rsidRPr="00537C3C">
              <w:rPr>
                <w:rFonts w:ascii="Arial Narrow" w:hAnsi="Arial Narrow"/>
              </w:rPr>
              <w:t>$142.30</w:t>
            </w:r>
          </w:p>
        </w:tc>
        <w:tc>
          <w:tcPr>
            <w:tcW w:w="1495" w:type="dxa"/>
            <w:tcBorders>
              <w:top w:val="nil"/>
              <w:left w:val="nil"/>
              <w:bottom w:val="nil"/>
              <w:right w:val="nil"/>
            </w:tcBorders>
            <w:noWrap/>
            <w:vAlign w:val="bottom"/>
          </w:tcPr>
          <w:p w:rsidR="00234376" w:rsidRPr="00537C3C" w:rsidRDefault="00234376" w:rsidP="008E03A7">
            <w:pPr>
              <w:pStyle w:val="TableText0"/>
              <w:tabs>
                <w:tab w:val="decimal" w:pos="512"/>
              </w:tabs>
              <w:rPr>
                <w:rFonts w:ascii="Arial Narrow" w:hAnsi="Arial Narrow"/>
              </w:rPr>
            </w:pPr>
            <w:r w:rsidRPr="00537C3C">
              <w:rPr>
                <w:rFonts w:ascii="Arial Narrow" w:hAnsi="Arial Narrow"/>
              </w:rPr>
              <w:t>0.333</w:t>
            </w:r>
          </w:p>
        </w:tc>
        <w:tc>
          <w:tcPr>
            <w:tcW w:w="994" w:type="dxa"/>
            <w:tcBorders>
              <w:top w:val="nil"/>
              <w:left w:val="nil"/>
              <w:bottom w:val="nil"/>
              <w:right w:val="nil"/>
            </w:tcBorders>
            <w:noWrap/>
            <w:vAlign w:val="bottom"/>
          </w:tcPr>
          <w:p w:rsidR="00234376" w:rsidRPr="00537C3C" w:rsidRDefault="00234376" w:rsidP="008E03A7">
            <w:pPr>
              <w:pStyle w:val="TableText0"/>
              <w:tabs>
                <w:tab w:val="decimal" w:pos="448"/>
              </w:tabs>
              <w:rPr>
                <w:rFonts w:ascii="Arial Narrow" w:hAnsi="Arial Narrow"/>
              </w:rPr>
            </w:pPr>
            <w:r w:rsidRPr="00537C3C">
              <w:rPr>
                <w:rFonts w:ascii="Arial Narrow" w:hAnsi="Arial Narrow"/>
              </w:rPr>
              <w:t>$47.34</w:t>
            </w:r>
          </w:p>
        </w:tc>
      </w:tr>
      <w:tr w:rsidR="00234376" w:rsidRPr="00537C3C">
        <w:trPr>
          <w:trHeight w:val="300"/>
        </w:trPr>
        <w:tc>
          <w:tcPr>
            <w:tcW w:w="3167" w:type="dxa"/>
            <w:tcBorders>
              <w:top w:val="nil"/>
              <w:left w:val="nil"/>
              <w:right w:val="nil"/>
            </w:tcBorders>
            <w:noWrap/>
            <w:vAlign w:val="bottom"/>
          </w:tcPr>
          <w:p w:rsidR="00234376" w:rsidRPr="00537C3C" w:rsidRDefault="00234376" w:rsidP="008E03A7">
            <w:pPr>
              <w:pStyle w:val="TableText0"/>
              <w:rPr>
                <w:rFonts w:ascii="Arial Narrow" w:hAnsi="Arial Narrow"/>
              </w:rPr>
            </w:pPr>
            <w:r w:rsidRPr="00537C3C">
              <w:rPr>
                <w:rFonts w:ascii="Arial Narrow" w:hAnsi="Arial Narrow"/>
              </w:rPr>
              <w:t>Initiation of patient episode</w:t>
            </w:r>
          </w:p>
        </w:tc>
        <w:tc>
          <w:tcPr>
            <w:tcW w:w="1676" w:type="dxa"/>
            <w:tcBorders>
              <w:top w:val="nil"/>
              <w:left w:val="nil"/>
              <w:right w:val="nil"/>
            </w:tcBorders>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73926</w:t>
            </w:r>
          </w:p>
        </w:tc>
        <w:tc>
          <w:tcPr>
            <w:tcW w:w="1457" w:type="dxa"/>
            <w:tcBorders>
              <w:top w:val="nil"/>
              <w:left w:val="nil"/>
              <w:right w:val="nil"/>
            </w:tcBorders>
            <w:noWrap/>
            <w:vAlign w:val="bottom"/>
          </w:tcPr>
          <w:p w:rsidR="00234376" w:rsidRPr="00537C3C" w:rsidRDefault="00234376" w:rsidP="008E03A7">
            <w:pPr>
              <w:pStyle w:val="TableText0"/>
              <w:tabs>
                <w:tab w:val="decimal" w:pos="708"/>
              </w:tabs>
              <w:rPr>
                <w:rFonts w:ascii="Arial Narrow" w:hAnsi="Arial Narrow"/>
              </w:rPr>
            </w:pPr>
            <w:r w:rsidRPr="00537C3C">
              <w:rPr>
                <w:rFonts w:ascii="Arial Narrow" w:hAnsi="Arial Narrow"/>
              </w:rPr>
              <w:t>$8.25</w:t>
            </w:r>
          </w:p>
        </w:tc>
        <w:tc>
          <w:tcPr>
            <w:tcW w:w="1495" w:type="dxa"/>
            <w:tcBorders>
              <w:top w:val="nil"/>
              <w:left w:val="nil"/>
              <w:right w:val="nil"/>
            </w:tcBorders>
            <w:noWrap/>
            <w:vAlign w:val="bottom"/>
          </w:tcPr>
          <w:p w:rsidR="00234376" w:rsidRPr="00537C3C" w:rsidRDefault="00234376" w:rsidP="008E03A7">
            <w:pPr>
              <w:pStyle w:val="TableText0"/>
              <w:tabs>
                <w:tab w:val="decimal" w:pos="512"/>
              </w:tabs>
              <w:rPr>
                <w:rFonts w:ascii="Arial Narrow" w:hAnsi="Arial Narrow"/>
              </w:rPr>
            </w:pPr>
            <w:r w:rsidRPr="00537C3C">
              <w:rPr>
                <w:rFonts w:ascii="Arial Narrow" w:hAnsi="Arial Narrow"/>
              </w:rPr>
              <w:t>1.000</w:t>
            </w:r>
          </w:p>
        </w:tc>
        <w:tc>
          <w:tcPr>
            <w:tcW w:w="994" w:type="dxa"/>
            <w:tcBorders>
              <w:top w:val="nil"/>
              <w:left w:val="nil"/>
              <w:right w:val="nil"/>
            </w:tcBorders>
            <w:noWrap/>
            <w:vAlign w:val="bottom"/>
          </w:tcPr>
          <w:p w:rsidR="00234376" w:rsidRPr="00537C3C" w:rsidRDefault="00234376" w:rsidP="008E03A7">
            <w:pPr>
              <w:pStyle w:val="TableText0"/>
              <w:tabs>
                <w:tab w:val="decimal" w:pos="448"/>
              </w:tabs>
              <w:rPr>
                <w:rFonts w:ascii="Arial Narrow" w:hAnsi="Arial Narrow"/>
              </w:rPr>
            </w:pPr>
            <w:r w:rsidRPr="00537C3C">
              <w:rPr>
                <w:rFonts w:ascii="Arial Narrow" w:hAnsi="Arial Narrow"/>
              </w:rPr>
              <w:t>$8.25</w:t>
            </w:r>
          </w:p>
        </w:tc>
      </w:tr>
      <w:tr w:rsidR="00234376" w:rsidRPr="00537C3C">
        <w:trPr>
          <w:trHeight w:val="300"/>
        </w:trPr>
        <w:tc>
          <w:tcPr>
            <w:tcW w:w="3167" w:type="dxa"/>
            <w:tcBorders>
              <w:top w:val="nil"/>
              <w:left w:val="nil"/>
              <w:bottom w:val="single" w:sz="4" w:space="0" w:color="auto"/>
              <w:right w:val="nil"/>
            </w:tcBorders>
            <w:noWrap/>
            <w:vAlign w:val="bottom"/>
          </w:tcPr>
          <w:p w:rsidR="00234376" w:rsidRPr="00537C3C" w:rsidRDefault="00234376" w:rsidP="008E03A7">
            <w:pPr>
              <w:pStyle w:val="TableText0"/>
              <w:rPr>
                <w:rFonts w:ascii="Arial Narrow" w:hAnsi="Arial Narrow"/>
                <w:b/>
              </w:rPr>
            </w:pPr>
            <w:r w:rsidRPr="00537C3C">
              <w:rPr>
                <w:rFonts w:ascii="Arial Narrow" w:hAnsi="Arial Narrow"/>
                <w:b/>
              </w:rPr>
              <w:t xml:space="preserve">Total cost </w:t>
            </w:r>
          </w:p>
        </w:tc>
        <w:tc>
          <w:tcPr>
            <w:tcW w:w="1676" w:type="dxa"/>
            <w:tcBorders>
              <w:top w:val="nil"/>
              <w:left w:val="nil"/>
              <w:bottom w:val="single" w:sz="4" w:space="0" w:color="auto"/>
              <w:right w:val="nil"/>
            </w:tcBorders>
            <w:noWrap/>
            <w:vAlign w:val="bottom"/>
          </w:tcPr>
          <w:p w:rsidR="00234376" w:rsidRPr="00537C3C" w:rsidRDefault="00234376" w:rsidP="008E03A7">
            <w:pPr>
              <w:pStyle w:val="TableText0"/>
              <w:jc w:val="center"/>
              <w:rPr>
                <w:rFonts w:ascii="Arial Narrow" w:hAnsi="Arial Narrow"/>
                <w:b/>
              </w:rPr>
            </w:pPr>
          </w:p>
        </w:tc>
        <w:tc>
          <w:tcPr>
            <w:tcW w:w="1457" w:type="dxa"/>
            <w:tcBorders>
              <w:top w:val="nil"/>
              <w:left w:val="nil"/>
              <w:bottom w:val="single" w:sz="4" w:space="0" w:color="auto"/>
              <w:right w:val="nil"/>
            </w:tcBorders>
            <w:noWrap/>
            <w:vAlign w:val="bottom"/>
          </w:tcPr>
          <w:p w:rsidR="00234376" w:rsidRPr="00537C3C" w:rsidRDefault="00234376" w:rsidP="008E03A7">
            <w:pPr>
              <w:pStyle w:val="TableText0"/>
              <w:tabs>
                <w:tab w:val="decimal" w:pos="708"/>
              </w:tabs>
              <w:rPr>
                <w:rFonts w:ascii="Arial Narrow" w:hAnsi="Arial Narrow"/>
                <w:b/>
              </w:rPr>
            </w:pPr>
          </w:p>
        </w:tc>
        <w:tc>
          <w:tcPr>
            <w:tcW w:w="1495" w:type="dxa"/>
            <w:tcBorders>
              <w:top w:val="nil"/>
              <w:left w:val="nil"/>
              <w:bottom w:val="single" w:sz="4" w:space="0" w:color="auto"/>
              <w:right w:val="nil"/>
            </w:tcBorders>
            <w:noWrap/>
            <w:vAlign w:val="bottom"/>
          </w:tcPr>
          <w:p w:rsidR="00234376" w:rsidRPr="00537C3C" w:rsidRDefault="00234376" w:rsidP="008E03A7">
            <w:pPr>
              <w:pStyle w:val="TableText0"/>
              <w:tabs>
                <w:tab w:val="decimal" w:pos="512"/>
              </w:tabs>
              <w:rPr>
                <w:rFonts w:ascii="Arial Narrow" w:hAnsi="Arial Narrow"/>
                <w:b/>
              </w:rPr>
            </w:pPr>
          </w:p>
        </w:tc>
        <w:tc>
          <w:tcPr>
            <w:tcW w:w="994" w:type="dxa"/>
            <w:tcBorders>
              <w:top w:val="nil"/>
              <w:left w:val="nil"/>
              <w:bottom w:val="single" w:sz="4" w:space="0" w:color="auto"/>
              <w:right w:val="nil"/>
            </w:tcBorders>
            <w:noWrap/>
            <w:vAlign w:val="bottom"/>
          </w:tcPr>
          <w:p w:rsidR="00234376" w:rsidRPr="00537C3C" w:rsidRDefault="00234376" w:rsidP="008E03A7">
            <w:pPr>
              <w:pStyle w:val="TableText0"/>
              <w:tabs>
                <w:tab w:val="decimal" w:pos="448"/>
              </w:tabs>
              <w:rPr>
                <w:rFonts w:ascii="Arial Narrow" w:hAnsi="Arial Narrow"/>
                <w:b/>
              </w:rPr>
            </w:pPr>
            <w:r w:rsidRPr="00537C3C">
              <w:rPr>
                <w:rFonts w:ascii="Arial Narrow" w:hAnsi="Arial Narrow"/>
                <w:b/>
              </w:rPr>
              <w:t>$284.78</w:t>
            </w:r>
          </w:p>
        </w:tc>
      </w:tr>
    </w:tbl>
    <w:p w:rsidR="00234376" w:rsidRPr="00537C3C" w:rsidRDefault="00234376" w:rsidP="008E03A7">
      <w:pPr>
        <w:pStyle w:val="TableText0"/>
        <w:tabs>
          <w:tab w:val="left" w:pos="567"/>
          <w:tab w:val="left" w:pos="3864"/>
          <w:tab w:val="left" w:pos="5540"/>
          <w:tab w:val="left" w:pos="6997"/>
          <w:tab w:val="left" w:pos="8492"/>
        </w:tabs>
        <w:ind w:left="108"/>
        <w:rPr>
          <w:rFonts w:ascii="Arial Narrow" w:hAnsi="Arial Narrow"/>
        </w:rPr>
      </w:pPr>
      <w:r w:rsidRPr="00537C3C">
        <w:rPr>
          <w:rFonts w:ascii="Arial Narrow" w:hAnsi="Arial Narrow"/>
        </w:rPr>
        <w:tab/>
      </w:r>
      <w:r w:rsidRPr="00A316F5">
        <w:rPr>
          <w:rFonts w:ascii="Arial Narrow" w:hAnsi="Arial Narrow"/>
          <w:vertAlign w:val="superscript"/>
        </w:rPr>
        <w:t>a</w:t>
      </w:r>
      <w:r w:rsidRPr="00537C3C">
        <w:rPr>
          <w:rFonts w:ascii="Arial Narrow" w:hAnsi="Arial Narrow"/>
        </w:rPr>
        <w:t xml:space="preserve"> </w:t>
      </w:r>
      <w:r w:rsidRPr="00BB76D8">
        <w:rPr>
          <w:rFonts w:ascii="Arial Narrow" w:hAnsi="Arial Narrow"/>
        </w:rPr>
        <w:t>MBS</w:t>
      </w:r>
      <w:r w:rsidRPr="00537C3C">
        <w:rPr>
          <w:rFonts w:ascii="Arial Narrow" w:hAnsi="Arial Narrow"/>
        </w:rPr>
        <w:t xml:space="preserve"> Multiple Operation Rule, Note T8.2.</w:t>
      </w:r>
    </w:p>
    <w:p w:rsidR="00234376" w:rsidRPr="00537C3C" w:rsidRDefault="00234376" w:rsidP="008E03A7">
      <w:pPr>
        <w:pStyle w:val="TableText0"/>
        <w:tabs>
          <w:tab w:val="left" w:pos="567"/>
          <w:tab w:val="left" w:pos="3864"/>
          <w:tab w:val="left" w:pos="5540"/>
          <w:tab w:val="left" w:pos="6997"/>
          <w:tab w:val="left" w:pos="8492"/>
        </w:tabs>
        <w:ind w:left="108"/>
        <w:rPr>
          <w:rFonts w:ascii="Arial Narrow" w:hAnsi="Arial Narrow"/>
        </w:rPr>
      </w:pPr>
      <w:r w:rsidRPr="00537C3C">
        <w:rPr>
          <w:rFonts w:ascii="Arial Narrow" w:hAnsi="Arial Narrow"/>
        </w:rPr>
        <w:tab/>
      </w:r>
      <w:r w:rsidRPr="00A316F5">
        <w:rPr>
          <w:rFonts w:ascii="Arial Narrow" w:hAnsi="Arial Narrow"/>
          <w:vertAlign w:val="superscript"/>
        </w:rPr>
        <w:t>b</w:t>
      </w:r>
      <w:r w:rsidRPr="00537C3C">
        <w:rPr>
          <w:rFonts w:ascii="Arial Narrow" w:hAnsi="Arial Narrow"/>
        </w:rPr>
        <w:t xml:space="preserve"> 2007 </w:t>
      </w:r>
      <w:r w:rsidRPr="00BB76D8">
        <w:rPr>
          <w:rFonts w:ascii="Arial Narrow" w:hAnsi="Arial Narrow"/>
        </w:rPr>
        <w:t>MBS</w:t>
      </w:r>
      <w:r w:rsidRPr="00537C3C">
        <w:rPr>
          <w:rFonts w:ascii="Arial Narrow" w:hAnsi="Arial Narrow"/>
        </w:rPr>
        <w:t xml:space="preserve"> use data (470 818 services for 723823; 234681 services for 72824).</w:t>
      </w:r>
    </w:p>
    <w:p w:rsidR="00234376" w:rsidRPr="00537C3C" w:rsidRDefault="00234376" w:rsidP="008E03A7"/>
    <w:p w:rsidR="00234376" w:rsidRPr="00537C3C" w:rsidRDefault="00234376" w:rsidP="008E03A7">
      <w:pPr>
        <w:pStyle w:val="Heading6"/>
      </w:pPr>
      <w:r w:rsidRPr="00537C3C">
        <w:t>Cost of cytology performed at colposcopy</w:t>
      </w:r>
    </w:p>
    <w:p w:rsidR="00234376" w:rsidRDefault="00234376" w:rsidP="00234376">
      <w:pPr>
        <w:rPr>
          <w:rFonts w:cs="Arial"/>
        </w:rPr>
      </w:pPr>
      <w:r w:rsidRPr="00537C3C">
        <w:rPr>
          <w:rFonts w:cs="Arial"/>
        </w:rPr>
        <w:t xml:space="preserve">We assumed that </w:t>
      </w:r>
      <w:r w:rsidRPr="00CC3BE5">
        <w:rPr>
          <w:rFonts w:cs="Arial"/>
        </w:rPr>
        <w:t>at 8</w:t>
      </w:r>
      <w:r w:rsidR="00606FD6" w:rsidRPr="00CC3BE5">
        <w:rPr>
          <w:rFonts w:cs="Arial"/>
        </w:rPr>
        <w:t>4.75</w:t>
      </w:r>
      <w:r w:rsidRPr="00CC3BE5">
        <w:rPr>
          <w:rFonts w:cs="Arial"/>
        </w:rPr>
        <w:t xml:space="preserve"> per cent of colposcopies</w:t>
      </w:r>
      <w:r w:rsidRPr="00537C3C">
        <w:rPr>
          <w:rFonts w:cs="Arial"/>
        </w:rPr>
        <w:t>, a cytology sample will be taken (based on analysis of data provided by Dr Jeffrey Tan, Royal Women’s Hospital, Melbourne). Thus, each colposcopy will have a weighted cost for this associated cytology, the exact value of which depends on the type of cytology being assessed.</w:t>
      </w:r>
    </w:p>
    <w:p w:rsidR="00234376" w:rsidRPr="00537C3C" w:rsidRDefault="00234376" w:rsidP="008E03A7">
      <w:pPr>
        <w:pStyle w:val="TableNamea"/>
        <w:ind w:left="1644"/>
      </w:pPr>
      <w:bookmarkStart w:id="593" w:name="_Ref211661060"/>
      <w:bookmarkStart w:id="594" w:name="_Toc95971275"/>
      <w:bookmarkStart w:id="595" w:name="OLE_LINK26"/>
      <w:bookmarkStart w:id="596" w:name="OLE_LINK27"/>
      <w:r w:rsidRPr="00537C3C">
        <w:lastRenderedPageBreak/>
        <w:t xml:space="preserve">Table </w:t>
      </w:r>
      <w:fldSimple w:instr=" SEQ Table \* ARABIC ">
        <w:r w:rsidR="007D3DFF">
          <w:rPr>
            <w:noProof/>
          </w:rPr>
          <w:t>39</w:t>
        </w:r>
      </w:fldSimple>
      <w:bookmarkEnd w:id="593"/>
      <w:r w:rsidRPr="00537C3C">
        <w:tab/>
        <w:t>Cost of cytology done at colposcopy.</w:t>
      </w:r>
      <w:bookmarkEnd w:id="594"/>
    </w:p>
    <w:tbl>
      <w:tblPr>
        <w:tblW w:w="8527" w:type="dxa"/>
        <w:tblInd w:w="675" w:type="dxa"/>
        <w:tblBorders>
          <w:top w:val="single" w:sz="4" w:space="0" w:color="auto"/>
          <w:bottom w:val="single" w:sz="4" w:space="0" w:color="auto"/>
        </w:tblBorders>
        <w:tblLayout w:type="fixed"/>
        <w:tblLook w:val="0000" w:firstRow="0" w:lastRow="0" w:firstColumn="0" w:lastColumn="0" w:noHBand="0" w:noVBand="0"/>
      </w:tblPr>
      <w:tblGrid>
        <w:gridCol w:w="3119"/>
        <w:gridCol w:w="1167"/>
        <w:gridCol w:w="1690"/>
        <w:gridCol w:w="1134"/>
        <w:gridCol w:w="1417"/>
      </w:tblGrid>
      <w:tr w:rsidR="00234376" w:rsidRPr="00537C3C">
        <w:trPr>
          <w:trHeight w:val="227"/>
        </w:trPr>
        <w:tc>
          <w:tcPr>
            <w:tcW w:w="3119" w:type="dxa"/>
            <w:tcBorders>
              <w:top w:val="single" w:sz="4" w:space="0" w:color="auto"/>
              <w:bottom w:val="single" w:sz="4" w:space="0" w:color="auto"/>
            </w:tcBorders>
            <w:noWrap/>
            <w:vAlign w:val="bottom"/>
          </w:tcPr>
          <w:p w:rsidR="00234376" w:rsidRPr="00537C3C" w:rsidRDefault="00234376" w:rsidP="008E03A7">
            <w:pPr>
              <w:pStyle w:val="TableHeading10pt"/>
            </w:pPr>
            <w:r w:rsidRPr="00537C3C">
              <w:t>Components</w:t>
            </w:r>
          </w:p>
        </w:tc>
        <w:tc>
          <w:tcPr>
            <w:tcW w:w="1167" w:type="dxa"/>
            <w:tcBorders>
              <w:top w:val="single" w:sz="4" w:space="0" w:color="auto"/>
              <w:bottom w:val="single" w:sz="4" w:space="0" w:color="auto"/>
            </w:tcBorders>
            <w:noWrap/>
            <w:vAlign w:val="bottom"/>
          </w:tcPr>
          <w:p w:rsidR="00234376" w:rsidRPr="00537C3C" w:rsidRDefault="00234376" w:rsidP="008E03A7">
            <w:pPr>
              <w:pStyle w:val="TableHeading10pt"/>
              <w:jc w:val="center"/>
            </w:pPr>
            <w:r w:rsidRPr="00BB76D8">
              <w:t>MBS</w:t>
            </w:r>
            <w:r w:rsidRPr="00537C3C">
              <w:t xml:space="preserve"> item</w:t>
            </w:r>
          </w:p>
        </w:tc>
        <w:tc>
          <w:tcPr>
            <w:tcW w:w="1690" w:type="dxa"/>
            <w:tcBorders>
              <w:top w:val="single" w:sz="4" w:space="0" w:color="auto"/>
              <w:bottom w:val="single" w:sz="4" w:space="0" w:color="auto"/>
            </w:tcBorders>
            <w:vAlign w:val="bottom"/>
          </w:tcPr>
          <w:p w:rsidR="00234376" w:rsidRPr="00537C3C" w:rsidRDefault="00234376" w:rsidP="008E03A7">
            <w:pPr>
              <w:pStyle w:val="TableHeading10pt"/>
              <w:jc w:val="center"/>
            </w:pPr>
            <w:r w:rsidRPr="00537C3C">
              <w:t>Unit cost (100% schedule)</w:t>
            </w:r>
          </w:p>
        </w:tc>
        <w:tc>
          <w:tcPr>
            <w:tcW w:w="1134" w:type="dxa"/>
            <w:tcBorders>
              <w:top w:val="single" w:sz="4" w:space="0" w:color="auto"/>
              <w:bottom w:val="single" w:sz="4" w:space="0" w:color="auto"/>
            </w:tcBorders>
            <w:vAlign w:val="bottom"/>
          </w:tcPr>
          <w:p w:rsidR="00234376" w:rsidRPr="00537C3C" w:rsidRDefault="00234376" w:rsidP="008E03A7">
            <w:pPr>
              <w:pStyle w:val="TableHeading10pt"/>
              <w:jc w:val="center"/>
            </w:pPr>
            <w:r w:rsidRPr="00537C3C">
              <w:t>Proportion of patients</w:t>
            </w:r>
          </w:p>
        </w:tc>
        <w:tc>
          <w:tcPr>
            <w:tcW w:w="1417" w:type="dxa"/>
            <w:tcBorders>
              <w:top w:val="single" w:sz="4" w:space="0" w:color="auto"/>
              <w:bottom w:val="single" w:sz="4" w:space="0" w:color="auto"/>
            </w:tcBorders>
            <w:vAlign w:val="bottom"/>
          </w:tcPr>
          <w:p w:rsidR="00234376" w:rsidRPr="00537C3C" w:rsidRDefault="00234376" w:rsidP="008E03A7">
            <w:pPr>
              <w:pStyle w:val="TableHeading10pt"/>
              <w:jc w:val="center"/>
            </w:pPr>
            <w:r w:rsidRPr="00537C3C">
              <w:t>Cost</w:t>
            </w:r>
          </w:p>
        </w:tc>
      </w:tr>
      <w:tr w:rsidR="00234376" w:rsidRPr="00537C3C">
        <w:trPr>
          <w:trHeight w:val="227"/>
        </w:trPr>
        <w:tc>
          <w:tcPr>
            <w:tcW w:w="3119" w:type="dxa"/>
            <w:tcBorders>
              <w:top w:val="single" w:sz="4" w:space="0" w:color="auto"/>
            </w:tcBorders>
            <w:noWrap/>
            <w:vAlign w:val="bottom"/>
          </w:tcPr>
          <w:p w:rsidR="00234376" w:rsidRPr="00537C3C" w:rsidRDefault="00234376" w:rsidP="008E03A7">
            <w:pPr>
              <w:pStyle w:val="TableText0"/>
              <w:rPr>
                <w:rFonts w:ascii="Arial Narrow" w:hAnsi="Arial Narrow"/>
                <w:b/>
              </w:rPr>
            </w:pPr>
            <w:r w:rsidRPr="00537C3C">
              <w:rPr>
                <w:rFonts w:ascii="Arial Narrow" w:hAnsi="Arial Narrow"/>
                <w:b/>
              </w:rPr>
              <w:t>Cost of conventional Pap test</w:t>
            </w:r>
          </w:p>
        </w:tc>
        <w:tc>
          <w:tcPr>
            <w:tcW w:w="1167" w:type="dxa"/>
            <w:tcBorders>
              <w:top w:val="single" w:sz="4" w:space="0" w:color="auto"/>
            </w:tcBorders>
            <w:vAlign w:val="bottom"/>
          </w:tcPr>
          <w:p w:rsidR="00234376" w:rsidRPr="00537C3C" w:rsidRDefault="00234376" w:rsidP="008E03A7">
            <w:pPr>
              <w:pStyle w:val="TableText0"/>
              <w:rPr>
                <w:rFonts w:ascii="Arial Narrow" w:hAnsi="Arial Narrow"/>
                <w:b/>
              </w:rPr>
            </w:pPr>
          </w:p>
        </w:tc>
        <w:tc>
          <w:tcPr>
            <w:tcW w:w="1690" w:type="dxa"/>
            <w:tcBorders>
              <w:top w:val="single" w:sz="4" w:space="0" w:color="auto"/>
            </w:tcBorders>
            <w:noWrap/>
            <w:vAlign w:val="bottom"/>
          </w:tcPr>
          <w:p w:rsidR="00234376" w:rsidRPr="00537C3C" w:rsidRDefault="00234376" w:rsidP="008E03A7">
            <w:pPr>
              <w:pStyle w:val="TableText0"/>
              <w:rPr>
                <w:rFonts w:ascii="Arial Narrow" w:hAnsi="Arial Narrow"/>
                <w:b/>
              </w:rPr>
            </w:pPr>
          </w:p>
        </w:tc>
        <w:tc>
          <w:tcPr>
            <w:tcW w:w="1134" w:type="dxa"/>
            <w:tcBorders>
              <w:top w:val="single" w:sz="4" w:space="0" w:color="auto"/>
            </w:tcBorders>
            <w:noWrap/>
            <w:vAlign w:val="bottom"/>
          </w:tcPr>
          <w:p w:rsidR="00234376" w:rsidRPr="00537C3C" w:rsidRDefault="00234376" w:rsidP="008E03A7">
            <w:pPr>
              <w:pStyle w:val="TableText0"/>
              <w:jc w:val="center"/>
              <w:rPr>
                <w:rFonts w:ascii="Arial Narrow" w:hAnsi="Arial Narrow"/>
                <w:b/>
              </w:rPr>
            </w:pPr>
          </w:p>
        </w:tc>
        <w:tc>
          <w:tcPr>
            <w:tcW w:w="1417" w:type="dxa"/>
            <w:tcBorders>
              <w:top w:val="single" w:sz="4" w:space="0" w:color="auto"/>
            </w:tcBorders>
            <w:vAlign w:val="bottom"/>
          </w:tcPr>
          <w:p w:rsidR="00234376" w:rsidRPr="00537C3C" w:rsidRDefault="00234376" w:rsidP="008E03A7">
            <w:pPr>
              <w:pStyle w:val="TableText0"/>
              <w:tabs>
                <w:tab w:val="decimal" w:pos="593"/>
              </w:tabs>
              <w:rPr>
                <w:rFonts w:ascii="Arial Narrow" w:hAnsi="Arial Narrow"/>
                <w:b/>
              </w:rPr>
            </w:pP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Pap test</w:t>
            </w:r>
          </w:p>
        </w:tc>
        <w:tc>
          <w:tcPr>
            <w:tcW w:w="1167"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73053, 73055, 73057</w:t>
            </w:r>
          </w:p>
        </w:tc>
        <w:tc>
          <w:tcPr>
            <w:tcW w:w="1690" w:type="dxa"/>
            <w:noWrap/>
            <w:vAlign w:val="bottom"/>
          </w:tcPr>
          <w:p w:rsidR="00234376" w:rsidRPr="00537C3C" w:rsidRDefault="00234376" w:rsidP="008E03A7">
            <w:pPr>
              <w:pStyle w:val="TableText0"/>
              <w:tabs>
                <w:tab w:val="decimal" w:pos="719"/>
              </w:tabs>
              <w:rPr>
                <w:rFonts w:ascii="Arial Narrow" w:hAnsi="Arial Narrow"/>
              </w:rPr>
            </w:pPr>
            <w:r w:rsidRPr="00537C3C">
              <w:rPr>
                <w:rFonts w:ascii="Arial Narrow" w:hAnsi="Arial Narrow"/>
              </w:rPr>
              <w:t>$19.60</w:t>
            </w:r>
          </w:p>
        </w:tc>
        <w:tc>
          <w:tcPr>
            <w:tcW w:w="1134"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0.8475</w:t>
            </w:r>
          </w:p>
        </w:tc>
        <w:tc>
          <w:tcPr>
            <w:tcW w:w="1417" w:type="dxa"/>
            <w:vAlign w:val="bottom"/>
          </w:tcPr>
          <w:p w:rsidR="00234376" w:rsidRPr="00537C3C" w:rsidRDefault="00234376" w:rsidP="008E03A7">
            <w:pPr>
              <w:pStyle w:val="TableText0"/>
              <w:tabs>
                <w:tab w:val="decimal" w:pos="593"/>
              </w:tabs>
              <w:rPr>
                <w:rFonts w:ascii="Arial Narrow" w:hAnsi="Arial Narrow"/>
              </w:rPr>
            </w:pPr>
            <w:r w:rsidRPr="00537C3C">
              <w:rPr>
                <w:rFonts w:ascii="Arial Narrow" w:hAnsi="Arial Narrow"/>
              </w:rPr>
              <w:t>$$16.61</w:t>
            </w: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Initiation of patient episode</w:t>
            </w:r>
          </w:p>
        </w:tc>
        <w:tc>
          <w:tcPr>
            <w:tcW w:w="1167"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73922</w:t>
            </w:r>
          </w:p>
        </w:tc>
        <w:tc>
          <w:tcPr>
            <w:tcW w:w="1690" w:type="dxa"/>
            <w:noWrap/>
            <w:vAlign w:val="bottom"/>
          </w:tcPr>
          <w:p w:rsidR="00234376" w:rsidRPr="00537C3C" w:rsidRDefault="00234376" w:rsidP="008E03A7">
            <w:pPr>
              <w:pStyle w:val="TableText0"/>
              <w:tabs>
                <w:tab w:val="decimal" w:pos="719"/>
              </w:tabs>
              <w:rPr>
                <w:rFonts w:ascii="Arial Narrow" w:hAnsi="Arial Narrow"/>
              </w:rPr>
            </w:pPr>
            <w:r w:rsidRPr="00537C3C">
              <w:rPr>
                <w:rFonts w:ascii="Arial Narrow" w:hAnsi="Arial Narrow"/>
              </w:rPr>
              <w:t>$8.25</w:t>
            </w:r>
          </w:p>
        </w:tc>
        <w:tc>
          <w:tcPr>
            <w:tcW w:w="1134"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0.8475</w:t>
            </w:r>
          </w:p>
        </w:tc>
        <w:tc>
          <w:tcPr>
            <w:tcW w:w="1417" w:type="dxa"/>
            <w:vAlign w:val="bottom"/>
          </w:tcPr>
          <w:p w:rsidR="00234376" w:rsidRPr="00537C3C" w:rsidRDefault="00234376" w:rsidP="008E03A7">
            <w:pPr>
              <w:pStyle w:val="TableText0"/>
              <w:tabs>
                <w:tab w:val="decimal" w:pos="593"/>
              </w:tabs>
              <w:rPr>
                <w:rFonts w:ascii="Arial Narrow" w:hAnsi="Arial Narrow"/>
              </w:rPr>
            </w:pPr>
            <w:bookmarkStart w:id="597" w:name="OLE_LINK24"/>
            <w:bookmarkStart w:id="598" w:name="OLE_LINK25"/>
            <w:r w:rsidRPr="00537C3C">
              <w:rPr>
                <w:rFonts w:ascii="Arial Narrow" w:hAnsi="Arial Narrow"/>
              </w:rPr>
              <w:t>$6.99</w:t>
            </w:r>
            <w:bookmarkEnd w:id="597"/>
            <w:bookmarkEnd w:id="598"/>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b/>
              </w:rPr>
            </w:pPr>
            <w:r w:rsidRPr="00537C3C">
              <w:rPr>
                <w:rFonts w:ascii="Arial Narrow" w:hAnsi="Arial Narrow"/>
                <w:b/>
              </w:rPr>
              <w:t xml:space="preserve">Total cost </w:t>
            </w:r>
          </w:p>
        </w:tc>
        <w:tc>
          <w:tcPr>
            <w:tcW w:w="1167" w:type="dxa"/>
            <w:noWrap/>
            <w:vAlign w:val="bottom"/>
          </w:tcPr>
          <w:p w:rsidR="00234376" w:rsidRPr="00537C3C" w:rsidRDefault="00234376" w:rsidP="008E03A7">
            <w:pPr>
              <w:pStyle w:val="TableText0"/>
              <w:rPr>
                <w:rFonts w:ascii="Arial Narrow" w:hAnsi="Arial Narrow"/>
                <w:b/>
              </w:rPr>
            </w:pPr>
          </w:p>
        </w:tc>
        <w:tc>
          <w:tcPr>
            <w:tcW w:w="1690" w:type="dxa"/>
            <w:noWrap/>
            <w:vAlign w:val="bottom"/>
          </w:tcPr>
          <w:p w:rsidR="00234376" w:rsidRPr="00537C3C" w:rsidRDefault="00234376" w:rsidP="008E03A7">
            <w:pPr>
              <w:pStyle w:val="TableText0"/>
              <w:tabs>
                <w:tab w:val="decimal" w:pos="719"/>
              </w:tabs>
              <w:rPr>
                <w:rFonts w:ascii="Arial Narrow" w:hAnsi="Arial Narrow"/>
                <w:b/>
              </w:rPr>
            </w:pPr>
          </w:p>
        </w:tc>
        <w:tc>
          <w:tcPr>
            <w:tcW w:w="1134" w:type="dxa"/>
            <w:noWrap/>
            <w:vAlign w:val="bottom"/>
          </w:tcPr>
          <w:p w:rsidR="00234376" w:rsidRPr="00537C3C" w:rsidRDefault="00234376" w:rsidP="008E03A7">
            <w:pPr>
              <w:pStyle w:val="TableText0"/>
              <w:jc w:val="center"/>
              <w:rPr>
                <w:rFonts w:ascii="Arial Narrow" w:hAnsi="Arial Narrow"/>
                <w:b/>
              </w:rPr>
            </w:pPr>
          </w:p>
        </w:tc>
        <w:tc>
          <w:tcPr>
            <w:tcW w:w="1417" w:type="dxa"/>
            <w:vAlign w:val="bottom"/>
          </w:tcPr>
          <w:p w:rsidR="00234376" w:rsidRPr="00537C3C" w:rsidRDefault="00234376" w:rsidP="008E03A7">
            <w:pPr>
              <w:pStyle w:val="TableText0"/>
              <w:tabs>
                <w:tab w:val="decimal" w:pos="593"/>
              </w:tabs>
              <w:rPr>
                <w:rFonts w:ascii="Arial Narrow" w:hAnsi="Arial Narrow"/>
                <w:b/>
              </w:rPr>
            </w:pPr>
            <w:r w:rsidRPr="00537C3C">
              <w:rPr>
                <w:rFonts w:ascii="Arial Narrow" w:hAnsi="Arial Narrow"/>
                <w:b/>
              </w:rPr>
              <w:t>$23.60</w:t>
            </w: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rPr>
            </w:pPr>
          </w:p>
        </w:tc>
        <w:tc>
          <w:tcPr>
            <w:tcW w:w="1167" w:type="dxa"/>
            <w:noWrap/>
            <w:vAlign w:val="bottom"/>
          </w:tcPr>
          <w:p w:rsidR="00234376" w:rsidRPr="00537C3C" w:rsidRDefault="00234376" w:rsidP="008E03A7">
            <w:pPr>
              <w:pStyle w:val="TableText0"/>
              <w:rPr>
                <w:rFonts w:ascii="Arial Narrow" w:hAnsi="Arial Narrow"/>
              </w:rPr>
            </w:pPr>
          </w:p>
        </w:tc>
        <w:tc>
          <w:tcPr>
            <w:tcW w:w="1690" w:type="dxa"/>
            <w:noWrap/>
            <w:vAlign w:val="bottom"/>
          </w:tcPr>
          <w:p w:rsidR="00234376" w:rsidRPr="00537C3C" w:rsidRDefault="00234376" w:rsidP="008E03A7">
            <w:pPr>
              <w:pStyle w:val="TableText0"/>
              <w:tabs>
                <w:tab w:val="decimal" w:pos="719"/>
              </w:tabs>
              <w:rPr>
                <w:rFonts w:ascii="Arial Narrow" w:hAnsi="Arial Narrow"/>
              </w:rPr>
            </w:pPr>
          </w:p>
        </w:tc>
        <w:tc>
          <w:tcPr>
            <w:tcW w:w="1134" w:type="dxa"/>
            <w:noWrap/>
            <w:vAlign w:val="bottom"/>
          </w:tcPr>
          <w:p w:rsidR="00234376" w:rsidRPr="00537C3C" w:rsidRDefault="00234376" w:rsidP="008E03A7">
            <w:pPr>
              <w:pStyle w:val="TableText0"/>
              <w:jc w:val="center"/>
              <w:rPr>
                <w:rFonts w:ascii="Arial Narrow" w:hAnsi="Arial Narrow"/>
              </w:rPr>
            </w:pPr>
          </w:p>
        </w:tc>
        <w:tc>
          <w:tcPr>
            <w:tcW w:w="1417" w:type="dxa"/>
            <w:vAlign w:val="bottom"/>
          </w:tcPr>
          <w:p w:rsidR="00234376" w:rsidRPr="00537C3C" w:rsidRDefault="00234376" w:rsidP="008E03A7">
            <w:pPr>
              <w:pStyle w:val="TableText0"/>
              <w:tabs>
                <w:tab w:val="decimal" w:pos="593"/>
              </w:tabs>
              <w:rPr>
                <w:rFonts w:ascii="Arial Narrow" w:hAnsi="Arial Narrow"/>
              </w:rPr>
            </w:pPr>
          </w:p>
        </w:tc>
      </w:tr>
      <w:tr w:rsidR="00234376" w:rsidRPr="00537C3C">
        <w:trPr>
          <w:trHeight w:val="227"/>
        </w:trPr>
        <w:tc>
          <w:tcPr>
            <w:tcW w:w="5976" w:type="dxa"/>
            <w:gridSpan w:val="3"/>
            <w:noWrap/>
            <w:vAlign w:val="bottom"/>
          </w:tcPr>
          <w:p w:rsidR="00234376" w:rsidRPr="00537C3C" w:rsidRDefault="00234376" w:rsidP="008E03A7">
            <w:pPr>
              <w:pStyle w:val="TableText0"/>
              <w:rPr>
                <w:rFonts w:ascii="Arial Narrow" w:hAnsi="Arial Narrow"/>
                <w:b/>
              </w:rPr>
            </w:pPr>
            <w:r w:rsidRPr="00537C3C">
              <w:rPr>
                <w:rFonts w:ascii="Arial Narrow" w:hAnsi="Arial Narrow"/>
                <w:b/>
              </w:rPr>
              <w:t xml:space="preserve">Cost of </w:t>
            </w:r>
            <w:r w:rsidRPr="00BB76D8">
              <w:rPr>
                <w:rFonts w:ascii="Arial Narrow" w:hAnsi="Arial Narrow"/>
                <w:b/>
              </w:rPr>
              <w:t>LBC</w:t>
            </w:r>
            <w:r w:rsidRPr="00537C3C">
              <w:rPr>
                <w:rFonts w:ascii="Arial Narrow" w:hAnsi="Arial Narrow"/>
                <w:b/>
              </w:rPr>
              <w:t xml:space="preserve"> (manual reading—higher incremental cost)</w:t>
            </w:r>
          </w:p>
        </w:tc>
        <w:tc>
          <w:tcPr>
            <w:tcW w:w="1134" w:type="dxa"/>
            <w:noWrap/>
            <w:vAlign w:val="bottom"/>
          </w:tcPr>
          <w:p w:rsidR="00234376" w:rsidRPr="00537C3C" w:rsidRDefault="00234376" w:rsidP="008E03A7">
            <w:pPr>
              <w:pStyle w:val="TableText0"/>
              <w:jc w:val="center"/>
              <w:rPr>
                <w:rFonts w:ascii="Arial Narrow" w:hAnsi="Arial Narrow"/>
                <w:b/>
              </w:rPr>
            </w:pPr>
          </w:p>
        </w:tc>
        <w:tc>
          <w:tcPr>
            <w:tcW w:w="1417" w:type="dxa"/>
            <w:vAlign w:val="bottom"/>
          </w:tcPr>
          <w:p w:rsidR="00234376" w:rsidRPr="00537C3C" w:rsidRDefault="00234376" w:rsidP="008E03A7">
            <w:pPr>
              <w:pStyle w:val="TableText0"/>
              <w:tabs>
                <w:tab w:val="decimal" w:pos="593"/>
              </w:tabs>
              <w:rPr>
                <w:rFonts w:ascii="Arial Narrow" w:hAnsi="Arial Narrow"/>
                <w:b/>
              </w:rPr>
            </w:pP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rPr>
            </w:pPr>
            <w:r w:rsidRPr="00BB76D8">
              <w:rPr>
                <w:rFonts w:ascii="Arial Narrow" w:hAnsi="Arial Narrow"/>
              </w:rPr>
              <w:t>LBC</w:t>
            </w:r>
            <w:r w:rsidRPr="00537C3C">
              <w:rPr>
                <w:rFonts w:ascii="Arial Narrow" w:hAnsi="Arial Narrow"/>
              </w:rPr>
              <w:t xml:space="preserve"> (Manual) </w:t>
            </w:r>
          </w:p>
        </w:tc>
        <w:tc>
          <w:tcPr>
            <w:tcW w:w="1167" w:type="dxa"/>
            <w:noWrap/>
            <w:vAlign w:val="bottom"/>
          </w:tcPr>
          <w:p w:rsidR="00234376" w:rsidRPr="00537C3C" w:rsidRDefault="00234376" w:rsidP="008E03A7">
            <w:pPr>
              <w:pStyle w:val="TableText0"/>
              <w:jc w:val="center"/>
              <w:rPr>
                <w:rFonts w:ascii="Arial Narrow" w:hAnsi="Arial Narrow"/>
              </w:rPr>
            </w:pPr>
            <w:r w:rsidRPr="00A316F5">
              <w:rPr>
                <w:rFonts w:ascii="Arial Narrow" w:hAnsi="Arial Narrow"/>
              </w:rPr>
              <w:t>n/</w:t>
            </w:r>
            <w:r w:rsidRPr="00537C3C">
              <w:rPr>
                <w:rFonts w:ascii="Arial Narrow" w:hAnsi="Arial Narrow"/>
              </w:rPr>
              <w:t>a</w:t>
            </w:r>
          </w:p>
        </w:tc>
        <w:tc>
          <w:tcPr>
            <w:tcW w:w="1690" w:type="dxa"/>
            <w:noWrap/>
            <w:vAlign w:val="bottom"/>
          </w:tcPr>
          <w:p w:rsidR="00234376" w:rsidRPr="00537C3C" w:rsidRDefault="00234376" w:rsidP="008E03A7">
            <w:pPr>
              <w:pStyle w:val="TableText0"/>
              <w:tabs>
                <w:tab w:val="decimal" w:pos="719"/>
              </w:tabs>
              <w:rPr>
                <w:rFonts w:ascii="Arial Narrow" w:hAnsi="Arial Narrow"/>
              </w:rPr>
            </w:pPr>
            <w:r w:rsidRPr="00537C3C">
              <w:rPr>
                <w:rFonts w:ascii="Arial Narrow" w:hAnsi="Arial Narrow"/>
              </w:rPr>
              <w:t>$30.50</w:t>
            </w:r>
          </w:p>
        </w:tc>
        <w:tc>
          <w:tcPr>
            <w:tcW w:w="1134"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0.8475</w:t>
            </w:r>
          </w:p>
        </w:tc>
        <w:tc>
          <w:tcPr>
            <w:tcW w:w="1417" w:type="dxa"/>
            <w:vAlign w:val="bottom"/>
          </w:tcPr>
          <w:p w:rsidR="00234376" w:rsidRPr="00537C3C" w:rsidRDefault="00234376" w:rsidP="008E03A7">
            <w:pPr>
              <w:pStyle w:val="TableText0"/>
              <w:tabs>
                <w:tab w:val="decimal" w:pos="593"/>
              </w:tabs>
              <w:rPr>
                <w:rFonts w:ascii="Arial Narrow" w:hAnsi="Arial Narrow"/>
              </w:rPr>
            </w:pPr>
            <w:r w:rsidRPr="00537C3C">
              <w:rPr>
                <w:rFonts w:ascii="Arial Narrow" w:hAnsi="Arial Narrow"/>
              </w:rPr>
              <w:t>$25.85</w:t>
            </w: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Initiation of patient episode</w:t>
            </w:r>
          </w:p>
        </w:tc>
        <w:tc>
          <w:tcPr>
            <w:tcW w:w="1167"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73922</w:t>
            </w:r>
          </w:p>
        </w:tc>
        <w:tc>
          <w:tcPr>
            <w:tcW w:w="1690" w:type="dxa"/>
            <w:noWrap/>
            <w:vAlign w:val="bottom"/>
          </w:tcPr>
          <w:p w:rsidR="00234376" w:rsidRPr="00537C3C" w:rsidRDefault="00234376" w:rsidP="008E03A7">
            <w:pPr>
              <w:pStyle w:val="TableText0"/>
              <w:tabs>
                <w:tab w:val="decimal" w:pos="719"/>
              </w:tabs>
              <w:rPr>
                <w:rFonts w:ascii="Arial Narrow" w:hAnsi="Arial Narrow"/>
              </w:rPr>
            </w:pPr>
            <w:r w:rsidRPr="00537C3C">
              <w:rPr>
                <w:rFonts w:ascii="Arial Narrow" w:hAnsi="Arial Narrow"/>
              </w:rPr>
              <w:t>$8.25</w:t>
            </w:r>
          </w:p>
        </w:tc>
        <w:tc>
          <w:tcPr>
            <w:tcW w:w="1134"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0.8475</w:t>
            </w:r>
          </w:p>
        </w:tc>
        <w:tc>
          <w:tcPr>
            <w:tcW w:w="1417" w:type="dxa"/>
            <w:vAlign w:val="bottom"/>
          </w:tcPr>
          <w:p w:rsidR="00234376" w:rsidRPr="00537C3C" w:rsidRDefault="00234376" w:rsidP="008E03A7">
            <w:pPr>
              <w:pStyle w:val="TableText0"/>
              <w:tabs>
                <w:tab w:val="decimal" w:pos="593"/>
              </w:tabs>
              <w:rPr>
                <w:rFonts w:ascii="Arial Narrow" w:hAnsi="Arial Narrow"/>
              </w:rPr>
            </w:pPr>
            <w:r w:rsidRPr="00537C3C">
              <w:rPr>
                <w:rFonts w:ascii="Arial Narrow" w:hAnsi="Arial Narrow"/>
              </w:rPr>
              <w:t>$6.99</w:t>
            </w: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b/>
              </w:rPr>
            </w:pPr>
            <w:r w:rsidRPr="00537C3C">
              <w:rPr>
                <w:rFonts w:ascii="Arial Narrow" w:hAnsi="Arial Narrow"/>
                <w:b/>
              </w:rPr>
              <w:t xml:space="preserve">Total cost </w:t>
            </w:r>
          </w:p>
        </w:tc>
        <w:tc>
          <w:tcPr>
            <w:tcW w:w="1167" w:type="dxa"/>
            <w:noWrap/>
            <w:vAlign w:val="bottom"/>
          </w:tcPr>
          <w:p w:rsidR="00234376" w:rsidRPr="00537C3C" w:rsidRDefault="00234376" w:rsidP="008E03A7">
            <w:pPr>
              <w:pStyle w:val="TableText0"/>
              <w:jc w:val="center"/>
              <w:rPr>
                <w:rFonts w:ascii="Arial Narrow" w:hAnsi="Arial Narrow"/>
                <w:b/>
              </w:rPr>
            </w:pPr>
          </w:p>
        </w:tc>
        <w:tc>
          <w:tcPr>
            <w:tcW w:w="1690" w:type="dxa"/>
            <w:noWrap/>
            <w:vAlign w:val="bottom"/>
          </w:tcPr>
          <w:p w:rsidR="00234376" w:rsidRPr="00537C3C" w:rsidRDefault="00234376" w:rsidP="008E03A7">
            <w:pPr>
              <w:pStyle w:val="TableText0"/>
              <w:tabs>
                <w:tab w:val="decimal" w:pos="719"/>
              </w:tabs>
              <w:rPr>
                <w:rFonts w:ascii="Arial Narrow" w:hAnsi="Arial Narrow"/>
                <w:b/>
              </w:rPr>
            </w:pPr>
          </w:p>
        </w:tc>
        <w:tc>
          <w:tcPr>
            <w:tcW w:w="1134" w:type="dxa"/>
            <w:noWrap/>
            <w:vAlign w:val="bottom"/>
          </w:tcPr>
          <w:p w:rsidR="00234376" w:rsidRPr="00537C3C" w:rsidRDefault="00234376" w:rsidP="008E03A7">
            <w:pPr>
              <w:pStyle w:val="TableText0"/>
              <w:jc w:val="center"/>
              <w:rPr>
                <w:rFonts w:ascii="Arial Narrow" w:hAnsi="Arial Narrow"/>
                <w:b/>
              </w:rPr>
            </w:pPr>
          </w:p>
        </w:tc>
        <w:tc>
          <w:tcPr>
            <w:tcW w:w="1417" w:type="dxa"/>
            <w:vAlign w:val="bottom"/>
          </w:tcPr>
          <w:p w:rsidR="00234376" w:rsidRPr="00537C3C" w:rsidRDefault="00234376" w:rsidP="008E03A7">
            <w:pPr>
              <w:pStyle w:val="TableText0"/>
              <w:tabs>
                <w:tab w:val="decimal" w:pos="593"/>
              </w:tabs>
              <w:rPr>
                <w:rFonts w:ascii="Arial Narrow" w:hAnsi="Arial Narrow"/>
                <w:b/>
              </w:rPr>
            </w:pPr>
            <w:r w:rsidRPr="00537C3C">
              <w:rPr>
                <w:rFonts w:ascii="Arial Narrow" w:hAnsi="Arial Narrow"/>
                <w:b/>
              </w:rPr>
              <w:t>$32.84</w:t>
            </w: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rPr>
            </w:pPr>
          </w:p>
        </w:tc>
        <w:tc>
          <w:tcPr>
            <w:tcW w:w="1167" w:type="dxa"/>
            <w:noWrap/>
            <w:vAlign w:val="bottom"/>
          </w:tcPr>
          <w:p w:rsidR="00234376" w:rsidRPr="00537C3C" w:rsidRDefault="00234376" w:rsidP="008E03A7">
            <w:pPr>
              <w:pStyle w:val="TableText0"/>
              <w:rPr>
                <w:rFonts w:ascii="Arial Narrow" w:hAnsi="Arial Narrow"/>
              </w:rPr>
            </w:pPr>
          </w:p>
        </w:tc>
        <w:tc>
          <w:tcPr>
            <w:tcW w:w="1690" w:type="dxa"/>
            <w:noWrap/>
            <w:vAlign w:val="bottom"/>
          </w:tcPr>
          <w:p w:rsidR="00234376" w:rsidRPr="00537C3C" w:rsidRDefault="00234376" w:rsidP="008E03A7">
            <w:pPr>
              <w:pStyle w:val="TableText0"/>
              <w:tabs>
                <w:tab w:val="decimal" w:pos="719"/>
              </w:tabs>
              <w:rPr>
                <w:rFonts w:ascii="Arial Narrow" w:hAnsi="Arial Narrow"/>
              </w:rPr>
            </w:pPr>
          </w:p>
        </w:tc>
        <w:tc>
          <w:tcPr>
            <w:tcW w:w="1134" w:type="dxa"/>
            <w:noWrap/>
            <w:vAlign w:val="bottom"/>
          </w:tcPr>
          <w:p w:rsidR="00234376" w:rsidRPr="00537C3C" w:rsidRDefault="00234376" w:rsidP="008E03A7">
            <w:pPr>
              <w:pStyle w:val="TableText0"/>
              <w:jc w:val="center"/>
              <w:rPr>
                <w:rFonts w:ascii="Arial Narrow" w:hAnsi="Arial Narrow"/>
              </w:rPr>
            </w:pPr>
          </w:p>
        </w:tc>
        <w:tc>
          <w:tcPr>
            <w:tcW w:w="1417" w:type="dxa"/>
            <w:vAlign w:val="bottom"/>
          </w:tcPr>
          <w:p w:rsidR="00234376" w:rsidRPr="00537C3C" w:rsidRDefault="00234376" w:rsidP="008E03A7">
            <w:pPr>
              <w:pStyle w:val="TableText0"/>
              <w:tabs>
                <w:tab w:val="decimal" w:pos="593"/>
              </w:tabs>
              <w:rPr>
                <w:rFonts w:ascii="Arial Narrow" w:hAnsi="Arial Narrow"/>
              </w:rPr>
            </w:pPr>
          </w:p>
        </w:tc>
      </w:tr>
      <w:tr w:rsidR="00234376" w:rsidRPr="00537C3C">
        <w:trPr>
          <w:trHeight w:val="227"/>
        </w:trPr>
        <w:tc>
          <w:tcPr>
            <w:tcW w:w="5976" w:type="dxa"/>
            <w:gridSpan w:val="3"/>
            <w:noWrap/>
            <w:vAlign w:val="bottom"/>
          </w:tcPr>
          <w:p w:rsidR="00234376" w:rsidRPr="00537C3C" w:rsidRDefault="00234376" w:rsidP="008E03A7">
            <w:pPr>
              <w:pStyle w:val="TableText0"/>
              <w:rPr>
                <w:rFonts w:ascii="Arial Narrow" w:hAnsi="Arial Narrow"/>
                <w:b/>
              </w:rPr>
            </w:pPr>
            <w:r w:rsidRPr="00537C3C">
              <w:rPr>
                <w:rFonts w:ascii="Arial Narrow" w:hAnsi="Arial Narrow"/>
                <w:b/>
              </w:rPr>
              <w:t xml:space="preserve">Cost of </w:t>
            </w:r>
            <w:r w:rsidRPr="00BB76D8">
              <w:rPr>
                <w:rFonts w:ascii="Arial Narrow" w:hAnsi="Arial Narrow"/>
                <w:b/>
              </w:rPr>
              <w:t>LBC</w:t>
            </w:r>
            <w:r w:rsidRPr="00537C3C">
              <w:rPr>
                <w:rFonts w:ascii="Arial Narrow" w:hAnsi="Arial Narrow"/>
                <w:b/>
              </w:rPr>
              <w:t xml:space="preserve"> (manual reading—lower incremental cost)</w:t>
            </w:r>
          </w:p>
        </w:tc>
        <w:tc>
          <w:tcPr>
            <w:tcW w:w="1134" w:type="dxa"/>
            <w:noWrap/>
            <w:vAlign w:val="bottom"/>
          </w:tcPr>
          <w:p w:rsidR="00234376" w:rsidRPr="00537C3C" w:rsidRDefault="00234376" w:rsidP="008E03A7">
            <w:pPr>
              <w:pStyle w:val="TableText0"/>
              <w:jc w:val="center"/>
              <w:rPr>
                <w:rFonts w:ascii="Arial Narrow" w:hAnsi="Arial Narrow"/>
                <w:b/>
              </w:rPr>
            </w:pPr>
          </w:p>
        </w:tc>
        <w:tc>
          <w:tcPr>
            <w:tcW w:w="1417" w:type="dxa"/>
            <w:vAlign w:val="bottom"/>
          </w:tcPr>
          <w:p w:rsidR="00234376" w:rsidRPr="00537C3C" w:rsidRDefault="00234376" w:rsidP="008E03A7">
            <w:pPr>
              <w:pStyle w:val="TableText0"/>
              <w:tabs>
                <w:tab w:val="decimal" w:pos="593"/>
              </w:tabs>
              <w:rPr>
                <w:rFonts w:ascii="Arial Narrow" w:hAnsi="Arial Narrow"/>
                <w:b/>
              </w:rPr>
            </w:pP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rPr>
            </w:pPr>
            <w:r w:rsidRPr="00BB76D8">
              <w:rPr>
                <w:rFonts w:ascii="Arial Narrow" w:hAnsi="Arial Narrow"/>
              </w:rPr>
              <w:t>LBC</w:t>
            </w:r>
            <w:r w:rsidRPr="00537C3C">
              <w:rPr>
                <w:rFonts w:ascii="Arial Narrow" w:hAnsi="Arial Narrow"/>
              </w:rPr>
              <w:t xml:space="preserve"> (manual) </w:t>
            </w:r>
          </w:p>
        </w:tc>
        <w:tc>
          <w:tcPr>
            <w:tcW w:w="1167" w:type="dxa"/>
            <w:noWrap/>
            <w:vAlign w:val="bottom"/>
          </w:tcPr>
          <w:p w:rsidR="00234376" w:rsidRPr="00537C3C" w:rsidRDefault="00234376" w:rsidP="008E03A7">
            <w:pPr>
              <w:pStyle w:val="TableText0"/>
              <w:jc w:val="center"/>
              <w:rPr>
                <w:rFonts w:ascii="Arial Narrow" w:hAnsi="Arial Narrow"/>
              </w:rPr>
            </w:pPr>
            <w:r w:rsidRPr="00A316F5">
              <w:rPr>
                <w:rFonts w:ascii="Arial Narrow" w:hAnsi="Arial Narrow"/>
              </w:rPr>
              <w:t>n/</w:t>
            </w:r>
            <w:r w:rsidRPr="00537C3C">
              <w:rPr>
                <w:rFonts w:ascii="Arial Narrow" w:hAnsi="Arial Narrow"/>
              </w:rPr>
              <w:t>a</w:t>
            </w:r>
          </w:p>
        </w:tc>
        <w:tc>
          <w:tcPr>
            <w:tcW w:w="1690" w:type="dxa"/>
            <w:noWrap/>
            <w:vAlign w:val="bottom"/>
          </w:tcPr>
          <w:p w:rsidR="00234376" w:rsidRPr="00537C3C" w:rsidRDefault="00234376" w:rsidP="008E03A7">
            <w:pPr>
              <w:pStyle w:val="TableText0"/>
              <w:tabs>
                <w:tab w:val="decimal" w:pos="719"/>
              </w:tabs>
              <w:rPr>
                <w:rFonts w:ascii="Arial Narrow" w:hAnsi="Arial Narrow"/>
              </w:rPr>
            </w:pPr>
            <w:r w:rsidRPr="00537C3C">
              <w:rPr>
                <w:rFonts w:ascii="Arial Narrow" w:hAnsi="Arial Narrow"/>
              </w:rPr>
              <w:t>$22.00</w:t>
            </w:r>
          </w:p>
        </w:tc>
        <w:tc>
          <w:tcPr>
            <w:tcW w:w="1134"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0.8475</w:t>
            </w:r>
          </w:p>
        </w:tc>
        <w:tc>
          <w:tcPr>
            <w:tcW w:w="1417" w:type="dxa"/>
            <w:vAlign w:val="bottom"/>
          </w:tcPr>
          <w:p w:rsidR="00234376" w:rsidRPr="00537C3C" w:rsidRDefault="00234376" w:rsidP="008E03A7">
            <w:pPr>
              <w:pStyle w:val="TableText0"/>
              <w:tabs>
                <w:tab w:val="decimal" w:pos="593"/>
              </w:tabs>
              <w:rPr>
                <w:rFonts w:ascii="Arial Narrow" w:hAnsi="Arial Narrow"/>
              </w:rPr>
            </w:pPr>
            <w:r w:rsidRPr="00537C3C">
              <w:rPr>
                <w:rFonts w:ascii="Arial Narrow" w:hAnsi="Arial Narrow"/>
              </w:rPr>
              <w:t>$18.65</w:t>
            </w: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Initiation of patient episode</w:t>
            </w:r>
          </w:p>
        </w:tc>
        <w:tc>
          <w:tcPr>
            <w:tcW w:w="1167"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73922</w:t>
            </w:r>
          </w:p>
        </w:tc>
        <w:tc>
          <w:tcPr>
            <w:tcW w:w="1690" w:type="dxa"/>
            <w:noWrap/>
            <w:vAlign w:val="bottom"/>
          </w:tcPr>
          <w:p w:rsidR="00234376" w:rsidRPr="00537C3C" w:rsidRDefault="00234376" w:rsidP="008E03A7">
            <w:pPr>
              <w:pStyle w:val="TableText0"/>
              <w:tabs>
                <w:tab w:val="decimal" w:pos="719"/>
              </w:tabs>
              <w:rPr>
                <w:rFonts w:ascii="Arial Narrow" w:hAnsi="Arial Narrow"/>
              </w:rPr>
            </w:pPr>
            <w:r w:rsidRPr="00537C3C">
              <w:rPr>
                <w:rFonts w:ascii="Arial Narrow" w:hAnsi="Arial Narrow"/>
              </w:rPr>
              <w:t>$8.25</w:t>
            </w:r>
          </w:p>
        </w:tc>
        <w:tc>
          <w:tcPr>
            <w:tcW w:w="1134"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0.8475</w:t>
            </w:r>
          </w:p>
        </w:tc>
        <w:tc>
          <w:tcPr>
            <w:tcW w:w="1417" w:type="dxa"/>
            <w:vAlign w:val="bottom"/>
          </w:tcPr>
          <w:p w:rsidR="00234376" w:rsidRPr="00537C3C" w:rsidRDefault="00234376" w:rsidP="008E03A7">
            <w:pPr>
              <w:pStyle w:val="TableText0"/>
              <w:tabs>
                <w:tab w:val="decimal" w:pos="593"/>
              </w:tabs>
              <w:rPr>
                <w:rFonts w:ascii="Arial Narrow" w:hAnsi="Arial Narrow"/>
              </w:rPr>
            </w:pPr>
            <w:r w:rsidRPr="00537C3C">
              <w:rPr>
                <w:rFonts w:ascii="Arial Narrow" w:hAnsi="Arial Narrow"/>
              </w:rPr>
              <w:t>$6.99</w:t>
            </w: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b/>
              </w:rPr>
            </w:pPr>
            <w:r w:rsidRPr="00537C3C">
              <w:rPr>
                <w:rFonts w:ascii="Arial Narrow" w:hAnsi="Arial Narrow"/>
                <w:b/>
              </w:rPr>
              <w:t xml:space="preserve">Total cost </w:t>
            </w:r>
          </w:p>
        </w:tc>
        <w:tc>
          <w:tcPr>
            <w:tcW w:w="1167" w:type="dxa"/>
            <w:noWrap/>
            <w:vAlign w:val="bottom"/>
          </w:tcPr>
          <w:p w:rsidR="00234376" w:rsidRPr="00537C3C" w:rsidRDefault="00234376" w:rsidP="008E03A7">
            <w:pPr>
              <w:pStyle w:val="TableText0"/>
              <w:jc w:val="center"/>
              <w:rPr>
                <w:rFonts w:ascii="Arial Narrow" w:hAnsi="Arial Narrow"/>
                <w:b/>
              </w:rPr>
            </w:pPr>
          </w:p>
        </w:tc>
        <w:tc>
          <w:tcPr>
            <w:tcW w:w="1690" w:type="dxa"/>
            <w:noWrap/>
            <w:vAlign w:val="bottom"/>
          </w:tcPr>
          <w:p w:rsidR="00234376" w:rsidRPr="00537C3C" w:rsidRDefault="00234376" w:rsidP="008E03A7">
            <w:pPr>
              <w:pStyle w:val="TableText0"/>
              <w:tabs>
                <w:tab w:val="decimal" w:pos="719"/>
              </w:tabs>
              <w:rPr>
                <w:rFonts w:ascii="Arial Narrow" w:hAnsi="Arial Narrow"/>
                <w:b/>
              </w:rPr>
            </w:pPr>
          </w:p>
        </w:tc>
        <w:tc>
          <w:tcPr>
            <w:tcW w:w="1134" w:type="dxa"/>
            <w:noWrap/>
            <w:vAlign w:val="bottom"/>
          </w:tcPr>
          <w:p w:rsidR="00234376" w:rsidRPr="00537C3C" w:rsidRDefault="00234376" w:rsidP="008E03A7">
            <w:pPr>
              <w:pStyle w:val="TableText0"/>
              <w:jc w:val="center"/>
              <w:rPr>
                <w:rFonts w:ascii="Arial Narrow" w:hAnsi="Arial Narrow"/>
                <w:b/>
              </w:rPr>
            </w:pPr>
          </w:p>
        </w:tc>
        <w:tc>
          <w:tcPr>
            <w:tcW w:w="1417" w:type="dxa"/>
            <w:vAlign w:val="bottom"/>
          </w:tcPr>
          <w:p w:rsidR="00234376" w:rsidRPr="00537C3C" w:rsidRDefault="00234376" w:rsidP="008E03A7">
            <w:pPr>
              <w:pStyle w:val="TableText0"/>
              <w:tabs>
                <w:tab w:val="decimal" w:pos="593"/>
              </w:tabs>
              <w:rPr>
                <w:rFonts w:ascii="Arial Narrow" w:hAnsi="Arial Narrow"/>
                <w:b/>
              </w:rPr>
            </w:pPr>
            <w:r w:rsidRPr="00537C3C">
              <w:rPr>
                <w:rFonts w:ascii="Arial Narrow" w:hAnsi="Arial Narrow"/>
                <w:b/>
              </w:rPr>
              <w:t>$25.64</w:t>
            </w: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rPr>
            </w:pPr>
          </w:p>
        </w:tc>
        <w:tc>
          <w:tcPr>
            <w:tcW w:w="1167" w:type="dxa"/>
            <w:noWrap/>
            <w:vAlign w:val="bottom"/>
          </w:tcPr>
          <w:p w:rsidR="00234376" w:rsidRPr="00537C3C" w:rsidRDefault="00234376" w:rsidP="008E03A7">
            <w:pPr>
              <w:pStyle w:val="TableText0"/>
              <w:jc w:val="center"/>
              <w:rPr>
                <w:rFonts w:ascii="Arial Narrow" w:hAnsi="Arial Narrow"/>
              </w:rPr>
            </w:pPr>
          </w:p>
        </w:tc>
        <w:tc>
          <w:tcPr>
            <w:tcW w:w="1690" w:type="dxa"/>
            <w:noWrap/>
            <w:vAlign w:val="bottom"/>
          </w:tcPr>
          <w:p w:rsidR="00234376" w:rsidRPr="00537C3C" w:rsidRDefault="00234376" w:rsidP="008E03A7">
            <w:pPr>
              <w:pStyle w:val="TableText0"/>
              <w:tabs>
                <w:tab w:val="decimal" w:pos="719"/>
              </w:tabs>
              <w:rPr>
                <w:rFonts w:ascii="Arial Narrow" w:hAnsi="Arial Narrow"/>
              </w:rPr>
            </w:pPr>
          </w:p>
        </w:tc>
        <w:tc>
          <w:tcPr>
            <w:tcW w:w="1134" w:type="dxa"/>
            <w:noWrap/>
            <w:vAlign w:val="bottom"/>
          </w:tcPr>
          <w:p w:rsidR="00234376" w:rsidRPr="00537C3C" w:rsidRDefault="00234376" w:rsidP="008E03A7">
            <w:pPr>
              <w:pStyle w:val="TableText0"/>
              <w:jc w:val="center"/>
              <w:rPr>
                <w:rFonts w:ascii="Arial Narrow" w:hAnsi="Arial Narrow"/>
              </w:rPr>
            </w:pPr>
          </w:p>
        </w:tc>
        <w:tc>
          <w:tcPr>
            <w:tcW w:w="1417" w:type="dxa"/>
            <w:vAlign w:val="bottom"/>
          </w:tcPr>
          <w:p w:rsidR="00234376" w:rsidRPr="00537C3C" w:rsidRDefault="00234376" w:rsidP="008E03A7">
            <w:pPr>
              <w:pStyle w:val="TableText0"/>
              <w:tabs>
                <w:tab w:val="decimal" w:pos="593"/>
              </w:tabs>
              <w:rPr>
                <w:rFonts w:ascii="Arial Narrow" w:hAnsi="Arial Narrow"/>
              </w:rPr>
            </w:pP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b/>
              </w:rPr>
            </w:pPr>
            <w:r w:rsidRPr="00537C3C">
              <w:rPr>
                <w:rFonts w:ascii="Arial Narrow" w:hAnsi="Arial Narrow"/>
                <w:b/>
              </w:rPr>
              <w:t xml:space="preserve">Cost of </w:t>
            </w:r>
            <w:r w:rsidRPr="00BB76D8">
              <w:rPr>
                <w:rFonts w:ascii="Arial Narrow" w:hAnsi="Arial Narrow"/>
                <w:b/>
              </w:rPr>
              <w:t>LBC</w:t>
            </w:r>
            <w:r w:rsidRPr="00537C3C">
              <w:rPr>
                <w:rFonts w:ascii="Arial Narrow" w:hAnsi="Arial Narrow"/>
                <w:b/>
              </w:rPr>
              <w:t xml:space="preserve"> (automated reading)</w:t>
            </w:r>
          </w:p>
        </w:tc>
        <w:tc>
          <w:tcPr>
            <w:tcW w:w="1167" w:type="dxa"/>
            <w:noWrap/>
            <w:vAlign w:val="bottom"/>
          </w:tcPr>
          <w:p w:rsidR="00234376" w:rsidRPr="00537C3C" w:rsidRDefault="00234376" w:rsidP="008E03A7">
            <w:pPr>
              <w:pStyle w:val="TableText0"/>
              <w:jc w:val="center"/>
              <w:rPr>
                <w:rFonts w:ascii="Arial Narrow" w:hAnsi="Arial Narrow"/>
                <w:b/>
              </w:rPr>
            </w:pPr>
          </w:p>
        </w:tc>
        <w:tc>
          <w:tcPr>
            <w:tcW w:w="1690" w:type="dxa"/>
            <w:noWrap/>
            <w:vAlign w:val="bottom"/>
          </w:tcPr>
          <w:p w:rsidR="00234376" w:rsidRPr="00537C3C" w:rsidRDefault="00234376" w:rsidP="008E03A7">
            <w:pPr>
              <w:pStyle w:val="TableText0"/>
              <w:tabs>
                <w:tab w:val="decimal" w:pos="719"/>
              </w:tabs>
              <w:rPr>
                <w:rFonts w:ascii="Arial Narrow" w:hAnsi="Arial Narrow"/>
                <w:b/>
              </w:rPr>
            </w:pPr>
          </w:p>
        </w:tc>
        <w:tc>
          <w:tcPr>
            <w:tcW w:w="1134" w:type="dxa"/>
            <w:noWrap/>
            <w:vAlign w:val="bottom"/>
          </w:tcPr>
          <w:p w:rsidR="00234376" w:rsidRPr="00537C3C" w:rsidRDefault="00234376" w:rsidP="008E03A7">
            <w:pPr>
              <w:pStyle w:val="TableText0"/>
              <w:jc w:val="center"/>
              <w:rPr>
                <w:rFonts w:ascii="Arial Narrow" w:hAnsi="Arial Narrow"/>
                <w:b/>
              </w:rPr>
            </w:pPr>
          </w:p>
        </w:tc>
        <w:tc>
          <w:tcPr>
            <w:tcW w:w="1417" w:type="dxa"/>
            <w:vAlign w:val="bottom"/>
          </w:tcPr>
          <w:p w:rsidR="00234376" w:rsidRPr="00537C3C" w:rsidRDefault="00234376" w:rsidP="008E03A7">
            <w:pPr>
              <w:pStyle w:val="TableText0"/>
              <w:tabs>
                <w:tab w:val="decimal" w:pos="593"/>
              </w:tabs>
              <w:rPr>
                <w:rFonts w:ascii="Arial Narrow" w:hAnsi="Arial Narrow"/>
                <w:b/>
              </w:rPr>
            </w:pP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rPr>
            </w:pPr>
            <w:r w:rsidRPr="00BB76D8">
              <w:rPr>
                <w:rFonts w:ascii="Arial Narrow" w:hAnsi="Arial Narrow"/>
              </w:rPr>
              <w:t>LBC</w:t>
            </w:r>
            <w:r w:rsidRPr="00537C3C">
              <w:rPr>
                <w:rFonts w:ascii="Arial Narrow" w:hAnsi="Arial Narrow"/>
              </w:rPr>
              <w:t xml:space="preserve"> automated </w:t>
            </w:r>
          </w:p>
        </w:tc>
        <w:tc>
          <w:tcPr>
            <w:tcW w:w="1167" w:type="dxa"/>
            <w:noWrap/>
            <w:vAlign w:val="bottom"/>
          </w:tcPr>
          <w:p w:rsidR="00234376" w:rsidRPr="00537C3C" w:rsidRDefault="00234376" w:rsidP="008E03A7">
            <w:pPr>
              <w:pStyle w:val="TableText0"/>
              <w:jc w:val="center"/>
              <w:rPr>
                <w:rFonts w:ascii="Arial Narrow" w:hAnsi="Arial Narrow"/>
              </w:rPr>
            </w:pPr>
            <w:r w:rsidRPr="00A316F5">
              <w:rPr>
                <w:rFonts w:ascii="Arial Narrow" w:hAnsi="Arial Narrow"/>
              </w:rPr>
              <w:t>n/</w:t>
            </w:r>
            <w:r w:rsidRPr="00537C3C">
              <w:rPr>
                <w:rFonts w:ascii="Arial Narrow" w:hAnsi="Arial Narrow"/>
              </w:rPr>
              <w:t>a</w:t>
            </w:r>
          </w:p>
        </w:tc>
        <w:tc>
          <w:tcPr>
            <w:tcW w:w="1690" w:type="dxa"/>
            <w:noWrap/>
            <w:vAlign w:val="bottom"/>
          </w:tcPr>
          <w:p w:rsidR="00234376" w:rsidRPr="00537C3C" w:rsidRDefault="00234376" w:rsidP="008E03A7">
            <w:pPr>
              <w:pStyle w:val="TableText0"/>
              <w:tabs>
                <w:tab w:val="decimal" w:pos="719"/>
              </w:tabs>
              <w:rPr>
                <w:rFonts w:ascii="Arial Narrow" w:hAnsi="Arial Narrow"/>
              </w:rPr>
            </w:pPr>
            <w:r w:rsidRPr="00537C3C">
              <w:rPr>
                <w:rFonts w:ascii="Arial Narrow" w:hAnsi="Arial Narrow"/>
              </w:rPr>
              <w:t>$36.00</w:t>
            </w:r>
          </w:p>
        </w:tc>
        <w:tc>
          <w:tcPr>
            <w:tcW w:w="1134"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0.8475</w:t>
            </w:r>
          </w:p>
        </w:tc>
        <w:tc>
          <w:tcPr>
            <w:tcW w:w="1417" w:type="dxa"/>
            <w:vAlign w:val="bottom"/>
          </w:tcPr>
          <w:p w:rsidR="00234376" w:rsidRPr="00537C3C" w:rsidRDefault="00234376" w:rsidP="008E03A7">
            <w:pPr>
              <w:pStyle w:val="TableText0"/>
              <w:tabs>
                <w:tab w:val="decimal" w:pos="593"/>
              </w:tabs>
              <w:rPr>
                <w:rFonts w:ascii="Arial Narrow" w:hAnsi="Arial Narrow"/>
              </w:rPr>
            </w:pPr>
            <w:r w:rsidRPr="00537C3C">
              <w:rPr>
                <w:rFonts w:ascii="Arial Narrow" w:hAnsi="Arial Narrow"/>
              </w:rPr>
              <w:t>$30.51</w:t>
            </w:r>
          </w:p>
        </w:tc>
      </w:tr>
      <w:tr w:rsidR="00234376" w:rsidRPr="00537C3C">
        <w:trPr>
          <w:trHeight w:val="227"/>
        </w:trPr>
        <w:tc>
          <w:tcPr>
            <w:tcW w:w="3119" w:type="dxa"/>
            <w:noWrap/>
            <w:vAlign w:val="bottom"/>
          </w:tcPr>
          <w:p w:rsidR="00234376" w:rsidRPr="00537C3C" w:rsidRDefault="00234376" w:rsidP="008E03A7">
            <w:pPr>
              <w:pStyle w:val="TableText0"/>
              <w:rPr>
                <w:rFonts w:ascii="Arial Narrow" w:hAnsi="Arial Narrow"/>
              </w:rPr>
            </w:pPr>
            <w:r w:rsidRPr="00537C3C">
              <w:rPr>
                <w:rFonts w:ascii="Arial Narrow" w:hAnsi="Arial Narrow"/>
              </w:rPr>
              <w:t>Initiation of patient episode</w:t>
            </w:r>
          </w:p>
        </w:tc>
        <w:tc>
          <w:tcPr>
            <w:tcW w:w="1167"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73922</w:t>
            </w:r>
          </w:p>
        </w:tc>
        <w:tc>
          <w:tcPr>
            <w:tcW w:w="1690" w:type="dxa"/>
            <w:noWrap/>
            <w:vAlign w:val="bottom"/>
          </w:tcPr>
          <w:p w:rsidR="00234376" w:rsidRPr="00537C3C" w:rsidRDefault="00234376" w:rsidP="008E03A7">
            <w:pPr>
              <w:pStyle w:val="TableText0"/>
              <w:tabs>
                <w:tab w:val="decimal" w:pos="719"/>
              </w:tabs>
              <w:rPr>
                <w:rFonts w:ascii="Arial Narrow" w:hAnsi="Arial Narrow"/>
              </w:rPr>
            </w:pPr>
            <w:r w:rsidRPr="00537C3C">
              <w:rPr>
                <w:rFonts w:ascii="Arial Narrow" w:hAnsi="Arial Narrow"/>
              </w:rPr>
              <w:t>$8.25</w:t>
            </w:r>
          </w:p>
        </w:tc>
        <w:tc>
          <w:tcPr>
            <w:tcW w:w="1134" w:type="dxa"/>
            <w:noWrap/>
            <w:vAlign w:val="bottom"/>
          </w:tcPr>
          <w:p w:rsidR="00234376" w:rsidRPr="00537C3C" w:rsidRDefault="00234376" w:rsidP="008E03A7">
            <w:pPr>
              <w:pStyle w:val="TableText0"/>
              <w:jc w:val="center"/>
              <w:rPr>
                <w:rFonts w:ascii="Arial Narrow" w:hAnsi="Arial Narrow"/>
              </w:rPr>
            </w:pPr>
            <w:r w:rsidRPr="00537C3C">
              <w:rPr>
                <w:rFonts w:ascii="Arial Narrow" w:hAnsi="Arial Narrow"/>
              </w:rPr>
              <w:t>0.8475</w:t>
            </w:r>
          </w:p>
        </w:tc>
        <w:tc>
          <w:tcPr>
            <w:tcW w:w="1417" w:type="dxa"/>
            <w:vAlign w:val="bottom"/>
          </w:tcPr>
          <w:p w:rsidR="00234376" w:rsidRPr="00537C3C" w:rsidRDefault="00234376" w:rsidP="008E03A7">
            <w:pPr>
              <w:pStyle w:val="TableText0"/>
              <w:tabs>
                <w:tab w:val="decimal" w:pos="593"/>
              </w:tabs>
              <w:rPr>
                <w:rFonts w:ascii="Arial Narrow" w:hAnsi="Arial Narrow"/>
              </w:rPr>
            </w:pPr>
            <w:r w:rsidRPr="00537C3C">
              <w:rPr>
                <w:rFonts w:ascii="Arial Narrow" w:hAnsi="Arial Narrow"/>
              </w:rPr>
              <w:t>$6.99</w:t>
            </w:r>
          </w:p>
        </w:tc>
      </w:tr>
      <w:tr w:rsidR="00234376" w:rsidRPr="00537C3C">
        <w:trPr>
          <w:trHeight w:val="227"/>
        </w:trPr>
        <w:tc>
          <w:tcPr>
            <w:tcW w:w="3119" w:type="dxa"/>
            <w:tcBorders>
              <w:bottom w:val="single" w:sz="4" w:space="0" w:color="auto"/>
            </w:tcBorders>
            <w:noWrap/>
            <w:vAlign w:val="bottom"/>
          </w:tcPr>
          <w:p w:rsidR="00234376" w:rsidRPr="00537C3C" w:rsidRDefault="00234376" w:rsidP="008E03A7">
            <w:pPr>
              <w:pStyle w:val="TableText0"/>
              <w:rPr>
                <w:rFonts w:ascii="Arial Narrow" w:hAnsi="Arial Narrow"/>
                <w:b/>
              </w:rPr>
            </w:pPr>
            <w:r w:rsidRPr="00537C3C">
              <w:rPr>
                <w:rFonts w:ascii="Arial Narrow" w:hAnsi="Arial Narrow"/>
                <w:b/>
              </w:rPr>
              <w:t xml:space="preserve">Total cost </w:t>
            </w:r>
          </w:p>
        </w:tc>
        <w:tc>
          <w:tcPr>
            <w:tcW w:w="1167" w:type="dxa"/>
            <w:tcBorders>
              <w:bottom w:val="single" w:sz="4" w:space="0" w:color="auto"/>
            </w:tcBorders>
            <w:noWrap/>
            <w:vAlign w:val="bottom"/>
          </w:tcPr>
          <w:p w:rsidR="00234376" w:rsidRPr="00537C3C" w:rsidRDefault="00234376" w:rsidP="008E03A7">
            <w:pPr>
              <w:pStyle w:val="TableText0"/>
              <w:rPr>
                <w:rFonts w:ascii="Arial Narrow" w:hAnsi="Arial Narrow"/>
                <w:b/>
              </w:rPr>
            </w:pPr>
          </w:p>
        </w:tc>
        <w:tc>
          <w:tcPr>
            <w:tcW w:w="1690" w:type="dxa"/>
            <w:tcBorders>
              <w:bottom w:val="single" w:sz="4" w:space="0" w:color="auto"/>
            </w:tcBorders>
            <w:noWrap/>
            <w:vAlign w:val="bottom"/>
          </w:tcPr>
          <w:p w:rsidR="00234376" w:rsidRPr="00537C3C" w:rsidRDefault="00234376" w:rsidP="008E03A7">
            <w:pPr>
              <w:pStyle w:val="TableText0"/>
              <w:rPr>
                <w:rFonts w:ascii="Arial Narrow" w:hAnsi="Arial Narrow"/>
                <w:b/>
              </w:rPr>
            </w:pPr>
          </w:p>
        </w:tc>
        <w:tc>
          <w:tcPr>
            <w:tcW w:w="1134" w:type="dxa"/>
            <w:tcBorders>
              <w:bottom w:val="single" w:sz="4" w:space="0" w:color="auto"/>
            </w:tcBorders>
            <w:noWrap/>
            <w:vAlign w:val="bottom"/>
          </w:tcPr>
          <w:p w:rsidR="00234376" w:rsidRPr="00537C3C" w:rsidRDefault="00234376" w:rsidP="008E03A7">
            <w:pPr>
              <w:pStyle w:val="TableText0"/>
              <w:jc w:val="center"/>
              <w:rPr>
                <w:rFonts w:ascii="Arial Narrow" w:hAnsi="Arial Narrow"/>
                <w:b/>
              </w:rPr>
            </w:pPr>
          </w:p>
        </w:tc>
        <w:tc>
          <w:tcPr>
            <w:tcW w:w="1417" w:type="dxa"/>
            <w:tcBorders>
              <w:bottom w:val="single" w:sz="4" w:space="0" w:color="auto"/>
            </w:tcBorders>
            <w:vAlign w:val="bottom"/>
          </w:tcPr>
          <w:p w:rsidR="00234376" w:rsidRPr="00537C3C" w:rsidRDefault="00234376" w:rsidP="008E03A7">
            <w:pPr>
              <w:pStyle w:val="TableText0"/>
              <w:tabs>
                <w:tab w:val="decimal" w:pos="593"/>
              </w:tabs>
              <w:rPr>
                <w:rFonts w:ascii="Arial Narrow" w:hAnsi="Arial Narrow"/>
                <w:b/>
              </w:rPr>
            </w:pPr>
            <w:r w:rsidRPr="00537C3C">
              <w:rPr>
                <w:rFonts w:ascii="Arial Narrow" w:hAnsi="Arial Narrow"/>
                <w:b/>
              </w:rPr>
              <w:t>$37.50</w:t>
            </w:r>
          </w:p>
        </w:tc>
      </w:tr>
      <w:bookmarkEnd w:id="595"/>
      <w:bookmarkEnd w:id="596"/>
    </w:tbl>
    <w:p w:rsidR="00234376" w:rsidRPr="00537C3C" w:rsidRDefault="00234376" w:rsidP="008E03A7">
      <w:pPr>
        <w:spacing w:after="120"/>
        <w:jc w:val="both"/>
        <w:rPr>
          <w:rFonts w:cs="Arial"/>
        </w:rPr>
      </w:pPr>
    </w:p>
    <w:p w:rsidR="00234376" w:rsidRPr="00CC3BE5" w:rsidRDefault="00234376" w:rsidP="008E03A7">
      <w:pPr>
        <w:pStyle w:val="Heading6"/>
      </w:pPr>
      <w:r w:rsidRPr="00CC3BE5">
        <w:t>Cost of treating CIN 2/3</w:t>
      </w:r>
    </w:p>
    <w:p w:rsidR="00234376" w:rsidRPr="00CC3BE5" w:rsidRDefault="00234376" w:rsidP="00234376">
      <w:pPr>
        <w:rPr>
          <w:rFonts w:cs="Arial"/>
        </w:rPr>
      </w:pPr>
      <w:r w:rsidRPr="00CC3BE5">
        <w:rPr>
          <w:rFonts w:cs="Arial"/>
        </w:rPr>
        <w:t xml:space="preserve">The cost of treating CIN 2/3 is composed of the cost of ablation treatments (including laser therapy [no hospitalisation] and diathermy [hospitalisation]) and excision treatments (loop excision [no hospitalisation] and cone biopsy [hospitalisation]) weighted by the estimated proportion of patients receiving these services. We further assumed that 5 per cent of patients with CIN 2/3 will be treated with hysterectomy </w:t>
      </w:r>
      <w:bookmarkStart w:id="599" w:name="OLE_LINK22"/>
      <w:bookmarkStart w:id="600" w:name="OLE_LINK23"/>
      <w:r w:rsidRPr="00CC3BE5">
        <w:rPr>
          <w:rFonts w:cs="Arial"/>
        </w:rPr>
        <w:t>(based on analysis of data provided by Dr Jeffrey Tan, Royal Women’s Hospital, Melbourne)</w:t>
      </w:r>
      <w:bookmarkEnd w:id="599"/>
      <w:bookmarkEnd w:id="600"/>
      <w:r w:rsidRPr="00CC3BE5">
        <w:rPr>
          <w:rFonts w:cs="Arial"/>
        </w:rPr>
        <w:t>.</w:t>
      </w:r>
    </w:p>
    <w:p w:rsidR="00234376" w:rsidRPr="00CC3BE5" w:rsidRDefault="00234376" w:rsidP="008E03A7">
      <w:pPr>
        <w:pStyle w:val="TableNamea"/>
        <w:keepLines/>
        <w:ind w:left="1644"/>
      </w:pPr>
      <w:bookmarkStart w:id="601" w:name="_Ref209517102"/>
      <w:bookmarkStart w:id="602" w:name="_Toc95971276"/>
      <w:r w:rsidRPr="00CC3BE5">
        <w:t xml:space="preserve">Table </w:t>
      </w:r>
      <w:fldSimple w:instr=" SEQ Table \* ARABIC ">
        <w:r w:rsidR="007D3DFF">
          <w:rPr>
            <w:noProof/>
          </w:rPr>
          <w:t>40</w:t>
        </w:r>
      </w:fldSimple>
      <w:bookmarkEnd w:id="601"/>
      <w:r w:rsidRPr="00CC3BE5">
        <w:tab/>
        <w:t>Cost of treating CIN 2/3</w:t>
      </w:r>
      <w:r w:rsidR="00606FD6" w:rsidRPr="00CC3BE5">
        <w:t xml:space="preserve"> - Summary</w:t>
      </w:r>
      <w:r w:rsidRPr="00CC3BE5">
        <w:t>.</w:t>
      </w:r>
      <w:bookmarkEnd w:id="602"/>
    </w:p>
    <w:tbl>
      <w:tblPr>
        <w:tblW w:w="8789" w:type="dxa"/>
        <w:tblInd w:w="697" w:type="dxa"/>
        <w:tblLook w:val="0000" w:firstRow="0" w:lastRow="0" w:firstColumn="0" w:lastColumn="0" w:noHBand="0" w:noVBand="0"/>
      </w:tblPr>
      <w:tblGrid>
        <w:gridCol w:w="2251"/>
        <w:gridCol w:w="2373"/>
        <w:gridCol w:w="1457"/>
        <w:gridCol w:w="2708"/>
      </w:tblGrid>
      <w:tr w:rsidR="00234376" w:rsidRPr="00CC3BE5">
        <w:trPr>
          <w:trHeight w:val="477"/>
        </w:trPr>
        <w:tc>
          <w:tcPr>
            <w:tcW w:w="2251" w:type="dxa"/>
            <w:tcBorders>
              <w:top w:val="single" w:sz="4" w:space="0" w:color="auto"/>
              <w:left w:val="nil"/>
              <w:bottom w:val="single" w:sz="4" w:space="0" w:color="auto"/>
              <w:right w:val="nil"/>
            </w:tcBorders>
            <w:noWrap/>
            <w:vAlign w:val="bottom"/>
          </w:tcPr>
          <w:p w:rsidR="00234376" w:rsidRPr="00CC3BE5" w:rsidRDefault="00234376" w:rsidP="008E03A7">
            <w:pPr>
              <w:pStyle w:val="TableHeading10pt"/>
            </w:pPr>
            <w:r w:rsidRPr="00CC3BE5">
              <w:t>Components</w:t>
            </w:r>
          </w:p>
        </w:tc>
        <w:tc>
          <w:tcPr>
            <w:tcW w:w="2373" w:type="dxa"/>
            <w:tcBorders>
              <w:top w:val="single" w:sz="4" w:space="0" w:color="auto"/>
              <w:left w:val="nil"/>
              <w:bottom w:val="single" w:sz="4" w:space="0" w:color="auto"/>
              <w:right w:val="nil"/>
            </w:tcBorders>
            <w:vAlign w:val="bottom"/>
          </w:tcPr>
          <w:p w:rsidR="00234376" w:rsidRPr="00CC3BE5" w:rsidRDefault="00234376" w:rsidP="008E03A7">
            <w:pPr>
              <w:pStyle w:val="TableHeading10pt"/>
              <w:jc w:val="center"/>
            </w:pPr>
            <w:r w:rsidRPr="00CC3BE5">
              <w:t>Proportion of patients</w:t>
            </w:r>
          </w:p>
        </w:tc>
        <w:tc>
          <w:tcPr>
            <w:tcW w:w="1457" w:type="dxa"/>
            <w:tcBorders>
              <w:top w:val="single" w:sz="4" w:space="0" w:color="auto"/>
              <w:left w:val="nil"/>
              <w:bottom w:val="single" w:sz="4" w:space="0" w:color="auto"/>
              <w:right w:val="nil"/>
            </w:tcBorders>
            <w:vAlign w:val="bottom"/>
          </w:tcPr>
          <w:p w:rsidR="00234376" w:rsidRPr="00CC3BE5" w:rsidRDefault="00234376" w:rsidP="008E03A7">
            <w:pPr>
              <w:pStyle w:val="TableHeading10pt"/>
              <w:jc w:val="center"/>
            </w:pPr>
            <w:r w:rsidRPr="00CC3BE5">
              <w:t>Cost</w:t>
            </w:r>
          </w:p>
        </w:tc>
        <w:tc>
          <w:tcPr>
            <w:tcW w:w="2708" w:type="dxa"/>
            <w:tcBorders>
              <w:top w:val="single" w:sz="4" w:space="0" w:color="auto"/>
              <w:left w:val="nil"/>
              <w:bottom w:val="single" w:sz="4" w:space="0" w:color="auto"/>
              <w:right w:val="nil"/>
            </w:tcBorders>
            <w:noWrap/>
            <w:vAlign w:val="bottom"/>
          </w:tcPr>
          <w:p w:rsidR="00234376" w:rsidRPr="00CC3BE5" w:rsidRDefault="00234376" w:rsidP="008E03A7">
            <w:pPr>
              <w:pStyle w:val="TableHeading10pt"/>
              <w:jc w:val="center"/>
            </w:pPr>
            <w:r w:rsidRPr="00CC3BE5">
              <w:t>Weighted cost</w:t>
            </w:r>
          </w:p>
        </w:tc>
      </w:tr>
      <w:tr w:rsidR="00234376" w:rsidRPr="00CC3BE5">
        <w:trPr>
          <w:trHeight w:val="300"/>
        </w:trPr>
        <w:tc>
          <w:tcPr>
            <w:tcW w:w="2251" w:type="dxa"/>
            <w:tcBorders>
              <w:top w:val="single" w:sz="4" w:space="0" w:color="auto"/>
              <w:left w:val="nil"/>
              <w:bottom w:val="nil"/>
              <w:right w:val="nil"/>
            </w:tcBorders>
            <w:noWrap/>
            <w:vAlign w:val="bottom"/>
          </w:tcPr>
          <w:p w:rsidR="00234376" w:rsidRPr="00CC3BE5" w:rsidRDefault="00234376" w:rsidP="008E03A7">
            <w:pPr>
              <w:pStyle w:val="TableText0"/>
              <w:rPr>
                <w:rFonts w:ascii="Arial Narrow" w:hAnsi="Arial Narrow"/>
              </w:rPr>
            </w:pPr>
            <w:r w:rsidRPr="00CC3BE5">
              <w:rPr>
                <w:rFonts w:ascii="Arial Narrow" w:hAnsi="Arial Narrow"/>
              </w:rPr>
              <w:t>Ablation treatment</w:t>
            </w:r>
          </w:p>
        </w:tc>
        <w:tc>
          <w:tcPr>
            <w:tcW w:w="2373" w:type="dxa"/>
            <w:tcBorders>
              <w:top w:val="single" w:sz="4" w:space="0" w:color="auto"/>
              <w:left w:val="nil"/>
              <w:bottom w:val="nil"/>
              <w:right w:val="nil"/>
            </w:tcBorders>
            <w:vAlign w:val="bottom"/>
          </w:tcPr>
          <w:p w:rsidR="00234376" w:rsidRPr="00CC3BE5" w:rsidRDefault="00234376" w:rsidP="008E03A7">
            <w:pPr>
              <w:pStyle w:val="TableText0"/>
              <w:jc w:val="center"/>
              <w:rPr>
                <w:rFonts w:ascii="Arial Narrow" w:hAnsi="Arial Narrow"/>
              </w:rPr>
            </w:pPr>
            <w:r w:rsidRPr="00CC3BE5">
              <w:rPr>
                <w:rFonts w:ascii="Arial Narrow" w:hAnsi="Arial Narrow"/>
              </w:rPr>
              <w:t>0.15</w:t>
            </w:r>
          </w:p>
        </w:tc>
        <w:tc>
          <w:tcPr>
            <w:tcW w:w="1457" w:type="dxa"/>
            <w:tcBorders>
              <w:top w:val="single" w:sz="4" w:space="0" w:color="auto"/>
              <w:left w:val="nil"/>
              <w:bottom w:val="nil"/>
              <w:right w:val="nil"/>
            </w:tcBorders>
            <w:noWrap/>
            <w:vAlign w:val="bottom"/>
          </w:tcPr>
          <w:p w:rsidR="00234376" w:rsidRPr="00CC3BE5" w:rsidRDefault="00234376" w:rsidP="008E03A7">
            <w:pPr>
              <w:pStyle w:val="TableText0"/>
              <w:tabs>
                <w:tab w:val="decimal" w:pos="664"/>
              </w:tabs>
              <w:rPr>
                <w:rFonts w:ascii="Arial Narrow" w:hAnsi="Arial Narrow"/>
              </w:rPr>
            </w:pPr>
            <w:r w:rsidRPr="00CC3BE5">
              <w:rPr>
                <w:rFonts w:ascii="Arial Narrow" w:eastAsia="Arial Unicode MS" w:hAnsi="Arial Narrow" w:cs="Arial Unicode MS"/>
                <w:bCs/>
                <w:szCs w:val="18"/>
              </w:rPr>
              <w:t>$1233.50</w:t>
            </w:r>
          </w:p>
        </w:tc>
        <w:tc>
          <w:tcPr>
            <w:tcW w:w="2708" w:type="dxa"/>
            <w:tcBorders>
              <w:top w:val="single" w:sz="4" w:space="0" w:color="auto"/>
              <w:left w:val="nil"/>
              <w:bottom w:val="nil"/>
              <w:right w:val="nil"/>
            </w:tcBorders>
            <w:noWrap/>
            <w:vAlign w:val="bottom"/>
          </w:tcPr>
          <w:p w:rsidR="00234376" w:rsidRPr="00CC3BE5" w:rsidRDefault="00234376" w:rsidP="008E03A7">
            <w:pPr>
              <w:pStyle w:val="TableText0"/>
              <w:tabs>
                <w:tab w:val="decimal" w:pos="1316"/>
              </w:tabs>
              <w:rPr>
                <w:rFonts w:ascii="Arial Narrow" w:eastAsia="Arial Unicode MS" w:hAnsi="Arial Narrow" w:cs="Arial Unicode MS"/>
                <w:bCs/>
                <w:szCs w:val="18"/>
              </w:rPr>
            </w:pPr>
            <w:r w:rsidRPr="00CC3BE5">
              <w:rPr>
                <w:rFonts w:ascii="Arial Narrow" w:eastAsia="Arial Unicode MS" w:hAnsi="Arial Narrow" w:cs="Arial Unicode MS"/>
                <w:bCs/>
                <w:szCs w:val="18"/>
              </w:rPr>
              <w:t>$185.03</w:t>
            </w:r>
          </w:p>
        </w:tc>
      </w:tr>
      <w:tr w:rsidR="00234376" w:rsidRPr="00CC3BE5">
        <w:trPr>
          <w:trHeight w:val="300"/>
        </w:trPr>
        <w:tc>
          <w:tcPr>
            <w:tcW w:w="2251" w:type="dxa"/>
            <w:tcBorders>
              <w:top w:val="nil"/>
              <w:left w:val="nil"/>
              <w:bottom w:val="nil"/>
              <w:right w:val="nil"/>
            </w:tcBorders>
            <w:noWrap/>
            <w:vAlign w:val="bottom"/>
          </w:tcPr>
          <w:p w:rsidR="00234376" w:rsidRPr="00CC3BE5" w:rsidRDefault="00234376" w:rsidP="008E03A7">
            <w:pPr>
              <w:pStyle w:val="TableText0"/>
              <w:rPr>
                <w:rFonts w:ascii="Arial Narrow" w:hAnsi="Arial Narrow"/>
              </w:rPr>
            </w:pPr>
            <w:r w:rsidRPr="00CC3BE5">
              <w:rPr>
                <w:rFonts w:ascii="Arial Narrow" w:hAnsi="Arial Narrow"/>
              </w:rPr>
              <w:t>Excision treatment</w:t>
            </w:r>
          </w:p>
        </w:tc>
        <w:tc>
          <w:tcPr>
            <w:tcW w:w="2373" w:type="dxa"/>
            <w:tcBorders>
              <w:top w:val="nil"/>
              <w:left w:val="nil"/>
              <w:bottom w:val="nil"/>
              <w:right w:val="nil"/>
            </w:tcBorders>
            <w:vAlign w:val="bottom"/>
          </w:tcPr>
          <w:p w:rsidR="00234376" w:rsidRPr="00CC3BE5" w:rsidRDefault="00234376" w:rsidP="008E03A7">
            <w:pPr>
              <w:pStyle w:val="TableText0"/>
              <w:jc w:val="center"/>
              <w:rPr>
                <w:rFonts w:ascii="Arial Narrow" w:hAnsi="Arial Narrow"/>
              </w:rPr>
            </w:pPr>
            <w:r w:rsidRPr="00CC3BE5">
              <w:rPr>
                <w:rFonts w:ascii="Arial Narrow" w:hAnsi="Arial Narrow"/>
              </w:rPr>
              <w:t>0.80</w:t>
            </w:r>
          </w:p>
        </w:tc>
        <w:tc>
          <w:tcPr>
            <w:tcW w:w="1457" w:type="dxa"/>
            <w:tcBorders>
              <w:top w:val="nil"/>
              <w:left w:val="nil"/>
              <w:bottom w:val="nil"/>
              <w:right w:val="nil"/>
            </w:tcBorders>
            <w:noWrap/>
            <w:vAlign w:val="bottom"/>
          </w:tcPr>
          <w:p w:rsidR="00234376" w:rsidRPr="00CC3BE5" w:rsidRDefault="00234376" w:rsidP="008E03A7">
            <w:pPr>
              <w:pStyle w:val="TableText0"/>
              <w:tabs>
                <w:tab w:val="decimal" w:pos="664"/>
              </w:tabs>
              <w:rPr>
                <w:rFonts w:ascii="Arial Narrow" w:hAnsi="Arial Narrow"/>
              </w:rPr>
            </w:pPr>
            <w:r w:rsidRPr="00CC3BE5">
              <w:rPr>
                <w:rFonts w:ascii="Arial Narrow" w:eastAsia="Arial Unicode MS" w:hAnsi="Arial Narrow" w:cs="Arial Unicode MS"/>
                <w:bCs/>
                <w:szCs w:val="18"/>
              </w:rPr>
              <w:t>$704.28</w:t>
            </w:r>
          </w:p>
        </w:tc>
        <w:tc>
          <w:tcPr>
            <w:tcW w:w="2708" w:type="dxa"/>
            <w:tcBorders>
              <w:top w:val="nil"/>
              <w:left w:val="nil"/>
              <w:bottom w:val="nil"/>
              <w:right w:val="nil"/>
            </w:tcBorders>
            <w:noWrap/>
            <w:vAlign w:val="bottom"/>
          </w:tcPr>
          <w:p w:rsidR="00234376" w:rsidRPr="00CC3BE5" w:rsidRDefault="00234376" w:rsidP="008E03A7">
            <w:pPr>
              <w:pStyle w:val="TableText0"/>
              <w:tabs>
                <w:tab w:val="decimal" w:pos="1316"/>
              </w:tabs>
              <w:rPr>
                <w:rFonts w:ascii="Arial Narrow" w:eastAsia="Arial Unicode MS" w:hAnsi="Arial Narrow" w:cs="Arial Unicode MS"/>
                <w:bCs/>
                <w:szCs w:val="18"/>
              </w:rPr>
            </w:pPr>
            <w:r w:rsidRPr="00CC3BE5">
              <w:rPr>
                <w:rFonts w:ascii="Arial Narrow" w:eastAsia="Arial Unicode MS" w:hAnsi="Arial Narrow" w:cs="Arial Unicode MS"/>
                <w:bCs/>
                <w:szCs w:val="18"/>
              </w:rPr>
              <w:t>$563.42</w:t>
            </w:r>
          </w:p>
        </w:tc>
      </w:tr>
      <w:tr w:rsidR="00234376" w:rsidRPr="00CC3BE5">
        <w:trPr>
          <w:trHeight w:val="300"/>
        </w:trPr>
        <w:tc>
          <w:tcPr>
            <w:tcW w:w="2251" w:type="dxa"/>
            <w:tcBorders>
              <w:top w:val="nil"/>
              <w:left w:val="nil"/>
              <w:bottom w:val="nil"/>
              <w:right w:val="nil"/>
            </w:tcBorders>
            <w:noWrap/>
            <w:vAlign w:val="bottom"/>
          </w:tcPr>
          <w:p w:rsidR="00234376" w:rsidRPr="00CC3BE5" w:rsidRDefault="00234376" w:rsidP="008E03A7">
            <w:pPr>
              <w:pStyle w:val="TableText0"/>
              <w:rPr>
                <w:rFonts w:ascii="Arial Narrow" w:hAnsi="Arial Narrow"/>
              </w:rPr>
            </w:pPr>
            <w:r w:rsidRPr="00CC3BE5">
              <w:rPr>
                <w:rFonts w:ascii="Arial Narrow" w:hAnsi="Arial Narrow"/>
              </w:rPr>
              <w:t>Hysterectomy (non-cancer)</w:t>
            </w:r>
          </w:p>
        </w:tc>
        <w:tc>
          <w:tcPr>
            <w:tcW w:w="2373" w:type="dxa"/>
            <w:tcBorders>
              <w:top w:val="nil"/>
              <w:left w:val="nil"/>
              <w:bottom w:val="nil"/>
              <w:right w:val="nil"/>
            </w:tcBorders>
            <w:vAlign w:val="bottom"/>
          </w:tcPr>
          <w:p w:rsidR="00234376" w:rsidRPr="00CC3BE5" w:rsidRDefault="00234376" w:rsidP="008E03A7">
            <w:pPr>
              <w:pStyle w:val="TableText0"/>
              <w:jc w:val="center"/>
              <w:rPr>
                <w:rFonts w:ascii="Arial Narrow" w:hAnsi="Arial Narrow"/>
              </w:rPr>
            </w:pPr>
            <w:r w:rsidRPr="00CC3BE5">
              <w:rPr>
                <w:rFonts w:ascii="Arial Narrow" w:hAnsi="Arial Narrow"/>
              </w:rPr>
              <w:t>0.05</w:t>
            </w:r>
          </w:p>
        </w:tc>
        <w:tc>
          <w:tcPr>
            <w:tcW w:w="1457" w:type="dxa"/>
            <w:tcBorders>
              <w:top w:val="nil"/>
              <w:left w:val="nil"/>
              <w:bottom w:val="nil"/>
              <w:right w:val="nil"/>
            </w:tcBorders>
            <w:noWrap/>
            <w:vAlign w:val="bottom"/>
          </w:tcPr>
          <w:p w:rsidR="00234376" w:rsidRPr="00CC3BE5" w:rsidRDefault="00234376" w:rsidP="008E03A7">
            <w:pPr>
              <w:pStyle w:val="TableText0"/>
              <w:tabs>
                <w:tab w:val="decimal" w:pos="664"/>
              </w:tabs>
              <w:rPr>
                <w:rFonts w:ascii="Arial Narrow" w:hAnsi="Arial Narrow"/>
              </w:rPr>
            </w:pPr>
            <w:r w:rsidRPr="00CC3BE5">
              <w:rPr>
                <w:rFonts w:ascii="Arial Narrow" w:eastAsia="Arial Unicode MS" w:hAnsi="Arial Narrow" w:cs="Arial Unicode MS"/>
                <w:bCs/>
                <w:szCs w:val="18"/>
              </w:rPr>
              <w:t>$7276.25</w:t>
            </w:r>
          </w:p>
        </w:tc>
        <w:tc>
          <w:tcPr>
            <w:tcW w:w="2708" w:type="dxa"/>
            <w:tcBorders>
              <w:top w:val="nil"/>
              <w:left w:val="nil"/>
              <w:bottom w:val="nil"/>
              <w:right w:val="nil"/>
            </w:tcBorders>
            <w:noWrap/>
            <w:vAlign w:val="bottom"/>
          </w:tcPr>
          <w:p w:rsidR="00234376" w:rsidRPr="00CC3BE5" w:rsidRDefault="00234376" w:rsidP="008E03A7">
            <w:pPr>
              <w:pStyle w:val="TableText0"/>
              <w:tabs>
                <w:tab w:val="decimal" w:pos="1316"/>
              </w:tabs>
              <w:rPr>
                <w:rFonts w:ascii="Arial Narrow" w:eastAsia="Arial Unicode MS" w:hAnsi="Arial Narrow" w:cs="Arial Unicode MS"/>
                <w:bCs/>
                <w:szCs w:val="18"/>
              </w:rPr>
            </w:pPr>
            <w:r w:rsidRPr="00CC3BE5">
              <w:rPr>
                <w:rFonts w:ascii="Arial Narrow" w:eastAsia="Arial Unicode MS" w:hAnsi="Arial Narrow" w:cs="Arial Unicode MS"/>
                <w:bCs/>
                <w:szCs w:val="18"/>
              </w:rPr>
              <w:t>$363.81</w:t>
            </w:r>
          </w:p>
        </w:tc>
      </w:tr>
      <w:tr w:rsidR="00234376" w:rsidRPr="00537C3C">
        <w:trPr>
          <w:trHeight w:val="300"/>
        </w:trPr>
        <w:tc>
          <w:tcPr>
            <w:tcW w:w="2251" w:type="dxa"/>
            <w:tcBorders>
              <w:top w:val="nil"/>
              <w:left w:val="nil"/>
              <w:bottom w:val="single" w:sz="4" w:space="0" w:color="auto"/>
              <w:right w:val="nil"/>
            </w:tcBorders>
            <w:noWrap/>
            <w:vAlign w:val="bottom"/>
          </w:tcPr>
          <w:p w:rsidR="00234376" w:rsidRPr="00CC3BE5" w:rsidRDefault="00234376" w:rsidP="008E03A7">
            <w:pPr>
              <w:pStyle w:val="TableText0"/>
              <w:rPr>
                <w:rFonts w:ascii="Arial Narrow" w:hAnsi="Arial Narrow"/>
                <w:b/>
              </w:rPr>
            </w:pPr>
            <w:r w:rsidRPr="00CC3BE5">
              <w:rPr>
                <w:rFonts w:ascii="Arial Narrow" w:hAnsi="Arial Narrow"/>
                <w:b/>
              </w:rPr>
              <w:t xml:space="preserve">Total cost </w:t>
            </w:r>
          </w:p>
        </w:tc>
        <w:tc>
          <w:tcPr>
            <w:tcW w:w="2373" w:type="dxa"/>
            <w:tcBorders>
              <w:top w:val="nil"/>
              <w:left w:val="nil"/>
              <w:bottom w:val="single" w:sz="4" w:space="0" w:color="auto"/>
              <w:right w:val="nil"/>
            </w:tcBorders>
            <w:vAlign w:val="bottom"/>
          </w:tcPr>
          <w:p w:rsidR="00234376" w:rsidRPr="00CC3BE5" w:rsidRDefault="00234376" w:rsidP="008E03A7">
            <w:pPr>
              <w:pStyle w:val="TableText0"/>
              <w:jc w:val="center"/>
              <w:rPr>
                <w:rFonts w:ascii="Arial Narrow" w:hAnsi="Arial Narrow"/>
                <w:b/>
              </w:rPr>
            </w:pPr>
          </w:p>
        </w:tc>
        <w:tc>
          <w:tcPr>
            <w:tcW w:w="1457" w:type="dxa"/>
            <w:tcBorders>
              <w:top w:val="nil"/>
              <w:left w:val="nil"/>
              <w:bottom w:val="single" w:sz="4" w:space="0" w:color="auto"/>
              <w:right w:val="nil"/>
            </w:tcBorders>
            <w:noWrap/>
            <w:vAlign w:val="bottom"/>
          </w:tcPr>
          <w:p w:rsidR="00234376" w:rsidRPr="00CC3BE5" w:rsidRDefault="00234376" w:rsidP="008E03A7">
            <w:pPr>
              <w:pStyle w:val="TableText0"/>
              <w:tabs>
                <w:tab w:val="decimal" w:pos="664"/>
              </w:tabs>
              <w:rPr>
                <w:rFonts w:ascii="Arial Narrow" w:hAnsi="Arial Narrow"/>
                <w:b/>
              </w:rPr>
            </w:pPr>
          </w:p>
        </w:tc>
        <w:tc>
          <w:tcPr>
            <w:tcW w:w="2708" w:type="dxa"/>
            <w:tcBorders>
              <w:top w:val="nil"/>
              <w:left w:val="nil"/>
              <w:bottom w:val="single" w:sz="4" w:space="0" w:color="auto"/>
              <w:right w:val="nil"/>
            </w:tcBorders>
            <w:noWrap/>
            <w:vAlign w:val="bottom"/>
          </w:tcPr>
          <w:p w:rsidR="00234376" w:rsidRPr="00537C3C" w:rsidRDefault="00234376" w:rsidP="008E03A7">
            <w:pPr>
              <w:pStyle w:val="TableText0"/>
              <w:tabs>
                <w:tab w:val="decimal" w:pos="1316"/>
              </w:tabs>
              <w:rPr>
                <w:rFonts w:ascii="Arial Narrow" w:hAnsi="Arial Narrow"/>
                <w:b/>
              </w:rPr>
            </w:pPr>
            <w:r w:rsidRPr="00CC3BE5">
              <w:rPr>
                <w:rFonts w:ascii="Arial Narrow" w:hAnsi="Arial Narrow"/>
                <w:b/>
              </w:rPr>
              <w:t>$1112.26</w:t>
            </w:r>
          </w:p>
        </w:tc>
      </w:tr>
    </w:tbl>
    <w:p w:rsidR="00234376" w:rsidRPr="00537C3C" w:rsidRDefault="00234376" w:rsidP="008E03A7">
      <w:pPr>
        <w:spacing w:after="120"/>
        <w:jc w:val="both"/>
        <w:rPr>
          <w:rFonts w:cs="Arial"/>
        </w:rPr>
      </w:pPr>
    </w:p>
    <w:p w:rsidR="00234376" w:rsidRPr="00CC3BE5" w:rsidRDefault="00234376" w:rsidP="008E03A7">
      <w:pPr>
        <w:pStyle w:val="TableNamea"/>
        <w:keepLines/>
        <w:ind w:left="1644"/>
      </w:pPr>
      <w:bookmarkStart w:id="603" w:name="_Ref209517104"/>
      <w:bookmarkStart w:id="604" w:name="_Toc95971277"/>
      <w:r w:rsidRPr="00CC3BE5">
        <w:lastRenderedPageBreak/>
        <w:t xml:space="preserve">Table </w:t>
      </w:r>
      <w:fldSimple w:instr=" SEQ Table \* ARABIC ">
        <w:r w:rsidR="007D3DFF">
          <w:rPr>
            <w:noProof/>
          </w:rPr>
          <w:t>41</w:t>
        </w:r>
      </w:fldSimple>
      <w:bookmarkEnd w:id="603"/>
      <w:r w:rsidRPr="00CC3BE5">
        <w:tab/>
        <w:t>Cost of treating CIN 2/3</w:t>
      </w:r>
      <w:r w:rsidR="00606FD6" w:rsidRPr="00CC3BE5">
        <w:t xml:space="preserve"> - Details</w:t>
      </w:r>
      <w:r w:rsidRPr="00CC3BE5">
        <w:t>.</w:t>
      </w:r>
      <w:bookmarkEnd w:id="604"/>
    </w:p>
    <w:tbl>
      <w:tblPr>
        <w:tblW w:w="8789" w:type="dxa"/>
        <w:tblInd w:w="675" w:type="dxa"/>
        <w:tblLayout w:type="fixed"/>
        <w:tblCellMar>
          <w:left w:w="57" w:type="dxa"/>
          <w:right w:w="57" w:type="dxa"/>
        </w:tblCellMar>
        <w:tblLook w:val="0000" w:firstRow="0" w:lastRow="0" w:firstColumn="0" w:lastColumn="0" w:noHBand="0" w:noVBand="0"/>
      </w:tblPr>
      <w:tblGrid>
        <w:gridCol w:w="3686"/>
        <w:gridCol w:w="1276"/>
        <w:gridCol w:w="1417"/>
        <w:gridCol w:w="1276"/>
        <w:gridCol w:w="1134"/>
      </w:tblGrid>
      <w:tr w:rsidR="00234376" w:rsidRPr="00CC3BE5">
        <w:trPr>
          <w:trHeight w:val="600"/>
        </w:trPr>
        <w:tc>
          <w:tcPr>
            <w:tcW w:w="3686" w:type="dxa"/>
            <w:tcBorders>
              <w:top w:val="single" w:sz="4" w:space="0" w:color="auto"/>
              <w:left w:val="nil"/>
              <w:bottom w:val="single" w:sz="4" w:space="0" w:color="auto"/>
              <w:right w:val="nil"/>
            </w:tcBorders>
            <w:noWrap/>
            <w:vAlign w:val="bottom"/>
          </w:tcPr>
          <w:p w:rsidR="00234376" w:rsidRPr="00CC3BE5" w:rsidRDefault="00234376" w:rsidP="008E03A7">
            <w:pPr>
              <w:pStyle w:val="TableHeading10pt"/>
              <w:keepLines/>
            </w:pPr>
            <w:r w:rsidRPr="00CC3BE5">
              <w:t>Components</w:t>
            </w:r>
          </w:p>
        </w:tc>
        <w:tc>
          <w:tcPr>
            <w:tcW w:w="1276" w:type="dxa"/>
            <w:tcBorders>
              <w:top w:val="single" w:sz="4" w:space="0" w:color="auto"/>
              <w:left w:val="nil"/>
              <w:bottom w:val="single" w:sz="4" w:space="0" w:color="auto"/>
              <w:right w:val="nil"/>
            </w:tcBorders>
            <w:noWrap/>
            <w:vAlign w:val="bottom"/>
          </w:tcPr>
          <w:p w:rsidR="00234376" w:rsidRPr="00CC3BE5" w:rsidRDefault="00234376" w:rsidP="008E03A7">
            <w:pPr>
              <w:pStyle w:val="TableHeading10pt"/>
              <w:keepLines/>
            </w:pPr>
            <w:r w:rsidRPr="00CC3BE5">
              <w:t>MBS / DRG item</w:t>
            </w:r>
          </w:p>
        </w:tc>
        <w:tc>
          <w:tcPr>
            <w:tcW w:w="1417" w:type="dxa"/>
            <w:tcBorders>
              <w:top w:val="single" w:sz="4" w:space="0" w:color="auto"/>
              <w:left w:val="nil"/>
              <w:bottom w:val="single" w:sz="4" w:space="0" w:color="auto"/>
              <w:right w:val="nil"/>
            </w:tcBorders>
            <w:vAlign w:val="bottom"/>
          </w:tcPr>
          <w:p w:rsidR="00234376" w:rsidRPr="00CC3BE5" w:rsidRDefault="00234376" w:rsidP="008E03A7">
            <w:pPr>
              <w:pStyle w:val="TableHeading10pt"/>
              <w:keepLines/>
            </w:pPr>
            <w:r w:rsidRPr="00CC3BE5">
              <w:t>Unit cost (100% schedule)</w:t>
            </w:r>
          </w:p>
        </w:tc>
        <w:tc>
          <w:tcPr>
            <w:tcW w:w="1276" w:type="dxa"/>
            <w:tcBorders>
              <w:top w:val="single" w:sz="4" w:space="0" w:color="auto"/>
              <w:left w:val="nil"/>
              <w:bottom w:val="single" w:sz="4" w:space="0" w:color="auto"/>
              <w:right w:val="nil"/>
            </w:tcBorders>
            <w:vAlign w:val="bottom"/>
          </w:tcPr>
          <w:p w:rsidR="00234376" w:rsidRPr="00CC3BE5" w:rsidRDefault="00234376" w:rsidP="008E03A7">
            <w:pPr>
              <w:pStyle w:val="TableHeading10pt"/>
              <w:keepLines/>
            </w:pPr>
            <w:r w:rsidRPr="00CC3BE5">
              <w:t>Proportion of patients</w:t>
            </w:r>
          </w:p>
        </w:tc>
        <w:tc>
          <w:tcPr>
            <w:tcW w:w="1134" w:type="dxa"/>
            <w:tcBorders>
              <w:top w:val="single" w:sz="4" w:space="0" w:color="auto"/>
              <w:left w:val="nil"/>
              <w:bottom w:val="single" w:sz="4" w:space="0" w:color="auto"/>
              <w:right w:val="nil"/>
            </w:tcBorders>
            <w:noWrap/>
            <w:vAlign w:val="bottom"/>
          </w:tcPr>
          <w:p w:rsidR="00234376" w:rsidRPr="00CC3BE5" w:rsidRDefault="00234376" w:rsidP="008E03A7">
            <w:pPr>
              <w:pStyle w:val="TableHeading10pt"/>
              <w:keepLines/>
            </w:pPr>
            <w:r w:rsidRPr="00CC3BE5">
              <w:t>Cost</w:t>
            </w:r>
          </w:p>
        </w:tc>
      </w:tr>
      <w:tr w:rsidR="00234376" w:rsidRPr="00CC3BE5">
        <w:trPr>
          <w:trHeight w:val="300"/>
        </w:trPr>
        <w:tc>
          <w:tcPr>
            <w:tcW w:w="6379" w:type="dxa"/>
            <w:gridSpan w:val="3"/>
            <w:tcBorders>
              <w:top w:val="single" w:sz="4" w:space="0" w:color="auto"/>
              <w:left w:val="nil"/>
              <w:bottom w:val="nil"/>
              <w:right w:val="nil"/>
            </w:tcBorders>
            <w:noWrap/>
            <w:vAlign w:val="bottom"/>
          </w:tcPr>
          <w:p w:rsidR="00234376" w:rsidRPr="00CC3BE5" w:rsidRDefault="00234376" w:rsidP="008E03A7">
            <w:pPr>
              <w:keepNext/>
              <w:keepLines/>
              <w:spacing w:after="0"/>
              <w:ind w:left="0"/>
              <w:rPr>
                <w:rFonts w:ascii="Arial Narrow" w:eastAsia="Arial Unicode MS" w:hAnsi="Arial Narrow" w:cs="Arial Unicode MS"/>
                <w:b/>
                <w:bCs/>
                <w:sz w:val="18"/>
                <w:szCs w:val="18"/>
              </w:rPr>
            </w:pPr>
            <w:r w:rsidRPr="00CC3BE5">
              <w:rPr>
                <w:rFonts w:ascii="Arial Narrow" w:eastAsia="Arial Unicode MS" w:hAnsi="Arial Narrow" w:cs="Arial Unicode MS"/>
                <w:b/>
                <w:bCs/>
                <w:sz w:val="18"/>
                <w:szCs w:val="18"/>
              </w:rPr>
              <w:t>Ablation therapy (laser + diathermy) (15% total CIN 2/3 treatments)</w:t>
            </w:r>
          </w:p>
        </w:tc>
        <w:tc>
          <w:tcPr>
            <w:tcW w:w="1276" w:type="dxa"/>
            <w:tcBorders>
              <w:top w:val="single" w:sz="4" w:space="0" w:color="auto"/>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b/>
                <w:bCs/>
                <w:sz w:val="18"/>
                <w:szCs w:val="18"/>
              </w:rPr>
            </w:pPr>
            <w:r w:rsidRPr="00CC3BE5">
              <w:rPr>
                <w:rFonts w:ascii="Arial Narrow" w:eastAsia="Arial Unicode MS" w:hAnsi="Arial Narrow" w:cs="Arial Unicode MS"/>
                <w:b/>
                <w:bCs/>
                <w:sz w:val="18"/>
                <w:szCs w:val="18"/>
              </w:rPr>
              <w:t>0.15</w:t>
            </w:r>
          </w:p>
        </w:tc>
        <w:tc>
          <w:tcPr>
            <w:tcW w:w="1134" w:type="dxa"/>
            <w:tcBorders>
              <w:top w:val="single" w:sz="4" w:space="0" w:color="auto"/>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b/>
                <w:bCs/>
                <w:sz w:val="18"/>
                <w:szCs w:val="18"/>
              </w:rPr>
            </w:pPr>
            <w:r w:rsidRPr="00CC3BE5">
              <w:rPr>
                <w:rFonts w:ascii="Arial Narrow" w:eastAsia="Arial Unicode MS" w:hAnsi="Arial Narrow" w:cs="Arial Unicode MS"/>
                <w:b/>
                <w:bCs/>
                <w:sz w:val="18"/>
                <w:szCs w:val="18"/>
              </w:rPr>
              <w:t>$1233.50</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100" w:firstLine="18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Laser therapy</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i/>
                <w:iCs/>
                <w:sz w:val="18"/>
                <w:szCs w:val="18"/>
              </w:rPr>
            </w:pP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i/>
                <w:iCs/>
                <w:sz w:val="18"/>
                <w:szCs w:val="18"/>
              </w:rPr>
            </w:pP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0.5</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$355.75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Specialist consult</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104</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$77.25</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$77.25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Colposcopy</w:t>
            </w:r>
            <w:bookmarkStart w:id="605" w:name="OLE_LINK597"/>
            <w:bookmarkStart w:id="606" w:name="OLE_LINK598"/>
            <w:r w:rsidRPr="00CC3BE5">
              <w:rPr>
                <w:rFonts w:ascii="Arial Narrow" w:eastAsia="Arial Unicode MS" w:hAnsi="Arial Narrow" w:cs="Arial Unicode MS"/>
                <w:sz w:val="18"/>
                <w:szCs w:val="18"/>
              </w:rPr>
              <w:t xml:space="preserve"> </w:t>
            </w:r>
            <w:r w:rsidRPr="00CC3BE5">
              <w:rPr>
                <w:rFonts w:ascii="Arial Narrow" w:eastAsia="Arial Unicode MS" w:hAnsi="Arial Narrow" w:cs="Arial Unicode MS"/>
                <w:sz w:val="18"/>
                <w:szCs w:val="18"/>
                <w:vertAlign w:val="superscript"/>
              </w:rPr>
              <w:t>a</w:t>
            </w:r>
            <w:bookmarkEnd w:id="605"/>
            <w:bookmarkEnd w:id="606"/>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35614</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$28.83</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1.000</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$28.83</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Laser therapy 1 site</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35539</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$246.50</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smartTag w:uri="urn:schemas-microsoft-com:office:smarttags" w:element="metricconverter">
              <w:smartTagPr>
                <w:attr w:name="ProductID" w:val="0.925 a"/>
              </w:smartTagPr>
              <w:r w:rsidRPr="00CC3BE5">
                <w:rPr>
                  <w:rFonts w:ascii="Arial Narrow" w:eastAsia="Arial Unicode MS" w:hAnsi="Arial Narrow" w:cs="Arial Unicode MS"/>
                  <w:sz w:val="18"/>
                  <w:szCs w:val="18"/>
                </w:rPr>
                <w:t xml:space="preserve">0.925 </w:t>
              </w:r>
              <w:r w:rsidRPr="00CC3BE5">
                <w:rPr>
                  <w:rFonts w:ascii="Arial Narrow" w:eastAsia="Arial Unicode MS" w:hAnsi="Arial Narrow" w:cs="Arial Unicode MS"/>
                  <w:sz w:val="18"/>
                  <w:szCs w:val="18"/>
                  <w:vertAlign w:val="superscript"/>
                </w:rPr>
                <w:t>a</w:t>
              </w:r>
            </w:smartTag>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$227.92</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Laser therapy 2 sites</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35542</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$288.60</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smartTag w:uri="urn:schemas-microsoft-com:office:smarttags" w:element="metricconverter">
              <w:smartTagPr>
                <w:attr w:name="ProductID" w:val="0.075 a"/>
              </w:smartTagPr>
              <w:r w:rsidRPr="00CC3BE5">
                <w:rPr>
                  <w:rFonts w:ascii="Arial Narrow" w:eastAsia="Arial Unicode MS" w:hAnsi="Arial Narrow" w:cs="Arial Unicode MS"/>
                  <w:sz w:val="18"/>
                  <w:szCs w:val="18"/>
                </w:rPr>
                <w:t xml:space="preserve">0.075 </w:t>
              </w:r>
              <w:r w:rsidRPr="00CC3BE5">
                <w:rPr>
                  <w:rFonts w:ascii="Arial Narrow" w:eastAsia="Arial Unicode MS" w:hAnsi="Arial Narrow" w:cs="Arial Unicode MS"/>
                  <w:sz w:val="18"/>
                  <w:szCs w:val="18"/>
                  <w:vertAlign w:val="superscript"/>
                </w:rPr>
                <w:t>a</w:t>
              </w:r>
            </w:smartTag>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$21.75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100" w:firstLine="18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Diathermy</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i/>
                <w:iCs/>
                <w:sz w:val="18"/>
                <w:szCs w:val="18"/>
              </w:rPr>
            </w:pP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i/>
                <w:iCs/>
                <w:sz w:val="18"/>
                <w:szCs w:val="18"/>
              </w:rPr>
            </w:pP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0.5</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$2111.25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Specialist consult</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104</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$77.25</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$77.25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Diathermy, public hospital</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 xml:space="preserve">DRG </w:t>
            </w:r>
            <w:bookmarkStart w:id="607" w:name="OLE_LINK218"/>
            <w:bookmarkStart w:id="608" w:name="OLE_LINK219"/>
            <w:r w:rsidRPr="00CC3BE5">
              <w:rPr>
                <w:rFonts w:ascii="Arial Narrow" w:eastAsia="Arial Unicode MS" w:hAnsi="Arial Narrow" w:cs="Arial Unicode MS"/>
                <w:sz w:val="18"/>
                <w:szCs w:val="18"/>
              </w:rPr>
              <w:t>N09Z</w:t>
            </w:r>
            <w:bookmarkEnd w:id="607"/>
            <w:bookmarkEnd w:id="608"/>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$2034.00</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$2034.00</w:t>
            </w:r>
          </w:p>
        </w:tc>
      </w:tr>
      <w:tr w:rsidR="00234376" w:rsidRPr="00CC3BE5">
        <w:trPr>
          <w:trHeight w:val="300"/>
        </w:trPr>
        <w:tc>
          <w:tcPr>
            <w:tcW w:w="4962" w:type="dxa"/>
            <w:gridSpan w:val="2"/>
            <w:tcBorders>
              <w:top w:val="nil"/>
              <w:left w:val="nil"/>
              <w:bottom w:val="nil"/>
              <w:right w:val="nil"/>
            </w:tcBorders>
            <w:noWrap/>
            <w:vAlign w:val="bottom"/>
          </w:tcPr>
          <w:p w:rsidR="00234376" w:rsidRPr="00CC3BE5" w:rsidRDefault="00234376" w:rsidP="008E03A7">
            <w:pPr>
              <w:keepNext/>
              <w:keepLines/>
              <w:spacing w:after="0"/>
              <w:ind w:left="0"/>
              <w:rPr>
                <w:rFonts w:ascii="Arial Narrow" w:eastAsia="Arial Unicode MS" w:hAnsi="Arial Narrow" w:cs="Arial Unicode MS"/>
                <w:b/>
                <w:bCs/>
                <w:sz w:val="18"/>
                <w:szCs w:val="18"/>
              </w:rPr>
            </w:pPr>
            <w:r w:rsidRPr="00CC3BE5">
              <w:rPr>
                <w:rFonts w:ascii="Arial Narrow" w:eastAsia="Arial Unicode MS" w:hAnsi="Arial Narrow" w:cs="Arial Unicode MS"/>
                <w:b/>
                <w:bCs/>
                <w:sz w:val="18"/>
                <w:szCs w:val="18"/>
              </w:rPr>
              <w:t>Excision therapy (80% total CIN 2/3 treatments)</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b/>
                <w:bCs/>
                <w:sz w:val="18"/>
                <w:szCs w:val="18"/>
              </w:rPr>
            </w:pP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b/>
                <w:bCs/>
                <w:sz w:val="18"/>
                <w:szCs w:val="18"/>
              </w:rPr>
            </w:pPr>
            <w:r w:rsidRPr="00CC3BE5">
              <w:rPr>
                <w:rFonts w:ascii="Arial Narrow" w:eastAsia="Arial Unicode MS" w:hAnsi="Arial Narrow" w:cs="Arial Unicode MS"/>
                <w:b/>
                <w:bCs/>
                <w:sz w:val="18"/>
                <w:szCs w:val="18"/>
              </w:rPr>
              <w:t>0.8</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b/>
                <w:bCs/>
                <w:sz w:val="18"/>
                <w:szCs w:val="18"/>
              </w:rPr>
            </w:pPr>
            <w:r w:rsidRPr="00CC3BE5">
              <w:rPr>
                <w:rFonts w:ascii="Arial Narrow" w:eastAsia="Arial Unicode MS" w:hAnsi="Arial Narrow" w:cs="Arial Unicode MS"/>
                <w:b/>
                <w:bCs/>
                <w:sz w:val="18"/>
                <w:szCs w:val="18"/>
              </w:rPr>
              <w:t>$704.28</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100" w:firstLine="180"/>
              <w:rPr>
                <w:rFonts w:ascii="Arial Narrow" w:eastAsia="Arial Unicode MS" w:hAnsi="Arial Narrow" w:cs="Arial Unicode MS"/>
                <w:i/>
                <w:iCs/>
                <w:sz w:val="18"/>
                <w:szCs w:val="18"/>
              </w:rPr>
            </w:pPr>
            <w:bookmarkStart w:id="609" w:name="OLE_LINK222"/>
            <w:bookmarkStart w:id="610" w:name="OLE_LINK223"/>
            <w:r w:rsidRPr="00CC3BE5">
              <w:rPr>
                <w:rFonts w:ascii="Arial Narrow" w:eastAsia="Arial Unicode MS" w:hAnsi="Arial Narrow" w:cs="Arial Unicode MS"/>
                <w:i/>
                <w:iCs/>
                <w:sz w:val="18"/>
                <w:szCs w:val="18"/>
              </w:rPr>
              <w:t xml:space="preserve">LEEP </w:t>
            </w:r>
            <w:bookmarkEnd w:id="609"/>
            <w:bookmarkEnd w:id="610"/>
            <w:r w:rsidRPr="00CC3BE5">
              <w:rPr>
                <w:rFonts w:ascii="Arial Narrow" w:eastAsia="Arial Unicode MS" w:hAnsi="Arial Narrow" w:cs="Arial Unicode MS"/>
                <w:i/>
                <w:iCs/>
                <w:sz w:val="18"/>
                <w:szCs w:val="18"/>
              </w:rPr>
              <w:t>no hospitalisation</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i/>
                <w:iCs/>
                <w:sz w:val="18"/>
                <w:szCs w:val="18"/>
              </w:rPr>
            </w:pP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i/>
                <w:iCs/>
                <w:sz w:val="18"/>
                <w:szCs w:val="18"/>
              </w:rPr>
            </w:pP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i/>
                <w:iCs/>
                <w:sz w:val="18"/>
                <w:szCs w:val="18"/>
              </w:rPr>
            </w:pPr>
            <w:smartTag w:uri="urn:schemas-microsoft-com:office:smarttags" w:element="metricconverter">
              <w:smartTagPr>
                <w:attr w:name="ProductID" w:val="0.855 a"/>
              </w:smartTagPr>
              <w:r w:rsidRPr="00CC3BE5">
                <w:rPr>
                  <w:rFonts w:ascii="Arial Narrow" w:eastAsia="Arial Unicode MS" w:hAnsi="Arial Narrow" w:cs="Arial Unicode MS"/>
                  <w:i/>
                  <w:iCs/>
                  <w:sz w:val="18"/>
                  <w:szCs w:val="18"/>
                </w:rPr>
                <w:t>0.855</w:t>
              </w:r>
              <w:r w:rsidRPr="00CC3BE5">
                <w:rPr>
                  <w:rFonts w:ascii="Arial Narrow" w:eastAsia="Arial Unicode MS" w:hAnsi="Arial Narrow" w:cs="Arial Unicode MS"/>
                  <w:sz w:val="18"/>
                  <w:szCs w:val="18"/>
                </w:rPr>
                <w:t xml:space="preserve"> </w:t>
              </w:r>
              <w:r w:rsidRPr="00CC3BE5">
                <w:rPr>
                  <w:rFonts w:ascii="Arial Narrow" w:eastAsia="Arial Unicode MS" w:hAnsi="Arial Narrow" w:cs="Arial Unicode MS"/>
                  <w:sz w:val="18"/>
                  <w:szCs w:val="18"/>
                  <w:vertAlign w:val="superscript"/>
                </w:rPr>
                <w:t>a</w:t>
              </w:r>
            </w:smartTag>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$465.94</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Specialist consult</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104</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$77.25</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$77.25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382" w:firstLineChars="6" w:firstLine="11"/>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Cervix, large loop excision of transformation zone together with colposcopy</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35647</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$183.90</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smartTag w:uri="urn:schemas-microsoft-com:office:smarttags" w:element="metricconverter">
              <w:smartTagPr>
                <w:attr w:name="ProductID" w:val="0.944 a"/>
              </w:smartTagPr>
              <w:r w:rsidRPr="00CC3BE5">
                <w:rPr>
                  <w:rFonts w:ascii="Arial Narrow" w:eastAsia="Arial Unicode MS" w:hAnsi="Arial Narrow" w:cs="Arial Unicode MS"/>
                  <w:sz w:val="18"/>
                  <w:szCs w:val="18"/>
                </w:rPr>
                <w:t xml:space="preserve">0.944 </w:t>
              </w:r>
              <w:r w:rsidRPr="00CC3BE5">
                <w:rPr>
                  <w:rFonts w:ascii="Arial Narrow" w:eastAsia="Arial Unicode MS" w:hAnsi="Arial Narrow" w:cs="Arial Unicode MS"/>
                  <w:sz w:val="18"/>
                  <w:szCs w:val="18"/>
                  <w:vertAlign w:val="superscript"/>
                </w:rPr>
                <w:t>a</w:t>
              </w:r>
            </w:smartTag>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$173.66</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382" w:firstLineChars="6" w:firstLine="11"/>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Cervix, large loop excision diathermy, in conjunction with ablative treatment of additional areas of intraepithelial change</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35648</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$287.85</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smartTag w:uri="urn:schemas-microsoft-com:office:smarttags" w:element="metricconverter">
              <w:smartTagPr>
                <w:attr w:name="ProductID" w:val="0.056 a"/>
              </w:smartTagPr>
              <w:r w:rsidRPr="00CC3BE5">
                <w:rPr>
                  <w:rFonts w:ascii="Arial Narrow" w:eastAsia="Arial Unicode MS" w:hAnsi="Arial Narrow" w:cs="Arial Unicode MS"/>
                  <w:sz w:val="18"/>
                  <w:szCs w:val="18"/>
                </w:rPr>
                <w:t xml:space="preserve">0.056 </w:t>
              </w:r>
              <w:r w:rsidRPr="00CC3BE5">
                <w:rPr>
                  <w:rFonts w:ascii="Arial Narrow" w:eastAsia="Arial Unicode MS" w:hAnsi="Arial Narrow" w:cs="Arial Unicode MS"/>
                  <w:sz w:val="18"/>
                  <w:szCs w:val="18"/>
                  <w:vertAlign w:val="superscript"/>
                </w:rPr>
                <w:t>a</w:t>
              </w:r>
            </w:smartTag>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$16.02</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Histopathology</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72830 (level 5 complexity)</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$190.75</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$190.75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Initiation of patient episode for histopathology</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73926</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$8.25</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$8.25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100" w:firstLine="18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Cone biopsy</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i/>
                <w:iCs/>
                <w:sz w:val="18"/>
                <w:szCs w:val="18"/>
              </w:rPr>
            </w:pP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i/>
                <w:iCs/>
                <w:sz w:val="18"/>
                <w:szCs w:val="18"/>
              </w:rPr>
            </w:pP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i/>
                <w:iCs/>
                <w:sz w:val="18"/>
                <w:szCs w:val="18"/>
              </w:rPr>
            </w:pPr>
            <w:smartTag w:uri="urn:schemas-microsoft-com:office:smarttags" w:element="metricconverter">
              <w:smartTagPr>
                <w:attr w:name="ProductID" w:val="0.145 a"/>
              </w:smartTagPr>
              <w:r w:rsidRPr="00CC3BE5">
                <w:rPr>
                  <w:rFonts w:ascii="Arial Narrow" w:eastAsia="Arial Unicode MS" w:hAnsi="Arial Narrow" w:cs="Arial Unicode MS"/>
                  <w:i/>
                  <w:iCs/>
                  <w:sz w:val="18"/>
                  <w:szCs w:val="18"/>
                </w:rPr>
                <w:t>0.145</w:t>
              </w:r>
              <w:r w:rsidRPr="00CC3BE5">
                <w:rPr>
                  <w:rFonts w:ascii="Arial Narrow" w:eastAsia="Arial Unicode MS" w:hAnsi="Arial Narrow" w:cs="Arial Unicode MS"/>
                  <w:sz w:val="18"/>
                  <w:szCs w:val="18"/>
                </w:rPr>
                <w:t xml:space="preserve"> </w:t>
              </w:r>
              <w:r w:rsidRPr="00CC3BE5">
                <w:rPr>
                  <w:rFonts w:ascii="Arial Narrow" w:eastAsia="Arial Unicode MS" w:hAnsi="Arial Narrow" w:cs="Arial Unicode MS"/>
                  <w:sz w:val="18"/>
                  <w:szCs w:val="18"/>
                  <w:vertAlign w:val="superscript"/>
                </w:rPr>
                <w:t>a</w:t>
              </w:r>
            </w:smartTag>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$2111.25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Specialist consult</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104</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$77.25</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$77.25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Hospitalisation, public</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DRG N09Z</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$2034.00</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$2034.00</w:t>
            </w:r>
          </w:p>
        </w:tc>
      </w:tr>
      <w:tr w:rsidR="00234376" w:rsidRPr="00CC3BE5">
        <w:trPr>
          <w:trHeight w:val="300"/>
        </w:trPr>
        <w:tc>
          <w:tcPr>
            <w:tcW w:w="6379" w:type="dxa"/>
            <w:gridSpan w:val="3"/>
            <w:tcBorders>
              <w:top w:val="nil"/>
              <w:left w:val="nil"/>
              <w:bottom w:val="nil"/>
              <w:right w:val="nil"/>
            </w:tcBorders>
            <w:noWrap/>
            <w:vAlign w:val="bottom"/>
          </w:tcPr>
          <w:p w:rsidR="00234376" w:rsidRPr="00CC3BE5" w:rsidRDefault="00234376" w:rsidP="008E03A7">
            <w:pPr>
              <w:keepNext/>
              <w:keepLines/>
              <w:spacing w:after="0"/>
              <w:ind w:left="0"/>
              <w:rPr>
                <w:rFonts w:ascii="Arial Narrow" w:eastAsia="Arial Unicode MS" w:hAnsi="Arial Narrow" w:cs="Arial Unicode MS"/>
                <w:b/>
                <w:bCs/>
                <w:sz w:val="18"/>
                <w:szCs w:val="18"/>
              </w:rPr>
            </w:pPr>
            <w:r w:rsidRPr="00CC3BE5">
              <w:rPr>
                <w:rFonts w:ascii="Arial Narrow" w:eastAsia="Arial Unicode MS" w:hAnsi="Arial Narrow" w:cs="Arial Unicode MS"/>
                <w:b/>
                <w:bCs/>
                <w:sz w:val="18"/>
                <w:szCs w:val="18"/>
              </w:rPr>
              <w:t>Hysterectomy (non-cancer) (5% total CIN 2/3 treatments)</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b/>
                <w:bCs/>
                <w:sz w:val="18"/>
                <w:szCs w:val="18"/>
              </w:rPr>
            </w:pPr>
            <w:r w:rsidRPr="00CC3BE5">
              <w:rPr>
                <w:rFonts w:ascii="Arial Narrow" w:eastAsia="Arial Unicode MS" w:hAnsi="Arial Narrow" w:cs="Arial Unicode MS"/>
                <w:b/>
                <w:bCs/>
                <w:sz w:val="18"/>
                <w:szCs w:val="18"/>
              </w:rPr>
              <w:t>0.05</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b/>
                <w:bCs/>
                <w:sz w:val="18"/>
                <w:szCs w:val="18"/>
              </w:rPr>
            </w:pPr>
            <w:r w:rsidRPr="00CC3BE5">
              <w:rPr>
                <w:rFonts w:ascii="Arial Narrow" w:eastAsia="Arial Unicode MS" w:hAnsi="Arial Narrow" w:cs="Arial Unicode MS"/>
                <w:b/>
                <w:bCs/>
                <w:sz w:val="18"/>
                <w:szCs w:val="18"/>
              </w:rPr>
              <w:t>$7276.25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100" w:firstLine="18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Hysterectomy</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i/>
                <w:iCs/>
                <w:sz w:val="18"/>
                <w:szCs w:val="18"/>
              </w:rPr>
            </w:pP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i/>
                <w:iCs/>
                <w:sz w:val="18"/>
                <w:szCs w:val="18"/>
              </w:rPr>
            </w:pP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1.000</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i/>
                <w:iCs/>
                <w:sz w:val="18"/>
                <w:szCs w:val="18"/>
              </w:rPr>
            </w:pPr>
            <w:r w:rsidRPr="00CC3BE5">
              <w:rPr>
                <w:rFonts w:ascii="Arial Narrow" w:eastAsia="Arial Unicode MS" w:hAnsi="Arial Narrow" w:cs="Arial Unicode MS"/>
                <w:i/>
                <w:iCs/>
                <w:sz w:val="18"/>
                <w:szCs w:val="18"/>
              </w:rPr>
              <w:t>$7276.25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Specialist consult</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104</w:t>
            </w:r>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$77.25</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$77.25</w:t>
            </w:r>
          </w:p>
        </w:tc>
      </w:tr>
      <w:tr w:rsidR="00234376" w:rsidRPr="00CC3BE5">
        <w:trPr>
          <w:trHeight w:val="300"/>
        </w:trPr>
        <w:tc>
          <w:tcPr>
            <w:tcW w:w="3686" w:type="dxa"/>
            <w:tcBorders>
              <w:top w:val="nil"/>
              <w:left w:val="nil"/>
              <w:bottom w:val="nil"/>
              <w:right w:val="nil"/>
            </w:tcBorders>
            <w:noWrap/>
            <w:vAlign w:val="bottom"/>
          </w:tcPr>
          <w:p w:rsidR="00234376" w:rsidRPr="00CC3BE5" w:rsidRDefault="00234376" w:rsidP="00041544">
            <w:pPr>
              <w:keepNext/>
              <w:keepLines/>
              <w:spacing w:after="0"/>
              <w:ind w:left="0" w:firstLineChars="200" w:firstLine="36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Hysterectomy for non-malignancy</w:t>
            </w:r>
          </w:p>
        </w:tc>
        <w:tc>
          <w:tcPr>
            <w:tcW w:w="1276" w:type="dxa"/>
            <w:tcBorders>
              <w:top w:val="nil"/>
              <w:left w:val="nil"/>
              <w:bottom w:val="nil"/>
              <w:right w:val="nil"/>
            </w:tcBorders>
            <w:noWrap/>
            <w:vAlign w:val="bottom"/>
          </w:tcPr>
          <w:p w:rsidR="00234376" w:rsidRPr="00CC3BE5" w:rsidRDefault="00234376" w:rsidP="008E03A7">
            <w:pPr>
              <w:keepNext/>
              <w:keepLines/>
              <w:spacing w:after="0"/>
              <w:ind w:left="0"/>
              <w:jc w:val="center"/>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 xml:space="preserve">DRG </w:t>
            </w:r>
            <w:bookmarkStart w:id="611" w:name="OLE_LINK220"/>
            <w:bookmarkStart w:id="612" w:name="OLE_LINK221"/>
            <w:r w:rsidRPr="00CC3BE5">
              <w:rPr>
                <w:rFonts w:ascii="Arial Narrow" w:eastAsia="Arial Unicode MS" w:hAnsi="Arial Narrow" w:cs="Arial Unicode MS"/>
                <w:sz w:val="18"/>
                <w:szCs w:val="18"/>
              </w:rPr>
              <w:t>N04Z</w:t>
            </w:r>
            <w:bookmarkEnd w:id="611"/>
            <w:bookmarkEnd w:id="612"/>
          </w:p>
        </w:tc>
        <w:tc>
          <w:tcPr>
            <w:tcW w:w="1417" w:type="dxa"/>
            <w:tcBorders>
              <w:top w:val="nil"/>
              <w:left w:val="nil"/>
              <w:bottom w:val="nil"/>
              <w:right w:val="nil"/>
            </w:tcBorders>
            <w:noWrap/>
            <w:vAlign w:val="bottom"/>
          </w:tcPr>
          <w:p w:rsidR="00234376" w:rsidRPr="00CC3BE5" w:rsidRDefault="00234376" w:rsidP="008E03A7">
            <w:pPr>
              <w:keepNext/>
              <w:keepLines/>
              <w:tabs>
                <w:tab w:val="decimal" w:pos="753"/>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$7199.00</w:t>
            </w:r>
          </w:p>
        </w:tc>
        <w:tc>
          <w:tcPr>
            <w:tcW w:w="1276" w:type="dxa"/>
            <w:tcBorders>
              <w:top w:val="nil"/>
              <w:left w:val="nil"/>
              <w:bottom w:val="nil"/>
              <w:right w:val="nil"/>
            </w:tcBorders>
            <w:noWrap/>
            <w:vAlign w:val="bottom"/>
          </w:tcPr>
          <w:p w:rsidR="00234376" w:rsidRPr="00CC3BE5" w:rsidRDefault="00234376" w:rsidP="008E03A7">
            <w:pPr>
              <w:keepNext/>
              <w:keepLines/>
              <w:tabs>
                <w:tab w:val="decimal" w:pos="325"/>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1</w:t>
            </w:r>
          </w:p>
        </w:tc>
        <w:tc>
          <w:tcPr>
            <w:tcW w:w="1134" w:type="dxa"/>
            <w:tcBorders>
              <w:top w:val="nil"/>
              <w:left w:val="nil"/>
              <w:bottom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r w:rsidRPr="00CC3BE5">
              <w:rPr>
                <w:rFonts w:ascii="Arial Narrow" w:eastAsia="Arial Unicode MS" w:hAnsi="Arial Narrow" w:cs="Arial Unicode MS"/>
                <w:sz w:val="18"/>
                <w:szCs w:val="18"/>
              </w:rPr>
              <w:t>$7199.00</w:t>
            </w:r>
          </w:p>
        </w:tc>
      </w:tr>
      <w:tr w:rsidR="00234376" w:rsidRPr="00CC3BE5">
        <w:trPr>
          <w:trHeight w:val="300"/>
        </w:trPr>
        <w:tc>
          <w:tcPr>
            <w:tcW w:w="3686" w:type="dxa"/>
            <w:tcBorders>
              <w:top w:val="nil"/>
              <w:left w:val="nil"/>
              <w:right w:val="nil"/>
            </w:tcBorders>
            <w:noWrap/>
            <w:vAlign w:val="bottom"/>
          </w:tcPr>
          <w:p w:rsidR="00234376" w:rsidRPr="00CC3BE5" w:rsidRDefault="00234376" w:rsidP="008E03A7">
            <w:pPr>
              <w:keepNext/>
              <w:keepLines/>
              <w:spacing w:after="0"/>
              <w:ind w:left="0"/>
              <w:rPr>
                <w:rFonts w:ascii="Arial Narrow" w:eastAsia="Arial Unicode MS" w:hAnsi="Arial Narrow" w:cs="Arial Unicode MS"/>
                <w:sz w:val="18"/>
                <w:szCs w:val="18"/>
              </w:rPr>
            </w:pPr>
          </w:p>
        </w:tc>
        <w:tc>
          <w:tcPr>
            <w:tcW w:w="1276" w:type="dxa"/>
            <w:tcBorders>
              <w:top w:val="nil"/>
              <w:left w:val="nil"/>
              <w:right w:val="nil"/>
            </w:tcBorders>
            <w:noWrap/>
            <w:vAlign w:val="bottom"/>
          </w:tcPr>
          <w:p w:rsidR="00234376" w:rsidRPr="00CC3BE5" w:rsidRDefault="00234376" w:rsidP="008E03A7">
            <w:pPr>
              <w:keepNext/>
              <w:keepLines/>
              <w:spacing w:after="0"/>
              <w:ind w:left="0"/>
              <w:rPr>
                <w:rFonts w:ascii="Arial Narrow" w:eastAsia="Arial Unicode MS" w:hAnsi="Arial Narrow" w:cs="Arial Unicode MS"/>
                <w:sz w:val="18"/>
                <w:szCs w:val="18"/>
              </w:rPr>
            </w:pPr>
          </w:p>
        </w:tc>
        <w:tc>
          <w:tcPr>
            <w:tcW w:w="1417" w:type="dxa"/>
            <w:tcBorders>
              <w:top w:val="nil"/>
              <w:left w:val="nil"/>
              <w:right w:val="nil"/>
            </w:tcBorders>
            <w:noWrap/>
            <w:vAlign w:val="bottom"/>
          </w:tcPr>
          <w:p w:rsidR="00234376" w:rsidRPr="00CC3BE5" w:rsidRDefault="00234376" w:rsidP="008E03A7">
            <w:pPr>
              <w:keepNext/>
              <w:keepLines/>
              <w:spacing w:after="0"/>
              <w:ind w:left="0"/>
              <w:rPr>
                <w:rFonts w:ascii="Arial Narrow" w:eastAsia="Arial Unicode MS" w:hAnsi="Arial Narrow" w:cs="Arial Unicode MS"/>
                <w:sz w:val="18"/>
                <w:szCs w:val="18"/>
              </w:rPr>
            </w:pPr>
          </w:p>
        </w:tc>
        <w:tc>
          <w:tcPr>
            <w:tcW w:w="1276" w:type="dxa"/>
            <w:tcBorders>
              <w:top w:val="nil"/>
              <w:left w:val="nil"/>
              <w:right w:val="nil"/>
            </w:tcBorders>
            <w:noWrap/>
            <w:vAlign w:val="bottom"/>
          </w:tcPr>
          <w:p w:rsidR="00234376" w:rsidRPr="00CC3BE5" w:rsidRDefault="00234376" w:rsidP="008E03A7">
            <w:pPr>
              <w:keepNext/>
              <w:keepLines/>
              <w:spacing w:after="0"/>
              <w:ind w:left="0"/>
              <w:rPr>
                <w:rFonts w:ascii="Arial Narrow" w:eastAsia="Arial Unicode MS" w:hAnsi="Arial Narrow" w:cs="Arial Unicode MS"/>
                <w:sz w:val="18"/>
                <w:szCs w:val="18"/>
              </w:rPr>
            </w:pPr>
          </w:p>
        </w:tc>
        <w:tc>
          <w:tcPr>
            <w:tcW w:w="1134" w:type="dxa"/>
            <w:tcBorders>
              <w:top w:val="nil"/>
              <w:left w:val="nil"/>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sz w:val="18"/>
                <w:szCs w:val="18"/>
              </w:rPr>
            </w:pPr>
          </w:p>
        </w:tc>
      </w:tr>
      <w:tr w:rsidR="00234376" w:rsidRPr="00CC3BE5">
        <w:trPr>
          <w:trHeight w:val="300"/>
        </w:trPr>
        <w:tc>
          <w:tcPr>
            <w:tcW w:w="4962" w:type="dxa"/>
            <w:gridSpan w:val="2"/>
            <w:tcBorders>
              <w:top w:val="nil"/>
              <w:left w:val="nil"/>
              <w:bottom w:val="single" w:sz="4" w:space="0" w:color="auto"/>
              <w:right w:val="nil"/>
            </w:tcBorders>
            <w:noWrap/>
            <w:vAlign w:val="bottom"/>
          </w:tcPr>
          <w:p w:rsidR="00234376" w:rsidRPr="00CC3BE5" w:rsidRDefault="00234376" w:rsidP="008E03A7">
            <w:pPr>
              <w:keepNext/>
              <w:keepLines/>
              <w:spacing w:after="0"/>
              <w:ind w:left="0"/>
              <w:rPr>
                <w:rFonts w:ascii="Arial Narrow" w:eastAsia="Arial Unicode MS" w:hAnsi="Arial Narrow" w:cs="Arial Unicode MS"/>
                <w:b/>
                <w:bCs/>
                <w:sz w:val="18"/>
                <w:szCs w:val="18"/>
              </w:rPr>
            </w:pPr>
            <w:r w:rsidRPr="00CC3BE5">
              <w:rPr>
                <w:rFonts w:ascii="Arial Narrow" w:eastAsia="Arial Unicode MS" w:hAnsi="Arial Narrow" w:cs="Arial Unicode MS"/>
                <w:b/>
                <w:bCs/>
                <w:sz w:val="18"/>
                <w:szCs w:val="18"/>
              </w:rPr>
              <w:t>Total weighted-average cost of treatment for CIN 2/3</w:t>
            </w:r>
          </w:p>
        </w:tc>
        <w:tc>
          <w:tcPr>
            <w:tcW w:w="1417" w:type="dxa"/>
            <w:tcBorders>
              <w:top w:val="nil"/>
              <w:left w:val="nil"/>
              <w:bottom w:val="single" w:sz="4" w:space="0" w:color="auto"/>
              <w:right w:val="nil"/>
            </w:tcBorders>
            <w:noWrap/>
            <w:vAlign w:val="bottom"/>
          </w:tcPr>
          <w:p w:rsidR="00234376" w:rsidRPr="00CC3BE5" w:rsidRDefault="00234376" w:rsidP="008E03A7">
            <w:pPr>
              <w:keepNext/>
              <w:keepLines/>
              <w:spacing w:after="0"/>
              <w:ind w:left="0"/>
              <w:rPr>
                <w:rFonts w:ascii="Arial Narrow" w:eastAsia="Arial Unicode MS" w:hAnsi="Arial Narrow" w:cs="Arial Unicode MS"/>
                <w:b/>
                <w:bCs/>
                <w:sz w:val="18"/>
                <w:szCs w:val="18"/>
              </w:rPr>
            </w:pPr>
          </w:p>
        </w:tc>
        <w:tc>
          <w:tcPr>
            <w:tcW w:w="1276" w:type="dxa"/>
            <w:tcBorders>
              <w:top w:val="nil"/>
              <w:left w:val="nil"/>
              <w:bottom w:val="single" w:sz="4" w:space="0" w:color="auto"/>
              <w:right w:val="nil"/>
            </w:tcBorders>
            <w:noWrap/>
            <w:vAlign w:val="bottom"/>
          </w:tcPr>
          <w:p w:rsidR="00234376" w:rsidRPr="00CC3BE5" w:rsidRDefault="00234376" w:rsidP="008E03A7">
            <w:pPr>
              <w:keepNext/>
              <w:keepLines/>
              <w:spacing w:after="0"/>
              <w:ind w:left="0"/>
              <w:rPr>
                <w:rFonts w:ascii="Arial Narrow" w:eastAsia="Arial Unicode MS" w:hAnsi="Arial Narrow" w:cs="Arial Unicode MS"/>
                <w:b/>
                <w:bCs/>
                <w:sz w:val="18"/>
                <w:szCs w:val="18"/>
              </w:rPr>
            </w:pPr>
          </w:p>
        </w:tc>
        <w:tc>
          <w:tcPr>
            <w:tcW w:w="1134" w:type="dxa"/>
            <w:tcBorders>
              <w:top w:val="nil"/>
              <w:left w:val="nil"/>
              <w:bottom w:val="single" w:sz="4" w:space="0" w:color="auto"/>
              <w:right w:val="nil"/>
            </w:tcBorders>
            <w:noWrap/>
            <w:vAlign w:val="bottom"/>
          </w:tcPr>
          <w:p w:rsidR="00234376" w:rsidRPr="00CC3BE5" w:rsidRDefault="00234376" w:rsidP="008E03A7">
            <w:pPr>
              <w:keepNext/>
              <w:keepLines/>
              <w:tabs>
                <w:tab w:val="decimal" w:pos="614"/>
              </w:tabs>
              <w:spacing w:after="0"/>
              <w:ind w:left="0"/>
              <w:rPr>
                <w:rFonts w:ascii="Arial Narrow" w:eastAsia="Arial Unicode MS" w:hAnsi="Arial Narrow" w:cs="Arial Unicode MS"/>
                <w:b/>
                <w:bCs/>
                <w:sz w:val="18"/>
                <w:szCs w:val="18"/>
              </w:rPr>
            </w:pPr>
            <w:r w:rsidRPr="00CC3BE5">
              <w:rPr>
                <w:rFonts w:ascii="Arial Narrow" w:eastAsia="Arial Unicode MS" w:hAnsi="Arial Narrow" w:cs="Arial Unicode MS"/>
                <w:b/>
                <w:bCs/>
                <w:sz w:val="18"/>
                <w:szCs w:val="18"/>
              </w:rPr>
              <w:t>$1112.26</w:t>
            </w:r>
          </w:p>
        </w:tc>
      </w:tr>
    </w:tbl>
    <w:p w:rsidR="00234376" w:rsidRPr="006C24DD" w:rsidRDefault="00234376" w:rsidP="008E03A7">
      <w:pPr>
        <w:pStyle w:val="TableText0"/>
        <w:ind w:firstLine="567"/>
        <w:rPr>
          <w:rFonts w:ascii="Arial Narrow" w:hAnsi="Arial Narrow"/>
        </w:rPr>
      </w:pPr>
      <w:r w:rsidRPr="00CC3BE5">
        <w:rPr>
          <w:rFonts w:ascii="Arial Narrow" w:hAnsi="Arial Narrow"/>
          <w:vertAlign w:val="superscript"/>
        </w:rPr>
        <w:t>a</w:t>
      </w:r>
      <w:r w:rsidRPr="00CC3BE5">
        <w:rPr>
          <w:rFonts w:ascii="Arial Narrow" w:hAnsi="Arial Narrow"/>
        </w:rPr>
        <w:t xml:space="preserve"> MBS use data 2007. DRG = diagnosis-related group. LEEP = loop electrosurgical excision procedure.</w:t>
      </w:r>
    </w:p>
    <w:p w:rsidR="00234376" w:rsidRPr="00537C3C" w:rsidRDefault="00234376" w:rsidP="008E03A7"/>
    <w:p w:rsidR="00234376" w:rsidRPr="00537C3C" w:rsidRDefault="00234376" w:rsidP="008E03A7">
      <w:pPr>
        <w:pStyle w:val="Heading6"/>
      </w:pPr>
      <w:r w:rsidRPr="00537C3C">
        <w:t xml:space="preserve">Cost of </w:t>
      </w:r>
      <w:r w:rsidRPr="00BB76D8">
        <w:t>CIN</w:t>
      </w:r>
      <w:r w:rsidRPr="00537C3C">
        <w:t xml:space="preserve"> 2/3 follow-up</w:t>
      </w:r>
    </w:p>
    <w:p w:rsidR="00234376" w:rsidRDefault="00234376" w:rsidP="00234376">
      <w:pPr>
        <w:rPr>
          <w:rFonts w:cs="Arial"/>
        </w:rPr>
      </w:pPr>
      <w:r w:rsidRPr="00537C3C">
        <w:rPr>
          <w:rFonts w:cs="Arial"/>
        </w:rPr>
        <w:t xml:space="preserve">The cost of </w:t>
      </w:r>
      <w:r w:rsidRPr="00BB76D8">
        <w:rPr>
          <w:rFonts w:cs="Arial"/>
        </w:rPr>
        <w:t>CIN</w:t>
      </w:r>
      <w:r w:rsidRPr="00537C3C">
        <w:rPr>
          <w:rFonts w:cs="Arial"/>
        </w:rPr>
        <w:t xml:space="preserve"> 2/3 follow-up is based on the management pathway in the 2005 </w:t>
      </w:r>
      <w:r w:rsidRPr="00BB76D8">
        <w:rPr>
          <w:rFonts w:cs="Arial"/>
        </w:rPr>
        <w:t>NHMRC</w:t>
      </w:r>
      <w:r w:rsidRPr="00537C3C">
        <w:rPr>
          <w:rFonts w:cs="Arial"/>
        </w:rPr>
        <w:t xml:space="preserve"> guidelines, and is made up of medical consultations at 6, 12 and 24 months, Pap tests at 6, 12, and 24 months, colposcopy at 6 months, and </w:t>
      </w:r>
      <w:r w:rsidRPr="00BB76D8">
        <w:rPr>
          <w:rFonts w:cs="Arial"/>
        </w:rPr>
        <w:t>HPV</w:t>
      </w:r>
      <w:r w:rsidRPr="00537C3C">
        <w:rPr>
          <w:rFonts w:cs="Arial"/>
        </w:rPr>
        <w:t>-</w:t>
      </w:r>
      <w:r w:rsidRPr="00BB76D8">
        <w:rPr>
          <w:rFonts w:cs="Arial"/>
        </w:rPr>
        <w:t>DNA</w:t>
      </w:r>
      <w:r w:rsidRPr="00537C3C">
        <w:rPr>
          <w:rFonts w:cs="Arial"/>
        </w:rPr>
        <w:t xml:space="preserve"> tests at 12 and 24 months. Costs have been calculated separately for each screening method.</w:t>
      </w:r>
    </w:p>
    <w:p w:rsidR="00234376" w:rsidRPr="00537C3C" w:rsidRDefault="00234376" w:rsidP="008E03A7">
      <w:pPr>
        <w:pStyle w:val="TableNamea"/>
        <w:keepLines/>
        <w:ind w:left="1644"/>
      </w:pPr>
      <w:bookmarkStart w:id="613" w:name="_Ref209517111"/>
      <w:bookmarkStart w:id="614" w:name="_Toc95971278"/>
      <w:r w:rsidRPr="00537C3C">
        <w:lastRenderedPageBreak/>
        <w:t xml:space="preserve">Table </w:t>
      </w:r>
      <w:fldSimple w:instr=" SEQ Table \* ARABIC ">
        <w:r w:rsidR="007D3DFF">
          <w:rPr>
            <w:noProof/>
          </w:rPr>
          <w:t>42</w:t>
        </w:r>
      </w:fldSimple>
      <w:bookmarkEnd w:id="613"/>
      <w:r w:rsidRPr="00537C3C">
        <w:tab/>
        <w:t xml:space="preserve">Cost of </w:t>
      </w:r>
      <w:r w:rsidRPr="00BB76D8">
        <w:t>CIN</w:t>
      </w:r>
      <w:r w:rsidRPr="00537C3C">
        <w:t xml:space="preserve"> 2/3 follow-up (conventional cytology, </w:t>
      </w:r>
      <w:r w:rsidRPr="00BB76D8">
        <w:t>LBC</w:t>
      </w:r>
      <w:r w:rsidRPr="00537C3C">
        <w:t xml:space="preserve"> with manual reading and automated </w:t>
      </w:r>
      <w:r w:rsidRPr="00BB76D8">
        <w:t>LBC</w:t>
      </w:r>
      <w:r w:rsidRPr="00537C3C">
        <w:t xml:space="preserve">) (based on 2005 </w:t>
      </w:r>
      <w:r w:rsidRPr="00BB76D8">
        <w:t>NHMRC</w:t>
      </w:r>
      <w:r w:rsidRPr="00537C3C">
        <w:t xml:space="preserve"> guidelines).</w:t>
      </w:r>
      <w:bookmarkEnd w:id="614"/>
    </w:p>
    <w:tbl>
      <w:tblPr>
        <w:tblW w:w="8403" w:type="dxa"/>
        <w:tblInd w:w="675"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2193"/>
        <w:gridCol w:w="1271"/>
        <w:gridCol w:w="709"/>
        <w:gridCol w:w="1115"/>
        <w:gridCol w:w="1000"/>
        <w:gridCol w:w="1057"/>
        <w:gridCol w:w="1058"/>
      </w:tblGrid>
      <w:tr w:rsidR="00234376" w:rsidRPr="00537C3C">
        <w:trPr>
          <w:trHeight w:val="600"/>
        </w:trPr>
        <w:tc>
          <w:tcPr>
            <w:tcW w:w="2193" w:type="dxa"/>
            <w:tcBorders>
              <w:top w:val="single" w:sz="4" w:space="0" w:color="auto"/>
              <w:bottom w:val="single" w:sz="4" w:space="0" w:color="auto"/>
            </w:tcBorders>
            <w:noWrap/>
            <w:vAlign w:val="center"/>
          </w:tcPr>
          <w:p w:rsidR="00234376" w:rsidRPr="00537C3C" w:rsidRDefault="00234376" w:rsidP="008E03A7">
            <w:pPr>
              <w:keepNext/>
              <w:keepLines/>
              <w:spacing w:after="0"/>
              <w:ind w:left="0"/>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Components</w:t>
            </w:r>
          </w:p>
        </w:tc>
        <w:tc>
          <w:tcPr>
            <w:tcW w:w="1271" w:type="dxa"/>
            <w:tcBorders>
              <w:top w:val="single" w:sz="4" w:space="0" w:color="auto"/>
              <w:bottom w:val="single" w:sz="4" w:space="0" w:color="auto"/>
            </w:tcBorders>
            <w:noWrap/>
            <w:vAlign w:val="center"/>
          </w:tcPr>
          <w:p w:rsidR="00234376" w:rsidRPr="00537C3C" w:rsidRDefault="00234376" w:rsidP="008E03A7">
            <w:pPr>
              <w:keepNext/>
              <w:keepLines/>
              <w:spacing w:after="0"/>
              <w:ind w:left="0"/>
              <w:jc w:val="center"/>
              <w:rPr>
                <w:rFonts w:ascii="Arial Narrow" w:eastAsia="Arial Unicode MS" w:hAnsi="Arial Narrow" w:cs="Arial Unicode MS"/>
                <w:b/>
                <w:sz w:val="20"/>
                <w:szCs w:val="18"/>
              </w:rPr>
            </w:pPr>
            <w:r w:rsidRPr="00BB76D8">
              <w:rPr>
                <w:rFonts w:ascii="Arial Narrow" w:eastAsia="Arial Unicode MS" w:hAnsi="Arial Narrow" w:cs="Arial Unicode MS"/>
                <w:b/>
                <w:sz w:val="20"/>
                <w:szCs w:val="18"/>
              </w:rPr>
              <w:t>MBS</w:t>
            </w:r>
            <w:r w:rsidRPr="00537C3C">
              <w:rPr>
                <w:rFonts w:ascii="Arial Narrow" w:eastAsia="Arial Unicode MS" w:hAnsi="Arial Narrow" w:cs="Arial Unicode MS"/>
                <w:b/>
                <w:sz w:val="20"/>
                <w:szCs w:val="18"/>
              </w:rPr>
              <w:t xml:space="preserve"> / DRG item</w:t>
            </w:r>
          </w:p>
        </w:tc>
        <w:tc>
          <w:tcPr>
            <w:tcW w:w="709" w:type="dxa"/>
            <w:tcBorders>
              <w:top w:val="single" w:sz="4" w:space="0" w:color="auto"/>
              <w:bottom w:val="single" w:sz="4" w:space="0" w:color="auto"/>
            </w:tcBorders>
            <w:vAlign w:val="center"/>
          </w:tcPr>
          <w:p w:rsidR="00234376" w:rsidRPr="00537C3C" w:rsidRDefault="00234376" w:rsidP="008E03A7">
            <w:pPr>
              <w:keepNext/>
              <w:keepLines/>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Prop. patients</w:t>
            </w:r>
          </w:p>
        </w:tc>
        <w:tc>
          <w:tcPr>
            <w:tcW w:w="1115" w:type="dxa"/>
            <w:tcBorders>
              <w:top w:val="single" w:sz="4" w:space="0" w:color="auto"/>
              <w:bottom w:val="single" w:sz="4" w:space="0" w:color="auto"/>
            </w:tcBorders>
            <w:vAlign w:val="center"/>
          </w:tcPr>
          <w:p w:rsidR="00234376" w:rsidRPr="00537C3C" w:rsidRDefault="00234376" w:rsidP="008E03A7">
            <w:pPr>
              <w:keepNext/>
              <w:keepLines/>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Cost conventional</w:t>
            </w:r>
          </w:p>
        </w:tc>
        <w:tc>
          <w:tcPr>
            <w:tcW w:w="1000" w:type="dxa"/>
            <w:tcBorders>
              <w:top w:val="single" w:sz="4" w:space="0" w:color="auto"/>
              <w:bottom w:val="single" w:sz="4" w:space="0" w:color="auto"/>
            </w:tcBorders>
            <w:vAlign w:val="center"/>
          </w:tcPr>
          <w:p w:rsidR="00234376" w:rsidRPr="00537C3C" w:rsidRDefault="00234376" w:rsidP="008E03A7">
            <w:pPr>
              <w:keepNext/>
              <w:keepLines/>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 xml:space="preserve">Cost </w:t>
            </w:r>
            <w:r w:rsidRPr="00BB76D8">
              <w:rPr>
                <w:rFonts w:ascii="Arial Narrow" w:eastAsia="Arial Unicode MS" w:hAnsi="Arial Narrow" w:cs="Arial Unicode MS"/>
                <w:b/>
                <w:sz w:val="20"/>
                <w:szCs w:val="18"/>
              </w:rPr>
              <w:t>LBC</w:t>
            </w:r>
            <w:r w:rsidRPr="00537C3C">
              <w:rPr>
                <w:rFonts w:ascii="Arial Narrow" w:eastAsia="Arial Unicode MS" w:hAnsi="Arial Narrow" w:cs="Arial Unicode MS"/>
                <w:b/>
                <w:sz w:val="20"/>
                <w:szCs w:val="18"/>
              </w:rPr>
              <w:t xml:space="preserve"> manual (higher)</w:t>
            </w:r>
          </w:p>
        </w:tc>
        <w:tc>
          <w:tcPr>
            <w:tcW w:w="1057" w:type="dxa"/>
            <w:tcBorders>
              <w:top w:val="single" w:sz="4" w:space="0" w:color="auto"/>
              <w:bottom w:val="single" w:sz="4" w:space="0" w:color="auto"/>
            </w:tcBorders>
            <w:vAlign w:val="center"/>
          </w:tcPr>
          <w:p w:rsidR="00234376" w:rsidRPr="00537C3C" w:rsidRDefault="00234376" w:rsidP="008E03A7">
            <w:pPr>
              <w:keepNext/>
              <w:keepLines/>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 xml:space="preserve">Cost </w:t>
            </w:r>
            <w:r w:rsidRPr="00BB76D8">
              <w:rPr>
                <w:rFonts w:ascii="Arial Narrow" w:eastAsia="Arial Unicode MS" w:hAnsi="Arial Narrow" w:cs="Arial Unicode MS"/>
                <w:b/>
                <w:sz w:val="20"/>
                <w:szCs w:val="18"/>
              </w:rPr>
              <w:t>LBC</w:t>
            </w:r>
            <w:r w:rsidRPr="00537C3C">
              <w:rPr>
                <w:rFonts w:ascii="Arial Narrow" w:eastAsia="Arial Unicode MS" w:hAnsi="Arial Narrow" w:cs="Arial Unicode MS"/>
                <w:b/>
                <w:sz w:val="20"/>
                <w:szCs w:val="18"/>
              </w:rPr>
              <w:t xml:space="preserve"> manual (lower)</w:t>
            </w:r>
          </w:p>
        </w:tc>
        <w:tc>
          <w:tcPr>
            <w:tcW w:w="1058" w:type="dxa"/>
            <w:tcBorders>
              <w:top w:val="single" w:sz="4" w:space="0" w:color="auto"/>
              <w:bottom w:val="single" w:sz="4" w:space="0" w:color="auto"/>
            </w:tcBorders>
            <w:vAlign w:val="center"/>
          </w:tcPr>
          <w:p w:rsidR="00234376" w:rsidRPr="00537C3C" w:rsidRDefault="00234376" w:rsidP="008E03A7">
            <w:pPr>
              <w:keepNext/>
              <w:keepLines/>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 xml:space="preserve">Cost </w:t>
            </w:r>
            <w:r w:rsidRPr="00BB76D8">
              <w:rPr>
                <w:rFonts w:ascii="Arial Narrow" w:eastAsia="Arial Unicode MS" w:hAnsi="Arial Narrow" w:cs="Arial Unicode MS"/>
                <w:b/>
                <w:sz w:val="20"/>
                <w:szCs w:val="18"/>
              </w:rPr>
              <w:t>LBC</w:t>
            </w:r>
            <w:r w:rsidRPr="00537C3C">
              <w:rPr>
                <w:rFonts w:ascii="Arial Narrow" w:eastAsia="Arial Unicode MS" w:hAnsi="Arial Narrow" w:cs="Arial Unicode MS"/>
                <w:b/>
                <w:sz w:val="20"/>
                <w:szCs w:val="18"/>
              </w:rPr>
              <w:t xml:space="preserve"> automated</w:t>
            </w:r>
          </w:p>
        </w:tc>
      </w:tr>
      <w:tr w:rsidR="00234376" w:rsidRPr="00537C3C">
        <w:trPr>
          <w:trHeight w:val="300"/>
        </w:trPr>
        <w:tc>
          <w:tcPr>
            <w:tcW w:w="2193" w:type="dxa"/>
            <w:tcBorders>
              <w:top w:val="single" w:sz="4" w:space="0" w:color="auto"/>
            </w:tcBorders>
            <w:noWrap/>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r w:rsidRPr="00537C3C">
              <w:rPr>
                <w:rFonts w:ascii="Arial Narrow" w:eastAsia="Arial Unicode MS" w:hAnsi="Arial Narrow" w:cs="Arial Unicode MS"/>
                <w:i/>
                <w:iCs/>
                <w:sz w:val="18"/>
                <w:szCs w:val="18"/>
              </w:rPr>
              <w:t>4–6 months after treatment</w:t>
            </w:r>
          </w:p>
        </w:tc>
        <w:tc>
          <w:tcPr>
            <w:tcW w:w="1271" w:type="dxa"/>
            <w:tcBorders>
              <w:top w:val="single" w:sz="4" w:space="0" w:color="auto"/>
            </w:tcBorders>
            <w:noWrap/>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709" w:type="dxa"/>
            <w:tcBorders>
              <w:top w:val="single" w:sz="4" w:space="0" w:color="auto"/>
            </w:tcBorders>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115" w:type="dxa"/>
            <w:tcBorders>
              <w:top w:val="single" w:sz="4" w:space="0" w:color="auto"/>
            </w:tcBorders>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000" w:type="dxa"/>
            <w:tcBorders>
              <w:top w:val="single" w:sz="4" w:space="0" w:color="auto"/>
            </w:tcBorders>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057" w:type="dxa"/>
            <w:tcBorders>
              <w:top w:val="single" w:sz="4" w:space="0" w:color="auto"/>
            </w:tcBorders>
            <w:noWrap/>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058" w:type="dxa"/>
            <w:tcBorders>
              <w:top w:val="single" w:sz="4" w:space="0" w:color="auto"/>
            </w:tcBorders>
            <w:noWrap/>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r>
      <w:tr w:rsidR="00234376" w:rsidRPr="00537C3C">
        <w:trPr>
          <w:trHeight w:val="300"/>
        </w:trPr>
        <w:tc>
          <w:tcPr>
            <w:tcW w:w="2193" w:type="dxa"/>
            <w:noWrap/>
            <w:vAlign w:val="center"/>
          </w:tcPr>
          <w:p w:rsidR="00234376" w:rsidRPr="00537C3C" w:rsidRDefault="00234376" w:rsidP="00041544">
            <w:pPr>
              <w:keepNext/>
              <w:keepLines/>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Specialist consult</w:t>
            </w:r>
          </w:p>
        </w:tc>
        <w:tc>
          <w:tcPr>
            <w:tcW w:w="1271"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105</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$38.80</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$38.80</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$38.80</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$38.80</w:t>
            </w:r>
          </w:p>
        </w:tc>
      </w:tr>
      <w:tr w:rsidR="00234376" w:rsidRPr="00537C3C">
        <w:trPr>
          <w:trHeight w:val="300"/>
        </w:trPr>
        <w:tc>
          <w:tcPr>
            <w:tcW w:w="2193" w:type="dxa"/>
            <w:noWrap/>
            <w:vAlign w:val="center"/>
          </w:tcPr>
          <w:p w:rsidR="00234376" w:rsidRPr="00537C3C" w:rsidRDefault="00234376" w:rsidP="00041544">
            <w:pPr>
              <w:keepNext/>
              <w:keepLines/>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Initiation of patient episode</w:t>
            </w:r>
          </w:p>
        </w:tc>
        <w:tc>
          <w:tcPr>
            <w:tcW w:w="1271"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73922</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$8.25</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$8.25</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$8.25</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$8.25</w:t>
            </w:r>
          </w:p>
        </w:tc>
      </w:tr>
      <w:tr w:rsidR="00234376" w:rsidRPr="00537C3C">
        <w:trPr>
          <w:trHeight w:val="300"/>
        </w:trPr>
        <w:tc>
          <w:tcPr>
            <w:tcW w:w="2193" w:type="dxa"/>
            <w:noWrap/>
            <w:vAlign w:val="center"/>
          </w:tcPr>
          <w:p w:rsidR="00234376" w:rsidRPr="00537C3C" w:rsidRDefault="00234376" w:rsidP="00041544">
            <w:pPr>
              <w:keepNext/>
              <w:keepLines/>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Pap test</w:t>
            </w:r>
          </w:p>
        </w:tc>
        <w:tc>
          <w:tcPr>
            <w:tcW w:w="1271"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73053, 73057</w:t>
            </w:r>
            <w:r w:rsidRPr="00234376">
              <w:rPr>
                <w:rFonts w:ascii="Arial Narrow" w:eastAsia="Arial Unicode MS" w:hAnsi="Arial Narrow" w:cs="Arial Unicode MS"/>
                <w:sz w:val="18"/>
                <w:szCs w:val="18"/>
                <w:vertAlign w:val="superscript"/>
              </w:rPr>
              <w:t xml:space="preserve"> a</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$19.60</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$30.50</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$22.00</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$36.00</w:t>
            </w:r>
          </w:p>
        </w:tc>
      </w:tr>
      <w:tr w:rsidR="00234376" w:rsidRPr="00537C3C">
        <w:trPr>
          <w:trHeight w:val="300"/>
        </w:trPr>
        <w:tc>
          <w:tcPr>
            <w:tcW w:w="2193" w:type="dxa"/>
            <w:noWrap/>
            <w:vAlign w:val="center"/>
          </w:tcPr>
          <w:p w:rsidR="00234376" w:rsidRPr="00537C3C" w:rsidRDefault="00234376" w:rsidP="00041544">
            <w:pPr>
              <w:keepNext/>
              <w:keepLines/>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Colposcopy</w:t>
            </w:r>
          </w:p>
        </w:tc>
        <w:tc>
          <w:tcPr>
            <w:tcW w:w="1271"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35614</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$57.65</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$57.65</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$57.65</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$57.65</w:t>
            </w:r>
          </w:p>
        </w:tc>
      </w:tr>
      <w:tr w:rsidR="00234376" w:rsidRPr="00537C3C">
        <w:trPr>
          <w:trHeight w:val="300"/>
        </w:trPr>
        <w:tc>
          <w:tcPr>
            <w:tcW w:w="2193" w:type="dxa"/>
            <w:noWrap/>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r w:rsidRPr="00537C3C">
              <w:rPr>
                <w:rFonts w:ascii="Arial Narrow" w:eastAsia="Arial Unicode MS" w:hAnsi="Arial Narrow" w:cs="Arial Unicode MS"/>
                <w:i/>
                <w:iCs/>
                <w:sz w:val="18"/>
                <w:szCs w:val="18"/>
              </w:rPr>
              <w:t>12 months after treatment</w:t>
            </w:r>
          </w:p>
        </w:tc>
        <w:tc>
          <w:tcPr>
            <w:tcW w:w="1271" w:type="dxa"/>
            <w:noWrap/>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r>
      <w:tr w:rsidR="00234376" w:rsidRPr="00537C3C">
        <w:trPr>
          <w:trHeight w:val="600"/>
        </w:trPr>
        <w:tc>
          <w:tcPr>
            <w:tcW w:w="2193" w:type="dxa"/>
            <w:noWrap/>
            <w:vAlign w:val="center"/>
          </w:tcPr>
          <w:p w:rsidR="00234376" w:rsidRPr="00537C3C" w:rsidRDefault="00234376" w:rsidP="00041544">
            <w:pPr>
              <w:keepNext/>
              <w:keepLines/>
              <w:spacing w:after="0"/>
              <w:ind w:left="176" w:firstLineChars="2" w:firstLine="4"/>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Weighted-average cost of a consultation</w:t>
            </w:r>
          </w:p>
        </w:tc>
        <w:tc>
          <w:tcPr>
            <w:tcW w:w="1271" w:type="dxa"/>
            <w:vAlign w:val="center"/>
          </w:tcPr>
          <w:p w:rsidR="00234376" w:rsidRPr="00234376" w:rsidRDefault="00234376" w:rsidP="008E03A7">
            <w:pPr>
              <w:keepNext/>
              <w:keepLines/>
              <w:spacing w:after="0"/>
              <w:ind w:left="0"/>
              <w:rPr>
                <w:rFonts w:ascii="Arial Narrow" w:eastAsia="Arial Unicode MS" w:hAnsi="Arial Narrow" w:cs="Arial Unicode MS"/>
                <w:sz w:val="18"/>
                <w:szCs w:val="18"/>
                <w:highlight w:val="cyan"/>
              </w:rPr>
            </w:pPr>
            <w:r w:rsidRPr="001E6D1E">
              <w:rPr>
                <w:rFonts w:ascii="Arial Narrow" w:eastAsia="Arial Unicode MS" w:hAnsi="Arial Narrow" w:cs="Arial Unicode MS"/>
                <w:sz w:val="18"/>
                <w:szCs w:val="18"/>
              </w:rPr>
              <w:t>3, 23, 36, 44, 52, 53, 54, 57, 104, 105</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$38.11</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$38.11</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$38.11</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$38.11</w:t>
            </w:r>
          </w:p>
        </w:tc>
      </w:tr>
      <w:tr w:rsidR="00234376" w:rsidRPr="00537C3C">
        <w:trPr>
          <w:trHeight w:val="300"/>
        </w:trPr>
        <w:tc>
          <w:tcPr>
            <w:tcW w:w="2193" w:type="dxa"/>
            <w:noWrap/>
            <w:vAlign w:val="center"/>
          </w:tcPr>
          <w:p w:rsidR="00234376" w:rsidRPr="00537C3C" w:rsidRDefault="00234376" w:rsidP="00041544">
            <w:pPr>
              <w:keepNext/>
              <w:keepLines/>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Initiation of patient episode</w:t>
            </w:r>
          </w:p>
        </w:tc>
        <w:tc>
          <w:tcPr>
            <w:tcW w:w="1271"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73922</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$8.25</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$8.25</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$8.25</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$8.25</w:t>
            </w:r>
          </w:p>
        </w:tc>
      </w:tr>
      <w:tr w:rsidR="00234376" w:rsidRPr="00537C3C">
        <w:trPr>
          <w:trHeight w:val="300"/>
        </w:trPr>
        <w:tc>
          <w:tcPr>
            <w:tcW w:w="2193" w:type="dxa"/>
            <w:noWrap/>
            <w:vAlign w:val="center"/>
          </w:tcPr>
          <w:p w:rsidR="00234376" w:rsidRPr="00537C3C" w:rsidRDefault="00234376" w:rsidP="00041544">
            <w:pPr>
              <w:keepNext/>
              <w:keepLines/>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Pap test</w:t>
            </w:r>
          </w:p>
        </w:tc>
        <w:tc>
          <w:tcPr>
            <w:tcW w:w="1271"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73053, 73057</w:t>
            </w:r>
            <w:r w:rsidRPr="00234376">
              <w:rPr>
                <w:rFonts w:ascii="Arial Narrow" w:eastAsia="Arial Unicode MS" w:hAnsi="Arial Narrow" w:cs="Arial Unicode MS"/>
                <w:sz w:val="18"/>
                <w:szCs w:val="18"/>
                <w:vertAlign w:val="superscript"/>
              </w:rPr>
              <w:t xml:space="preserve"> a</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$19.60</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$30.50</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$22.00</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$36.00</w:t>
            </w:r>
          </w:p>
        </w:tc>
      </w:tr>
      <w:tr w:rsidR="00234376" w:rsidRPr="00537C3C">
        <w:trPr>
          <w:trHeight w:val="300"/>
        </w:trPr>
        <w:tc>
          <w:tcPr>
            <w:tcW w:w="2193" w:type="dxa"/>
            <w:noWrap/>
            <w:vAlign w:val="center"/>
          </w:tcPr>
          <w:p w:rsidR="00234376" w:rsidRPr="00537C3C" w:rsidRDefault="00234376" w:rsidP="00041544">
            <w:pPr>
              <w:keepNext/>
              <w:keepLines/>
              <w:spacing w:after="0"/>
              <w:ind w:left="0" w:firstLineChars="100" w:firstLine="180"/>
              <w:rPr>
                <w:rFonts w:ascii="Arial Narrow" w:eastAsia="Arial Unicode MS" w:hAnsi="Arial Narrow" w:cs="Arial Unicode MS"/>
                <w:sz w:val="18"/>
                <w:szCs w:val="18"/>
              </w:rPr>
            </w:pPr>
            <w:r w:rsidRPr="00BB76D8">
              <w:rPr>
                <w:rFonts w:ascii="Arial Narrow" w:eastAsia="Arial Unicode MS" w:hAnsi="Arial Narrow" w:cs="Arial Unicode MS"/>
                <w:sz w:val="18"/>
                <w:szCs w:val="18"/>
              </w:rPr>
              <w:t>HPV</w:t>
            </w:r>
            <w:r w:rsidRPr="00537C3C">
              <w:rPr>
                <w:rFonts w:ascii="Arial Narrow" w:eastAsia="Arial Unicode MS" w:hAnsi="Arial Narrow" w:cs="Arial Unicode MS"/>
                <w:sz w:val="18"/>
                <w:szCs w:val="18"/>
              </w:rPr>
              <w:t xml:space="preserve"> test</w:t>
            </w:r>
          </w:p>
        </w:tc>
        <w:tc>
          <w:tcPr>
            <w:tcW w:w="1271"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69418</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$64.00</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$57.60</w:t>
            </w:r>
            <w:r w:rsidRPr="001E6D1E">
              <w:rPr>
                <w:rFonts w:ascii="Arial Narrow" w:eastAsia="Arial Unicode MS" w:hAnsi="Arial Narrow" w:cs="Arial Unicode MS"/>
                <w:sz w:val="18"/>
                <w:szCs w:val="18"/>
                <w:vertAlign w:val="superscript"/>
              </w:rPr>
              <w:t xml:space="preserve"> b</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$57.60</w:t>
            </w:r>
            <w:r w:rsidRPr="001E6D1E">
              <w:rPr>
                <w:rFonts w:ascii="Arial Narrow" w:eastAsia="Arial Unicode MS" w:hAnsi="Arial Narrow" w:cs="Arial Unicode MS"/>
                <w:sz w:val="18"/>
                <w:szCs w:val="18"/>
                <w:vertAlign w:val="superscript"/>
              </w:rPr>
              <w:t xml:space="preserve"> b</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$57.60</w:t>
            </w:r>
            <w:r w:rsidRPr="001E6D1E">
              <w:rPr>
                <w:rFonts w:ascii="Arial Narrow" w:eastAsia="Arial Unicode MS" w:hAnsi="Arial Narrow" w:cs="Arial Unicode MS"/>
                <w:sz w:val="18"/>
                <w:szCs w:val="18"/>
                <w:vertAlign w:val="superscript"/>
              </w:rPr>
              <w:t xml:space="preserve"> b</w:t>
            </w:r>
          </w:p>
        </w:tc>
      </w:tr>
      <w:tr w:rsidR="00234376" w:rsidRPr="00537C3C">
        <w:trPr>
          <w:trHeight w:val="300"/>
        </w:trPr>
        <w:tc>
          <w:tcPr>
            <w:tcW w:w="3464" w:type="dxa"/>
            <w:gridSpan w:val="2"/>
            <w:noWrap/>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r w:rsidRPr="00537C3C">
              <w:rPr>
                <w:rFonts w:ascii="Arial Narrow" w:eastAsia="Arial Unicode MS" w:hAnsi="Arial Narrow" w:cs="Arial Unicode MS"/>
                <w:i/>
                <w:iCs/>
                <w:sz w:val="18"/>
                <w:szCs w:val="18"/>
              </w:rPr>
              <w:t>24 months after treatment (discounted @ 5% pa)</w:t>
            </w:r>
          </w:p>
        </w:tc>
        <w:tc>
          <w:tcPr>
            <w:tcW w:w="709" w:type="dxa"/>
            <w:noWrap/>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057" w:type="dxa"/>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i/>
                <w:iCs/>
                <w:sz w:val="18"/>
                <w:szCs w:val="18"/>
              </w:rPr>
            </w:pPr>
          </w:p>
        </w:tc>
      </w:tr>
      <w:tr w:rsidR="00234376" w:rsidRPr="00537C3C">
        <w:trPr>
          <w:trHeight w:val="600"/>
        </w:trPr>
        <w:tc>
          <w:tcPr>
            <w:tcW w:w="2193" w:type="dxa"/>
            <w:noWrap/>
            <w:vAlign w:val="center"/>
          </w:tcPr>
          <w:p w:rsidR="00234376" w:rsidRPr="00537C3C" w:rsidRDefault="00234376" w:rsidP="00041544">
            <w:pPr>
              <w:keepNext/>
              <w:keepLines/>
              <w:spacing w:after="0"/>
              <w:ind w:left="176" w:firstLineChars="2" w:firstLine="4"/>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Weighted-average cost of a consultation</w:t>
            </w:r>
          </w:p>
        </w:tc>
        <w:tc>
          <w:tcPr>
            <w:tcW w:w="1271" w:type="dxa"/>
            <w:vAlign w:val="center"/>
          </w:tcPr>
          <w:p w:rsidR="00234376" w:rsidRPr="00234376" w:rsidRDefault="00234376" w:rsidP="008E03A7">
            <w:pPr>
              <w:keepNext/>
              <w:keepLines/>
              <w:spacing w:after="0"/>
              <w:ind w:left="0"/>
              <w:rPr>
                <w:rFonts w:ascii="Arial Narrow" w:eastAsia="Arial Unicode MS" w:hAnsi="Arial Narrow" w:cs="Arial Unicode MS"/>
                <w:sz w:val="18"/>
                <w:szCs w:val="18"/>
                <w:highlight w:val="cyan"/>
              </w:rPr>
            </w:pPr>
            <w:r w:rsidRPr="001E6D1E">
              <w:rPr>
                <w:rFonts w:ascii="Arial Narrow" w:eastAsia="Arial Unicode MS" w:hAnsi="Arial Narrow" w:cs="Arial Unicode MS"/>
                <w:sz w:val="18"/>
                <w:szCs w:val="18"/>
              </w:rPr>
              <w:t>3, 23, 36, 44, 52, 53, 54, 57, 104, 105</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$36.30</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$36.30</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$36.30</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$36.30</w:t>
            </w:r>
          </w:p>
        </w:tc>
      </w:tr>
      <w:tr w:rsidR="00234376" w:rsidRPr="00537C3C">
        <w:trPr>
          <w:trHeight w:val="300"/>
        </w:trPr>
        <w:tc>
          <w:tcPr>
            <w:tcW w:w="2193" w:type="dxa"/>
            <w:noWrap/>
            <w:vAlign w:val="center"/>
          </w:tcPr>
          <w:p w:rsidR="00234376" w:rsidRPr="00537C3C" w:rsidRDefault="00234376" w:rsidP="00041544">
            <w:pPr>
              <w:keepNext/>
              <w:keepLines/>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Initiation of patient episode</w:t>
            </w:r>
          </w:p>
        </w:tc>
        <w:tc>
          <w:tcPr>
            <w:tcW w:w="1271"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73922</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$7.86</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$7.86</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$7.86</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$7.86</w:t>
            </w:r>
          </w:p>
        </w:tc>
      </w:tr>
      <w:tr w:rsidR="00234376" w:rsidRPr="00537C3C">
        <w:trPr>
          <w:trHeight w:val="300"/>
        </w:trPr>
        <w:tc>
          <w:tcPr>
            <w:tcW w:w="2193" w:type="dxa"/>
            <w:noWrap/>
            <w:vAlign w:val="center"/>
          </w:tcPr>
          <w:p w:rsidR="00234376" w:rsidRPr="00537C3C" w:rsidRDefault="00234376" w:rsidP="00041544">
            <w:pPr>
              <w:keepNext/>
              <w:keepLines/>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Pap test</w:t>
            </w:r>
          </w:p>
        </w:tc>
        <w:tc>
          <w:tcPr>
            <w:tcW w:w="1271"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73053, 73057</w:t>
            </w:r>
            <w:r w:rsidRPr="00234376">
              <w:rPr>
                <w:rFonts w:ascii="Arial Narrow" w:eastAsia="Arial Unicode MS" w:hAnsi="Arial Narrow" w:cs="Arial Unicode MS"/>
                <w:sz w:val="18"/>
                <w:szCs w:val="18"/>
                <w:vertAlign w:val="superscript"/>
              </w:rPr>
              <w:t xml:space="preserve"> a</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$18.67</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$29.05</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$20.95</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$34.29</w:t>
            </w:r>
          </w:p>
        </w:tc>
      </w:tr>
      <w:tr w:rsidR="00234376" w:rsidRPr="00537C3C">
        <w:trPr>
          <w:trHeight w:val="300"/>
        </w:trPr>
        <w:tc>
          <w:tcPr>
            <w:tcW w:w="2193" w:type="dxa"/>
            <w:noWrap/>
            <w:vAlign w:val="center"/>
          </w:tcPr>
          <w:p w:rsidR="00234376" w:rsidRPr="00537C3C" w:rsidRDefault="00234376" w:rsidP="00041544">
            <w:pPr>
              <w:keepNext/>
              <w:keepLines/>
              <w:spacing w:after="0"/>
              <w:ind w:left="0" w:firstLineChars="100" w:firstLine="180"/>
              <w:rPr>
                <w:rFonts w:ascii="Arial Narrow" w:eastAsia="Arial Unicode MS" w:hAnsi="Arial Narrow" w:cs="Arial Unicode MS"/>
                <w:sz w:val="18"/>
                <w:szCs w:val="18"/>
              </w:rPr>
            </w:pPr>
            <w:r w:rsidRPr="00BB76D8">
              <w:rPr>
                <w:rFonts w:ascii="Arial Narrow" w:eastAsia="Arial Unicode MS" w:hAnsi="Arial Narrow" w:cs="Arial Unicode MS"/>
                <w:sz w:val="18"/>
                <w:szCs w:val="18"/>
              </w:rPr>
              <w:t>HPV</w:t>
            </w:r>
            <w:r w:rsidRPr="00537C3C">
              <w:rPr>
                <w:rFonts w:ascii="Arial Narrow" w:eastAsia="Arial Unicode MS" w:hAnsi="Arial Narrow" w:cs="Arial Unicode MS"/>
                <w:sz w:val="18"/>
                <w:szCs w:val="18"/>
              </w:rPr>
              <w:t xml:space="preserve"> test</w:t>
            </w:r>
          </w:p>
        </w:tc>
        <w:tc>
          <w:tcPr>
            <w:tcW w:w="1271"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69418</w:t>
            </w:r>
          </w:p>
        </w:tc>
        <w:tc>
          <w:tcPr>
            <w:tcW w:w="709"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115"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$60.95</w:t>
            </w:r>
          </w:p>
        </w:tc>
        <w:tc>
          <w:tcPr>
            <w:tcW w:w="1000" w:type="dxa"/>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$54.86</w:t>
            </w:r>
            <w:r w:rsidRPr="001E6D1E">
              <w:rPr>
                <w:rFonts w:ascii="Arial Narrow" w:eastAsia="Arial Unicode MS" w:hAnsi="Arial Narrow" w:cs="Arial Unicode MS"/>
                <w:sz w:val="18"/>
                <w:szCs w:val="18"/>
                <w:vertAlign w:val="superscript"/>
              </w:rPr>
              <w:t xml:space="preserve"> b</w:t>
            </w:r>
          </w:p>
        </w:tc>
        <w:tc>
          <w:tcPr>
            <w:tcW w:w="1057"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$54.86</w:t>
            </w:r>
            <w:r w:rsidRPr="001E6D1E">
              <w:rPr>
                <w:rFonts w:ascii="Arial Narrow" w:eastAsia="Arial Unicode MS" w:hAnsi="Arial Narrow" w:cs="Arial Unicode MS"/>
                <w:sz w:val="18"/>
                <w:szCs w:val="18"/>
                <w:vertAlign w:val="superscript"/>
              </w:rPr>
              <w:t xml:space="preserve"> b</w:t>
            </w:r>
          </w:p>
        </w:tc>
        <w:tc>
          <w:tcPr>
            <w:tcW w:w="1058" w:type="dxa"/>
            <w:noWrap/>
            <w:vAlign w:val="center"/>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$54.86</w:t>
            </w:r>
            <w:r w:rsidRPr="001E6D1E">
              <w:rPr>
                <w:rFonts w:ascii="Arial Narrow" w:eastAsia="Arial Unicode MS" w:hAnsi="Arial Narrow" w:cs="Arial Unicode MS"/>
                <w:sz w:val="18"/>
                <w:szCs w:val="18"/>
                <w:vertAlign w:val="superscript"/>
              </w:rPr>
              <w:t xml:space="preserve"> b</w:t>
            </w:r>
          </w:p>
        </w:tc>
      </w:tr>
      <w:tr w:rsidR="00234376" w:rsidRPr="00537C3C">
        <w:trPr>
          <w:trHeight w:val="300"/>
        </w:trPr>
        <w:tc>
          <w:tcPr>
            <w:tcW w:w="3464" w:type="dxa"/>
            <w:gridSpan w:val="2"/>
            <w:tcBorders>
              <w:bottom w:val="single" w:sz="4" w:space="0" w:color="auto"/>
            </w:tcBorders>
            <w:noWrap/>
            <w:vAlign w:val="center"/>
          </w:tcPr>
          <w:p w:rsidR="00234376" w:rsidRPr="00537C3C" w:rsidRDefault="00234376" w:rsidP="008E03A7">
            <w:pPr>
              <w:keepNext/>
              <w:keepLine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 xml:space="preserve">Total follow-up costs </w:t>
            </w:r>
            <w:r w:rsidRPr="00BB76D8">
              <w:rPr>
                <w:rFonts w:ascii="Arial Narrow" w:eastAsia="Arial Unicode MS" w:hAnsi="Arial Narrow" w:cs="Arial Unicode MS"/>
                <w:b/>
                <w:bCs/>
                <w:sz w:val="18"/>
                <w:szCs w:val="18"/>
              </w:rPr>
              <w:t>CIN</w:t>
            </w:r>
            <w:r w:rsidRPr="00537C3C">
              <w:rPr>
                <w:rFonts w:ascii="Arial Narrow" w:eastAsia="Arial Unicode MS" w:hAnsi="Arial Narrow" w:cs="Arial Unicode MS"/>
                <w:b/>
                <w:bCs/>
                <w:sz w:val="18"/>
                <w:szCs w:val="18"/>
              </w:rPr>
              <w:t xml:space="preserve"> 2/3</w:t>
            </w:r>
          </w:p>
        </w:tc>
        <w:tc>
          <w:tcPr>
            <w:tcW w:w="709" w:type="dxa"/>
            <w:tcBorders>
              <w:bottom w:val="single" w:sz="4" w:space="0" w:color="auto"/>
            </w:tcBorders>
            <w:noWrap/>
            <w:vAlign w:val="center"/>
          </w:tcPr>
          <w:p w:rsidR="00234376" w:rsidRPr="00537C3C" w:rsidRDefault="00234376" w:rsidP="008E03A7">
            <w:pPr>
              <w:keepNext/>
              <w:keepLines/>
              <w:spacing w:after="0"/>
              <w:ind w:left="0"/>
              <w:rPr>
                <w:rFonts w:ascii="Arial Narrow" w:eastAsia="Arial Unicode MS" w:hAnsi="Arial Narrow" w:cs="Arial Unicode MS"/>
                <w:b/>
                <w:bCs/>
                <w:sz w:val="18"/>
                <w:szCs w:val="18"/>
              </w:rPr>
            </w:pPr>
          </w:p>
        </w:tc>
        <w:tc>
          <w:tcPr>
            <w:tcW w:w="1115" w:type="dxa"/>
            <w:tcBorders>
              <w:bottom w:val="single" w:sz="4" w:space="0" w:color="auto"/>
            </w:tcBorders>
            <w:vAlign w:val="center"/>
          </w:tcPr>
          <w:p w:rsidR="00234376" w:rsidRPr="00537C3C" w:rsidRDefault="00234376" w:rsidP="008E03A7">
            <w:pPr>
              <w:keepNext/>
              <w:keepLine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$378.04</w:t>
            </w:r>
          </w:p>
        </w:tc>
        <w:tc>
          <w:tcPr>
            <w:tcW w:w="1000" w:type="dxa"/>
            <w:tcBorders>
              <w:bottom w:val="single" w:sz="4" w:space="0" w:color="auto"/>
            </w:tcBorders>
            <w:vAlign w:val="center"/>
          </w:tcPr>
          <w:p w:rsidR="00234376" w:rsidRPr="00537C3C" w:rsidRDefault="00234376" w:rsidP="008E03A7">
            <w:pPr>
              <w:keepNext/>
              <w:keepLine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$397.72</w:t>
            </w:r>
          </w:p>
        </w:tc>
        <w:tc>
          <w:tcPr>
            <w:tcW w:w="1057" w:type="dxa"/>
            <w:tcBorders>
              <w:bottom w:val="single" w:sz="4" w:space="0" w:color="auto"/>
            </w:tcBorders>
            <w:vAlign w:val="center"/>
          </w:tcPr>
          <w:p w:rsidR="00234376" w:rsidRPr="00537C3C" w:rsidRDefault="00234376" w:rsidP="008E03A7">
            <w:pPr>
              <w:keepNext/>
              <w:keepLine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$372.63</w:t>
            </w:r>
          </w:p>
        </w:tc>
        <w:tc>
          <w:tcPr>
            <w:tcW w:w="1058" w:type="dxa"/>
            <w:tcBorders>
              <w:bottom w:val="single" w:sz="4" w:space="0" w:color="auto"/>
            </w:tcBorders>
            <w:noWrap/>
            <w:vAlign w:val="center"/>
          </w:tcPr>
          <w:p w:rsidR="00234376" w:rsidRPr="00537C3C" w:rsidRDefault="00234376" w:rsidP="008E03A7">
            <w:pPr>
              <w:keepNext/>
              <w:keepLine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$413.96</w:t>
            </w:r>
          </w:p>
        </w:tc>
      </w:tr>
    </w:tbl>
    <w:p w:rsidR="00234376" w:rsidRPr="006C24DD" w:rsidRDefault="00234376" w:rsidP="008E03A7">
      <w:pPr>
        <w:pStyle w:val="TableText0"/>
        <w:keepLines/>
        <w:spacing w:before="0" w:after="0"/>
        <w:ind w:firstLine="567"/>
        <w:rPr>
          <w:rFonts w:ascii="Arial Narrow" w:hAnsi="Arial Narrow"/>
        </w:rPr>
      </w:pPr>
      <w:r w:rsidRPr="00234376">
        <w:rPr>
          <w:rFonts w:ascii="Arial Narrow" w:hAnsi="Arial Narrow"/>
          <w:vertAlign w:val="superscript"/>
        </w:rPr>
        <w:t>a</w:t>
      </w:r>
      <w:r w:rsidRPr="00537C3C">
        <w:rPr>
          <w:rFonts w:ascii="Arial Narrow" w:hAnsi="Arial Narrow"/>
        </w:rPr>
        <w:t xml:space="preserve"> </w:t>
      </w:r>
      <w:r w:rsidRPr="00BB76D8">
        <w:rPr>
          <w:rFonts w:ascii="Arial Narrow" w:hAnsi="Arial Narrow"/>
        </w:rPr>
        <w:t>MBS</w:t>
      </w:r>
      <w:r w:rsidRPr="00537C3C">
        <w:rPr>
          <w:rFonts w:ascii="Arial Narrow" w:hAnsi="Arial Narrow"/>
        </w:rPr>
        <w:t xml:space="preserve"> item number for </w:t>
      </w:r>
      <w:r w:rsidRPr="00537C3C">
        <w:rPr>
          <w:rFonts w:cs="Arial"/>
        </w:rPr>
        <w:t>CC</w:t>
      </w:r>
      <w:r w:rsidRPr="00537C3C">
        <w:rPr>
          <w:rFonts w:ascii="Arial Narrow" w:hAnsi="Arial Narrow"/>
        </w:rPr>
        <w:t xml:space="preserve"> only. DRG = </w:t>
      </w:r>
      <w:r w:rsidRPr="006C24DD">
        <w:rPr>
          <w:rFonts w:ascii="Arial Narrow" w:hAnsi="Arial Narrow"/>
        </w:rPr>
        <w:t>diagnosis-related group</w:t>
      </w:r>
      <w:r>
        <w:rPr>
          <w:rFonts w:ascii="Arial Narrow" w:hAnsi="Arial Narrow"/>
        </w:rPr>
        <w:t>.</w:t>
      </w:r>
    </w:p>
    <w:p w:rsidR="00234376" w:rsidRPr="00537C3C" w:rsidRDefault="00234376" w:rsidP="008E03A7">
      <w:pPr>
        <w:pStyle w:val="TableText0"/>
        <w:keepLines/>
        <w:spacing w:before="0" w:after="0"/>
        <w:ind w:firstLine="567"/>
        <w:rPr>
          <w:rFonts w:ascii="Arial Narrow" w:hAnsi="Arial Narrow"/>
        </w:rPr>
      </w:pPr>
      <w:r w:rsidRPr="00537C3C">
        <w:rPr>
          <w:rFonts w:ascii="Arial Narrow" w:eastAsia="Arial Unicode MS" w:hAnsi="Arial Narrow" w:cs="Arial Unicode MS"/>
          <w:szCs w:val="18"/>
          <w:vertAlign w:val="superscript"/>
        </w:rPr>
        <w:t xml:space="preserve">b </w:t>
      </w:r>
      <w:r w:rsidRPr="00537C3C">
        <w:rPr>
          <w:rFonts w:ascii="Arial Narrow" w:eastAsia="Arial Unicode MS" w:hAnsi="Arial Narrow" w:cs="Arial Unicode MS"/>
          <w:szCs w:val="18"/>
        </w:rPr>
        <w:t xml:space="preserve">Assume a 10% lower cost for </w:t>
      </w:r>
      <w:r w:rsidRPr="00BB76D8">
        <w:rPr>
          <w:rFonts w:ascii="Arial Narrow" w:eastAsia="Arial Unicode MS" w:hAnsi="Arial Narrow" w:cs="Arial Unicode MS"/>
          <w:szCs w:val="18"/>
        </w:rPr>
        <w:t>HPV</w:t>
      </w:r>
      <w:r w:rsidRPr="00537C3C">
        <w:rPr>
          <w:rFonts w:ascii="Arial Narrow" w:eastAsia="Arial Unicode MS" w:hAnsi="Arial Narrow" w:cs="Arial Unicode MS"/>
          <w:szCs w:val="18"/>
        </w:rPr>
        <w:t xml:space="preserve"> test from </w:t>
      </w:r>
      <w:r w:rsidRPr="00BB76D8">
        <w:rPr>
          <w:rFonts w:ascii="Arial Narrow" w:eastAsia="Arial Unicode MS" w:hAnsi="Arial Narrow" w:cs="Arial Unicode MS"/>
          <w:szCs w:val="18"/>
        </w:rPr>
        <w:t>LBC</w:t>
      </w:r>
      <w:r w:rsidRPr="00537C3C">
        <w:rPr>
          <w:rFonts w:ascii="Arial Narrow" w:eastAsia="Arial Unicode MS" w:hAnsi="Arial Narrow" w:cs="Arial Unicode MS"/>
          <w:szCs w:val="18"/>
        </w:rPr>
        <w:t xml:space="preserve"> as sample collection will not need to be done separately.</w:t>
      </w:r>
    </w:p>
    <w:p w:rsidR="00234376" w:rsidRPr="00537C3C" w:rsidRDefault="00234376" w:rsidP="008E03A7"/>
    <w:p w:rsidR="00234376" w:rsidRPr="00537C3C" w:rsidRDefault="00234376" w:rsidP="008E03A7">
      <w:pPr>
        <w:pStyle w:val="Heading6"/>
      </w:pPr>
      <w:r w:rsidRPr="00537C3C">
        <w:t>Cost of cancer treatment and work-up by stage and disease extent</w:t>
      </w:r>
    </w:p>
    <w:p w:rsidR="00234376" w:rsidRDefault="00234376" w:rsidP="00234376">
      <w:pPr>
        <w:rPr>
          <w:rFonts w:cs="Arial"/>
        </w:rPr>
      </w:pPr>
      <w:r w:rsidRPr="00537C3C">
        <w:rPr>
          <w:rFonts w:cs="Arial"/>
        </w:rPr>
        <w:t>There are no direct data on the stage-specific treatment or work-up costs for cervical cancer. Therefore, Advisory Panel expert opinion has been used to provide an estimate of likely treatment practices by disease stage. In the absence of data on the distribution of treatment costs over time, all cancer treatment costs are applied as one-off costs in the year of diagnosis, and a cost of cancer-related death is applied in the year a patient dies from cervical cancer.</w:t>
      </w:r>
    </w:p>
    <w:p w:rsidR="00234376" w:rsidRDefault="00234376" w:rsidP="00234376">
      <w:pPr>
        <w:rPr>
          <w:rFonts w:cs="Arial"/>
        </w:rPr>
      </w:pPr>
      <w:r w:rsidRPr="00537C3C">
        <w:rPr>
          <w:rFonts w:cs="Arial"/>
        </w:rPr>
        <w:t>Distribution of cancer stage (</w:t>
      </w:r>
      <w:r w:rsidRPr="00BB76D8">
        <w:rPr>
          <w:rFonts w:cs="Arial"/>
        </w:rPr>
        <w:t>FIGO</w:t>
      </w:r>
      <w:r w:rsidRPr="00537C3C">
        <w:rPr>
          <w:rFonts w:cs="Arial"/>
        </w:rPr>
        <w:t xml:space="preserve">) at diagnosis was based on data provided by the Queensland Gynaecological Cancer Centre and the Royal Women’s Hospital, </w:t>
      </w:r>
      <w:smartTag w:uri="urn:schemas-microsoft-com:office:smarttags" w:element="place">
        <w:smartTag w:uri="urn:schemas-microsoft-com:office:smarttags" w:element="City">
          <w:r w:rsidRPr="00537C3C">
            <w:rPr>
              <w:rFonts w:cs="Arial"/>
            </w:rPr>
            <w:t>Melbourne</w:t>
          </w:r>
        </w:smartTag>
      </w:smartTag>
      <w:r w:rsidRPr="00537C3C">
        <w:rPr>
          <w:rFonts w:cs="Arial"/>
        </w:rPr>
        <w:t xml:space="preserve">. As the economic model is structured by disease extent (localised, locally advanced, regional, distant), </w:t>
      </w:r>
      <w:r w:rsidRPr="00BB76D8">
        <w:rPr>
          <w:rFonts w:cs="Arial"/>
        </w:rPr>
        <w:t>FIGO</w:t>
      </w:r>
      <w:r w:rsidRPr="00537C3C">
        <w:rPr>
          <w:rFonts w:cs="Arial"/>
        </w:rPr>
        <w:t xml:space="preserve"> stages were grouped to broadly represent these disease extent categories.</w:t>
      </w:r>
    </w:p>
    <w:p w:rsidR="00234376" w:rsidRPr="00537C3C" w:rsidRDefault="00234376" w:rsidP="008E03A7">
      <w:pPr>
        <w:pStyle w:val="TableNamea"/>
        <w:keepLines/>
        <w:ind w:left="1644"/>
      </w:pPr>
      <w:bookmarkStart w:id="615" w:name="_Ref209517141"/>
      <w:bookmarkStart w:id="616" w:name="_Toc95971279"/>
      <w:r w:rsidRPr="00537C3C">
        <w:lastRenderedPageBreak/>
        <w:t xml:space="preserve">Table </w:t>
      </w:r>
      <w:fldSimple w:instr=" SEQ Table \* ARABIC ">
        <w:r w:rsidR="007D3DFF">
          <w:rPr>
            <w:noProof/>
          </w:rPr>
          <w:t>43</w:t>
        </w:r>
      </w:fldSimple>
      <w:bookmarkEnd w:id="615"/>
      <w:r w:rsidRPr="00537C3C">
        <w:tab/>
        <w:t xml:space="preserve">Summary treatment and work-up costs by </w:t>
      </w:r>
      <w:r w:rsidRPr="00BB76D8">
        <w:t>FIGO</w:t>
      </w:r>
      <w:r w:rsidRPr="00537C3C">
        <w:t xml:space="preserve"> stage and disease extent.</w:t>
      </w:r>
      <w:bookmarkEnd w:id="616"/>
    </w:p>
    <w:tbl>
      <w:tblPr>
        <w:tblW w:w="8425" w:type="dxa"/>
        <w:tblInd w:w="625" w:type="dxa"/>
        <w:tblLayout w:type="fixed"/>
        <w:tblLook w:val="0000" w:firstRow="0" w:lastRow="0" w:firstColumn="0" w:lastColumn="0" w:noHBand="0" w:noVBand="0"/>
      </w:tblPr>
      <w:tblGrid>
        <w:gridCol w:w="1483"/>
        <w:gridCol w:w="1338"/>
        <w:gridCol w:w="1121"/>
        <w:gridCol w:w="1121"/>
        <w:gridCol w:w="1120"/>
        <w:gridCol w:w="1121"/>
        <w:gridCol w:w="1121"/>
      </w:tblGrid>
      <w:tr w:rsidR="00234376" w:rsidRPr="00537C3C">
        <w:trPr>
          <w:trHeight w:val="270"/>
        </w:trPr>
        <w:tc>
          <w:tcPr>
            <w:tcW w:w="1483" w:type="dxa"/>
            <w:tcBorders>
              <w:top w:val="single" w:sz="4" w:space="0" w:color="auto"/>
              <w:bottom w:val="single" w:sz="4" w:space="0" w:color="auto"/>
            </w:tcBorders>
            <w:noWrap/>
          </w:tcPr>
          <w:p w:rsidR="00234376" w:rsidRPr="00537C3C" w:rsidRDefault="00234376" w:rsidP="008E03A7">
            <w:pPr>
              <w:keepNext/>
              <w:keepLines/>
              <w:spacing w:after="0"/>
              <w:ind w:left="0"/>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Disease extent</w:t>
            </w:r>
          </w:p>
        </w:tc>
        <w:tc>
          <w:tcPr>
            <w:tcW w:w="1338" w:type="dxa"/>
            <w:tcBorders>
              <w:top w:val="single" w:sz="4" w:space="0" w:color="auto"/>
              <w:bottom w:val="single" w:sz="4" w:space="0" w:color="auto"/>
            </w:tcBorders>
            <w:noWrap/>
          </w:tcPr>
          <w:p w:rsidR="00234376" w:rsidRDefault="00234376" w:rsidP="00234376">
            <w:pPr>
              <w:keepNext/>
              <w:keepLines/>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 xml:space="preserve">% of all cervical cancer cases </w:t>
            </w:r>
            <w:r w:rsidRPr="00234376">
              <w:rPr>
                <w:rFonts w:ascii="Arial Narrow" w:eastAsia="Arial Unicode MS" w:hAnsi="Arial Narrow" w:cs="Arial Unicode MS"/>
                <w:b/>
                <w:sz w:val="20"/>
                <w:szCs w:val="18"/>
                <w:vertAlign w:val="superscript"/>
              </w:rPr>
              <w:t>a</w:t>
            </w:r>
          </w:p>
        </w:tc>
        <w:tc>
          <w:tcPr>
            <w:tcW w:w="1121" w:type="dxa"/>
            <w:tcBorders>
              <w:top w:val="single" w:sz="4" w:space="0" w:color="auto"/>
              <w:bottom w:val="single" w:sz="4" w:space="0" w:color="auto"/>
            </w:tcBorders>
            <w:noWrap/>
          </w:tcPr>
          <w:p w:rsidR="00234376" w:rsidRDefault="00234376" w:rsidP="00234376">
            <w:pPr>
              <w:keepNext/>
              <w:keepLines/>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 cases in disease extent category</w:t>
            </w:r>
          </w:p>
        </w:tc>
        <w:tc>
          <w:tcPr>
            <w:tcW w:w="1121" w:type="dxa"/>
            <w:tcBorders>
              <w:top w:val="single" w:sz="4" w:space="0" w:color="auto"/>
              <w:bottom w:val="single" w:sz="4" w:space="0" w:color="auto"/>
            </w:tcBorders>
          </w:tcPr>
          <w:p w:rsidR="00234376" w:rsidRDefault="00234376" w:rsidP="00234376">
            <w:pPr>
              <w:keepNext/>
              <w:keepLines/>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Stage-specific work-up costs</w:t>
            </w:r>
          </w:p>
        </w:tc>
        <w:tc>
          <w:tcPr>
            <w:tcW w:w="1120" w:type="dxa"/>
            <w:tcBorders>
              <w:top w:val="single" w:sz="4" w:space="0" w:color="auto"/>
              <w:bottom w:val="single" w:sz="4" w:space="0" w:color="auto"/>
            </w:tcBorders>
          </w:tcPr>
          <w:p w:rsidR="00234376" w:rsidRDefault="00234376" w:rsidP="00234376">
            <w:pPr>
              <w:keepNext/>
              <w:keepLines/>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Proportion weighted work-up costs</w:t>
            </w:r>
          </w:p>
        </w:tc>
        <w:tc>
          <w:tcPr>
            <w:tcW w:w="1121" w:type="dxa"/>
            <w:tcBorders>
              <w:top w:val="single" w:sz="4" w:space="0" w:color="auto"/>
              <w:bottom w:val="single" w:sz="4" w:space="0" w:color="auto"/>
            </w:tcBorders>
          </w:tcPr>
          <w:p w:rsidR="00234376" w:rsidRDefault="00234376" w:rsidP="00234376">
            <w:pPr>
              <w:keepNext/>
              <w:keepLines/>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Stage-specific treatment costs</w:t>
            </w:r>
          </w:p>
        </w:tc>
        <w:tc>
          <w:tcPr>
            <w:tcW w:w="1121" w:type="dxa"/>
            <w:tcBorders>
              <w:top w:val="single" w:sz="4" w:space="0" w:color="auto"/>
              <w:bottom w:val="single" w:sz="4" w:space="0" w:color="auto"/>
            </w:tcBorders>
            <w:noWrap/>
          </w:tcPr>
          <w:p w:rsidR="00234376" w:rsidRDefault="00234376" w:rsidP="00234376">
            <w:pPr>
              <w:keepNext/>
              <w:keepLines/>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Proportion weighted treatment costs</w:t>
            </w:r>
          </w:p>
        </w:tc>
      </w:tr>
      <w:tr w:rsidR="00234376" w:rsidRPr="00537C3C">
        <w:trPr>
          <w:trHeight w:val="375"/>
        </w:trPr>
        <w:tc>
          <w:tcPr>
            <w:tcW w:w="1483" w:type="dxa"/>
            <w:tcBorders>
              <w:top w:val="single" w:sz="4" w:space="0" w:color="auto"/>
            </w:tcBorders>
            <w:noWrap/>
          </w:tcPr>
          <w:p w:rsidR="00234376" w:rsidRPr="00537C3C" w:rsidRDefault="00234376" w:rsidP="008E03A7">
            <w:pPr>
              <w:keepNext/>
              <w:keepLines/>
              <w:spacing w:after="0"/>
              <w:ind w:left="0"/>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Localised</w:t>
            </w:r>
          </w:p>
        </w:tc>
        <w:tc>
          <w:tcPr>
            <w:tcW w:w="1338" w:type="dxa"/>
            <w:tcBorders>
              <w:top w:val="single" w:sz="4" w:space="0" w:color="auto"/>
            </w:tcBorders>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54.4%</w:t>
            </w:r>
          </w:p>
        </w:tc>
        <w:tc>
          <w:tcPr>
            <w:tcW w:w="1121" w:type="dxa"/>
            <w:tcBorders>
              <w:top w:val="single" w:sz="4" w:space="0" w:color="auto"/>
            </w:tcBorders>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p>
        </w:tc>
        <w:tc>
          <w:tcPr>
            <w:tcW w:w="1121" w:type="dxa"/>
            <w:tcBorders>
              <w:top w:val="single" w:sz="4" w:space="0" w:color="auto"/>
            </w:tcBorders>
          </w:tcPr>
          <w:p w:rsidR="00234376" w:rsidRPr="00537C3C" w:rsidRDefault="00234376" w:rsidP="008E03A7">
            <w:pPr>
              <w:keepNext/>
              <w:keepLines/>
              <w:tabs>
                <w:tab w:val="decimal" w:pos="637"/>
              </w:tabs>
              <w:spacing w:after="0"/>
              <w:ind w:left="0"/>
              <w:rPr>
                <w:rFonts w:ascii="Arial Narrow" w:eastAsia="Arial Unicode MS" w:hAnsi="Arial Narrow" w:cs="Arial Unicode MS"/>
                <w:b/>
                <w:bCs/>
                <w:sz w:val="18"/>
                <w:szCs w:val="18"/>
              </w:rPr>
            </w:pPr>
          </w:p>
        </w:tc>
        <w:tc>
          <w:tcPr>
            <w:tcW w:w="1120" w:type="dxa"/>
            <w:tcBorders>
              <w:top w:val="single" w:sz="4" w:space="0" w:color="auto"/>
            </w:tcBorders>
          </w:tcPr>
          <w:p w:rsidR="00234376" w:rsidRPr="00537C3C" w:rsidRDefault="00234376" w:rsidP="008E03A7">
            <w:pPr>
              <w:keepNext/>
              <w:keepLines/>
              <w:tabs>
                <w:tab w:val="decimal" w:pos="65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$1815.28</w:t>
            </w:r>
          </w:p>
        </w:tc>
        <w:tc>
          <w:tcPr>
            <w:tcW w:w="1121" w:type="dxa"/>
            <w:tcBorders>
              <w:top w:val="single" w:sz="4" w:space="0" w:color="auto"/>
            </w:tcBorders>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p>
        </w:tc>
        <w:tc>
          <w:tcPr>
            <w:tcW w:w="1121" w:type="dxa"/>
            <w:tcBorders>
              <w:top w:val="single" w:sz="4" w:space="0" w:color="auto"/>
            </w:tcBorders>
            <w:noWrap/>
          </w:tcPr>
          <w:p w:rsidR="00234376" w:rsidRPr="00537C3C" w:rsidRDefault="00234376" w:rsidP="008E03A7">
            <w:pPr>
              <w:keepNext/>
              <w:keepLines/>
              <w:tabs>
                <w:tab w:val="decimal" w:pos="65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$9907.88</w:t>
            </w:r>
          </w:p>
        </w:tc>
      </w:tr>
      <w:tr w:rsidR="00234376" w:rsidRPr="00537C3C">
        <w:trPr>
          <w:trHeight w:val="300"/>
        </w:trPr>
        <w:tc>
          <w:tcPr>
            <w:tcW w:w="1483" w:type="dxa"/>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1a</w:t>
            </w:r>
          </w:p>
        </w:tc>
        <w:tc>
          <w:tcPr>
            <w:tcW w:w="1338" w:type="dxa"/>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1.1%</w:t>
            </w:r>
          </w:p>
        </w:tc>
        <w:tc>
          <w:tcPr>
            <w:tcW w:w="1121" w:type="dxa"/>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2.0%</w:t>
            </w:r>
          </w:p>
        </w:tc>
        <w:tc>
          <w:tcPr>
            <w:tcW w:w="1121" w:type="dxa"/>
            <w:vMerge w:val="restart"/>
          </w:tcPr>
          <w:p w:rsidR="00234376" w:rsidRPr="00537C3C" w:rsidRDefault="00234376" w:rsidP="008E03A7">
            <w:pPr>
              <w:keepNext/>
              <w:keepLines/>
              <w:tabs>
                <w:tab w:val="decimal" w:pos="637"/>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$1815.28</w:t>
            </w:r>
          </w:p>
        </w:tc>
        <w:tc>
          <w:tcPr>
            <w:tcW w:w="1120"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$37.16</w:t>
            </w:r>
          </w:p>
        </w:tc>
        <w:tc>
          <w:tcPr>
            <w:tcW w:w="1121" w:type="dxa"/>
            <w:vMerge w:val="restart"/>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$5489.25</w:t>
            </w:r>
          </w:p>
        </w:tc>
        <w:tc>
          <w:tcPr>
            <w:tcW w:w="1121" w:type="dxa"/>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$112.38</w:t>
            </w:r>
          </w:p>
        </w:tc>
      </w:tr>
      <w:tr w:rsidR="00234376" w:rsidRPr="00537C3C">
        <w:trPr>
          <w:trHeight w:val="300"/>
        </w:trPr>
        <w:tc>
          <w:tcPr>
            <w:tcW w:w="1483" w:type="dxa"/>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1a1</w:t>
            </w:r>
          </w:p>
        </w:tc>
        <w:tc>
          <w:tcPr>
            <w:tcW w:w="1338" w:type="dxa"/>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16.5%</w:t>
            </w:r>
          </w:p>
        </w:tc>
        <w:tc>
          <w:tcPr>
            <w:tcW w:w="1121" w:type="dxa"/>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30.4%</w:t>
            </w:r>
          </w:p>
        </w:tc>
        <w:tc>
          <w:tcPr>
            <w:tcW w:w="1121" w:type="dxa"/>
            <w:vMerge/>
          </w:tcPr>
          <w:p w:rsidR="00234376" w:rsidRPr="00537C3C" w:rsidRDefault="00234376" w:rsidP="008E03A7">
            <w:pPr>
              <w:keepNext/>
              <w:keepLines/>
              <w:tabs>
                <w:tab w:val="decimal" w:pos="637"/>
              </w:tabs>
              <w:spacing w:after="0"/>
              <w:ind w:left="0"/>
              <w:rPr>
                <w:rFonts w:ascii="Arial Narrow" w:eastAsia="Arial Unicode MS" w:hAnsi="Arial Narrow" w:cs="Arial Unicode MS"/>
                <w:sz w:val="18"/>
                <w:szCs w:val="18"/>
              </w:rPr>
            </w:pPr>
          </w:p>
        </w:tc>
        <w:tc>
          <w:tcPr>
            <w:tcW w:w="1120"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$551.73</w:t>
            </w:r>
          </w:p>
        </w:tc>
        <w:tc>
          <w:tcPr>
            <w:tcW w:w="1121" w:type="dxa"/>
            <w:vMerge/>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p>
        </w:tc>
        <w:tc>
          <w:tcPr>
            <w:tcW w:w="1121" w:type="dxa"/>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$1668.39</w:t>
            </w:r>
          </w:p>
        </w:tc>
      </w:tr>
      <w:tr w:rsidR="00234376" w:rsidRPr="00537C3C">
        <w:trPr>
          <w:trHeight w:val="300"/>
        </w:trPr>
        <w:tc>
          <w:tcPr>
            <w:tcW w:w="1483" w:type="dxa"/>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1a2</w:t>
            </w:r>
          </w:p>
        </w:tc>
        <w:tc>
          <w:tcPr>
            <w:tcW w:w="1338" w:type="dxa"/>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4.5%</w:t>
            </w:r>
          </w:p>
        </w:tc>
        <w:tc>
          <w:tcPr>
            <w:tcW w:w="1121" w:type="dxa"/>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8.2%</w:t>
            </w:r>
          </w:p>
        </w:tc>
        <w:tc>
          <w:tcPr>
            <w:tcW w:w="1121" w:type="dxa"/>
            <w:vMerge/>
          </w:tcPr>
          <w:p w:rsidR="00234376" w:rsidRPr="00537C3C" w:rsidRDefault="00234376" w:rsidP="008E03A7">
            <w:pPr>
              <w:keepNext/>
              <w:keepLines/>
              <w:tabs>
                <w:tab w:val="decimal" w:pos="637"/>
              </w:tabs>
              <w:spacing w:after="0"/>
              <w:ind w:left="0"/>
              <w:rPr>
                <w:rFonts w:ascii="Arial Narrow" w:eastAsia="Arial Unicode MS" w:hAnsi="Arial Narrow" w:cs="Arial Unicode MS"/>
                <w:sz w:val="18"/>
                <w:szCs w:val="18"/>
              </w:rPr>
            </w:pPr>
          </w:p>
        </w:tc>
        <w:tc>
          <w:tcPr>
            <w:tcW w:w="1120"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$148.65</w:t>
            </w:r>
          </w:p>
        </w:tc>
        <w:tc>
          <w:tcPr>
            <w:tcW w:w="1121"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$10190.61</w:t>
            </w:r>
          </w:p>
        </w:tc>
        <w:tc>
          <w:tcPr>
            <w:tcW w:w="1121" w:type="dxa"/>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$834.51</w:t>
            </w:r>
          </w:p>
        </w:tc>
      </w:tr>
      <w:tr w:rsidR="00234376" w:rsidRPr="00537C3C">
        <w:trPr>
          <w:trHeight w:val="300"/>
        </w:trPr>
        <w:tc>
          <w:tcPr>
            <w:tcW w:w="1483" w:type="dxa"/>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1b</w:t>
            </w:r>
          </w:p>
        </w:tc>
        <w:tc>
          <w:tcPr>
            <w:tcW w:w="1338" w:type="dxa"/>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6.9%</w:t>
            </w:r>
          </w:p>
        </w:tc>
        <w:tc>
          <w:tcPr>
            <w:tcW w:w="1121" w:type="dxa"/>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12.8%</w:t>
            </w:r>
          </w:p>
        </w:tc>
        <w:tc>
          <w:tcPr>
            <w:tcW w:w="1121" w:type="dxa"/>
            <w:vMerge/>
          </w:tcPr>
          <w:p w:rsidR="00234376" w:rsidRPr="00537C3C" w:rsidRDefault="00234376" w:rsidP="008E03A7">
            <w:pPr>
              <w:keepNext/>
              <w:keepLines/>
              <w:tabs>
                <w:tab w:val="decimal" w:pos="637"/>
              </w:tabs>
              <w:spacing w:after="0"/>
              <w:ind w:left="0"/>
              <w:rPr>
                <w:rFonts w:ascii="Arial Narrow" w:eastAsia="Arial Unicode MS" w:hAnsi="Arial Narrow" w:cs="Arial Unicode MS"/>
                <w:sz w:val="18"/>
                <w:szCs w:val="18"/>
              </w:rPr>
            </w:pPr>
          </w:p>
        </w:tc>
        <w:tc>
          <w:tcPr>
            <w:tcW w:w="1120"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$231.55</w:t>
            </w:r>
          </w:p>
        </w:tc>
        <w:tc>
          <w:tcPr>
            <w:tcW w:w="1121" w:type="dxa"/>
            <w:vMerge w:val="restart"/>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$12283.30</w:t>
            </w:r>
          </w:p>
        </w:tc>
        <w:tc>
          <w:tcPr>
            <w:tcW w:w="1121" w:type="dxa"/>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$1566.85</w:t>
            </w:r>
          </w:p>
        </w:tc>
      </w:tr>
      <w:tr w:rsidR="00234376" w:rsidRPr="00537C3C">
        <w:trPr>
          <w:trHeight w:val="300"/>
        </w:trPr>
        <w:tc>
          <w:tcPr>
            <w:tcW w:w="1483" w:type="dxa"/>
            <w:tcBorders>
              <w:bottom w:val="single" w:sz="4" w:space="0" w:color="auto"/>
            </w:tcBorders>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1b1</w:t>
            </w:r>
          </w:p>
        </w:tc>
        <w:tc>
          <w:tcPr>
            <w:tcW w:w="1338" w:type="dxa"/>
            <w:tcBorders>
              <w:bottom w:val="single" w:sz="4" w:space="0" w:color="auto"/>
            </w:tcBorders>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25.3%</w:t>
            </w:r>
          </w:p>
        </w:tc>
        <w:tc>
          <w:tcPr>
            <w:tcW w:w="1121" w:type="dxa"/>
            <w:tcBorders>
              <w:bottom w:val="single" w:sz="4" w:space="0" w:color="auto"/>
            </w:tcBorders>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46.6%</w:t>
            </w:r>
          </w:p>
        </w:tc>
        <w:tc>
          <w:tcPr>
            <w:tcW w:w="1121" w:type="dxa"/>
            <w:vMerge/>
            <w:tcBorders>
              <w:bottom w:val="single" w:sz="4" w:space="0" w:color="auto"/>
            </w:tcBorders>
          </w:tcPr>
          <w:p w:rsidR="00234376" w:rsidRPr="00537C3C" w:rsidRDefault="00234376" w:rsidP="008E03A7">
            <w:pPr>
              <w:keepNext/>
              <w:keepLines/>
              <w:tabs>
                <w:tab w:val="decimal" w:pos="637"/>
              </w:tabs>
              <w:spacing w:after="0"/>
              <w:ind w:left="0"/>
              <w:rPr>
                <w:rFonts w:ascii="Arial Narrow" w:eastAsia="Arial Unicode MS" w:hAnsi="Arial Narrow" w:cs="Arial Unicode MS"/>
                <w:sz w:val="18"/>
                <w:szCs w:val="18"/>
              </w:rPr>
            </w:pPr>
          </w:p>
        </w:tc>
        <w:tc>
          <w:tcPr>
            <w:tcW w:w="1120" w:type="dxa"/>
            <w:tcBorders>
              <w:bottom w:val="single" w:sz="4" w:space="0" w:color="auto"/>
            </w:tcBorders>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$846.18</w:t>
            </w:r>
          </w:p>
        </w:tc>
        <w:tc>
          <w:tcPr>
            <w:tcW w:w="1121" w:type="dxa"/>
            <w:vMerge/>
            <w:tcBorders>
              <w:bottom w:val="single" w:sz="4" w:space="0" w:color="auto"/>
            </w:tcBorders>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p>
        </w:tc>
        <w:tc>
          <w:tcPr>
            <w:tcW w:w="1121" w:type="dxa"/>
            <w:tcBorders>
              <w:bottom w:val="single" w:sz="4" w:space="0" w:color="auto"/>
            </w:tcBorders>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$5725.76</w:t>
            </w:r>
          </w:p>
        </w:tc>
      </w:tr>
      <w:tr w:rsidR="00234376" w:rsidRPr="00537C3C">
        <w:trPr>
          <w:trHeight w:val="450"/>
        </w:trPr>
        <w:tc>
          <w:tcPr>
            <w:tcW w:w="1483" w:type="dxa"/>
            <w:tcBorders>
              <w:top w:val="single" w:sz="4" w:space="0" w:color="auto"/>
              <w:bottom w:val="single" w:sz="4" w:space="0" w:color="auto"/>
            </w:tcBorders>
          </w:tcPr>
          <w:p w:rsidR="00234376" w:rsidRPr="00537C3C" w:rsidRDefault="00234376" w:rsidP="008E03A7">
            <w:pPr>
              <w:keepNext/>
              <w:keepLines/>
              <w:spacing w:after="0"/>
              <w:ind w:left="0"/>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Locally advanced / regional</w:t>
            </w:r>
          </w:p>
        </w:tc>
        <w:tc>
          <w:tcPr>
            <w:tcW w:w="1338" w:type="dxa"/>
            <w:tcBorders>
              <w:top w:val="single" w:sz="4" w:space="0" w:color="auto"/>
              <w:bottom w:val="single" w:sz="4" w:space="0" w:color="auto"/>
            </w:tcBorders>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43.7%</w:t>
            </w:r>
          </w:p>
        </w:tc>
        <w:tc>
          <w:tcPr>
            <w:tcW w:w="1121" w:type="dxa"/>
            <w:tcBorders>
              <w:top w:val="single" w:sz="4" w:space="0" w:color="auto"/>
              <w:bottom w:val="single" w:sz="4" w:space="0" w:color="auto"/>
            </w:tcBorders>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p>
        </w:tc>
        <w:tc>
          <w:tcPr>
            <w:tcW w:w="1121" w:type="dxa"/>
            <w:tcBorders>
              <w:top w:val="single" w:sz="4" w:space="0" w:color="auto"/>
              <w:bottom w:val="single" w:sz="4" w:space="0" w:color="auto"/>
            </w:tcBorders>
          </w:tcPr>
          <w:p w:rsidR="00234376" w:rsidRPr="00537C3C" w:rsidRDefault="00234376" w:rsidP="008E03A7">
            <w:pPr>
              <w:keepNext/>
              <w:keepLines/>
              <w:tabs>
                <w:tab w:val="decimal" w:pos="637"/>
              </w:tabs>
              <w:spacing w:after="0"/>
              <w:ind w:left="0"/>
              <w:rPr>
                <w:rFonts w:ascii="Arial Narrow" w:eastAsia="Arial Unicode MS" w:hAnsi="Arial Narrow" w:cs="Arial Unicode MS"/>
                <w:sz w:val="18"/>
                <w:szCs w:val="18"/>
              </w:rPr>
            </w:pPr>
          </w:p>
        </w:tc>
        <w:tc>
          <w:tcPr>
            <w:tcW w:w="1120" w:type="dxa"/>
            <w:tcBorders>
              <w:top w:val="single" w:sz="4" w:space="0" w:color="auto"/>
              <w:bottom w:val="single" w:sz="4" w:space="0" w:color="auto"/>
            </w:tcBorders>
          </w:tcPr>
          <w:p w:rsidR="00234376" w:rsidRPr="00537C3C" w:rsidRDefault="00234376" w:rsidP="008E03A7">
            <w:pPr>
              <w:keepNext/>
              <w:keepLines/>
              <w:tabs>
                <w:tab w:val="decimal" w:pos="65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$1994.50</w:t>
            </w:r>
          </w:p>
        </w:tc>
        <w:tc>
          <w:tcPr>
            <w:tcW w:w="1121" w:type="dxa"/>
            <w:tcBorders>
              <w:top w:val="single" w:sz="4" w:space="0" w:color="auto"/>
              <w:bottom w:val="single" w:sz="4" w:space="0" w:color="auto"/>
            </w:tcBorders>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p>
        </w:tc>
        <w:tc>
          <w:tcPr>
            <w:tcW w:w="1121" w:type="dxa"/>
            <w:tcBorders>
              <w:top w:val="single" w:sz="4" w:space="0" w:color="auto"/>
              <w:bottom w:val="single" w:sz="4" w:space="0" w:color="auto"/>
            </w:tcBorders>
            <w:noWrap/>
          </w:tcPr>
          <w:p w:rsidR="00234376" w:rsidRPr="00537C3C" w:rsidRDefault="00234376" w:rsidP="008E03A7">
            <w:pPr>
              <w:keepNext/>
              <w:keepLines/>
              <w:tabs>
                <w:tab w:val="decimal" w:pos="65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$15434.18</w:t>
            </w:r>
          </w:p>
        </w:tc>
      </w:tr>
      <w:tr w:rsidR="00234376" w:rsidRPr="00537C3C">
        <w:trPr>
          <w:trHeight w:val="300"/>
        </w:trPr>
        <w:tc>
          <w:tcPr>
            <w:tcW w:w="1483" w:type="dxa"/>
            <w:tcBorders>
              <w:top w:val="single" w:sz="4" w:space="0" w:color="auto"/>
            </w:tcBorders>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1b2</w:t>
            </w:r>
          </w:p>
        </w:tc>
        <w:tc>
          <w:tcPr>
            <w:tcW w:w="1338" w:type="dxa"/>
            <w:tcBorders>
              <w:top w:val="single" w:sz="4" w:space="0" w:color="auto"/>
            </w:tcBorders>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9.4%</w:t>
            </w:r>
          </w:p>
        </w:tc>
        <w:tc>
          <w:tcPr>
            <w:tcW w:w="1121" w:type="dxa"/>
            <w:tcBorders>
              <w:top w:val="single" w:sz="4" w:space="0" w:color="auto"/>
            </w:tcBorders>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21.6%</w:t>
            </w:r>
          </w:p>
        </w:tc>
        <w:tc>
          <w:tcPr>
            <w:tcW w:w="1121" w:type="dxa"/>
            <w:tcBorders>
              <w:top w:val="single" w:sz="4" w:space="0" w:color="auto"/>
            </w:tcBorders>
          </w:tcPr>
          <w:p w:rsidR="00234376" w:rsidRPr="00537C3C" w:rsidRDefault="00234376" w:rsidP="008E03A7">
            <w:pPr>
              <w:keepNext/>
              <w:keepLines/>
              <w:tabs>
                <w:tab w:val="decimal" w:pos="637"/>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$2261.83</w:t>
            </w:r>
          </w:p>
        </w:tc>
        <w:tc>
          <w:tcPr>
            <w:tcW w:w="1120" w:type="dxa"/>
            <w:tcBorders>
              <w:top w:val="single" w:sz="4" w:space="0" w:color="auto"/>
            </w:tcBorders>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$487.85</w:t>
            </w:r>
          </w:p>
        </w:tc>
        <w:tc>
          <w:tcPr>
            <w:tcW w:w="1121" w:type="dxa"/>
            <w:tcBorders>
              <w:top w:val="single" w:sz="4" w:space="0" w:color="auto"/>
            </w:tcBorders>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$15348.80</w:t>
            </w:r>
          </w:p>
        </w:tc>
        <w:tc>
          <w:tcPr>
            <w:tcW w:w="1121" w:type="dxa"/>
            <w:tcBorders>
              <w:top w:val="single" w:sz="4" w:space="0" w:color="auto"/>
            </w:tcBorders>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$3310.53</w:t>
            </w:r>
          </w:p>
        </w:tc>
      </w:tr>
      <w:tr w:rsidR="00234376" w:rsidRPr="00537C3C">
        <w:trPr>
          <w:trHeight w:val="300"/>
        </w:trPr>
        <w:tc>
          <w:tcPr>
            <w:tcW w:w="1483" w:type="dxa"/>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2a</w:t>
            </w:r>
          </w:p>
        </w:tc>
        <w:tc>
          <w:tcPr>
            <w:tcW w:w="1338" w:type="dxa"/>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4.2%</w:t>
            </w:r>
          </w:p>
        </w:tc>
        <w:tc>
          <w:tcPr>
            <w:tcW w:w="1121" w:type="dxa"/>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9.6%</w:t>
            </w:r>
          </w:p>
        </w:tc>
        <w:tc>
          <w:tcPr>
            <w:tcW w:w="1121" w:type="dxa"/>
            <w:vMerge w:val="restart"/>
          </w:tcPr>
          <w:p w:rsidR="00234376" w:rsidRPr="00537C3C" w:rsidRDefault="00234376" w:rsidP="008E03A7">
            <w:pPr>
              <w:keepNext/>
              <w:keepLines/>
              <w:tabs>
                <w:tab w:val="decimal" w:pos="637"/>
              </w:tabs>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$1917.26</w:t>
            </w:r>
          </w:p>
        </w:tc>
        <w:tc>
          <w:tcPr>
            <w:tcW w:w="1120"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$184.21</w:t>
            </w:r>
          </w:p>
        </w:tc>
        <w:tc>
          <w:tcPr>
            <w:tcW w:w="1121"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$15218.35</w:t>
            </w:r>
          </w:p>
        </w:tc>
        <w:tc>
          <w:tcPr>
            <w:tcW w:w="1121" w:type="dxa"/>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$1462.16</w:t>
            </w:r>
          </w:p>
        </w:tc>
      </w:tr>
      <w:tr w:rsidR="00234376" w:rsidRPr="00537C3C">
        <w:trPr>
          <w:trHeight w:val="300"/>
        </w:trPr>
        <w:tc>
          <w:tcPr>
            <w:tcW w:w="1483" w:type="dxa"/>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2b</w:t>
            </w:r>
          </w:p>
        </w:tc>
        <w:tc>
          <w:tcPr>
            <w:tcW w:w="1338" w:type="dxa"/>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14.7%</w:t>
            </w:r>
          </w:p>
        </w:tc>
        <w:tc>
          <w:tcPr>
            <w:tcW w:w="1121" w:type="dxa"/>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33.7%</w:t>
            </w:r>
          </w:p>
        </w:tc>
        <w:tc>
          <w:tcPr>
            <w:tcW w:w="1121" w:type="dxa"/>
            <w:vMerge/>
          </w:tcPr>
          <w:p w:rsidR="00234376" w:rsidRPr="00537C3C" w:rsidRDefault="00234376" w:rsidP="008E03A7">
            <w:pPr>
              <w:keepNext/>
              <w:keepLines/>
              <w:tabs>
                <w:tab w:val="decimal" w:pos="637"/>
              </w:tabs>
              <w:ind w:left="0"/>
              <w:rPr>
                <w:rFonts w:ascii="Arial Narrow" w:eastAsia="Arial Unicode MS" w:hAnsi="Arial Narrow" w:cs="Arial Unicode MS"/>
                <w:sz w:val="18"/>
                <w:szCs w:val="18"/>
              </w:rPr>
            </w:pPr>
          </w:p>
        </w:tc>
        <w:tc>
          <w:tcPr>
            <w:tcW w:w="1120"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$646.61</w:t>
            </w:r>
          </w:p>
        </w:tc>
        <w:tc>
          <w:tcPr>
            <w:tcW w:w="1121" w:type="dxa"/>
            <w:vMerge w:val="restart"/>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$15479.25</w:t>
            </w:r>
          </w:p>
        </w:tc>
        <w:tc>
          <w:tcPr>
            <w:tcW w:w="1121" w:type="dxa"/>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$5220.45</w:t>
            </w:r>
          </w:p>
        </w:tc>
      </w:tr>
      <w:tr w:rsidR="00234376" w:rsidRPr="00537C3C">
        <w:trPr>
          <w:trHeight w:val="300"/>
        </w:trPr>
        <w:tc>
          <w:tcPr>
            <w:tcW w:w="1483" w:type="dxa"/>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3a</w:t>
            </w:r>
          </w:p>
        </w:tc>
        <w:tc>
          <w:tcPr>
            <w:tcW w:w="1338" w:type="dxa"/>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2.9%</w:t>
            </w:r>
          </w:p>
        </w:tc>
        <w:tc>
          <w:tcPr>
            <w:tcW w:w="1121" w:type="dxa"/>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6.7%</w:t>
            </w:r>
          </w:p>
        </w:tc>
        <w:tc>
          <w:tcPr>
            <w:tcW w:w="1121" w:type="dxa"/>
            <w:vMerge/>
          </w:tcPr>
          <w:p w:rsidR="00234376" w:rsidRPr="00537C3C" w:rsidRDefault="00234376" w:rsidP="008E03A7">
            <w:pPr>
              <w:keepNext/>
              <w:keepLines/>
              <w:tabs>
                <w:tab w:val="decimal" w:pos="637"/>
              </w:tabs>
              <w:ind w:left="0"/>
              <w:rPr>
                <w:rFonts w:ascii="Arial Narrow" w:eastAsia="Arial Unicode MS" w:hAnsi="Arial Narrow" w:cs="Arial Unicode MS"/>
                <w:sz w:val="18"/>
                <w:szCs w:val="18"/>
              </w:rPr>
            </w:pPr>
          </w:p>
        </w:tc>
        <w:tc>
          <w:tcPr>
            <w:tcW w:w="1120"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$127.82</w:t>
            </w:r>
          </w:p>
        </w:tc>
        <w:tc>
          <w:tcPr>
            <w:tcW w:w="1121" w:type="dxa"/>
            <w:vMerge/>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p>
        </w:tc>
        <w:tc>
          <w:tcPr>
            <w:tcW w:w="1121" w:type="dxa"/>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$1031.95</w:t>
            </w:r>
          </w:p>
        </w:tc>
      </w:tr>
      <w:tr w:rsidR="00234376" w:rsidRPr="00537C3C">
        <w:trPr>
          <w:trHeight w:val="300"/>
        </w:trPr>
        <w:tc>
          <w:tcPr>
            <w:tcW w:w="1483" w:type="dxa"/>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3b</w:t>
            </w:r>
          </w:p>
        </w:tc>
        <w:tc>
          <w:tcPr>
            <w:tcW w:w="1338" w:type="dxa"/>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9.4%</w:t>
            </w:r>
          </w:p>
        </w:tc>
        <w:tc>
          <w:tcPr>
            <w:tcW w:w="1121" w:type="dxa"/>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21.6%</w:t>
            </w:r>
          </w:p>
        </w:tc>
        <w:tc>
          <w:tcPr>
            <w:tcW w:w="1121" w:type="dxa"/>
            <w:vMerge/>
          </w:tcPr>
          <w:p w:rsidR="00234376" w:rsidRPr="00537C3C" w:rsidRDefault="00234376" w:rsidP="008E03A7">
            <w:pPr>
              <w:keepNext/>
              <w:keepLines/>
              <w:tabs>
                <w:tab w:val="decimal" w:pos="637"/>
              </w:tabs>
              <w:ind w:left="0"/>
              <w:rPr>
                <w:rFonts w:ascii="Arial Narrow" w:eastAsia="Arial Unicode MS" w:hAnsi="Arial Narrow" w:cs="Arial Unicode MS"/>
                <w:sz w:val="18"/>
                <w:szCs w:val="18"/>
              </w:rPr>
            </w:pPr>
          </w:p>
        </w:tc>
        <w:tc>
          <w:tcPr>
            <w:tcW w:w="1120"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$413.53</w:t>
            </w:r>
          </w:p>
        </w:tc>
        <w:tc>
          <w:tcPr>
            <w:tcW w:w="1121" w:type="dxa"/>
            <w:vMerge/>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p>
        </w:tc>
        <w:tc>
          <w:tcPr>
            <w:tcW w:w="1121" w:type="dxa"/>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$3338.66</w:t>
            </w:r>
          </w:p>
        </w:tc>
      </w:tr>
      <w:tr w:rsidR="00234376" w:rsidRPr="00537C3C">
        <w:trPr>
          <w:trHeight w:val="300"/>
        </w:trPr>
        <w:tc>
          <w:tcPr>
            <w:tcW w:w="1483" w:type="dxa"/>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3c</w:t>
            </w:r>
          </w:p>
        </w:tc>
        <w:tc>
          <w:tcPr>
            <w:tcW w:w="1338" w:type="dxa"/>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0.3%</w:t>
            </w:r>
          </w:p>
        </w:tc>
        <w:tc>
          <w:tcPr>
            <w:tcW w:w="1121" w:type="dxa"/>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0.8%</w:t>
            </w:r>
          </w:p>
        </w:tc>
        <w:tc>
          <w:tcPr>
            <w:tcW w:w="1121" w:type="dxa"/>
            <w:vMerge/>
          </w:tcPr>
          <w:p w:rsidR="00234376" w:rsidRPr="00537C3C" w:rsidRDefault="00234376" w:rsidP="008E03A7">
            <w:pPr>
              <w:keepNext/>
              <w:keepLines/>
              <w:tabs>
                <w:tab w:val="decimal" w:pos="637"/>
              </w:tabs>
              <w:spacing w:after="0"/>
              <w:ind w:left="0"/>
              <w:rPr>
                <w:rFonts w:ascii="Arial Narrow" w:eastAsia="Arial Unicode MS" w:hAnsi="Arial Narrow" w:cs="Arial Unicode MS"/>
                <w:sz w:val="18"/>
                <w:szCs w:val="18"/>
              </w:rPr>
            </w:pPr>
          </w:p>
        </w:tc>
        <w:tc>
          <w:tcPr>
            <w:tcW w:w="1120"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$15.04</w:t>
            </w:r>
          </w:p>
        </w:tc>
        <w:tc>
          <w:tcPr>
            <w:tcW w:w="1121" w:type="dxa"/>
            <w:vMerge/>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p>
        </w:tc>
        <w:tc>
          <w:tcPr>
            <w:tcW w:w="1121" w:type="dxa"/>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$121.41</w:t>
            </w:r>
          </w:p>
        </w:tc>
      </w:tr>
      <w:tr w:rsidR="00234376" w:rsidRPr="00537C3C">
        <w:trPr>
          <w:trHeight w:val="300"/>
        </w:trPr>
        <w:tc>
          <w:tcPr>
            <w:tcW w:w="1483" w:type="dxa"/>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4a</w:t>
            </w:r>
          </w:p>
        </w:tc>
        <w:tc>
          <w:tcPr>
            <w:tcW w:w="1338" w:type="dxa"/>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2.7%</w:t>
            </w:r>
          </w:p>
        </w:tc>
        <w:tc>
          <w:tcPr>
            <w:tcW w:w="1121" w:type="dxa"/>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6.1%</w:t>
            </w:r>
          </w:p>
        </w:tc>
        <w:tc>
          <w:tcPr>
            <w:tcW w:w="1121" w:type="dxa"/>
          </w:tcPr>
          <w:p w:rsidR="00234376" w:rsidRPr="00537C3C" w:rsidRDefault="00234376" w:rsidP="008E03A7">
            <w:pPr>
              <w:keepNext/>
              <w:keepLines/>
              <w:tabs>
                <w:tab w:val="decimal" w:pos="637"/>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$1965.24</w:t>
            </w:r>
          </w:p>
        </w:tc>
        <w:tc>
          <w:tcPr>
            <w:tcW w:w="1120"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$119.46</w:t>
            </w:r>
          </w:p>
        </w:tc>
        <w:tc>
          <w:tcPr>
            <w:tcW w:w="1121"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$15613.10</w:t>
            </w:r>
          </w:p>
        </w:tc>
        <w:tc>
          <w:tcPr>
            <w:tcW w:w="1121" w:type="dxa"/>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$949.03</w:t>
            </w:r>
          </w:p>
        </w:tc>
      </w:tr>
      <w:tr w:rsidR="00234376" w:rsidRPr="00537C3C">
        <w:trPr>
          <w:trHeight w:val="375"/>
        </w:trPr>
        <w:tc>
          <w:tcPr>
            <w:tcW w:w="1483" w:type="dxa"/>
            <w:noWrap/>
          </w:tcPr>
          <w:p w:rsidR="00234376" w:rsidRPr="00537C3C" w:rsidRDefault="00234376" w:rsidP="008E03A7">
            <w:pPr>
              <w:keepNext/>
              <w:keepLines/>
              <w:spacing w:after="0"/>
              <w:ind w:left="0"/>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Distant</w:t>
            </w:r>
          </w:p>
        </w:tc>
        <w:tc>
          <w:tcPr>
            <w:tcW w:w="1338" w:type="dxa"/>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2.0%</w:t>
            </w:r>
          </w:p>
        </w:tc>
        <w:tc>
          <w:tcPr>
            <w:tcW w:w="1121" w:type="dxa"/>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p>
        </w:tc>
        <w:tc>
          <w:tcPr>
            <w:tcW w:w="1121" w:type="dxa"/>
          </w:tcPr>
          <w:p w:rsidR="00234376" w:rsidRPr="00537C3C" w:rsidRDefault="00234376" w:rsidP="008E03A7">
            <w:pPr>
              <w:keepNext/>
              <w:keepLines/>
              <w:tabs>
                <w:tab w:val="decimal" w:pos="637"/>
              </w:tabs>
              <w:spacing w:after="0"/>
              <w:ind w:left="0"/>
              <w:rPr>
                <w:rFonts w:ascii="Arial Narrow" w:eastAsia="Arial Unicode MS" w:hAnsi="Arial Narrow" w:cs="Arial Unicode MS"/>
                <w:sz w:val="18"/>
                <w:szCs w:val="18"/>
              </w:rPr>
            </w:pPr>
          </w:p>
        </w:tc>
        <w:tc>
          <w:tcPr>
            <w:tcW w:w="1120" w:type="dxa"/>
          </w:tcPr>
          <w:p w:rsidR="00234376" w:rsidRPr="00537C3C" w:rsidRDefault="00234376" w:rsidP="008E03A7">
            <w:pPr>
              <w:keepNext/>
              <w:keepLines/>
              <w:tabs>
                <w:tab w:val="decimal" w:pos="65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$1965.24</w:t>
            </w:r>
          </w:p>
        </w:tc>
        <w:tc>
          <w:tcPr>
            <w:tcW w:w="1121" w:type="dxa"/>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p>
        </w:tc>
        <w:tc>
          <w:tcPr>
            <w:tcW w:w="1121" w:type="dxa"/>
            <w:noWrap/>
          </w:tcPr>
          <w:p w:rsidR="00234376" w:rsidRPr="00537C3C" w:rsidRDefault="00234376" w:rsidP="008E03A7">
            <w:pPr>
              <w:keepNext/>
              <w:keepLines/>
              <w:tabs>
                <w:tab w:val="decimal" w:pos="65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$8957.25</w:t>
            </w:r>
          </w:p>
        </w:tc>
      </w:tr>
      <w:tr w:rsidR="00234376" w:rsidRPr="00537C3C">
        <w:trPr>
          <w:trHeight w:val="300"/>
        </w:trPr>
        <w:tc>
          <w:tcPr>
            <w:tcW w:w="1483" w:type="dxa"/>
            <w:tcBorders>
              <w:bottom w:val="single" w:sz="4" w:space="0" w:color="auto"/>
            </w:tcBorders>
            <w:noWrap/>
          </w:tcPr>
          <w:p w:rsidR="00234376" w:rsidRPr="00537C3C" w:rsidRDefault="00234376" w:rsidP="008E03A7">
            <w:pPr>
              <w:keepNext/>
              <w:keepLine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4b</w:t>
            </w:r>
          </w:p>
        </w:tc>
        <w:tc>
          <w:tcPr>
            <w:tcW w:w="1338" w:type="dxa"/>
            <w:tcBorders>
              <w:bottom w:val="single" w:sz="4" w:space="0" w:color="auto"/>
            </w:tcBorders>
            <w:noWrap/>
          </w:tcPr>
          <w:p w:rsidR="00234376" w:rsidRPr="00537C3C" w:rsidRDefault="00234376" w:rsidP="008E03A7">
            <w:pPr>
              <w:keepNext/>
              <w:keepLines/>
              <w:tabs>
                <w:tab w:val="decimal" w:pos="68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2.0%</w:t>
            </w:r>
          </w:p>
        </w:tc>
        <w:tc>
          <w:tcPr>
            <w:tcW w:w="1121" w:type="dxa"/>
            <w:tcBorders>
              <w:bottom w:val="single" w:sz="4" w:space="0" w:color="auto"/>
            </w:tcBorders>
            <w:noWrap/>
          </w:tcPr>
          <w:p w:rsidR="00234376" w:rsidRPr="00537C3C" w:rsidRDefault="00234376" w:rsidP="008E03A7">
            <w:pPr>
              <w:keepNext/>
              <w:keepLines/>
              <w:tabs>
                <w:tab w:val="decimal" w:pos="62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w:t>
            </w:r>
          </w:p>
        </w:tc>
        <w:tc>
          <w:tcPr>
            <w:tcW w:w="1121" w:type="dxa"/>
            <w:tcBorders>
              <w:bottom w:val="single" w:sz="4" w:space="0" w:color="auto"/>
            </w:tcBorders>
          </w:tcPr>
          <w:p w:rsidR="00234376" w:rsidRPr="00537C3C" w:rsidRDefault="00234376" w:rsidP="008E03A7">
            <w:pPr>
              <w:keepNext/>
              <w:keepLines/>
              <w:tabs>
                <w:tab w:val="decimal" w:pos="637"/>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$1965.24</w:t>
            </w:r>
          </w:p>
        </w:tc>
        <w:tc>
          <w:tcPr>
            <w:tcW w:w="1120" w:type="dxa"/>
            <w:tcBorders>
              <w:bottom w:val="single" w:sz="4" w:space="0" w:color="auto"/>
            </w:tcBorders>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$1965.24</w:t>
            </w:r>
          </w:p>
        </w:tc>
        <w:tc>
          <w:tcPr>
            <w:tcW w:w="1121" w:type="dxa"/>
            <w:tcBorders>
              <w:bottom w:val="single" w:sz="4" w:space="0" w:color="auto"/>
            </w:tcBorders>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$8957.25</w:t>
            </w:r>
          </w:p>
        </w:tc>
        <w:tc>
          <w:tcPr>
            <w:tcW w:w="1121" w:type="dxa"/>
            <w:tcBorders>
              <w:bottom w:val="single" w:sz="4" w:space="0" w:color="auto"/>
            </w:tcBorders>
            <w:noWrap/>
          </w:tcPr>
          <w:p w:rsidR="00234376" w:rsidRPr="00537C3C" w:rsidRDefault="00234376" w:rsidP="008E03A7">
            <w:pPr>
              <w:keepNext/>
              <w:keepLines/>
              <w:tabs>
                <w:tab w:val="decimal" w:pos="65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$8957.25</w:t>
            </w:r>
          </w:p>
        </w:tc>
      </w:tr>
    </w:tbl>
    <w:p w:rsidR="00234376" w:rsidRPr="00537C3C" w:rsidRDefault="00234376" w:rsidP="008E03A7">
      <w:pPr>
        <w:pStyle w:val="TableText0"/>
        <w:keepLines/>
        <w:spacing w:before="0" w:after="0"/>
        <w:ind w:firstLine="567"/>
        <w:rPr>
          <w:rFonts w:ascii="Arial Narrow" w:hAnsi="Arial Narrow"/>
        </w:rPr>
      </w:pPr>
      <w:r w:rsidRPr="00234376">
        <w:rPr>
          <w:rFonts w:ascii="Arial Narrow" w:hAnsi="Arial Narrow"/>
          <w:vertAlign w:val="superscript"/>
        </w:rPr>
        <w:t>a</w:t>
      </w:r>
      <w:r w:rsidRPr="00537C3C">
        <w:rPr>
          <w:rFonts w:ascii="Arial Narrow" w:hAnsi="Arial Narrow"/>
        </w:rPr>
        <w:t xml:space="preserve"> Based on data from Queensland Gynaecological Cancer Centre and the Royal Women’s Hospital, </w:t>
      </w:r>
      <w:smartTag w:uri="urn:schemas-microsoft-com:office:smarttags" w:element="place">
        <w:smartTag w:uri="urn:schemas-microsoft-com:office:smarttags" w:element="City">
          <w:r w:rsidRPr="00537C3C">
            <w:rPr>
              <w:rFonts w:ascii="Arial Narrow" w:hAnsi="Arial Narrow"/>
            </w:rPr>
            <w:t>Melbourne</w:t>
          </w:r>
        </w:smartTag>
      </w:smartTag>
      <w:r w:rsidRPr="00537C3C">
        <w:rPr>
          <w:rFonts w:ascii="Arial Narrow" w:hAnsi="Arial Narrow"/>
        </w:rPr>
        <w:t>.</w:t>
      </w:r>
    </w:p>
    <w:p w:rsidR="00234376" w:rsidRPr="00537C3C" w:rsidRDefault="00234376" w:rsidP="008E03A7">
      <w:pPr>
        <w:spacing w:after="120"/>
        <w:jc w:val="both"/>
        <w:rPr>
          <w:rFonts w:cs="Arial"/>
        </w:rPr>
      </w:pPr>
    </w:p>
    <w:p w:rsidR="00234376" w:rsidRPr="00537C3C" w:rsidRDefault="00234376" w:rsidP="008E03A7">
      <w:pPr>
        <w:spacing w:after="120"/>
        <w:jc w:val="both"/>
        <w:rPr>
          <w:rFonts w:cs="Arial"/>
        </w:rPr>
        <w:sectPr w:rsidR="00234376" w:rsidRPr="00537C3C" w:rsidSect="008E03A7">
          <w:headerReference w:type="even" r:id="rId55"/>
          <w:headerReference w:type="default" r:id="rId56"/>
          <w:footerReference w:type="default" r:id="rId57"/>
          <w:headerReference w:type="first" r:id="rId58"/>
          <w:pgSz w:w="11906" w:h="16838"/>
          <w:pgMar w:top="1440" w:right="1440" w:bottom="1440" w:left="1440" w:header="720" w:footer="720" w:gutter="0"/>
          <w:cols w:space="720"/>
        </w:sectPr>
      </w:pPr>
    </w:p>
    <w:p w:rsidR="00234376" w:rsidRPr="00537C3C" w:rsidRDefault="00234376" w:rsidP="008E03A7">
      <w:pPr>
        <w:pStyle w:val="TableNamea"/>
        <w:keepLines/>
      </w:pPr>
      <w:bookmarkStart w:id="617" w:name="_Ref209517145"/>
      <w:bookmarkStart w:id="618" w:name="_Toc95971280"/>
      <w:r w:rsidRPr="00537C3C">
        <w:lastRenderedPageBreak/>
        <w:t xml:space="preserve">Table </w:t>
      </w:r>
      <w:fldSimple w:instr=" SEQ Table \* ARABIC ">
        <w:r w:rsidR="007D3DFF">
          <w:rPr>
            <w:noProof/>
          </w:rPr>
          <w:t>44</w:t>
        </w:r>
      </w:fldSimple>
      <w:bookmarkEnd w:id="617"/>
      <w:r w:rsidRPr="00537C3C">
        <w:tab/>
        <w:t xml:space="preserve">Summary treatment and work-up costs by </w:t>
      </w:r>
      <w:r w:rsidRPr="00BB76D8">
        <w:t>FIGO</w:t>
      </w:r>
      <w:r w:rsidRPr="00537C3C">
        <w:t xml:space="preserve"> stage</w:t>
      </w:r>
      <w:r w:rsidRPr="00537C3C">
        <w:rPr>
          <w:rFonts w:ascii="Arial Narrow" w:hAnsi="Arial Narrow" w:cs="Arial"/>
          <w:sz w:val="18"/>
          <w:szCs w:val="18"/>
        </w:rPr>
        <w:t>.</w:t>
      </w:r>
      <w:bookmarkEnd w:id="618"/>
    </w:p>
    <w:tbl>
      <w:tblPr>
        <w:tblW w:w="14175" w:type="dxa"/>
        <w:tblInd w:w="108" w:type="dxa"/>
        <w:tblBorders>
          <w:top w:val="single" w:sz="4" w:space="0" w:color="auto"/>
          <w:bottom w:val="single" w:sz="4" w:space="0" w:color="auto"/>
        </w:tblBorders>
        <w:tblLook w:val="0000" w:firstRow="0" w:lastRow="0" w:firstColumn="0" w:lastColumn="0" w:noHBand="0" w:noVBand="0"/>
      </w:tblPr>
      <w:tblGrid>
        <w:gridCol w:w="2331"/>
        <w:gridCol w:w="955"/>
        <w:gridCol w:w="1003"/>
        <w:gridCol w:w="914"/>
        <w:gridCol w:w="996"/>
        <w:gridCol w:w="996"/>
        <w:gridCol w:w="1008"/>
        <w:gridCol w:w="996"/>
        <w:gridCol w:w="996"/>
        <w:gridCol w:w="996"/>
        <w:gridCol w:w="996"/>
        <w:gridCol w:w="996"/>
        <w:gridCol w:w="992"/>
      </w:tblGrid>
      <w:tr w:rsidR="002D11C3" w:rsidRPr="00537C3C">
        <w:trPr>
          <w:trHeight w:val="284"/>
        </w:trPr>
        <w:tc>
          <w:tcPr>
            <w:tcW w:w="2331" w:type="dxa"/>
            <w:tcBorders>
              <w:top w:val="single" w:sz="4" w:space="0" w:color="auto"/>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 xml:space="preserve">Treatments </w:t>
            </w:r>
            <w:r w:rsidRPr="00234376">
              <w:rPr>
                <w:rFonts w:ascii="Arial Narrow" w:eastAsia="Arial Unicode MS" w:hAnsi="Arial Narrow" w:cs="Arial Unicode MS"/>
                <w:b/>
                <w:bCs/>
                <w:sz w:val="18"/>
                <w:szCs w:val="18"/>
                <w:vertAlign w:val="superscript"/>
              </w:rPr>
              <w:t>a</w:t>
            </w:r>
          </w:p>
        </w:tc>
        <w:tc>
          <w:tcPr>
            <w:tcW w:w="955" w:type="dxa"/>
            <w:tcBorders>
              <w:top w:val="single" w:sz="4" w:space="0" w:color="auto"/>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Unit cost</w:t>
            </w:r>
          </w:p>
        </w:tc>
        <w:tc>
          <w:tcPr>
            <w:tcW w:w="1003" w:type="dxa"/>
            <w:tcBorders>
              <w:top w:val="single" w:sz="4" w:space="0" w:color="auto"/>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Source</w:t>
            </w:r>
          </w:p>
        </w:tc>
        <w:tc>
          <w:tcPr>
            <w:tcW w:w="914" w:type="dxa"/>
            <w:tcBorders>
              <w:top w:val="single" w:sz="4" w:space="0" w:color="auto"/>
              <w:bottom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996" w:type="dxa"/>
            <w:tcBorders>
              <w:top w:val="single" w:sz="4" w:space="0" w:color="auto"/>
              <w:bottom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996" w:type="dxa"/>
            <w:tcBorders>
              <w:top w:val="single" w:sz="4" w:space="0" w:color="auto"/>
              <w:bottom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1008" w:type="dxa"/>
            <w:tcBorders>
              <w:top w:val="single" w:sz="4" w:space="0" w:color="auto"/>
              <w:bottom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996" w:type="dxa"/>
            <w:tcBorders>
              <w:top w:val="single" w:sz="4" w:space="0" w:color="auto"/>
              <w:bottom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996" w:type="dxa"/>
            <w:tcBorders>
              <w:top w:val="single" w:sz="4" w:space="0" w:color="auto"/>
              <w:bottom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996" w:type="dxa"/>
            <w:tcBorders>
              <w:top w:val="single" w:sz="4" w:space="0" w:color="auto"/>
              <w:bottom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996" w:type="dxa"/>
            <w:tcBorders>
              <w:top w:val="single" w:sz="4" w:space="0" w:color="auto"/>
              <w:bottom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996" w:type="dxa"/>
            <w:tcBorders>
              <w:top w:val="single" w:sz="4" w:space="0" w:color="auto"/>
              <w:bottom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992" w:type="dxa"/>
            <w:tcBorders>
              <w:top w:val="single" w:sz="4" w:space="0" w:color="auto"/>
              <w:bottom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r>
      <w:tr w:rsidR="002D11C3" w:rsidRPr="00537C3C">
        <w:trPr>
          <w:trHeight w:val="284"/>
        </w:trPr>
        <w:tc>
          <w:tcPr>
            <w:tcW w:w="2331" w:type="dxa"/>
            <w:tcBorders>
              <w:top w:val="single" w:sz="4" w:space="0" w:color="auto"/>
              <w:bottom w:val="nil"/>
            </w:tcBorders>
            <w:vAlign w:val="bottom"/>
          </w:tcPr>
          <w:p w:rsidR="00234376" w:rsidRPr="00537C3C" w:rsidRDefault="00234376" w:rsidP="008E03A7">
            <w:pPr>
              <w:spacing w:after="0"/>
              <w:ind w:left="0"/>
              <w:rPr>
                <w:rFonts w:ascii="Arial Narrow" w:hAnsi="Arial Narrow" w:cs="Arial"/>
                <w:sz w:val="18"/>
                <w:szCs w:val="18"/>
              </w:rPr>
            </w:pPr>
          </w:p>
        </w:tc>
        <w:tc>
          <w:tcPr>
            <w:tcW w:w="955" w:type="dxa"/>
            <w:tcBorders>
              <w:top w:val="single" w:sz="4" w:space="0" w:color="auto"/>
              <w:bottom w:val="nil"/>
            </w:tcBorders>
            <w:vAlign w:val="bottom"/>
          </w:tcPr>
          <w:p w:rsidR="00234376" w:rsidRPr="00537C3C" w:rsidRDefault="00234376" w:rsidP="008E03A7">
            <w:pPr>
              <w:spacing w:after="0"/>
              <w:ind w:left="0"/>
              <w:rPr>
                <w:rFonts w:ascii="Arial Narrow" w:hAnsi="Arial Narrow" w:cs="Arial"/>
                <w:sz w:val="18"/>
                <w:szCs w:val="18"/>
              </w:rPr>
            </w:pPr>
          </w:p>
        </w:tc>
        <w:tc>
          <w:tcPr>
            <w:tcW w:w="1003" w:type="dxa"/>
            <w:tcBorders>
              <w:top w:val="single" w:sz="4" w:space="0" w:color="auto"/>
              <w:bottom w:val="nil"/>
            </w:tcBorders>
            <w:vAlign w:val="bottom"/>
          </w:tcPr>
          <w:p w:rsidR="00234376" w:rsidRPr="00537C3C" w:rsidRDefault="00234376" w:rsidP="008E03A7">
            <w:pPr>
              <w:spacing w:after="0"/>
              <w:ind w:left="0"/>
              <w:rPr>
                <w:rFonts w:ascii="Arial Narrow" w:hAnsi="Arial Narrow" w:cs="Arial"/>
                <w:sz w:val="18"/>
                <w:szCs w:val="18"/>
              </w:rPr>
            </w:pPr>
          </w:p>
        </w:tc>
        <w:tc>
          <w:tcPr>
            <w:tcW w:w="9886" w:type="dxa"/>
            <w:gridSpan w:val="10"/>
            <w:tcBorders>
              <w:top w:val="single" w:sz="4" w:space="0" w:color="auto"/>
              <w:bottom w:val="nil"/>
            </w:tcBorders>
            <w:noWrap/>
            <w:vAlign w:val="center"/>
          </w:tcPr>
          <w:p w:rsidR="00234376" w:rsidRPr="00537C3C" w:rsidRDefault="00234376" w:rsidP="008E03A7">
            <w:pPr>
              <w:spacing w:after="0"/>
              <w:ind w:left="0"/>
              <w:jc w:val="center"/>
              <w:rPr>
                <w:rFonts w:ascii="Arial Narrow" w:hAnsi="Arial Narrow" w:cs="Arial"/>
                <w:sz w:val="18"/>
                <w:szCs w:val="18"/>
              </w:rPr>
            </w:pPr>
            <w:r w:rsidRPr="00537C3C">
              <w:rPr>
                <w:rFonts w:ascii="Arial Narrow" w:hAnsi="Arial Narrow" w:cs="Arial"/>
                <w:sz w:val="18"/>
                <w:szCs w:val="18"/>
              </w:rPr>
              <w:t>% of patients</w:t>
            </w:r>
          </w:p>
        </w:tc>
      </w:tr>
      <w:tr w:rsidR="002D11C3" w:rsidRPr="00537C3C">
        <w:trPr>
          <w:trHeight w:val="284"/>
        </w:trPr>
        <w:tc>
          <w:tcPr>
            <w:tcW w:w="2331" w:type="dxa"/>
            <w:tcBorders>
              <w:top w:val="nil"/>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Treatment option</w:t>
            </w:r>
          </w:p>
        </w:tc>
        <w:tc>
          <w:tcPr>
            <w:tcW w:w="955" w:type="dxa"/>
            <w:tcBorders>
              <w:top w:val="nil"/>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1003" w:type="dxa"/>
            <w:tcBorders>
              <w:top w:val="nil"/>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14" w:type="dxa"/>
            <w:tcBorders>
              <w:top w:val="nil"/>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bookmarkStart w:id="619" w:name="OLE_LINK224"/>
            <w:bookmarkStart w:id="620" w:name="OLE_LINK225"/>
            <w:r w:rsidRPr="00537C3C">
              <w:rPr>
                <w:rFonts w:ascii="Arial Narrow" w:eastAsia="Arial Unicode MS" w:hAnsi="Arial Narrow" w:cs="Arial Unicode MS"/>
                <w:sz w:val="18"/>
                <w:szCs w:val="18"/>
              </w:rPr>
              <w:t>Ia1</w:t>
            </w:r>
            <w:bookmarkEnd w:id="619"/>
            <w:bookmarkEnd w:id="620"/>
          </w:p>
        </w:tc>
        <w:tc>
          <w:tcPr>
            <w:tcW w:w="996" w:type="dxa"/>
            <w:tcBorders>
              <w:top w:val="nil"/>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bookmarkStart w:id="621" w:name="OLE_LINK226"/>
            <w:bookmarkStart w:id="622" w:name="OLE_LINK227"/>
            <w:r w:rsidRPr="00537C3C">
              <w:rPr>
                <w:rFonts w:ascii="Arial Narrow" w:eastAsia="Arial Unicode MS" w:hAnsi="Arial Narrow" w:cs="Arial Unicode MS"/>
                <w:sz w:val="18"/>
                <w:szCs w:val="18"/>
              </w:rPr>
              <w:t>Ia2</w:t>
            </w:r>
            <w:bookmarkEnd w:id="621"/>
            <w:bookmarkEnd w:id="622"/>
          </w:p>
        </w:tc>
        <w:tc>
          <w:tcPr>
            <w:tcW w:w="996" w:type="dxa"/>
            <w:tcBorders>
              <w:top w:val="nil"/>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bookmarkStart w:id="623" w:name="OLE_LINK228"/>
            <w:bookmarkStart w:id="624" w:name="OLE_LINK229"/>
            <w:r w:rsidRPr="00537C3C">
              <w:rPr>
                <w:rFonts w:ascii="Arial Narrow" w:eastAsia="Arial Unicode MS" w:hAnsi="Arial Narrow" w:cs="Arial Unicode MS"/>
                <w:sz w:val="18"/>
                <w:szCs w:val="18"/>
              </w:rPr>
              <w:t>Ib1</w:t>
            </w:r>
            <w:bookmarkEnd w:id="623"/>
            <w:bookmarkEnd w:id="624"/>
          </w:p>
        </w:tc>
        <w:tc>
          <w:tcPr>
            <w:tcW w:w="1008" w:type="dxa"/>
            <w:tcBorders>
              <w:top w:val="nil"/>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bookmarkStart w:id="625" w:name="OLE_LINK230"/>
            <w:bookmarkStart w:id="626" w:name="OLE_LINK231"/>
            <w:r w:rsidRPr="00537C3C">
              <w:rPr>
                <w:rFonts w:ascii="Arial Narrow" w:eastAsia="Arial Unicode MS" w:hAnsi="Arial Narrow" w:cs="Arial Unicode MS"/>
                <w:sz w:val="18"/>
                <w:szCs w:val="18"/>
              </w:rPr>
              <w:t>Ib2</w:t>
            </w:r>
            <w:bookmarkEnd w:id="625"/>
            <w:bookmarkEnd w:id="626"/>
          </w:p>
        </w:tc>
        <w:tc>
          <w:tcPr>
            <w:tcW w:w="996" w:type="dxa"/>
            <w:tcBorders>
              <w:top w:val="nil"/>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bookmarkStart w:id="627" w:name="OLE_LINK232"/>
            <w:bookmarkStart w:id="628" w:name="OLE_LINK233"/>
            <w:r w:rsidRPr="00537C3C">
              <w:rPr>
                <w:rFonts w:ascii="Arial Narrow" w:eastAsia="Arial Unicode MS" w:hAnsi="Arial Narrow" w:cs="Arial Unicode MS"/>
                <w:sz w:val="18"/>
                <w:szCs w:val="18"/>
              </w:rPr>
              <w:t>IIa</w:t>
            </w:r>
            <w:bookmarkEnd w:id="627"/>
            <w:bookmarkEnd w:id="628"/>
          </w:p>
        </w:tc>
        <w:tc>
          <w:tcPr>
            <w:tcW w:w="996" w:type="dxa"/>
            <w:tcBorders>
              <w:top w:val="nil"/>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bookmarkStart w:id="629" w:name="OLE_LINK234"/>
            <w:bookmarkStart w:id="630" w:name="OLE_LINK235"/>
            <w:r w:rsidRPr="00537C3C">
              <w:rPr>
                <w:rFonts w:ascii="Arial Narrow" w:eastAsia="Arial Unicode MS" w:hAnsi="Arial Narrow" w:cs="Arial Unicode MS"/>
                <w:sz w:val="18"/>
                <w:szCs w:val="18"/>
              </w:rPr>
              <w:t>IIb</w:t>
            </w:r>
            <w:bookmarkEnd w:id="629"/>
            <w:bookmarkEnd w:id="630"/>
          </w:p>
        </w:tc>
        <w:tc>
          <w:tcPr>
            <w:tcW w:w="996" w:type="dxa"/>
            <w:tcBorders>
              <w:top w:val="nil"/>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bookmarkStart w:id="631" w:name="OLE_LINK236"/>
            <w:bookmarkStart w:id="632" w:name="OLE_LINK237"/>
            <w:r w:rsidRPr="00537C3C">
              <w:rPr>
                <w:rFonts w:ascii="Arial Narrow" w:eastAsia="Arial Unicode MS" w:hAnsi="Arial Narrow" w:cs="Arial Unicode MS"/>
                <w:sz w:val="18"/>
                <w:szCs w:val="18"/>
              </w:rPr>
              <w:t>IIIa</w:t>
            </w:r>
            <w:bookmarkEnd w:id="631"/>
            <w:bookmarkEnd w:id="632"/>
          </w:p>
        </w:tc>
        <w:tc>
          <w:tcPr>
            <w:tcW w:w="996" w:type="dxa"/>
            <w:tcBorders>
              <w:top w:val="nil"/>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bookmarkStart w:id="633" w:name="OLE_LINK238"/>
            <w:bookmarkStart w:id="634" w:name="OLE_LINK239"/>
            <w:r w:rsidRPr="00537C3C">
              <w:rPr>
                <w:rFonts w:ascii="Arial Narrow" w:eastAsia="Arial Unicode MS" w:hAnsi="Arial Narrow" w:cs="Arial Unicode MS"/>
                <w:sz w:val="18"/>
                <w:szCs w:val="18"/>
              </w:rPr>
              <w:t>IIIb</w:t>
            </w:r>
            <w:bookmarkEnd w:id="633"/>
            <w:bookmarkEnd w:id="634"/>
          </w:p>
        </w:tc>
        <w:tc>
          <w:tcPr>
            <w:tcW w:w="996" w:type="dxa"/>
            <w:tcBorders>
              <w:top w:val="nil"/>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bookmarkStart w:id="635" w:name="OLE_LINK240"/>
            <w:bookmarkStart w:id="636" w:name="OLE_LINK241"/>
            <w:r w:rsidRPr="00537C3C">
              <w:rPr>
                <w:rFonts w:ascii="Arial Narrow" w:eastAsia="Arial Unicode MS" w:hAnsi="Arial Narrow" w:cs="Arial Unicode MS"/>
                <w:sz w:val="18"/>
                <w:szCs w:val="18"/>
              </w:rPr>
              <w:t>IVa</w:t>
            </w:r>
            <w:bookmarkEnd w:id="635"/>
            <w:bookmarkEnd w:id="636"/>
          </w:p>
        </w:tc>
        <w:tc>
          <w:tcPr>
            <w:tcW w:w="992" w:type="dxa"/>
            <w:tcBorders>
              <w:top w:val="nil"/>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bookmarkStart w:id="637" w:name="OLE_LINK242"/>
            <w:bookmarkStart w:id="638" w:name="OLE_LINK243"/>
            <w:r w:rsidRPr="00537C3C">
              <w:rPr>
                <w:rFonts w:ascii="Arial Narrow" w:eastAsia="Arial Unicode MS" w:hAnsi="Arial Narrow" w:cs="Arial Unicode MS"/>
                <w:sz w:val="18"/>
                <w:szCs w:val="18"/>
              </w:rPr>
              <w:t>IVb</w:t>
            </w:r>
            <w:bookmarkEnd w:id="637"/>
            <w:bookmarkEnd w:id="638"/>
          </w:p>
        </w:tc>
      </w:tr>
      <w:tr w:rsidR="002D11C3" w:rsidRPr="00537C3C">
        <w:trPr>
          <w:trHeight w:val="284"/>
        </w:trPr>
        <w:tc>
          <w:tcPr>
            <w:tcW w:w="2331" w:type="dxa"/>
            <w:tcBorders>
              <w:top w:val="single" w:sz="4" w:space="0" w:color="auto"/>
            </w:tcBorders>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Surgery alone </w:t>
            </w:r>
            <w:r w:rsidRPr="00234376">
              <w:rPr>
                <w:rFonts w:ascii="Arial Narrow" w:eastAsia="Arial Unicode MS" w:hAnsi="Arial Narrow" w:cs="Arial Unicode MS"/>
                <w:sz w:val="18"/>
                <w:szCs w:val="18"/>
                <w:vertAlign w:val="superscript"/>
              </w:rPr>
              <w:t>b</w:t>
            </w:r>
          </w:p>
        </w:tc>
        <w:tc>
          <w:tcPr>
            <w:tcW w:w="955" w:type="dxa"/>
            <w:tcBorders>
              <w:top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1003" w:type="dxa"/>
            <w:tcBorders>
              <w:top w:val="single" w:sz="4" w:space="0" w:color="auto"/>
            </w:tcBorders>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14" w:type="dxa"/>
            <w:tcBorders>
              <w:top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top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top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1008" w:type="dxa"/>
            <w:tcBorders>
              <w:top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996" w:type="dxa"/>
            <w:tcBorders>
              <w:top w:val="single" w:sz="4" w:space="0" w:color="auto"/>
            </w:tcBorders>
            <w:noWrap/>
            <w:vAlign w:val="bottom"/>
          </w:tcPr>
          <w:p w:rsidR="00234376" w:rsidRPr="00537C3C" w:rsidRDefault="00234376" w:rsidP="008E03A7">
            <w:pPr>
              <w:spacing w:after="0"/>
              <w:ind w:left="0"/>
              <w:rPr>
                <w:rFonts w:ascii="Arial Narrow" w:hAnsi="Arial Narrow" w:cs="Arial"/>
                <w:sz w:val="18"/>
                <w:szCs w:val="18"/>
              </w:rPr>
            </w:pPr>
          </w:p>
        </w:tc>
        <w:tc>
          <w:tcPr>
            <w:tcW w:w="996" w:type="dxa"/>
            <w:tcBorders>
              <w:top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top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top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top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2" w:type="dxa"/>
            <w:tcBorders>
              <w:top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r>
      <w:tr w:rsidR="002D11C3" w:rsidRPr="00537C3C">
        <w:trPr>
          <w:trHeight w:val="284"/>
        </w:trPr>
        <w:tc>
          <w:tcPr>
            <w:tcW w:w="2331" w:type="dxa"/>
            <w:vAlign w:val="bottom"/>
          </w:tcPr>
          <w:p w:rsidR="00234376" w:rsidRPr="00537C3C" w:rsidRDefault="00234376" w:rsidP="008E03A7">
            <w:pPr>
              <w:tabs>
                <w:tab w:val="left" w:pos="267"/>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ab/>
            </w:r>
            <w:bookmarkStart w:id="639" w:name="OLE_LINK244"/>
            <w:bookmarkStart w:id="640" w:name="OLE_LINK245"/>
            <w:r w:rsidRPr="00537C3C">
              <w:rPr>
                <w:rFonts w:ascii="Arial Narrow" w:eastAsia="Arial Unicode MS" w:hAnsi="Arial Narrow" w:cs="Arial Unicode MS"/>
                <w:sz w:val="18"/>
                <w:szCs w:val="18"/>
              </w:rPr>
              <w:t>conisation</w:t>
            </w:r>
            <w:bookmarkEnd w:id="639"/>
            <w:bookmarkEnd w:id="640"/>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$2 111.25</w:t>
            </w:r>
          </w:p>
        </w:tc>
        <w:bookmarkStart w:id="641" w:name="OLE_LINK650"/>
        <w:bookmarkStart w:id="642" w:name="OLE_LINK651"/>
        <w:tc>
          <w:tcPr>
            <w:tcW w:w="1003" w:type="dxa"/>
            <w:vAlign w:val="bottom"/>
          </w:tcPr>
          <w:p w:rsidR="00234376" w:rsidRPr="00A95778" w:rsidRDefault="00234376" w:rsidP="008E03A7">
            <w:pPr>
              <w:spacing w:after="0"/>
              <w:ind w:left="0"/>
              <w:rPr>
                <w:rFonts w:ascii="Arial Narrow" w:eastAsia="Arial Unicode MS" w:hAnsi="Arial Narrow" w:cs="Arial Unicode MS"/>
                <w:sz w:val="18"/>
                <w:szCs w:val="18"/>
              </w:rPr>
            </w:pPr>
            <w:r w:rsidRPr="00A95778" w:rsidDel="00A95778">
              <w:rPr>
                <w:rFonts w:ascii="Arial Narrow" w:eastAsia="Arial Unicode MS" w:hAnsi="Arial Narrow" w:cs="Arial Unicode MS"/>
                <w:sz w:val="18"/>
                <w:szCs w:val="18"/>
              </w:rPr>
              <w:fldChar w:fldCharType="begin"/>
            </w:r>
            <w:r w:rsidRPr="00A95778" w:rsidDel="00A95778">
              <w:rPr>
                <w:rFonts w:ascii="Arial Narrow" w:eastAsia="Arial Unicode MS" w:hAnsi="Arial Narrow" w:cs="Arial Unicode MS"/>
                <w:sz w:val="18"/>
                <w:szCs w:val="18"/>
              </w:rPr>
              <w:instrText xml:space="preserve"> REF _Ref209517155 \h </w:instrText>
            </w:r>
            <w:r w:rsidRPr="00A95778">
              <w:rPr>
                <w:rFonts w:ascii="Arial Narrow" w:eastAsia="Arial Unicode MS" w:hAnsi="Arial Narrow" w:cs="Arial Unicode MS"/>
                <w:sz w:val="18"/>
                <w:szCs w:val="18"/>
              </w:rPr>
              <w:instrText xml:space="preserve"> \* MERGEFORMAT </w:instrText>
            </w:r>
            <w:r w:rsidRPr="00A95778" w:rsidDel="00A95778">
              <w:rPr>
                <w:rFonts w:ascii="Arial Narrow" w:eastAsia="Arial Unicode MS" w:hAnsi="Arial Narrow" w:cs="Arial Unicode MS"/>
                <w:sz w:val="18"/>
                <w:szCs w:val="18"/>
              </w:rPr>
            </w:r>
            <w:r w:rsidRPr="00A95778" w:rsidDel="00A95778">
              <w:rPr>
                <w:rFonts w:ascii="Arial Narrow" w:eastAsia="Arial Unicode MS" w:hAnsi="Arial Narrow" w:cs="Arial Unicode MS"/>
                <w:sz w:val="18"/>
                <w:szCs w:val="18"/>
              </w:rPr>
              <w:fldChar w:fldCharType="separate"/>
            </w:r>
            <w:r w:rsidR="007D3DFF" w:rsidRPr="007D3DFF">
              <w:rPr>
                <w:rFonts w:ascii="Arial Narrow" w:hAnsi="Arial Narrow"/>
                <w:sz w:val="18"/>
              </w:rPr>
              <w:t xml:space="preserve">Table </w:t>
            </w:r>
            <w:r w:rsidR="007D3DFF" w:rsidRPr="007D3DFF">
              <w:rPr>
                <w:rFonts w:ascii="Arial Narrow" w:hAnsi="Arial Narrow"/>
                <w:noProof/>
                <w:sz w:val="18"/>
              </w:rPr>
              <w:t>45</w:t>
            </w:r>
            <w:r w:rsidRPr="00A95778" w:rsidDel="00A95778">
              <w:rPr>
                <w:rFonts w:ascii="Arial Narrow" w:eastAsia="Arial Unicode MS" w:hAnsi="Arial Narrow" w:cs="Arial Unicode MS"/>
                <w:sz w:val="18"/>
                <w:szCs w:val="18"/>
              </w:rPr>
              <w:fldChar w:fldCharType="end"/>
            </w:r>
            <w:bookmarkEnd w:id="641"/>
            <w:bookmarkEnd w:id="642"/>
          </w:p>
        </w:tc>
        <w:tc>
          <w:tcPr>
            <w:tcW w:w="914"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25.0%</w:t>
            </w: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1008"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2"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r>
      <w:tr w:rsidR="002D11C3" w:rsidRPr="00537C3C">
        <w:trPr>
          <w:trHeight w:val="284"/>
        </w:trPr>
        <w:tc>
          <w:tcPr>
            <w:tcW w:w="2331" w:type="dxa"/>
            <w:vAlign w:val="bottom"/>
          </w:tcPr>
          <w:p w:rsidR="00234376" w:rsidRPr="00537C3C" w:rsidRDefault="00234376" w:rsidP="008E03A7">
            <w:pPr>
              <w:tabs>
                <w:tab w:val="left" w:pos="267"/>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ab/>
              <w:t>hysterectomy</w:t>
            </w:r>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$6 615.25</w:t>
            </w:r>
          </w:p>
        </w:tc>
        <w:tc>
          <w:tcPr>
            <w:tcW w:w="1003"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A95778" w:rsidDel="00A95778">
              <w:rPr>
                <w:rFonts w:ascii="Arial Narrow" w:eastAsia="Arial Unicode MS" w:hAnsi="Arial Narrow" w:cs="Arial Unicode MS"/>
                <w:sz w:val="18"/>
                <w:szCs w:val="18"/>
              </w:rPr>
              <w:fldChar w:fldCharType="begin"/>
            </w:r>
            <w:r w:rsidRPr="00A95778" w:rsidDel="00A95778">
              <w:rPr>
                <w:rFonts w:ascii="Arial Narrow" w:eastAsia="Arial Unicode MS" w:hAnsi="Arial Narrow" w:cs="Arial Unicode MS"/>
                <w:sz w:val="18"/>
                <w:szCs w:val="18"/>
              </w:rPr>
              <w:instrText xml:space="preserve"> REF _Ref209517155 \h </w:instrText>
            </w:r>
            <w:r w:rsidRPr="00A95778">
              <w:rPr>
                <w:rFonts w:ascii="Arial Narrow" w:eastAsia="Arial Unicode MS" w:hAnsi="Arial Narrow" w:cs="Arial Unicode MS"/>
                <w:sz w:val="18"/>
                <w:szCs w:val="18"/>
              </w:rPr>
              <w:instrText xml:space="preserve"> \* MERGEFORMAT </w:instrText>
            </w:r>
            <w:r w:rsidRPr="00A95778" w:rsidDel="00A95778">
              <w:rPr>
                <w:rFonts w:ascii="Arial Narrow" w:eastAsia="Arial Unicode MS" w:hAnsi="Arial Narrow" w:cs="Arial Unicode MS"/>
                <w:sz w:val="18"/>
                <w:szCs w:val="18"/>
              </w:rPr>
            </w:r>
            <w:r w:rsidRPr="00A95778" w:rsidDel="00A95778">
              <w:rPr>
                <w:rFonts w:ascii="Arial Narrow" w:eastAsia="Arial Unicode MS" w:hAnsi="Arial Narrow" w:cs="Arial Unicode MS"/>
                <w:sz w:val="18"/>
                <w:szCs w:val="18"/>
              </w:rPr>
              <w:fldChar w:fldCharType="separate"/>
            </w:r>
            <w:r w:rsidR="007D3DFF" w:rsidRPr="007D3DFF">
              <w:rPr>
                <w:rFonts w:ascii="Arial Narrow" w:hAnsi="Arial Narrow"/>
                <w:sz w:val="18"/>
              </w:rPr>
              <w:t xml:space="preserve">Table </w:t>
            </w:r>
            <w:r w:rsidR="007D3DFF" w:rsidRPr="007D3DFF">
              <w:rPr>
                <w:rFonts w:ascii="Arial Narrow" w:hAnsi="Arial Narrow"/>
                <w:noProof/>
                <w:sz w:val="18"/>
              </w:rPr>
              <w:t>45</w:t>
            </w:r>
            <w:r w:rsidRPr="00A95778" w:rsidDel="00A95778">
              <w:rPr>
                <w:rFonts w:ascii="Arial Narrow" w:eastAsia="Arial Unicode MS" w:hAnsi="Arial Narrow" w:cs="Arial Unicode MS"/>
                <w:sz w:val="18"/>
                <w:szCs w:val="18"/>
              </w:rPr>
              <w:fldChar w:fldCharType="end"/>
            </w:r>
          </w:p>
        </w:tc>
        <w:tc>
          <w:tcPr>
            <w:tcW w:w="914"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75.0%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50.0%</w:t>
            </w: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1008"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2"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r>
      <w:tr w:rsidR="002D11C3" w:rsidRPr="00537C3C">
        <w:trPr>
          <w:trHeight w:val="284"/>
        </w:trPr>
        <w:tc>
          <w:tcPr>
            <w:tcW w:w="2331" w:type="dxa"/>
            <w:vAlign w:val="bottom"/>
          </w:tcPr>
          <w:p w:rsidR="00234376" w:rsidRPr="00537C3C" w:rsidRDefault="00234376" w:rsidP="008E03A7">
            <w:pPr>
              <w:tabs>
                <w:tab w:val="left" w:pos="267"/>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ab/>
              <w:t>radical hysterectomy</w:t>
            </w:r>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$12 870.25</w:t>
            </w:r>
          </w:p>
        </w:tc>
        <w:tc>
          <w:tcPr>
            <w:tcW w:w="1003"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A95778" w:rsidDel="00A95778">
              <w:rPr>
                <w:rFonts w:ascii="Arial Narrow" w:eastAsia="Arial Unicode MS" w:hAnsi="Arial Narrow" w:cs="Arial Unicode MS"/>
                <w:sz w:val="18"/>
                <w:szCs w:val="18"/>
              </w:rPr>
              <w:fldChar w:fldCharType="begin"/>
            </w:r>
            <w:r w:rsidRPr="00A95778" w:rsidDel="00A95778">
              <w:rPr>
                <w:rFonts w:ascii="Arial Narrow" w:eastAsia="Arial Unicode MS" w:hAnsi="Arial Narrow" w:cs="Arial Unicode MS"/>
                <w:sz w:val="18"/>
                <w:szCs w:val="18"/>
              </w:rPr>
              <w:instrText xml:space="preserve"> REF _Ref209517155 \h </w:instrText>
            </w:r>
            <w:r w:rsidRPr="00A95778">
              <w:rPr>
                <w:rFonts w:ascii="Arial Narrow" w:eastAsia="Arial Unicode MS" w:hAnsi="Arial Narrow" w:cs="Arial Unicode MS"/>
                <w:sz w:val="18"/>
                <w:szCs w:val="18"/>
              </w:rPr>
              <w:instrText xml:space="preserve"> \* MERGEFORMAT </w:instrText>
            </w:r>
            <w:r w:rsidRPr="00A95778" w:rsidDel="00A95778">
              <w:rPr>
                <w:rFonts w:ascii="Arial Narrow" w:eastAsia="Arial Unicode MS" w:hAnsi="Arial Narrow" w:cs="Arial Unicode MS"/>
                <w:sz w:val="18"/>
                <w:szCs w:val="18"/>
              </w:rPr>
            </w:r>
            <w:r w:rsidRPr="00A95778" w:rsidDel="00A95778">
              <w:rPr>
                <w:rFonts w:ascii="Arial Narrow" w:eastAsia="Arial Unicode MS" w:hAnsi="Arial Narrow" w:cs="Arial Unicode MS"/>
                <w:sz w:val="18"/>
                <w:szCs w:val="18"/>
              </w:rPr>
              <w:fldChar w:fldCharType="separate"/>
            </w:r>
            <w:r w:rsidR="007D3DFF" w:rsidRPr="007D3DFF">
              <w:rPr>
                <w:rFonts w:ascii="Arial Narrow" w:hAnsi="Arial Narrow"/>
                <w:sz w:val="18"/>
              </w:rPr>
              <w:t xml:space="preserve">Table </w:t>
            </w:r>
            <w:r w:rsidR="007D3DFF" w:rsidRPr="007D3DFF">
              <w:rPr>
                <w:rFonts w:ascii="Arial Narrow" w:hAnsi="Arial Narrow"/>
                <w:noProof/>
                <w:sz w:val="18"/>
              </w:rPr>
              <w:t>45</w:t>
            </w:r>
            <w:r w:rsidRPr="00A95778" w:rsidDel="00A95778">
              <w:rPr>
                <w:rFonts w:ascii="Arial Narrow" w:eastAsia="Arial Unicode MS" w:hAnsi="Arial Narrow" w:cs="Arial Unicode MS"/>
                <w:sz w:val="18"/>
                <w:szCs w:val="18"/>
              </w:rPr>
              <w:fldChar w:fldCharType="end"/>
            </w:r>
          </w:p>
        </w:tc>
        <w:tc>
          <w:tcPr>
            <w:tcW w:w="914"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85.0%</w:t>
            </w:r>
          </w:p>
        </w:tc>
        <w:tc>
          <w:tcPr>
            <w:tcW w:w="1008"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w:t>
            </w: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2"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r>
      <w:tr w:rsidR="002D11C3" w:rsidRPr="00537C3C">
        <w:trPr>
          <w:trHeight w:val="284"/>
        </w:trPr>
        <w:tc>
          <w:tcPr>
            <w:tcW w:w="2331" w:type="dxa"/>
            <w:vAlign w:val="bottom"/>
          </w:tcPr>
          <w:p w:rsidR="00234376" w:rsidRPr="00537C3C" w:rsidRDefault="00234376" w:rsidP="008E03A7">
            <w:pPr>
              <w:tabs>
                <w:tab w:val="left" w:pos="267"/>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ab/>
              <w:t>exenteration</w:t>
            </w:r>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$18 156.25</w:t>
            </w:r>
          </w:p>
        </w:tc>
        <w:tc>
          <w:tcPr>
            <w:tcW w:w="1003"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A95778" w:rsidDel="00A95778">
              <w:rPr>
                <w:rFonts w:ascii="Arial Narrow" w:eastAsia="Arial Unicode MS" w:hAnsi="Arial Narrow" w:cs="Arial Unicode MS"/>
                <w:sz w:val="18"/>
                <w:szCs w:val="18"/>
              </w:rPr>
              <w:fldChar w:fldCharType="begin"/>
            </w:r>
            <w:r w:rsidRPr="00A95778" w:rsidDel="00A95778">
              <w:rPr>
                <w:rFonts w:ascii="Arial Narrow" w:eastAsia="Arial Unicode MS" w:hAnsi="Arial Narrow" w:cs="Arial Unicode MS"/>
                <w:sz w:val="18"/>
                <w:szCs w:val="18"/>
              </w:rPr>
              <w:instrText xml:space="preserve"> REF _Ref209517155 \h </w:instrText>
            </w:r>
            <w:r w:rsidRPr="00A95778">
              <w:rPr>
                <w:rFonts w:ascii="Arial Narrow" w:eastAsia="Arial Unicode MS" w:hAnsi="Arial Narrow" w:cs="Arial Unicode MS"/>
                <w:sz w:val="18"/>
                <w:szCs w:val="18"/>
              </w:rPr>
              <w:instrText xml:space="preserve"> \* MERGEFORMAT </w:instrText>
            </w:r>
            <w:r w:rsidRPr="00A95778" w:rsidDel="00A95778">
              <w:rPr>
                <w:rFonts w:ascii="Arial Narrow" w:eastAsia="Arial Unicode MS" w:hAnsi="Arial Narrow" w:cs="Arial Unicode MS"/>
                <w:sz w:val="18"/>
                <w:szCs w:val="18"/>
              </w:rPr>
            </w:r>
            <w:r w:rsidRPr="00A95778" w:rsidDel="00A95778">
              <w:rPr>
                <w:rFonts w:ascii="Arial Narrow" w:eastAsia="Arial Unicode MS" w:hAnsi="Arial Narrow" w:cs="Arial Unicode MS"/>
                <w:sz w:val="18"/>
                <w:szCs w:val="18"/>
              </w:rPr>
              <w:fldChar w:fldCharType="separate"/>
            </w:r>
            <w:r w:rsidR="007D3DFF" w:rsidRPr="007D3DFF">
              <w:rPr>
                <w:rFonts w:ascii="Arial Narrow" w:hAnsi="Arial Narrow"/>
                <w:sz w:val="18"/>
              </w:rPr>
              <w:t xml:space="preserve">Table </w:t>
            </w:r>
            <w:r w:rsidR="007D3DFF" w:rsidRPr="007D3DFF">
              <w:rPr>
                <w:rFonts w:ascii="Arial Narrow" w:hAnsi="Arial Narrow"/>
                <w:noProof/>
                <w:sz w:val="18"/>
              </w:rPr>
              <w:t>45</w:t>
            </w:r>
            <w:r w:rsidRPr="00A95778" w:rsidDel="00A95778">
              <w:rPr>
                <w:rFonts w:ascii="Arial Narrow" w:eastAsia="Arial Unicode MS" w:hAnsi="Arial Narrow" w:cs="Arial Unicode MS"/>
                <w:sz w:val="18"/>
                <w:szCs w:val="18"/>
              </w:rPr>
              <w:fldChar w:fldCharType="end"/>
            </w:r>
          </w:p>
        </w:tc>
        <w:tc>
          <w:tcPr>
            <w:tcW w:w="914"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1008"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5.0%</w:t>
            </w:r>
          </w:p>
        </w:tc>
        <w:tc>
          <w:tcPr>
            <w:tcW w:w="992"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r>
      <w:tr w:rsidR="002D11C3" w:rsidRPr="00537C3C">
        <w:trPr>
          <w:trHeight w:val="284"/>
        </w:trPr>
        <w:tc>
          <w:tcPr>
            <w:tcW w:w="2331"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sidDel="006C24DD">
              <w:rPr>
                <w:rFonts w:ascii="Arial Narrow" w:eastAsia="Arial Unicode MS" w:hAnsi="Arial Narrow" w:cs="Arial Unicode MS"/>
                <w:sz w:val="18"/>
                <w:szCs w:val="18"/>
              </w:rPr>
              <w:t>Radiotherapy</w:t>
            </w:r>
            <w:r w:rsidRPr="00537C3C">
              <w:rPr>
                <w:rFonts w:ascii="Arial Narrow" w:eastAsia="Arial Unicode MS" w:hAnsi="Arial Narrow" w:cs="Arial Unicode MS"/>
                <w:sz w:val="18"/>
                <w:szCs w:val="18"/>
              </w:rPr>
              <w:t xml:space="preserve"> alone</w:t>
            </w:r>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$8 957.25</w:t>
            </w:r>
          </w:p>
        </w:tc>
        <w:bookmarkStart w:id="643" w:name="OLE_LINK652"/>
        <w:bookmarkStart w:id="644" w:name="OLE_LINK653"/>
        <w:tc>
          <w:tcPr>
            <w:tcW w:w="1003" w:type="dxa"/>
            <w:vAlign w:val="bottom"/>
          </w:tcPr>
          <w:p w:rsidR="00234376" w:rsidRPr="00A95778" w:rsidRDefault="00234376" w:rsidP="008E03A7">
            <w:pPr>
              <w:spacing w:after="0"/>
              <w:ind w:left="0"/>
              <w:rPr>
                <w:rFonts w:ascii="Arial Narrow" w:eastAsia="Arial Unicode MS" w:hAnsi="Arial Narrow" w:cs="Arial Unicode MS"/>
                <w:sz w:val="18"/>
                <w:szCs w:val="18"/>
              </w:rPr>
            </w:pPr>
            <w:r w:rsidRPr="00A95778" w:rsidDel="00A95778">
              <w:rPr>
                <w:rFonts w:ascii="Arial Narrow" w:eastAsia="Arial Unicode MS" w:hAnsi="Arial Narrow" w:cs="Arial Unicode MS"/>
                <w:sz w:val="18"/>
                <w:szCs w:val="18"/>
              </w:rPr>
              <w:fldChar w:fldCharType="begin"/>
            </w:r>
            <w:r w:rsidRPr="00A95778" w:rsidDel="00A95778">
              <w:rPr>
                <w:rFonts w:ascii="Arial Narrow" w:eastAsia="Arial Unicode MS" w:hAnsi="Arial Narrow" w:cs="Arial Unicode MS"/>
                <w:sz w:val="18"/>
                <w:szCs w:val="18"/>
              </w:rPr>
              <w:instrText xml:space="preserve"> REF _Ref209517167 \h </w:instrText>
            </w:r>
            <w:r w:rsidRPr="00A95778">
              <w:rPr>
                <w:rFonts w:ascii="Arial Narrow" w:eastAsia="Arial Unicode MS" w:hAnsi="Arial Narrow" w:cs="Arial Unicode MS"/>
                <w:sz w:val="18"/>
                <w:szCs w:val="18"/>
              </w:rPr>
              <w:instrText xml:space="preserve"> \* MERGEFORMAT </w:instrText>
            </w:r>
            <w:r w:rsidRPr="00A95778" w:rsidDel="00A95778">
              <w:rPr>
                <w:rFonts w:ascii="Arial Narrow" w:eastAsia="Arial Unicode MS" w:hAnsi="Arial Narrow" w:cs="Arial Unicode MS"/>
                <w:sz w:val="18"/>
                <w:szCs w:val="18"/>
              </w:rPr>
            </w:r>
            <w:r w:rsidRPr="00A95778" w:rsidDel="00A95778">
              <w:rPr>
                <w:rFonts w:ascii="Arial Narrow" w:eastAsia="Arial Unicode MS" w:hAnsi="Arial Narrow" w:cs="Arial Unicode MS"/>
                <w:sz w:val="18"/>
                <w:szCs w:val="18"/>
              </w:rPr>
              <w:fldChar w:fldCharType="separate"/>
            </w:r>
            <w:r w:rsidR="007D3DFF" w:rsidRPr="007D3DFF">
              <w:rPr>
                <w:rFonts w:ascii="Arial Narrow" w:hAnsi="Arial Narrow"/>
                <w:sz w:val="18"/>
              </w:rPr>
              <w:t xml:space="preserve">Table </w:t>
            </w:r>
            <w:r w:rsidR="007D3DFF" w:rsidRPr="007D3DFF">
              <w:rPr>
                <w:rFonts w:ascii="Arial Narrow" w:hAnsi="Arial Narrow"/>
                <w:noProof/>
                <w:sz w:val="18"/>
              </w:rPr>
              <w:t>46</w:t>
            </w:r>
            <w:r w:rsidRPr="00A95778" w:rsidDel="00A95778">
              <w:rPr>
                <w:rFonts w:ascii="Arial Narrow" w:eastAsia="Arial Unicode MS" w:hAnsi="Arial Narrow" w:cs="Arial Unicode MS"/>
                <w:sz w:val="18"/>
                <w:szCs w:val="18"/>
              </w:rPr>
              <w:fldChar w:fldCharType="end"/>
            </w:r>
            <w:bookmarkEnd w:id="643"/>
            <w:bookmarkEnd w:id="644"/>
          </w:p>
        </w:tc>
        <w:tc>
          <w:tcPr>
            <w:tcW w:w="914"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15.0%</w:t>
            </w:r>
          </w:p>
        </w:tc>
        <w:tc>
          <w:tcPr>
            <w:tcW w:w="1008"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2"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r>
      <w:tr w:rsidR="002D11C3" w:rsidRPr="00537C3C">
        <w:trPr>
          <w:trHeight w:val="284"/>
        </w:trPr>
        <w:tc>
          <w:tcPr>
            <w:tcW w:w="2331"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Adjuvant </w:t>
            </w:r>
            <w:bookmarkStart w:id="645" w:name="OLE_LINK609"/>
            <w:bookmarkStart w:id="646" w:name="OLE_LINK610"/>
            <w:r w:rsidRPr="00537C3C">
              <w:rPr>
                <w:rFonts w:ascii="Arial Narrow" w:eastAsia="Arial Unicode MS" w:hAnsi="Arial Narrow" w:cs="Arial Unicode MS"/>
                <w:sz w:val="18"/>
                <w:szCs w:val="18"/>
              </w:rPr>
              <w:t>radiotherapy</w:t>
            </w:r>
            <w:bookmarkEnd w:id="645"/>
            <w:bookmarkEnd w:id="646"/>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$8 957.25</w:t>
            </w:r>
          </w:p>
        </w:tc>
        <w:tc>
          <w:tcPr>
            <w:tcW w:w="1003"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A95778" w:rsidDel="00A95778">
              <w:rPr>
                <w:rFonts w:ascii="Arial Narrow" w:eastAsia="Arial Unicode MS" w:hAnsi="Arial Narrow" w:cs="Arial Unicode MS"/>
                <w:sz w:val="18"/>
                <w:szCs w:val="18"/>
              </w:rPr>
              <w:fldChar w:fldCharType="begin"/>
            </w:r>
            <w:r w:rsidRPr="00A95778" w:rsidDel="00A95778">
              <w:rPr>
                <w:rFonts w:ascii="Arial Narrow" w:eastAsia="Arial Unicode MS" w:hAnsi="Arial Narrow" w:cs="Arial Unicode MS"/>
                <w:sz w:val="18"/>
                <w:szCs w:val="18"/>
              </w:rPr>
              <w:instrText xml:space="preserve"> REF _Ref209517167 \h </w:instrText>
            </w:r>
            <w:r w:rsidRPr="00A95778">
              <w:rPr>
                <w:rFonts w:ascii="Arial Narrow" w:eastAsia="Arial Unicode MS" w:hAnsi="Arial Narrow" w:cs="Arial Unicode MS"/>
                <w:sz w:val="18"/>
                <w:szCs w:val="18"/>
              </w:rPr>
              <w:instrText xml:space="preserve"> \* MERGEFORMAT </w:instrText>
            </w:r>
            <w:r w:rsidRPr="00A95778" w:rsidDel="00A95778">
              <w:rPr>
                <w:rFonts w:ascii="Arial Narrow" w:eastAsia="Arial Unicode MS" w:hAnsi="Arial Narrow" w:cs="Arial Unicode MS"/>
                <w:sz w:val="18"/>
                <w:szCs w:val="18"/>
              </w:rPr>
            </w:r>
            <w:r w:rsidRPr="00A95778" w:rsidDel="00A95778">
              <w:rPr>
                <w:rFonts w:ascii="Arial Narrow" w:eastAsia="Arial Unicode MS" w:hAnsi="Arial Narrow" w:cs="Arial Unicode MS"/>
                <w:sz w:val="18"/>
                <w:szCs w:val="18"/>
              </w:rPr>
              <w:fldChar w:fldCharType="separate"/>
            </w:r>
            <w:r w:rsidR="007D3DFF" w:rsidRPr="007D3DFF">
              <w:rPr>
                <w:rFonts w:ascii="Arial Narrow" w:hAnsi="Arial Narrow"/>
                <w:sz w:val="18"/>
              </w:rPr>
              <w:t xml:space="preserve">Table </w:t>
            </w:r>
            <w:r w:rsidR="007D3DFF" w:rsidRPr="007D3DFF">
              <w:rPr>
                <w:rFonts w:ascii="Arial Narrow" w:hAnsi="Arial Narrow"/>
                <w:noProof/>
                <w:sz w:val="18"/>
              </w:rPr>
              <w:t>46</w:t>
            </w:r>
            <w:r w:rsidRPr="00A95778" w:rsidDel="00A95778">
              <w:rPr>
                <w:rFonts w:ascii="Arial Narrow" w:eastAsia="Arial Unicode MS" w:hAnsi="Arial Narrow" w:cs="Arial Unicode MS"/>
                <w:sz w:val="18"/>
                <w:szCs w:val="18"/>
              </w:rPr>
              <w:fldChar w:fldCharType="end"/>
            </w:r>
          </w:p>
        </w:tc>
        <w:tc>
          <w:tcPr>
            <w:tcW w:w="914"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5.0%</w:t>
            </w:r>
          </w:p>
        </w:tc>
        <w:tc>
          <w:tcPr>
            <w:tcW w:w="996" w:type="dxa"/>
            <w:noWrap/>
            <w:vAlign w:val="bottom"/>
          </w:tcPr>
          <w:p w:rsidR="00234376" w:rsidRPr="00537C3C" w:rsidRDefault="00234376" w:rsidP="008E03A7">
            <w:pPr>
              <w:spacing w:after="0"/>
              <w:ind w:left="0"/>
              <w:rPr>
                <w:rFonts w:ascii="Arial Narrow" w:hAnsi="Arial Narrow" w:cs="Arial"/>
                <w:sz w:val="18"/>
                <w:szCs w:val="18"/>
              </w:rPr>
            </w:pPr>
          </w:p>
        </w:tc>
        <w:tc>
          <w:tcPr>
            <w:tcW w:w="1008"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2"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r>
      <w:tr w:rsidR="002D11C3" w:rsidRPr="00537C3C">
        <w:trPr>
          <w:trHeight w:val="284"/>
        </w:trPr>
        <w:tc>
          <w:tcPr>
            <w:tcW w:w="2331"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Chemo-radiation</w:t>
            </w:r>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$15 479.25</w:t>
            </w:r>
          </w:p>
        </w:tc>
        <w:tc>
          <w:tcPr>
            <w:tcW w:w="1003"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A95778" w:rsidDel="00A95778">
              <w:rPr>
                <w:rFonts w:ascii="Arial Narrow" w:eastAsia="Arial Unicode MS" w:hAnsi="Arial Narrow" w:cs="Arial Unicode MS"/>
                <w:sz w:val="18"/>
                <w:szCs w:val="18"/>
              </w:rPr>
              <w:fldChar w:fldCharType="begin"/>
            </w:r>
            <w:r w:rsidRPr="00A95778" w:rsidDel="00A95778">
              <w:rPr>
                <w:rFonts w:ascii="Arial Narrow" w:eastAsia="Arial Unicode MS" w:hAnsi="Arial Narrow" w:cs="Arial Unicode MS"/>
                <w:sz w:val="18"/>
                <w:szCs w:val="18"/>
              </w:rPr>
              <w:instrText xml:space="preserve"> REF _Ref209517167 \h </w:instrText>
            </w:r>
            <w:r w:rsidRPr="00A95778">
              <w:rPr>
                <w:rFonts w:ascii="Arial Narrow" w:eastAsia="Arial Unicode MS" w:hAnsi="Arial Narrow" w:cs="Arial Unicode MS"/>
                <w:sz w:val="18"/>
                <w:szCs w:val="18"/>
              </w:rPr>
              <w:instrText xml:space="preserve"> \* MERGEFORMAT </w:instrText>
            </w:r>
            <w:r w:rsidRPr="00A95778" w:rsidDel="00A95778">
              <w:rPr>
                <w:rFonts w:ascii="Arial Narrow" w:eastAsia="Arial Unicode MS" w:hAnsi="Arial Narrow" w:cs="Arial Unicode MS"/>
                <w:sz w:val="18"/>
                <w:szCs w:val="18"/>
              </w:rPr>
            </w:r>
            <w:r w:rsidRPr="00A95778" w:rsidDel="00A95778">
              <w:rPr>
                <w:rFonts w:ascii="Arial Narrow" w:eastAsia="Arial Unicode MS" w:hAnsi="Arial Narrow" w:cs="Arial Unicode MS"/>
                <w:sz w:val="18"/>
                <w:szCs w:val="18"/>
              </w:rPr>
              <w:fldChar w:fldCharType="separate"/>
            </w:r>
            <w:r w:rsidR="007D3DFF" w:rsidRPr="007D3DFF">
              <w:rPr>
                <w:rFonts w:ascii="Arial Narrow" w:hAnsi="Arial Narrow"/>
                <w:sz w:val="18"/>
              </w:rPr>
              <w:t xml:space="preserve">Table </w:t>
            </w:r>
            <w:r w:rsidR="007D3DFF" w:rsidRPr="007D3DFF">
              <w:rPr>
                <w:rFonts w:ascii="Arial Narrow" w:hAnsi="Arial Narrow"/>
                <w:noProof/>
                <w:sz w:val="18"/>
              </w:rPr>
              <w:t>46</w:t>
            </w:r>
            <w:r w:rsidRPr="00A95778" w:rsidDel="00A95778">
              <w:rPr>
                <w:rFonts w:ascii="Arial Narrow" w:eastAsia="Arial Unicode MS" w:hAnsi="Arial Narrow" w:cs="Arial Unicode MS"/>
                <w:sz w:val="18"/>
                <w:szCs w:val="18"/>
              </w:rPr>
              <w:fldChar w:fldCharType="end"/>
            </w:r>
          </w:p>
        </w:tc>
        <w:tc>
          <w:tcPr>
            <w:tcW w:w="914"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1008"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95.0%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95.0%</w:t>
            </w:r>
          </w:p>
        </w:tc>
        <w:tc>
          <w:tcPr>
            <w:tcW w:w="992" w:type="dxa"/>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r>
      <w:tr w:rsidR="002D11C3" w:rsidRPr="00537C3C">
        <w:trPr>
          <w:trHeight w:val="284"/>
        </w:trPr>
        <w:tc>
          <w:tcPr>
            <w:tcW w:w="2331" w:type="dxa"/>
            <w:vAlign w:val="bottom"/>
          </w:tcPr>
          <w:p w:rsidR="00234376" w:rsidRPr="00537C3C" w:rsidRDefault="00234376" w:rsidP="008E03A7">
            <w:pPr>
              <w:spacing w:after="0"/>
              <w:ind w:left="0"/>
              <w:rPr>
                <w:rFonts w:ascii="Arial Narrow" w:hAnsi="Arial Narrow" w:cs="Arial"/>
                <w:b/>
                <w:sz w:val="18"/>
                <w:szCs w:val="18"/>
              </w:rPr>
            </w:pPr>
            <w:r w:rsidRPr="00537C3C">
              <w:rPr>
                <w:rFonts w:ascii="Arial Narrow" w:hAnsi="Arial Narrow" w:cs="Arial"/>
                <w:b/>
                <w:sz w:val="18"/>
                <w:szCs w:val="18"/>
              </w:rPr>
              <w:t>Stage-specific treatment costs</w:t>
            </w:r>
          </w:p>
        </w:tc>
        <w:tc>
          <w:tcPr>
            <w:tcW w:w="955" w:type="dxa"/>
            <w:vAlign w:val="bottom"/>
          </w:tcPr>
          <w:p w:rsidR="00234376" w:rsidRPr="00537C3C" w:rsidRDefault="00234376" w:rsidP="008E03A7">
            <w:pPr>
              <w:spacing w:after="0"/>
              <w:ind w:left="0"/>
              <w:rPr>
                <w:rFonts w:ascii="Arial Narrow" w:hAnsi="Arial Narrow" w:cs="Arial"/>
                <w:b/>
                <w:sz w:val="18"/>
                <w:szCs w:val="18"/>
              </w:rPr>
            </w:pPr>
          </w:p>
        </w:tc>
        <w:tc>
          <w:tcPr>
            <w:tcW w:w="1003" w:type="dxa"/>
            <w:vAlign w:val="bottom"/>
          </w:tcPr>
          <w:p w:rsidR="00234376" w:rsidRPr="00537C3C" w:rsidRDefault="00234376" w:rsidP="008E03A7">
            <w:pPr>
              <w:spacing w:after="0"/>
              <w:ind w:left="0"/>
              <w:rPr>
                <w:rFonts w:ascii="Arial Narrow" w:hAnsi="Arial Narrow" w:cs="Arial"/>
                <w:b/>
                <w:sz w:val="18"/>
                <w:szCs w:val="18"/>
              </w:rPr>
            </w:pPr>
          </w:p>
        </w:tc>
        <w:tc>
          <w:tcPr>
            <w:tcW w:w="914" w:type="dxa"/>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$5 489.25</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$10 190.61</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$12 283.30</w:t>
            </w:r>
          </w:p>
        </w:tc>
        <w:tc>
          <w:tcPr>
            <w:tcW w:w="1008" w:type="dxa"/>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$15 348.80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$15 218.35</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$15 479.25</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$15 479.25</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$15 479.25</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$15 613.10</w:t>
            </w:r>
          </w:p>
        </w:tc>
        <w:tc>
          <w:tcPr>
            <w:tcW w:w="992" w:type="dxa"/>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$8 957.25</w:t>
            </w:r>
          </w:p>
        </w:tc>
      </w:tr>
      <w:tr w:rsidR="002D11C3" w:rsidRPr="00537C3C">
        <w:trPr>
          <w:trHeight w:val="284"/>
        </w:trPr>
        <w:tc>
          <w:tcPr>
            <w:tcW w:w="2331" w:type="dxa"/>
            <w:tcBorders>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b/>
                <w:bCs/>
                <w:sz w:val="18"/>
                <w:szCs w:val="18"/>
              </w:rPr>
            </w:pPr>
          </w:p>
        </w:tc>
        <w:tc>
          <w:tcPr>
            <w:tcW w:w="955" w:type="dxa"/>
            <w:tcBorders>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b/>
                <w:bCs/>
                <w:sz w:val="18"/>
                <w:szCs w:val="18"/>
              </w:rPr>
            </w:pPr>
          </w:p>
        </w:tc>
        <w:tc>
          <w:tcPr>
            <w:tcW w:w="1003" w:type="dxa"/>
            <w:tcBorders>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b/>
                <w:bCs/>
                <w:sz w:val="18"/>
                <w:szCs w:val="18"/>
              </w:rPr>
            </w:pPr>
          </w:p>
        </w:tc>
        <w:tc>
          <w:tcPr>
            <w:tcW w:w="914" w:type="dxa"/>
            <w:tcBorders>
              <w:bottom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bottom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bottom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1008" w:type="dxa"/>
            <w:tcBorders>
              <w:bottom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bottom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bottom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bottom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bottom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6" w:type="dxa"/>
            <w:tcBorders>
              <w:bottom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92" w:type="dxa"/>
            <w:tcBorders>
              <w:bottom w:val="single" w:sz="4" w:space="0" w:color="auto"/>
            </w:tcBorders>
            <w:noWrap/>
            <w:vAlign w:val="bottom"/>
          </w:tcPr>
          <w:p w:rsidR="00234376" w:rsidRPr="00537C3C" w:rsidRDefault="00234376" w:rsidP="008E03A7">
            <w:pPr>
              <w:spacing w:after="0"/>
              <w:ind w:left="0"/>
              <w:rPr>
                <w:rFonts w:ascii="Arial Narrow" w:eastAsia="Arial Unicode MS" w:hAnsi="Arial Narrow" w:cs="Arial Unicode MS"/>
                <w:sz w:val="18"/>
                <w:szCs w:val="18"/>
              </w:rPr>
            </w:pPr>
          </w:p>
        </w:tc>
      </w:tr>
      <w:tr w:rsidR="002D11C3" w:rsidRPr="00537C3C">
        <w:trPr>
          <w:trHeight w:val="284"/>
        </w:trPr>
        <w:tc>
          <w:tcPr>
            <w:tcW w:w="2331" w:type="dxa"/>
            <w:tcBorders>
              <w:top w:val="single" w:sz="4" w:space="0" w:color="auto"/>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 xml:space="preserve">Work-up </w:t>
            </w:r>
            <w:r w:rsidRPr="00234376">
              <w:rPr>
                <w:rFonts w:ascii="Arial Narrow" w:eastAsia="Arial Unicode MS" w:hAnsi="Arial Narrow" w:cs="Arial Unicode MS"/>
                <w:b/>
                <w:bCs/>
                <w:sz w:val="18"/>
                <w:szCs w:val="18"/>
                <w:vertAlign w:val="superscript"/>
              </w:rPr>
              <w:t>c</w:t>
            </w:r>
          </w:p>
        </w:tc>
        <w:tc>
          <w:tcPr>
            <w:tcW w:w="955" w:type="dxa"/>
            <w:tcBorders>
              <w:top w:val="single" w:sz="4" w:space="0" w:color="auto"/>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b/>
                <w:bCs/>
                <w:sz w:val="18"/>
                <w:szCs w:val="18"/>
              </w:rPr>
            </w:pPr>
          </w:p>
        </w:tc>
        <w:tc>
          <w:tcPr>
            <w:tcW w:w="1003" w:type="dxa"/>
            <w:tcBorders>
              <w:top w:val="single" w:sz="4" w:space="0" w:color="auto"/>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b/>
                <w:bCs/>
                <w:sz w:val="18"/>
                <w:szCs w:val="18"/>
              </w:rPr>
            </w:pPr>
          </w:p>
        </w:tc>
        <w:tc>
          <w:tcPr>
            <w:tcW w:w="914" w:type="dxa"/>
            <w:tcBorders>
              <w:top w:val="single" w:sz="4" w:space="0" w:color="auto"/>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Ia1</w:t>
            </w:r>
          </w:p>
        </w:tc>
        <w:tc>
          <w:tcPr>
            <w:tcW w:w="996" w:type="dxa"/>
            <w:tcBorders>
              <w:top w:val="single" w:sz="4" w:space="0" w:color="auto"/>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Ia2</w:t>
            </w:r>
          </w:p>
        </w:tc>
        <w:tc>
          <w:tcPr>
            <w:tcW w:w="996" w:type="dxa"/>
            <w:tcBorders>
              <w:top w:val="single" w:sz="4" w:space="0" w:color="auto"/>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Ib1</w:t>
            </w:r>
          </w:p>
        </w:tc>
        <w:tc>
          <w:tcPr>
            <w:tcW w:w="1008" w:type="dxa"/>
            <w:tcBorders>
              <w:top w:val="single" w:sz="4" w:space="0" w:color="auto"/>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Ib2</w:t>
            </w:r>
          </w:p>
        </w:tc>
        <w:tc>
          <w:tcPr>
            <w:tcW w:w="996" w:type="dxa"/>
            <w:tcBorders>
              <w:top w:val="single" w:sz="4" w:space="0" w:color="auto"/>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IIa</w:t>
            </w:r>
          </w:p>
        </w:tc>
        <w:tc>
          <w:tcPr>
            <w:tcW w:w="996" w:type="dxa"/>
            <w:tcBorders>
              <w:top w:val="single" w:sz="4" w:space="0" w:color="auto"/>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IIb</w:t>
            </w:r>
          </w:p>
        </w:tc>
        <w:tc>
          <w:tcPr>
            <w:tcW w:w="996" w:type="dxa"/>
            <w:tcBorders>
              <w:top w:val="single" w:sz="4" w:space="0" w:color="auto"/>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IIIa</w:t>
            </w:r>
          </w:p>
        </w:tc>
        <w:tc>
          <w:tcPr>
            <w:tcW w:w="996" w:type="dxa"/>
            <w:tcBorders>
              <w:top w:val="single" w:sz="4" w:space="0" w:color="auto"/>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IIIb</w:t>
            </w:r>
          </w:p>
        </w:tc>
        <w:tc>
          <w:tcPr>
            <w:tcW w:w="996" w:type="dxa"/>
            <w:tcBorders>
              <w:top w:val="single" w:sz="4" w:space="0" w:color="auto"/>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IVa</w:t>
            </w:r>
          </w:p>
        </w:tc>
        <w:tc>
          <w:tcPr>
            <w:tcW w:w="992" w:type="dxa"/>
            <w:tcBorders>
              <w:top w:val="single" w:sz="4" w:space="0" w:color="auto"/>
              <w:bottom w:val="single" w:sz="4" w:space="0" w:color="auto"/>
            </w:tcBorders>
            <w:noWrap/>
            <w:vAlign w:val="bottom"/>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IVb</w:t>
            </w:r>
          </w:p>
        </w:tc>
      </w:tr>
      <w:tr w:rsidR="002D11C3" w:rsidRPr="00537C3C">
        <w:trPr>
          <w:trHeight w:val="284"/>
        </w:trPr>
        <w:tc>
          <w:tcPr>
            <w:tcW w:w="2331" w:type="dxa"/>
            <w:tcBorders>
              <w:top w:val="single" w:sz="4" w:space="0" w:color="auto"/>
            </w:tcBorders>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Colposcopy</w:t>
            </w:r>
          </w:p>
        </w:tc>
        <w:tc>
          <w:tcPr>
            <w:tcW w:w="955" w:type="dxa"/>
            <w:tcBorders>
              <w:top w:val="single" w:sz="4" w:space="0" w:color="auto"/>
            </w:tcBorders>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$335.08</w:t>
            </w:r>
          </w:p>
        </w:tc>
        <w:tc>
          <w:tcPr>
            <w:tcW w:w="1003" w:type="dxa"/>
            <w:tcBorders>
              <w:top w:val="single" w:sz="4" w:space="0" w:color="auto"/>
            </w:tcBorders>
            <w:vAlign w:val="bottom"/>
          </w:tcPr>
          <w:p w:rsidR="00234376" w:rsidRPr="00A95778" w:rsidRDefault="00234376" w:rsidP="008E03A7">
            <w:pPr>
              <w:spacing w:after="0"/>
              <w:ind w:left="0"/>
              <w:rPr>
                <w:rFonts w:ascii="Arial Narrow" w:eastAsia="Arial Unicode MS" w:hAnsi="Arial Narrow" w:cs="Arial Unicode MS"/>
                <w:sz w:val="18"/>
                <w:szCs w:val="18"/>
              </w:rPr>
            </w:pPr>
            <w:r w:rsidRPr="00A95778" w:rsidDel="00A95778">
              <w:rPr>
                <w:rFonts w:ascii="Arial Narrow" w:eastAsia="Arial Unicode MS" w:hAnsi="Arial Narrow" w:cs="Arial Unicode MS"/>
                <w:sz w:val="18"/>
                <w:szCs w:val="18"/>
              </w:rPr>
              <w:fldChar w:fldCharType="begin"/>
            </w:r>
            <w:r w:rsidRPr="00A95778" w:rsidDel="00A95778">
              <w:rPr>
                <w:rFonts w:ascii="Arial Narrow" w:eastAsia="Arial Unicode MS" w:hAnsi="Arial Narrow" w:cs="Arial Unicode MS"/>
                <w:sz w:val="18"/>
                <w:szCs w:val="18"/>
              </w:rPr>
              <w:instrText xml:space="preserve"> REF _Ref209517187 \h </w:instrText>
            </w:r>
            <w:r w:rsidRPr="00A95778">
              <w:rPr>
                <w:rFonts w:ascii="Arial Narrow" w:eastAsia="Arial Unicode MS" w:hAnsi="Arial Narrow" w:cs="Arial Unicode MS"/>
                <w:sz w:val="18"/>
                <w:szCs w:val="18"/>
              </w:rPr>
              <w:instrText xml:space="preserve"> \* MERGEFORMAT </w:instrText>
            </w:r>
            <w:r w:rsidRPr="00A95778" w:rsidDel="00A95778">
              <w:rPr>
                <w:rFonts w:ascii="Arial Narrow" w:eastAsia="Arial Unicode MS" w:hAnsi="Arial Narrow" w:cs="Arial Unicode MS"/>
                <w:sz w:val="18"/>
                <w:szCs w:val="18"/>
              </w:rPr>
            </w:r>
            <w:r w:rsidRPr="00A95778" w:rsidDel="00A95778">
              <w:rPr>
                <w:rFonts w:ascii="Arial Narrow" w:eastAsia="Arial Unicode MS" w:hAnsi="Arial Narrow" w:cs="Arial Unicode MS"/>
                <w:sz w:val="18"/>
                <w:szCs w:val="18"/>
              </w:rPr>
              <w:fldChar w:fldCharType="separate"/>
            </w:r>
            <w:r w:rsidR="007D3DFF" w:rsidRPr="007D3DFF">
              <w:rPr>
                <w:rFonts w:ascii="Arial Narrow" w:hAnsi="Arial Narrow"/>
                <w:sz w:val="18"/>
              </w:rPr>
              <w:t xml:space="preserve">Table </w:t>
            </w:r>
            <w:r w:rsidR="007D3DFF" w:rsidRPr="007D3DFF">
              <w:rPr>
                <w:rFonts w:ascii="Arial Narrow" w:hAnsi="Arial Narrow"/>
                <w:noProof/>
                <w:sz w:val="18"/>
              </w:rPr>
              <w:t>47</w:t>
            </w:r>
            <w:r w:rsidRPr="00A95778" w:rsidDel="00A95778">
              <w:rPr>
                <w:rFonts w:ascii="Arial Narrow" w:eastAsia="Arial Unicode MS" w:hAnsi="Arial Narrow" w:cs="Arial Unicode MS"/>
                <w:sz w:val="18"/>
                <w:szCs w:val="18"/>
              </w:rPr>
              <w:fldChar w:fldCharType="end"/>
            </w:r>
          </w:p>
        </w:tc>
        <w:tc>
          <w:tcPr>
            <w:tcW w:w="914" w:type="dxa"/>
            <w:tcBorders>
              <w:top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tcBorders>
              <w:top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tcBorders>
              <w:top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1008" w:type="dxa"/>
            <w:tcBorders>
              <w:top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tcBorders>
              <w:top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c>
          <w:tcPr>
            <w:tcW w:w="996" w:type="dxa"/>
            <w:tcBorders>
              <w:top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c>
          <w:tcPr>
            <w:tcW w:w="996" w:type="dxa"/>
            <w:tcBorders>
              <w:top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c>
          <w:tcPr>
            <w:tcW w:w="996" w:type="dxa"/>
            <w:tcBorders>
              <w:top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c>
          <w:tcPr>
            <w:tcW w:w="996" w:type="dxa"/>
            <w:tcBorders>
              <w:top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c>
          <w:tcPr>
            <w:tcW w:w="992" w:type="dxa"/>
            <w:tcBorders>
              <w:top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r>
      <w:tr w:rsidR="002D11C3" w:rsidRPr="00537C3C">
        <w:trPr>
          <w:trHeight w:val="284"/>
        </w:trPr>
        <w:tc>
          <w:tcPr>
            <w:tcW w:w="2331"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Chest x-ray</w:t>
            </w:r>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$47.15</w:t>
            </w:r>
          </w:p>
        </w:tc>
        <w:tc>
          <w:tcPr>
            <w:tcW w:w="1003"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BB76D8">
              <w:rPr>
                <w:rFonts w:ascii="Arial Narrow" w:eastAsia="Arial Unicode MS" w:hAnsi="Arial Narrow" w:cs="Arial Unicode MS"/>
                <w:sz w:val="18"/>
                <w:szCs w:val="18"/>
              </w:rPr>
              <w:t>MBS</w:t>
            </w:r>
            <w:r w:rsidRPr="00537C3C">
              <w:rPr>
                <w:rFonts w:ascii="Arial Narrow" w:eastAsia="Arial Unicode MS" w:hAnsi="Arial Narrow" w:cs="Arial Unicode MS"/>
                <w:sz w:val="18"/>
                <w:szCs w:val="18"/>
              </w:rPr>
              <w:t xml:space="preserve"> 58503</w:t>
            </w:r>
          </w:p>
        </w:tc>
        <w:tc>
          <w:tcPr>
            <w:tcW w:w="914"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1008"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2"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r>
      <w:tr w:rsidR="002D11C3" w:rsidRPr="00537C3C">
        <w:trPr>
          <w:trHeight w:val="284"/>
        </w:trPr>
        <w:tc>
          <w:tcPr>
            <w:tcW w:w="2331"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CT scan</w:t>
            </w:r>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$480.05</w:t>
            </w:r>
          </w:p>
        </w:tc>
        <w:tc>
          <w:tcPr>
            <w:tcW w:w="1003"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BB76D8">
              <w:rPr>
                <w:rFonts w:ascii="Arial Narrow" w:eastAsia="Arial Unicode MS" w:hAnsi="Arial Narrow" w:cs="Arial Unicode MS"/>
                <w:sz w:val="18"/>
                <w:szCs w:val="18"/>
              </w:rPr>
              <w:t>MBS</w:t>
            </w:r>
            <w:r w:rsidRPr="00537C3C">
              <w:rPr>
                <w:rFonts w:ascii="Arial Narrow" w:eastAsia="Arial Unicode MS" w:hAnsi="Arial Narrow" w:cs="Arial Unicode MS"/>
                <w:sz w:val="18"/>
                <w:szCs w:val="18"/>
              </w:rPr>
              <w:t xml:space="preserve"> 56507</w:t>
            </w:r>
          </w:p>
        </w:tc>
        <w:tc>
          <w:tcPr>
            <w:tcW w:w="914"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1008"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2"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r>
      <w:tr w:rsidR="002D11C3" w:rsidRPr="00537C3C">
        <w:trPr>
          <w:trHeight w:val="284"/>
        </w:trPr>
        <w:tc>
          <w:tcPr>
            <w:tcW w:w="2331"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PET scan</w:t>
            </w:r>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$953.00</w:t>
            </w:r>
          </w:p>
        </w:tc>
        <w:tc>
          <w:tcPr>
            <w:tcW w:w="1003"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BB76D8">
              <w:rPr>
                <w:rFonts w:ascii="Arial Narrow" w:eastAsia="Arial Unicode MS" w:hAnsi="Arial Narrow" w:cs="Arial Unicode MS"/>
                <w:sz w:val="18"/>
                <w:szCs w:val="18"/>
              </w:rPr>
              <w:t>MBS</w:t>
            </w:r>
            <w:r w:rsidRPr="00537C3C">
              <w:rPr>
                <w:rFonts w:ascii="Arial Narrow" w:eastAsia="Arial Unicode MS" w:hAnsi="Arial Narrow" w:cs="Arial Unicode MS"/>
                <w:sz w:val="18"/>
                <w:szCs w:val="18"/>
              </w:rPr>
              <w:t xml:space="preserve"> 61529</w:t>
            </w:r>
          </w:p>
        </w:tc>
        <w:tc>
          <w:tcPr>
            <w:tcW w:w="914"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1008"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2"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r>
      <w:tr w:rsidR="002D11C3" w:rsidRPr="00537C3C">
        <w:trPr>
          <w:trHeight w:val="284"/>
        </w:trPr>
        <w:tc>
          <w:tcPr>
            <w:tcW w:w="2331"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MRI</w:t>
            </w:r>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$446.55</w:t>
            </w:r>
          </w:p>
        </w:tc>
        <w:tc>
          <w:tcPr>
            <w:tcW w:w="1003"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BB76D8">
              <w:rPr>
                <w:rFonts w:ascii="Arial Narrow" w:eastAsia="Arial Unicode MS" w:hAnsi="Arial Narrow" w:cs="Arial Unicode MS"/>
                <w:sz w:val="18"/>
                <w:szCs w:val="18"/>
              </w:rPr>
              <w:t>MBS</w:t>
            </w:r>
            <w:r w:rsidRPr="00537C3C">
              <w:rPr>
                <w:rFonts w:ascii="Arial Narrow" w:eastAsia="Arial Unicode MS" w:hAnsi="Arial Narrow" w:cs="Arial Unicode MS"/>
                <w:sz w:val="18"/>
                <w:szCs w:val="18"/>
              </w:rPr>
              <w:t xml:space="preserve"> 63470 / 63473</w:t>
            </w:r>
          </w:p>
        </w:tc>
        <w:tc>
          <w:tcPr>
            <w:tcW w:w="914"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1008"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2"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r>
      <w:tr w:rsidR="002D11C3" w:rsidRPr="00537C3C">
        <w:trPr>
          <w:trHeight w:val="284"/>
        </w:trPr>
        <w:tc>
          <w:tcPr>
            <w:tcW w:w="2331"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Bone scan</w:t>
            </w:r>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$479.80</w:t>
            </w:r>
          </w:p>
        </w:tc>
        <w:tc>
          <w:tcPr>
            <w:tcW w:w="1003"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BB76D8">
              <w:rPr>
                <w:rFonts w:ascii="Arial Narrow" w:eastAsia="Arial Unicode MS" w:hAnsi="Arial Narrow" w:cs="Arial Unicode MS"/>
                <w:sz w:val="18"/>
                <w:szCs w:val="18"/>
              </w:rPr>
              <w:t>MBS</w:t>
            </w:r>
            <w:r w:rsidRPr="00537C3C">
              <w:rPr>
                <w:rFonts w:ascii="Arial Narrow" w:eastAsia="Arial Unicode MS" w:hAnsi="Arial Narrow" w:cs="Arial Unicode MS"/>
                <w:sz w:val="18"/>
                <w:szCs w:val="18"/>
              </w:rPr>
              <w:t xml:space="preserve"> 61421</w:t>
            </w:r>
          </w:p>
        </w:tc>
        <w:tc>
          <w:tcPr>
            <w:tcW w:w="914"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1008"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w:t>
            </w:r>
          </w:p>
        </w:tc>
        <w:tc>
          <w:tcPr>
            <w:tcW w:w="992"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w:t>
            </w:r>
          </w:p>
        </w:tc>
      </w:tr>
      <w:tr w:rsidR="002D11C3" w:rsidRPr="00537C3C">
        <w:trPr>
          <w:trHeight w:val="284"/>
        </w:trPr>
        <w:tc>
          <w:tcPr>
            <w:tcW w:w="2331"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Cystoscopy</w:t>
            </w:r>
          </w:p>
        </w:tc>
        <w:tc>
          <w:tcPr>
            <w:tcW w:w="955" w:type="dxa"/>
            <w:noWrap/>
            <w:vAlign w:val="bottom"/>
          </w:tcPr>
          <w:p w:rsidR="00234376" w:rsidRDefault="00234376" w:rsidP="00234376">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$150.55</w:t>
            </w:r>
          </w:p>
        </w:tc>
        <w:tc>
          <w:tcPr>
            <w:tcW w:w="1003" w:type="dxa"/>
            <w:vAlign w:val="bottom"/>
          </w:tcPr>
          <w:p w:rsidR="00234376" w:rsidRPr="00537C3C" w:rsidRDefault="00234376" w:rsidP="008E03A7">
            <w:pPr>
              <w:spacing w:after="0"/>
              <w:ind w:left="0"/>
              <w:rPr>
                <w:rFonts w:ascii="Arial Narrow" w:eastAsia="Arial Unicode MS" w:hAnsi="Arial Narrow" w:cs="Arial Unicode MS"/>
                <w:sz w:val="18"/>
                <w:szCs w:val="18"/>
              </w:rPr>
            </w:pPr>
            <w:r w:rsidRPr="00BB76D8">
              <w:rPr>
                <w:rFonts w:ascii="Arial Narrow" w:eastAsia="Arial Unicode MS" w:hAnsi="Arial Narrow" w:cs="Arial Unicode MS"/>
                <w:sz w:val="18"/>
                <w:szCs w:val="18"/>
              </w:rPr>
              <w:t>MBS</w:t>
            </w:r>
            <w:r w:rsidRPr="00537C3C">
              <w:rPr>
                <w:rFonts w:ascii="Arial Narrow" w:eastAsia="Arial Unicode MS" w:hAnsi="Arial Narrow" w:cs="Arial Unicode MS"/>
                <w:sz w:val="18"/>
                <w:szCs w:val="18"/>
              </w:rPr>
              <w:t xml:space="preserve"> 36812</w:t>
            </w:r>
          </w:p>
        </w:tc>
        <w:tc>
          <w:tcPr>
            <w:tcW w:w="914"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1008"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c>
          <w:tcPr>
            <w:tcW w:w="996"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c>
          <w:tcPr>
            <w:tcW w:w="992" w:type="dxa"/>
            <w:noWrap/>
            <w:vAlign w:val="bottom"/>
          </w:tcPr>
          <w:p w:rsidR="00234376" w:rsidRPr="00537C3C" w:rsidRDefault="00234376" w:rsidP="008E03A7">
            <w:pPr>
              <w:spacing w:after="0"/>
              <w:ind w:left="0"/>
              <w:jc w:val="right"/>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90.0%</w:t>
            </w:r>
          </w:p>
        </w:tc>
      </w:tr>
      <w:tr w:rsidR="002D11C3" w:rsidRPr="00537C3C">
        <w:trPr>
          <w:trHeight w:val="284"/>
        </w:trPr>
        <w:tc>
          <w:tcPr>
            <w:tcW w:w="2331" w:type="dxa"/>
            <w:tcBorders>
              <w:bottom w:val="single" w:sz="4" w:space="0" w:color="auto"/>
            </w:tcBorders>
            <w:vAlign w:val="bottom"/>
          </w:tcPr>
          <w:p w:rsidR="00234376" w:rsidRPr="00537C3C" w:rsidRDefault="00234376" w:rsidP="008E03A7">
            <w:pPr>
              <w:spacing w:after="0"/>
              <w:ind w:left="0"/>
              <w:rPr>
                <w:rFonts w:ascii="Arial Narrow" w:hAnsi="Arial Narrow" w:cs="Arial"/>
                <w:b/>
                <w:sz w:val="18"/>
                <w:szCs w:val="18"/>
              </w:rPr>
            </w:pPr>
            <w:r w:rsidRPr="00537C3C">
              <w:rPr>
                <w:rFonts w:ascii="Arial Narrow" w:hAnsi="Arial Narrow" w:cs="Arial"/>
                <w:b/>
                <w:sz w:val="18"/>
                <w:szCs w:val="18"/>
              </w:rPr>
              <w:t>Stage-specific work-up costs</w:t>
            </w:r>
          </w:p>
        </w:tc>
        <w:tc>
          <w:tcPr>
            <w:tcW w:w="955" w:type="dxa"/>
            <w:tcBorders>
              <w:bottom w:val="single" w:sz="4" w:space="0" w:color="auto"/>
            </w:tcBorders>
            <w:vAlign w:val="bottom"/>
          </w:tcPr>
          <w:p w:rsidR="00234376" w:rsidRPr="00537C3C" w:rsidRDefault="00234376" w:rsidP="008E03A7">
            <w:pPr>
              <w:spacing w:after="0"/>
              <w:ind w:left="0"/>
              <w:rPr>
                <w:rFonts w:ascii="Arial Narrow" w:hAnsi="Arial Narrow" w:cs="Arial"/>
                <w:b/>
                <w:sz w:val="18"/>
                <w:szCs w:val="18"/>
              </w:rPr>
            </w:pPr>
          </w:p>
        </w:tc>
        <w:tc>
          <w:tcPr>
            <w:tcW w:w="1003" w:type="dxa"/>
            <w:tcBorders>
              <w:bottom w:val="single" w:sz="4" w:space="0" w:color="auto"/>
            </w:tcBorders>
            <w:vAlign w:val="bottom"/>
          </w:tcPr>
          <w:p w:rsidR="00234376" w:rsidRPr="00537C3C" w:rsidRDefault="00234376" w:rsidP="008E03A7">
            <w:pPr>
              <w:spacing w:after="0"/>
              <w:ind w:left="0"/>
              <w:rPr>
                <w:rFonts w:ascii="Arial Narrow" w:eastAsia="Arial Unicode MS" w:hAnsi="Arial Narrow" w:cs="Arial Unicode MS"/>
                <w:sz w:val="18"/>
                <w:szCs w:val="18"/>
              </w:rPr>
            </w:pPr>
          </w:p>
        </w:tc>
        <w:tc>
          <w:tcPr>
            <w:tcW w:w="914" w:type="dxa"/>
            <w:tcBorders>
              <w:bottom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$1 815.28</w:t>
            </w:r>
          </w:p>
        </w:tc>
        <w:tc>
          <w:tcPr>
            <w:tcW w:w="996" w:type="dxa"/>
            <w:tcBorders>
              <w:bottom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$1 815.28</w:t>
            </w:r>
          </w:p>
        </w:tc>
        <w:tc>
          <w:tcPr>
            <w:tcW w:w="996" w:type="dxa"/>
            <w:tcBorders>
              <w:bottom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$1 815.28</w:t>
            </w:r>
          </w:p>
        </w:tc>
        <w:tc>
          <w:tcPr>
            <w:tcW w:w="1008" w:type="dxa"/>
            <w:tcBorders>
              <w:bottom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$2 261.83</w:t>
            </w:r>
          </w:p>
        </w:tc>
        <w:tc>
          <w:tcPr>
            <w:tcW w:w="996" w:type="dxa"/>
            <w:tcBorders>
              <w:bottom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$1 917.26</w:t>
            </w:r>
          </w:p>
        </w:tc>
        <w:tc>
          <w:tcPr>
            <w:tcW w:w="996" w:type="dxa"/>
            <w:tcBorders>
              <w:bottom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$1 917.26</w:t>
            </w:r>
          </w:p>
        </w:tc>
        <w:tc>
          <w:tcPr>
            <w:tcW w:w="996" w:type="dxa"/>
            <w:tcBorders>
              <w:bottom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$1 917.26</w:t>
            </w:r>
          </w:p>
        </w:tc>
        <w:tc>
          <w:tcPr>
            <w:tcW w:w="996" w:type="dxa"/>
            <w:tcBorders>
              <w:bottom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$1 917.26</w:t>
            </w:r>
          </w:p>
        </w:tc>
        <w:tc>
          <w:tcPr>
            <w:tcW w:w="996" w:type="dxa"/>
            <w:tcBorders>
              <w:bottom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$1 965.24</w:t>
            </w:r>
          </w:p>
        </w:tc>
        <w:tc>
          <w:tcPr>
            <w:tcW w:w="992" w:type="dxa"/>
            <w:tcBorders>
              <w:bottom w:val="single" w:sz="4" w:space="0" w:color="auto"/>
            </w:tcBorders>
            <w:noWrap/>
            <w:vAlign w:val="bottom"/>
          </w:tcPr>
          <w:p w:rsidR="00234376" w:rsidRPr="00537C3C" w:rsidRDefault="00234376" w:rsidP="008E03A7">
            <w:pPr>
              <w:spacing w:after="0"/>
              <w:ind w:left="0"/>
              <w:jc w:val="right"/>
              <w:rPr>
                <w:rFonts w:ascii="Arial Narrow" w:eastAsia="Arial Unicode MS" w:hAnsi="Arial Narrow" w:cs="Arial Unicode MS"/>
                <w:b/>
                <w:sz w:val="18"/>
                <w:szCs w:val="18"/>
              </w:rPr>
            </w:pPr>
            <w:r w:rsidRPr="00537C3C">
              <w:rPr>
                <w:rFonts w:ascii="Arial Narrow" w:eastAsia="Arial Unicode MS" w:hAnsi="Arial Narrow" w:cs="Arial Unicode MS"/>
                <w:b/>
                <w:sz w:val="18"/>
                <w:szCs w:val="18"/>
              </w:rPr>
              <w:t>$1 965.24</w:t>
            </w:r>
          </w:p>
        </w:tc>
      </w:tr>
    </w:tbl>
    <w:p w:rsidR="00234376" w:rsidRPr="00537C3C" w:rsidRDefault="00234376" w:rsidP="008E03A7">
      <w:pPr>
        <w:spacing w:after="0"/>
        <w:ind w:left="721" w:hanging="437"/>
        <w:rPr>
          <w:rFonts w:ascii="Arial Narrow" w:hAnsi="Arial Narrow" w:cs="Arial"/>
          <w:sz w:val="18"/>
          <w:szCs w:val="18"/>
        </w:rPr>
      </w:pPr>
      <w:r w:rsidRPr="00234376">
        <w:rPr>
          <w:rFonts w:ascii="Arial Narrow" w:hAnsi="Arial Narrow" w:cs="Arial"/>
          <w:sz w:val="18"/>
          <w:szCs w:val="18"/>
          <w:vertAlign w:val="superscript"/>
        </w:rPr>
        <w:t>a</w:t>
      </w:r>
      <w:r w:rsidRPr="00537C3C">
        <w:rPr>
          <w:rFonts w:ascii="Arial Narrow" w:hAnsi="Arial Narrow" w:cs="Arial"/>
          <w:sz w:val="18"/>
          <w:szCs w:val="18"/>
        </w:rPr>
        <w:t xml:space="preserve"> </w:t>
      </w:r>
      <w:r w:rsidRPr="00537C3C">
        <w:rPr>
          <w:rFonts w:ascii="Arial Narrow" w:eastAsia="Arial Unicode MS" w:hAnsi="Arial Narrow" w:cs="Arial Unicode MS"/>
          <w:sz w:val="18"/>
          <w:szCs w:val="18"/>
        </w:rPr>
        <w:t>Treatment</w:t>
      </w:r>
      <w:r w:rsidRPr="00537C3C">
        <w:rPr>
          <w:rFonts w:ascii="Arial Narrow" w:hAnsi="Arial Narrow" w:cs="Arial"/>
          <w:sz w:val="18"/>
          <w:szCs w:val="18"/>
        </w:rPr>
        <w:t xml:space="preserve"> proportions from Prof. Ian Hammond (via L. Farrell).</w:t>
      </w:r>
    </w:p>
    <w:p w:rsidR="00234376" w:rsidRPr="00537C3C" w:rsidRDefault="00234376" w:rsidP="008E03A7">
      <w:pPr>
        <w:spacing w:after="0"/>
        <w:ind w:left="721" w:hanging="437"/>
        <w:rPr>
          <w:rFonts w:ascii="Arial Narrow" w:eastAsia="Arial Unicode MS" w:hAnsi="Arial Narrow" w:cs="Arial Unicode MS"/>
          <w:sz w:val="18"/>
          <w:szCs w:val="18"/>
        </w:rPr>
      </w:pPr>
      <w:r w:rsidRPr="00234376">
        <w:rPr>
          <w:rFonts w:ascii="Arial Narrow" w:eastAsia="Arial Unicode MS" w:hAnsi="Arial Narrow" w:cs="Arial Unicode MS"/>
          <w:sz w:val="18"/>
          <w:szCs w:val="18"/>
          <w:vertAlign w:val="superscript"/>
        </w:rPr>
        <w:t>b</w:t>
      </w:r>
      <w:r w:rsidRPr="00537C3C">
        <w:rPr>
          <w:rFonts w:ascii="Arial Narrow" w:eastAsia="Arial Unicode MS" w:hAnsi="Arial Narrow" w:cs="Arial Unicode MS"/>
          <w:sz w:val="18"/>
          <w:szCs w:val="18"/>
        </w:rPr>
        <w:t xml:space="preserve"> Stage Ia1 surgery = 25% conisation (DRG N09Z) 75% hysterectomy (DRG </w:t>
      </w:r>
      <w:bookmarkStart w:id="647" w:name="OLE_LINK246"/>
      <w:bookmarkStart w:id="648" w:name="OLE_LINK247"/>
      <w:r w:rsidRPr="00537C3C">
        <w:rPr>
          <w:rFonts w:ascii="Arial Narrow" w:eastAsia="Arial Unicode MS" w:hAnsi="Arial Narrow" w:cs="Arial Unicode MS"/>
          <w:sz w:val="18"/>
          <w:szCs w:val="18"/>
        </w:rPr>
        <w:t>N03A</w:t>
      </w:r>
      <w:bookmarkEnd w:id="647"/>
      <w:bookmarkEnd w:id="648"/>
      <w:r w:rsidRPr="00537C3C">
        <w:rPr>
          <w:rFonts w:ascii="Arial Narrow" w:eastAsia="Arial Unicode MS" w:hAnsi="Arial Narrow" w:cs="Arial Unicode MS"/>
          <w:sz w:val="18"/>
          <w:szCs w:val="18"/>
        </w:rPr>
        <w:t>/B) (Neville Hacker, personal communication).</w:t>
      </w:r>
    </w:p>
    <w:p w:rsidR="00234376" w:rsidRPr="00537C3C" w:rsidRDefault="00234376" w:rsidP="008E03A7">
      <w:pPr>
        <w:spacing w:after="0"/>
        <w:ind w:left="721" w:hanging="437"/>
      </w:pPr>
      <w:r w:rsidRPr="00234376">
        <w:rPr>
          <w:rFonts w:ascii="Arial Narrow" w:eastAsia="Arial Unicode MS" w:hAnsi="Arial Narrow" w:cs="Arial Unicode MS"/>
          <w:sz w:val="18"/>
          <w:szCs w:val="18"/>
          <w:vertAlign w:val="superscript"/>
        </w:rPr>
        <w:t>c</w:t>
      </w:r>
      <w:r w:rsidRPr="00537C3C">
        <w:rPr>
          <w:rFonts w:ascii="Arial Narrow" w:eastAsia="Arial Unicode MS" w:hAnsi="Arial Narrow" w:cs="Arial Unicode MS"/>
          <w:sz w:val="18"/>
          <w:szCs w:val="18"/>
        </w:rPr>
        <w:t xml:space="preserve"> Work-up proportions from </w:t>
      </w:r>
      <w:r w:rsidRPr="00234376">
        <w:rPr>
          <w:rFonts w:ascii="Arial Narrow" w:eastAsia="Arial Unicode MS" w:hAnsi="Arial Narrow" w:cs="Arial Unicode MS"/>
          <w:sz w:val="18"/>
          <w:szCs w:val="18"/>
        </w:rPr>
        <w:t>N</w:t>
      </w:r>
      <w:r w:rsidRPr="00537C3C">
        <w:rPr>
          <w:rFonts w:ascii="Arial Narrow" w:eastAsia="Arial Unicode MS" w:hAnsi="Arial Narrow" w:cs="Arial Unicode MS"/>
          <w:sz w:val="18"/>
          <w:szCs w:val="18"/>
        </w:rPr>
        <w:t>. Hacker, personal communication.</w:t>
      </w:r>
    </w:p>
    <w:p w:rsidR="00234376" w:rsidRPr="00537C3C" w:rsidRDefault="00234376" w:rsidP="008E03A7">
      <w:pPr>
        <w:spacing w:after="120"/>
        <w:jc w:val="both"/>
        <w:rPr>
          <w:rFonts w:cs="Arial"/>
        </w:rPr>
      </w:pPr>
    </w:p>
    <w:p w:rsidR="00234376" w:rsidRPr="00537C3C" w:rsidRDefault="00234376" w:rsidP="008E03A7">
      <w:pPr>
        <w:spacing w:after="120"/>
        <w:jc w:val="both"/>
        <w:rPr>
          <w:rFonts w:cs="Arial"/>
        </w:rPr>
        <w:sectPr w:rsidR="00234376" w:rsidRPr="00537C3C" w:rsidSect="008E03A7">
          <w:pgSz w:w="16838" w:h="11906" w:orient="landscape" w:code="9"/>
          <w:pgMar w:top="1440" w:right="1440" w:bottom="1440" w:left="1440" w:header="720" w:footer="720" w:gutter="0"/>
          <w:paperSrc w:first="15" w:other="15"/>
          <w:cols w:space="720"/>
        </w:sectPr>
      </w:pPr>
    </w:p>
    <w:p w:rsidR="00234376" w:rsidRPr="00537C3C" w:rsidRDefault="00234376" w:rsidP="008E03A7">
      <w:pPr>
        <w:pStyle w:val="Heading6"/>
      </w:pPr>
      <w:r w:rsidRPr="00537C3C">
        <w:lastRenderedPageBreak/>
        <w:t>Cost of surgery</w:t>
      </w:r>
    </w:p>
    <w:p w:rsidR="00234376" w:rsidRPr="00537C3C" w:rsidRDefault="00234376" w:rsidP="008E03A7">
      <w:pPr>
        <w:rPr>
          <w:rFonts w:cs="Arial"/>
        </w:rPr>
      </w:pPr>
      <w:r w:rsidRPr="00537C3C">
        <w:rPr>
          <w:rFonts w:cs="Arial"/>
        </w:rPr>
        <w:t xml:space="preserve">Surgery options include conisation, simple hysterectomy, radical hysterectomy and exenteration. As current </w:t>
      </w:r>
      <w:bookmarkStart w:id="649" w:name="OLE_LINK248"/>
      <w:bookmarkStart w:id="650" w:name="OLE_LINK249"/>
      <w:r w:rsidRPr="006C24DD">
        <w:rPr>
          <w:rFonts w:cs="Arial"/>
        </w:rPr>
        <w:t>diagnosis-related groups</w:t>
      </w:r>
      <w:r w:rsidRPr="00234376">
        <w:rPr>
          <w:rFonts w:cs="Arial"/>
        </w:rPr>
        <w:t xml:space="preserve"> </w:t>
      </w:r>
      <w:r w:rsidRPr="006C24DD">
        <w:rPr>
          <w:rFonts w:cs="Arial"/>
        </w:rPr>
        <w:t>(DRGs)</w:t>
      </w:r>
      <w:r w:rsidRPr="00537C3C">
        <w:rPr>
          <w:rFonts w:cs="Arial"/>
        </w:rPr>
        <w:t xml:space="preserve"> </w:t>
      </w:r>
      <w:bookmarkEnd w:id="649"/>
      <w:bookmarkEnd w:id="650"/>
      <w:r w:rsidRPr="00537C3C">
        <w:rPr>
          <w:rFonts w:cs="Arial"/>
        </w:rPr>
        <w:t xml:space="preserve">do not distinguish between simple and radical hysterectomy, </w:t>
      </w:r>
      <w:r w:rsidRPr="00537C3C" w:rsidDel="00110B9C">
        <w:rPr>
          <w:rFonts w:cs="Arial"/>
        </w:rPr>
        <w:t>we</w:t>
      </w:r>
      <w:r w:rsidRPr="00537C3C">
        <w:rPr>
          <w:rFonts w:cs="Arial"/>
        </w:rPr>
        <w:t xml:space="preserve"> have assumed that a simple hysterectomy has a cost equivalent to a hysterectomy without complications, and a radical hysterectomy has a cost equivalent to a hysterectomy with complications.</w:t>
      </w:r>
    </w:p>
    <w:p w:rsidR="00234376" w:rsidRPr="00537C3C" w:rsidRDefault="00234376" w:rsidP="008E03A7">
      <w:pPr>
        <w:pStyle w:val="TableNamea"/>
        <w:keepLines/>
        <w:ind w:left="1644"/>
      </w:pPr>
      <w:bookmarkStart w:id="651" w:name="_Ref209517155"/>
      <w:bookmarkStart w:id="652" w:name="_Toc95971281"/>
      <w:r w:rsidRPr="00537C3C">
        <w:t xml:space="preserve">Table </w:t>
      </w:r>
      <w:fldSimple w:instr=" SEQ Table \* ARABIC ">
        <w:r w:rsidR="007D3DFF">
          <w:rPr>
            <w:noProof/>
          </w:rPr>
          <w:t>45</w:t>
        </w:r>
      </w:fldSimple>
      <w:bookmarkEnd w:id="651"/>
      <w:r w:rsidRPr="00537C3C">
        <w:tab/>
        <w:t>Cost of surgical managements.</w:t>
      </w:r>
      <w:bookmarkEnd w:id="652"/>
    </w:p>
    <w:tbl>
      <w:tblPr>
        <w:tblW w:w="8360" w:type="dxa"/>
        <w:tblInd w:w="698" w:type="dxa"/>
        <w:tblLook w:val="0000" w:firstRow="0" w:lastRow="0" w:firstColumn="0" w:lastColumn="0" w:noHBand="0" w:noVBand="0"/>
      </w:tblPr>
      <w:tblGrid>
        <w:gridCol w:w="2697"/>
        <w:gridCol w:w="1676"/>
        <w:gridCol w:w="1253"/>
        <w:gridCol w:w="1409"/>
        <w:gridCol w:w="1325"/>
      </w:tblGrid>
      <w:tr w:rsidR="00234376" w:rsidRPr="00537C3C">
        <w:trPr>
          <w:trHeight w:val="284"/>
        </w:trPr>
        <w:tc>
          <w:tcPr>
            <w:tcW w:w="2697" w:type="dxa"/>
            <w:tcBorders>
              <w:top w:val="single" w:sz="4" w:space="0" w:color="auto"/>
              <w:bottom w:val="single" w:sz="4" w:space="0" w:color="auto"/>
            </w:tcBorders>
            <w:noWrap/>
          </w:tcPr>
          <w:p w:rsidR="00234376" w:rsidRPr="00537C3C" w:rsidRDefault="00234376" w:rsidP="008E03A7">
            <w:pPr>
              <w:spacing w:after="0"/>
              <w:ind w:left="0"/>
              <w:rPr>
                <w:rFonts w:ascii="Arial Narrow" w:eastAsia="Arial Unicode MS" w:hAnsi="Arial Narrow" w:cs="Arial Unicode MS"/>
                <w:b/>
                <w:sz w:val="20"/>
              </w:rPr>
            </w:pPr>
            <w:r w:rsidRPr="00537C3C">
              <w:rPr>
                <w:rFonts w:ascii="Arial Narrow" w:eastAsia="Arial Unicode MS" w:hAnsi="Arial Narrow" w:cs="Arial Unicode MS"/>
                <w:b/>
                <w:sz w:val="20"/>
              </w:rPr>
              <w:t>Components</w:t>
            </w:r>
          </w:p>
        </w:tc>
        <w:tc>
          <w:tcPr>
            <w:tcW w:w="1676" w:type="dxa"/>
            <w:tcBorders>
              <w:top w:val="single" w:sz="4" w:space="0" w:color="auto"/>
              <w:bottom w:val="single" w:sz="4" w:space="0" w:color="auto"/>
            </w:tcBorders>
            <w:noWrap/>
          </w:tcPr>
          <w:p w:rsidR="00234376" w:rsidRPr="00537C3C" w:rsidRDefault="00234376" w:rsidP="008E03A7">
            <w:pPr>
              <w:spacing w:after="0"/>
              <w:ind w:left="0"/>
              <w:rPr>
                <w:rFonts w:ascii="Arial Narrow" w:eastAsia="Arial Unicode MS" w:hAnsi="Arial Narrow" w:cs="Arial Unicode MS"/>
                <w:b/>
                <w:sz w:val="20"/>
              </w:rPr>
            </w:pPr>
            <w:r w:rsidRPr="00537C3C">
              <w:rPr>
                <w:rFonts w:ascii="Arial Narrow" w:eastAsia="Arial Unicode MS" w:hAnsi="Arial Narrow" w:cs="Arial Unicode MS"/>
                <w:b/>
                <w:sz w:val="20"/>
              </w:rPr>
              <w:t>DRG item</w:t>
            </w:r>
          </w:p>
        </w:tc>
        <w:tc>
          <w:tcPr>
            <w:tcW w:w="1253" w:type="dxa"/>
            <w:tcBorders>
              <w:top w:val="single" w:sz="4" w:space="0" w:color="auto"/>
              <w:bottom w:val="single" w:sz="4" w:space="0" w:color="auto"/>
            </w:tcBorders>
          </w:tcPr>
          <w:p w:rsidR="00234376" w:rsidRDefault="00234376" w:rsidP="00234376">
            <w:pPr>
              <w:spacing w:after="0"/>
              <w:ind w:left="0"/>
              <w:jc w:val="center"/>
              <w:rPr>
                <w:rFonts w:ascii="Arial Narrow" w:eastAsia="Arial Unicode MS" w:hAnsi="Arial Narrow" w:cs="Arial Unicode MS"/>
                <w:b/>
                <w:sz w:val="20"/>
              </w:rPr>
            </w:pPr>
            <w:r w:rsidRPr="00537C3C">
              <w:rPr>
                <w:rFonts w:ascii="Arial Narrow" w:eastAsia="Arial Unicode MS" w:hAnsi="Arial Narrow" w:cs="Arial Unicode MS"/>
                <w:b/>
                <w:sz w:val="20"/>
              </w:rPr>
              <w:t>Unit cost</w:t>
            </w:r>
          </w:p>
        </w:tc>
        <w:tc>
          <w:tcPr>
            <w:tcW w:w="1409" w:type="dxa"/>
            <w:tcBorders>
              <w:top w:val="single" w:sz="4" w:space="0" w:color="auto"/>
              <w:bottom w:val="single" w:sz="4" w:space="0" w:color="auto"/>
            </w:tcBorders>
          </w:tcPr>
          <w:p w:rsidR="00234376" w:rsidRDefault="00234376" w:rsidP="00234376">
            <w:pPr>
              <w:spacing w:after="0"/>
              <w:ind w:left="0"/>
              <w:jc w:val="center"/>
              <w:rPr>
                <w:rFonts w:ascii="Arial Narrow" w:eastAsia="Arial Unicode MS" w:hAnsi="Arial Narrow" w:cs="Arial Unicode MS"/>
                <w:b/>
                <w:sz w:val="20"/>
              </w:rPr>
            </w:pPr>
            <w:r w:rsidRPr="00537C3C">
              <w:rPr>
                <w:rFonts w:ascii="Arial Narrow" w:eastAsia="Arial Unicode MS" w:hAnsi="Arial Narrow" w:cs="Arial Unicode MS"/>
                <w:b/>
                <w:sz w:val="20"/>
              </w:rPr>
              <w:t>Proportion of patients</w:t>
            </w:r>
          </w:p>
        </w:tc>
        <w:tc>
          <w:tcPr>
            <w:tcW w:w="1325" w:type="dxa"/>
            <w:tcBorders>
              <w:top w:val="single" w:sz="4" w:space="0" w:color="auto"/>
              <w:bottom w:val="single" w:sz="4" w:space="0" w:color="auto"/>
            </w:tcBorders>
            <w:noWrap/>
          </w:tcPr>
          <w:p w:rsidR="00234376" w:rsidRDefault="00234376" w:rsidP="00234376">
            <w:pPr>
              <w:spacing w:after="0"/>
              <w:ind w:left="0"/>
              <w:jc w:val="center"/>
              <w:rPr>
                <w:rFonts w:ascii="Arial Narrow" w:eastAsia="Arial Unicode MS" w:hAnsi="Arial Narrow" w:cs="Arial Unicode MS"/>
                <w:b/>
                <w:sz w:val="20"/>
              </w:rPr>
            </w:pPr>
            <w:r w:rsidRPr="00537C3C">
              <w:rPr>
                <w:rFonts w:ascii="Arial Narrow" w:eastAsia="Arial Unicode MS" w:hAnsi="Arial Narrow" w:cs="Arial Unicode MS"/>
                <w:b/>
                <w:sz w:val="20"/>
              </w:rPr>
              <w:t>Cost</w:t>
            </w:r>
          </w:p>
        </w:tc>
      </w:tr>
      <w:tr w:rsidR="00234376" w:rsidRPr="00537C3C">
        <w:trPr>
          <w:trHeight w:val="284"/>
        </w:trPr>
        <w:tc>
          <w:tcPr>
            <w:tcW w:w="2697"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Cost of conisation</w:t>
            </w:r>
          </w:p>
        </w:tc>
        <w:tc>
          <w:tcPr>
            <w:tcW w:w="1676"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c>
          <w:tcPr>
            <w:tcW w:w="1253"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c>
          <w:tcPr>
            <w:tcW w:w="1409"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c>
          <w:tcPr>
            <w:tcW w:w="1325"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r>
      <w:tr w:rsidR="00234376" w:rsidRPr="00537C3C">
        <w:trPr>
          <w:trHeight w:val="284"/>
        </w:trPr>
        <w:tc>
          <w:tcPr>
            <w:tcW w:w="2697"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Specialist consult</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104</w:t>
            </w:r>
          </w:p>
        </w:tc>
        <w:tc>
          <w:tcPr>
            <w:tcW w:w="1253"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c>
          <w:tcPr>
            <w:tcW w:w="1409"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325"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r>
      <w:tr w:rsidR="00234376" w:rsidRPr="00537C3C">
        <w:trPr>
          <w:trHeight w:val="284"/>
        </w:trPr>
        <w:tc>
          <w:tcPr>
            <w:tcW w:w="2697"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Conisation procedure, public</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DRG N09Z</w:t>
            </w:r>
          </w:p>
        </w:tc>
        <w:tc>
          <w:tcPr>
            <w:tcW w:w="1253"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$2034.00</w:t>
            </w:r>
          </w:p>
        </w:tc>
        <w:tc>
          <w:tcPr>
            <w:tcW w:w="1409"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325"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$2034.00</w:t>
            </w:r>
          </w:p>
        </w:tc>
      </w:tr>
      <w:tr w:rsidR="00234376" w:rsidRPr="00537C3C">
        <w:trPr>
          <w:trHeight w:val="284"/>
        </w:trPr>
        <w:tc>
          <w:tcPr>
            <w:tcW w:w="2697" w:type="dxa"/>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Total</w:t>
            </w:r>
          </w:p>
        </w:tc>
        <w:tc>
          <w:tcPr>
            <w:tcW w:w="1676" w:type="dxa"/>
            <w:noWrap/>
          </w:tcPr>
          <w:p w:rsidR="00234376" w:rsidRPr="00537C3C" w:rsidRDefault="00234376" w:rsidP="008E03A7">
            <w:pPr>
              <w:spacing w:after="0"/>
              <w:ind w:left="0"/>
              <w:rPr>
                <w:rFonts w:ascii="Arial Narrow" w:eastAsia="Arial Unicode MS" w:hAnsi="Arial Narrow" w:cs="Arial Unicode MS"/>
                <w:b/>
                <w:bCs/>
                <w:sz w:val="18"/>
                <w:szCs w:val="18"/>
              </w:rPr>
            </w:pPr>
          </w:p>
        </w:tc>
        <w:tc>
          <w:tcPr>
            <w:tcW w:w="1253" w:type="dxa"/>
            <w:noWrap/>
          </w:tcPr>
          <w:p w:rsidR="00234376" w:rsidRPr="00537C3C" w:rsidRDefault="00234376" w:rsidP="008E03A7">
            <w:pPr>
              <w:tabs>
                <w:tab w:val="decimal" w:pos="708"/>
              </w:tabs>
              <w:spacing w:after="0"/>
              <w:ind w:left="0"/>
              <w:rPr>
                <w:rFonts w:ascii="Arial Narrow" w:eastAsia="Arial Unicode MS" w:hAnsi="Arial Narrow" w:cs="Arial Unicode MS"/>
                <w:b/>
                <w:bCs/>
                <w:sz w:val="18"/>
                <w:szCs w:val="18"/>
              </w:rPr>
            </w:pPr>
          </w:p>
        </w:tc>
        <w:tc>
          <w:tcPr>
            <w:tcW w:w="1409" w:type="dxa"/>
            <w:noWrap/>
          </w:tcPr>
          <w:p w:rsidR="00234376" w:rsidRPr="00537C3C" w:rsidRDefault="00234376" w:rsidP="008E03A7">
            <w:pPr>
              <w:tabs>
                <w:tab w:val="decimal" w:pos="708"/>
              </w:tabs>
              <w:spacing w:after="0"/>
              <w:ind w:left="0"/>
              <w:rPr>
                <w:rFonts w:ascii="Arial Narrow" w:eastAsia="Arial Unicode MS" w:hAnsi="Arial Narrow" w:cs="Arial Unicode MS"/>
                <w:b/>
                <w:bCs/>
                <w:sz w:val="18"/>
                <w:szCs w:val="18"/>
              </w:rPr>
            </w:pPr>
          </w:p>
        </w:tc>
        <w:tc>
          <w:tcPr>
            <w:tcW w:w="1325" w:type="dxa"/>
            <w:noWrap/>
          </w:tcPr>
          <w:p w:rsidR="00234376" w:rsidRPr="00537C3C" w:rsidRDefault="00234376" w:rsidP="008E03A7">
            <w:pPr>
              <w:tabs>
                <w:tab w:val="decimal" w:pos="708"/>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$2111.25</w:t>
            </w:r>
          </w:p>
        </w:tc>
      </w:tr>
      <w:tr w:rsidR="00234376" w:rsidRPr="00537C3C">
        <w:trPr>
          <w:trHeight w:val="284"/>
        </w:trPr>
        <w:tc>
          <w:tcPr>
            <w:tcW w:w="5626" w:type="dxa"/>
            <w:gridSpan w:val="3"/>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 xml:space="preserve">Cost of simple hysterectomy (assume as for hysterectomy </w:t>
            </w:r>
            <w:r w:rsidRPr="00537C3C" w:rsidDel="00537C3C">
              <w:rPr>
                <w:rFonts w:ascii="Arial Narrow" w:eastAsia="Arial Unicode MS" w:hAnsi="Arial Narrow" w:cs="Arial Unicode MS"/>
                <w:b/>
                <w:bCs/>
                <w:sz w:val="18"/>
                <w:szCs w:val="18"/>
              </w:rPr>
              <w:t>–</w:t>
            </w:r>
            <w:r w:rsidRPr="00537C3C">
              <w:rPr>
                <w:rFonts w:ascii="Arial Narrow" w:eastAsia="Arial Unicode MS" w:hAnsi="Arial Narrow" w:cs="Arial Unicode MS"/>
                <w:b/>
                <w:bCs/>
                <w:sz w:val="18"/>
                <w:szCs w:val="18"/>
              </w:rPr>
              <w:t>CC)</w:t>
            </w:r>
          </w:p>
        </w:tc>
        <w:tc>
          <w:tcPr>
            <w:tcW w:w="1409" w:type="dxa"/>
          </w:tcPr>
          <w:p w:rsidR="00234376" w:rsidRPr="00537C3C" w:rsidRDefault="00234376" w:rsidP="008E03A7">
            <w:pPr>
              <w:spacing w:after="0"/>
              <w:ind w:left="0"/>
              <w:rPr>
                <w:rFonts w:ascii="Arial Narrow" w:eastAsia="Arial Unicode MS" w:hAnsi="Arial Narrow" w:cs="Arial Unicode MS"/>
                <w:sz w:val="18"/>
                <w:szCs w:val="18"/>
              </w:rPr>
            </w:pPr>
          </w:p>
        </w:tc>
        <w:tc>
          <w:tcPr>
            <w:tcW w:w="1325" w:type="dxa"/>
            <w:noWrap/>
          </w:tcPr>
          <w:p w:rsidR="00234376" w:rsidRPr="00537C3C" w:rsidRDefault="00234376" w:rsidP="008E03A7">
            <w:pPr>
              <w:spacing w:after="0"/>
              <w:ind w:left="0"/>
              <w:rPr>
                <w:rFonts w:ascii="Arial Narrow" w:eastAsia="Arial Unicode MS" w:hAnsi="Arial Narrow" w:cs="Arial Unicode MS"/>
                <w:sz w:val="18"/>
                <w:szCs w:val="18"/>
              </w:rPr>
            </w:pPr>
          </w:p>
        </w:tc>
      </w:tr>
      <w:tr w:rsidR="00234376" w:rsidRPr="00537C3C">
        <w:trPr>
          <w:trHeight w:val="284"/>
        </w:trPr>
        <w:tc>
          <w:tcPr>
            <w:tcW w:w="2697"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Specialist consult</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104</w:t>
            </w:r>
          </w:p>
        </w:tc>
        <w:tc>
          <w:tcPr>
            <w:tcW w:w="1253" w:type="dxa"/>
            <w:noWrap/>
          </w:tcPr>
          <w:p w:rsidR="00234376" w:rsidRPr="00537C3C" w:rsidRDefault="00234376" w:rsidP="008E03A7">
            <w:pPr>
              <w:tabs>
                <w:tab w:val="decimal" w:pos="716"/>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c>
          <w:tcPr>
            <w:tcW w:w="1409" w:type="dxa"/>
            <w:noWrap/>
          </w:tcPr>
          <w:p w:rsidR="00234376" w:rsidRPr="00537C3C" w:rsidRDefault="00234376" w:rsidP="008E03A7">
            <w:pPr>
              <w:tabs>
                <w:tab w:val="decimal" w:pos="716"/>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325" w:type="dxa"/>
            <w:noWrap/>
          </w:tcPr>
          <w:p w:rsidR="00234376" w:rsidRPr="00537C3C" w:rsidRDefault="00234376" w:rsidP="008E03A7">
            <w:pPr>
              <w:tabs>
                <w:tab w:val="decimal" w:pos="716"/>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r>
      <w:tr w:rsidR="00234376" w:rsidRPr="00537C3C">
        <w:trPr>
          <w:trHeight w:val="284"/>
        </w:trPr>
        <w:tc>
          <w:tcPr>
            <w:tcW w:w="2697" w:type="dxa"/>
          </w:tcPr>
          <w:p w:rsidR="00234376" w:rsidRPr="00537C3C" w:rsidRDefault="00234376" w:rsidP="00041544">
            <w:pPr>
              <w:spacing w:after="0"/>
              <w:ind w:left="176" w:firstLineChars="2" w:firstLine="4"/>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Uterine, adnexa procedure for non-ovaria</w:t>
            </w:r>
            <w:r w:rsidRPr="00A316F5">
              <w:rPr>
                <w:rFonts w:ascii="Arial Narrow" w:eastAsia="Arial Unicode MS" w:hAnsi="Arial Narrow" w:cs="Arial Unicode MS"/>
                <w:sz w:val="18"/>
                <w:szCs w:val="18"/>
              </w:rPr>
              <w:t>n/</w:t>
            </w:r>
            <w:r w:rsidRPr="00537C3C">
              <w:rPr>
                <w:rFonts w:ascii="Arial Narrow" w:eastAsia="Arial Unicode MS" w:hAnsi="Arial Narrow" w:cs="Arial Unicode MS"/>
                <w:sz w:val="18"/>
                <w:szCs w:val="18"/>
              </w:rPr>
              <w:t>adnexal malignancy –CC</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DRG </w:t>
            </w:r>
            <w:bookmarkStart w:id="653" w:name="OLE_LINK250"/>
            <w:bookmarkStart w:id="654" w:name="OLE_LINK251"/>
            <w:r w:rsidRPr="00537C3C">
              <w:rPr>
                <w:rFonts w:ascii="Arial Narrow" w:eastAsia="Arial Unicode MS" w:hAnsi="Arial Narrow" w:cs="Arial Unicode MS"/>
                <w:sz w:val="18"/>
                <w:szCs w:val="18"/>
              </w:rPr>
              <w:t>N03B</w:t>
            </w:r>
            <w:bookmarkEnd w:id="653"/>
            <w:bookmarkEnd w:id="654"/>
          </w:p>
        </w:tc>
        <w:tc>
          <w:tcPr>
            <w:tcW w:w="1253" w:type="dxa"/>
            <w:noWrap/>
          </w:tcPr>
          <w:p w:rsidR="00234376" w:rsidRPr="00537C3C" w:rsidRDefault="00234376" w:rsidP="008E03A7">
            <w:pPr>
              <w:tabs>
                <w:tab w:val="decimal" w:pos="716"/>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$6538.00</w:t>
            </w:r>
          </w:p>
        </w:tc>
        <w:tc>
          <w:tcPr>
            <w:tcW w:w="1409" w:type="dxa"/>
            <w:noWrap/>
          </w:tcPr>
          <w:p w:rsidR="00234376" w:rsidRPr="00537C3C" w:rsidRDefault="00234376" w:rsidP="008E03A7">
            <w:pPr>
              <w:tabs>
                <w:tab w:val="decimal" w:pos="716"/>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w:t>
            </w:r>
          </w:p>
        </w:tc>
        <w:tc>
          <w:tcPr>
            <w:tcW w:w="1325" w:type="dxa"/>
            <w:noWrap/>
          </w:tcPr>
          <w:p w:rsidR="00234376" w:rsidRPr="00537C3C" w:rsidRDefault="00234376" w:rsidP="008E03A7">
            <w:pPr>
              <w:tabs>
                <w:tab w:val="decimal" w:pos="716"/>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$6538.00</w:t>
            </w:r>
          </w:p>
        </w:tc>
      </w:tr>
      <w:tr w:rsidR="00234376" w:rsidRPr="00537C3C">
        <w:trPr>
          <w:trHeight w:val="284"/>
        </w:trPr>
        <w:tc>
          <w:tcPr>
            <w:tcW w:w="2697" w:type="dxa"/>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Total</w:t>
            </w:r>
          </w:p>
        </w:tc>
        <w:tc>
          <w:tcPr>
            <w:tcW w:w="1676" w:type="dxa"/>
            <w:noWrap/>
          </w:tcPr>
          <w:p w:rsidR="00234376" w:rsidRPr="00537C3C" w:rsidRDefault="00234376" w:rsidP="008E03A7">
            <w:pPr>
              <w:spacing w:after="0"/>
              <w:ind w:left="0"/>
              <w:rPr>
                <w:rFonts w:ascii="Arial Narrow" w:eastAsia="Arial Unicode MS" w:hAnsi="Arial Narrow" w:cs="Arial Unicode MS"/>
                <w:b/>
                <w:bCs/>
                <w:sz w:val="18"/>
                <w:szCs w:val="18"/>
              </w:rPr>
            </w:pPr>
          </w:p>
        </w:tc>
        <w:tc>
          <w:tcPr>
            <w:tcW w:w="1253" w:type="dxa"/>
            <w:noWrap/>
          </w:tcPr>
          <w:p w:rsidR="00234376" w:rsidRPr="00537C3C" w:rsidRDefault="00234376" w:rsidP="008E03A7">
            <w:pPr>
              <w:tabs>
                <w:tab w:val="decimal" w:pos="716"/>
              </w:tabs>
              <w:spacing w:after="0"/>
              <w:ind w:left="0"/>
              <w:rPr>
                <w:rFonts w:ascii="Arial Narrow" w:eastAsia="Arial Unicode MS" w:hAnsi="Arial Narrow" w:cs="Arial Unicode MS"/>
                <w:b/>
                <w:bCs/>
                <w:sz w:val="18"/>
                <w:szCs w:val="18"/>
              </w:rPr>
            </w:pPr>
          </w:p>
        </w:tc>
        <w:tc>
          <w:tcPr>
            <w:tcW w:w="1409" w:type="dxa"/>
            <w:noWrap/>
          </w:tcPr>
          <w:p w:rsidR="00234376" w:rsidRPr="00537C3C" w:rsidRDefault="00234376" w:rsidP="008E03A7">
            <w:pPr>
              <w:tabs>
                <w:tab w:val="decimal" w:pos="716"/>
              </w:tabs>
              <w:spacing w:after="0"/>
              <w:ind w:left="0"/>
              <w:rPr>
                <w:rFonts w:ascii="Arial Narrow" w:eastAsia="Arial Unicode MS" w:hAnsi="Arial Narrow" w:cs="Arial Unicode MS"/>
                <w:b/>
                <w:bCs/>
                <w:sz w:val="18"/>
                <w:szCs w:val="18"/>
              </w:rPr>
            </w:pPr>
          </w:p>
        </w:tc>
        <w:tc>
          <w:tcPr>
            <w:tcW w:w="1325" w:type="dxa"/>
            <w:noWrap/>
          </w:tcPr>
          <w:p w:rsidR="00234376" w:rsidRPr="00537C3C" w:rsidRDefault="00234376" w:rsidP="008E03A7">
            <w:pPr>
              <w:tabs>
                <w:tab w:val="decimal" w:pos="716"/>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$6615.25</w:t>
            </w:r>
          </w:p>
        </w:tc>
      </w:tr>
      <w:tr w:rsidR="00234376" w:rsidRPr="00537C3C">
        <w:trPr>
          <w:trHeight w:val="284"/>
        </w:trPr>
        <w:tc>
          <w:tcPr>
            <w:tcW w:w="7035" w:type="dxa"/>
            <w:gridSpan w:val="4"/>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Cost of radical hysterectomy including nodes (assume as for hysterectomy +CC)</w:t>
            </w:r>
          </w:p>
        </w:tc>
        <w:tc>
          <w:tcPr>
            <w:tcW w:w="1325" w:type="dxa"/>
            <w:noWrap/>
          </w:tcPr>
          <w:p w:rsidR="00234376" w:rsidRPr="00537C3C" w:rsidRDefault="00234376" w:rsidP="008E03A7">
            <w:pPr>
              <w:spacing w:after="0"/>
              <w:ind w:left="0"/>
              <w:rPr>
                <w:rFonts w:ascii="Arial Narrow" w:eastAsia="Arial Unicode MS" w:hAnsi="Arial Narrow" w:cs="Arial Unicode MS"/>
                <w:sz w:val="18"/>
                <w:szCs w:val="18"/>
              </w:rPr>
            </w:pPr>
          </w:p>
        </w:tc>
      </w:tr>
      <w:tr w:rsidR="00234376" w:rsidRPr="00537C3C">
        <w:trPr>
          <w:trHeight w:val="284"/>
        </w:trPr>
        <w:tc>
          <w:tcPr>
            <w:tcW w:w="2697"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Specialist consult</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104</w:t>
            </w:r>
          </w:p>
        </w:tc>
        <w:tc>
          <w:tcPr>
            <w:tcW w:w="1253"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c>
          <w:tcPr>
            <w:tcW w:w="1409"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325"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r>
      <w:tr w:rsidR="00234376" w:rsidRPr="00537C3C">
        <w:trPr>
          <w:trHeight w:val="284"/>
        </w:trPr>
        <w:tc>
          <w:tcPr>
            <w:tcW w:w="2697" w:type="dxa"/>
          </w:tcPr>
          <w:p w:rsidR="00234376" w:rsidRPr="00537C3C" w:rsidRDefault="00234376" w:rsidP="00041544">
            <w:pPr>
              <w:spacing w:after="0"/>
              <w:ind w:left="176" w:firstLineChars="2" w:firstLine="4"/>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Uterine, adnexa procedure for non-ovaria</w:t>
            </w:r>
            <w:r w:rsidRPr="00A316F5">
              <w:rPr>
                <w:rFonts w:ascii="Arial Narrow" w:eastAsia="Arial Unicode MS" w:hAnsi="Arial Narrow" w:cs="Arial Unicode MS"/>
                <w:sz w:val="18"/>
                <w:szCs w:val="18"/>
              </w:rPr>
              <w:t>n/</w:t>
            </w:r>
            <w:r w:rsidRPr="00537C3C">
              <w:rPr>
                <w:rFonts w:ascii="Arial Narrow" w:eastAsia="Arial Unicode MS" w:hAnsi="Arial Narrow" w:cs="Arial Unicode MS"/>
                <w:sz w:val="18"/>
                <w:szCs w:val="18"/>
              </w:rPr>
              <w:t>adnexal malignancy +CC</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DRG N03A</w:t>
            </w:r>
          </w:p>
        </w:tc>
        <w:tc>
          <w:tcPr>
            <w:tcW w:w="1253"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$12793.00</w:t>
            </w:r>
          </w:p>
        </w:tc>
        <w:tc>
          <w:tcPr>
            <w:tcW w:w="1409"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w:t>
            </w:r>
          </w:p>
        </w:tc>
        <w:tc>
          <w:tcPr>
            <w:tcW w:w="1325"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$12793.00</w:t>
            </w:r>
          </w:p>
        </w:tc>
      </w:tr>
      <w:tr w:rsidR="00234376" w:rsidRPr="00537C3C">
        <w:trPr>
          <w:trHeight w:val="284"/>
        </w:trPr>
        <w:tc>
          <w:tcPr>
            <w:tcW w:w="2697" w:type="dxa"/>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Total</w:t>
            </w:r>
          </w:p>
        </w:tc>
        <w:tc>
          <w:tcPr>
            <w:tcW w:w="1676" w:type="dxa"/>
            <w:noWrap/>
          </w:tcPr>
          <w:p w:rsidR="00234376" w:rsidRPr="00537C3C" w:rsidRDefault="00234376" w:rsidP="008E03A7">
            <w:pPr>
              <w:spacing w:after="0"/>
              <w:ind w:left="0"/>
              <w:rPr>
                <w:rFonts w:ascii="Arial Narrow" w:eastAsia="Arial Unicode MS" w:hAnsi="Arial Narrow" w:cs="Arial Unicode MS"/>
                <w:b/>
                <w:bCs/>
                <w:sz w:val="18"/>
                <w:szCs w:val="18"/>
              </w:rPr>
            </w:pPr>
          </w:p>
        </w:tc>
        <w:tc>
          <w:tcPr>
            <w:tcW w:w="1253" w:type="dxa"/>
            <w:noWrap/>
          </w:tcPr>
          <w:p w:rsidR="00234376" w:rsidRPr="00537C3C" w:rsidRDefault="00234376" w:rsidP="008E03A7">
            <w:pPr>
              <w:tabs>
                <w:tab w:val="decimal" w:pos="728"/>
              </w:tabs>
              <w:spacing w:after="0"/>
              <w:ind w:left="0"/>
              <w:rPr>
                <w:rFonts w:ascii="Arial Narrow" w:eastAsia="Arial Unicode MS" w:hAnsi="Arial Narrow" w:cs="Arial Unicode MS"/>
                <w:b/>
                <w:bCs/>
                <w:sz w:val="18"/>
                <w:szCs w:val="18"/>
              </w:rPr>
            </w:pPr>
          </w:p>
        </w:tc>
        <w:tc>
          <w:tcPr>
            <w:tcW w:w="1409" w:type="dxa"/>
            <w:noWrap/>
          </w:tcPr>
          <w:p w:rsidR="00234376" w:rsidRPr="00537C3C" w:rsidRDefault="00234376" w:rsidP="008E03A7">
            <w:pPr>
              <w:tabs>
                <w:tab w:val="decimal" w:pos="728"/>
              </w:tabs>
              <w:spacing w:after="0"/>
              <w:ind w:left="0"/>
              <w:rPr>
                <w:rFonts w:ascii="Arial Narrow" w:eastAsia="Arial Unicode MS" w:hAnsi="Arial Narrow" w:cs="Arial Unicode MS"/>
                <w:b/>
                <w:bCs/>
                <w:sz w:val="18"/>
                <w:szCs w:val="18"/>
              </w:rPr>
            </w:pPr>
          </w:p>
        </w:tc>
        <w:tc>
          <w:tcPr>
            <w:tcW w:w="1325" w:type="dxa"/>
            <w:noWrap/>
          </w:tcPr>
          <w:p w:rsidR="00234376" w:rsidRPr="00537C3C" w:rsidRDefault="00234376" w:rsidP="008E03A7">
            <w:pPr>
              <w:tabs>
                <w:tab w:val="decimal" w:pos="728"/>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$12870.25</w:t>
            </w:r>
          </w:p>
        </w:tc>
      </w:tr>
      <w:tr w:rsidR="00234376" w:rsidRPr="00537C3C">
        <w:trPr>
          <w:trHeight w:val="284"/>
        </w:trPr>
        <w:tc>
          <w:tcPr>
            <w:tcW w:w="2697" w:type="dxa"/>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Cost of exenteration</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p>
        </w:tc>
        <w:tc>
          <w:tcPr>
            <w:tcW w:w="1253"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p>
        </w:tc>
        <w:tc>
          <w:tcPr>
            <w:tcW w:w="1409"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p>
        </w:tc>
        <w:tc>
          <w:tcPr>
            <w:tcW w:w="1325"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p>
        </w:tc>
      </w:tr>
      <w:tr w:rsidR="00234376" w:rsidRPr="00537C3C">
        <w:trPr>
          <w:trHeight w:val="284"/>
        </w:trPr>
        <w:tc>
          <w:tcPr>
            <w:tcW w:w="2697"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Specialist consult</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104</w:t>
            </w:r>
          </w:p>
        </w:tc>
        <w:tc>
          <w:tcPr>
            <w:tcW w:w="1253"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c>
          <w:tcPr>
            <w:tcW w:w="1409"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325"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r>
      <w:tr w:rsidR="00234376" w:rsidRPr="00537C3C">
        <w:trPr>
          <w:trHeight w:val="284"/>
        </w:trPr>
        <w:tc>
          <w:tcPr>
            <w:tcW w:w="2697" w:type="dxa"/>
          </w:tcPr>
          <w:p w:rsidR="00234376" w:rsidRPr="00537C3C" w:rsidRDefault="00234376" w:rsidP="00041544">
            <w:pPr>
              <w:spacing w:after="0"/>
              <w:ind w:left="176" w:firstLineChars="2" w:firstLine="4"/>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Pelvic evisceration &amp; radical vulvectomy</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DRG </w:t>
            </w:r>
            <w:bookmarkStart w:id="655" w:name="OLE_LINK252"/>
            <w:bookmarkStart w:id="656" w:name="OLE_LINK253"/>
            <w:r w:rsidRPr="00537C3C">
              <w:rPr>
                <w:rFonts w:ascii="Arial Narrow" w:eastAsia="Arial Unicode MS" w:hAnsi="Arial Narrow" w:cs="Arial Unicode MS"/>
                <w:sz w:val="18"/>
                <w:szCs w:val="18"/>
              </w:rPr>
              <w:t>N01Z</w:t>
            </w:r>
            <w:bookmarkEnd w:id="655"/>
            <w:bookmarkEnd w:id="656"/>
          </w:p>
        </w:tc>
        <w:tc>
          <w:tcPr>
            <w:tcW w:w="1253"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$18079.00</w:t>
            </w:r>
          </w:p>
        </w:tc>
        <w:tc>
          <w:tcPr>
            <w:tcW w:w="1409"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w:t>
            </w:r>
          </w:p>
        </w:tc>
        <w:tc>
          <w:tcPr>
            <w:tcW w:w="1325" w:type="dxa"/>
            <w:noWrap/>
          </w:tcPr>
          <w:p w:rsidR="00234376" w:rsidRPr="00537C3C" w:rsidRDefault="00234376" w:rsidP="008E03A7">
            <w:pPr>
              <w:tabs>
                <w:tab w:val="decimal" w:pos="72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$18079.00</w:t>
            </w:r>
          </w:p>
        </w:tc>
      </w:tr>
      <w:tr w:rsidR="00234376" w:rsidRPr="00537C3C">
        <w:trPr>
          <w:trHeight w:val="284"/>
        </w:trPr>
        <w:tc>
          <w:tcPr>
            <w:tcW w:w="2697" w:type="dxa"/>
            <w:tcBorders>
              <w:bottom w:val="single" w:sz="4" w:space="0" w:color="auto"/>
            </w:tcBorders>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Total</w:t>
            </w:r>
          </w:p>
        </w:tc>
        <w:tc>
          <w:tcPr>
            <w:tcW w:w="1676" w:type="dxa"/>
            <w:tcBorders>
              <w:bottom w:val="single" w:sz="4" w:space="0" w:color="auto"/>
            </w:tcBorders>
            <w:noWrap/>
          </w:tcPr>
          <w:p w:rsidR="00234376" w:rsidRPr="00537C3C" w:rsidRDefault="00234376" w:rsidP="008E03A7">
            <w:pPr>
              <w:spacing w:after="0"/>
              <w:ind w:left="0"/>
              <w:rPr>
                <w:rFonts w:ascii="Arial Narrow" w:eastAsia="Arial Unicode MS" w:hAnsi="Arial Narrow" w:cs="Arial Unicode MS"/>
                <w:b/>
                <w:bCs/>
                <w:sz w:val="18"/>
                <w:szCs w:val="18"/>
              </w:rPr>
            </w:pPr>
          </w:p>
        </w:tc>
        <w:tc>
          <w:tcPr>
            <w:tcW w:w="1253" w:type="dxa"/>
            <w:tcBorders>
              <w:bottom w:val="single" w:sz="4" w:space="0" w:color="auto"/>
            </w:tcBorders>
            <w:noWrap/>
          </w:tcPr>
          <w:p w:rsidR="00234376" w:rsidRPr="00537C3C" w:rsidRDefault="00234376" w:rsidP="008E03A7">
            <w:pPr>
              <w:tabs>
                <w:tab w:val="decimal" w:pos="728"/>
              </w:tabs>
              <w:spacing w:after="0"/>
              <w:ind w:left="0"/>
              <w:rPr>
                <w:rFonts w:ascii="Arial Narrow" w:eastAsia="Arial Unicode MS" w:hAnsi="Arial Narrow" w:cs="Arial Unicode MS"/>
                <w:b/>
                <w:bCs/>
                <w:sz w:val="18"/>
                <w:szCs w:val="18"/>
              </w:rPr>
            </w:pPr>
          </w:p>
        </w:tc>
        <w:tc>
          <w:tcPr>
            <w:tcW w:w="1409" w:type="dxa"/>
            <w:tcBorders>
              <w:bottom w:val="single" w:sz="4" w:space="0" w:color="auto"/>
            </w:tcBorders>
            <w:noWrap/>
          </w:tcPr>
          <w:p w:rsidR="00234376" w:rsidRPr="00537C3C" w:rsidRDefault="00234376" w:rsidP="008E03A7">
            <w:pPr>
              <w:tabs>
                <w:tab w:val="decimal" w:pos="728"/>
              </w:tabs>
              <w:spacing w:after="0"/>
              <w:ind w:left="0"/>
              <w:rPr>
                <w:rFonts w:ascii="Arial Narrow" w:eastAsia="Arial Unicode MS" w:hAnsi="Arial Narrow" w:cs="Arial Unicode MS"/>
                <w:b/>
                <w:bCs/>
                <w:sz w:val="18"/>
                <w:szCs w:val="18"/>
              </w:rPr>
            </w:pPr>
          </w:p>
        </w:tc>
        <w:tc>
          <w:tcPr>
            <w:tcW w:w="1325" w:type="dxa"/>
            <w:tcBorders>
              <w:bottom w:val="single" w:sz="4" w:space="0" w:color="auto"/>
            </w:tcBorders>
            <w:noWrap/>
          </w:tcPr>
          <w:p w:rsidR="00234376" w:rsidRPr="00537C3C" w:rsidRDefault="00234376" w:rsidP="008E03A7">
            <w:pPr>
              <w:tabs>
                <w:tab w:val="decimal" w:pos="728"/>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$18156.25</w:t>
            </w:r>
          </w:p>
        </w:tc>
      </w:tr>
    </w:tbl>
    <w:p w:rsidR="00234376" w:rsidRDefault="00234376" w:rsidP="00234376">
      <w:pPr>
        <w:pStyle w:val="TableNotes"/>
        <w:rPr>
          <w:rFonts w:cs="Arial"/>
        </w:rPr>
      </w:pPr>
      <w:bookmarkStart w:id="657" w:name="OLE_LINK605"/>
      <w:bookmarkStart w:id="658" w:name="OLE_LINK606"/>
      <w:r w:rsidRPr="00537C3C">
        <w:rPr>
          <w:rFonts w:cs="Arial"/>
        </w:rPr>
        <w:t xml:space="preserve">DRG = </w:t>
      </w:r>
      <w:r w:rsidRPr="006C24DD">
        <w:rPr>
          <w:rFonts w:cs="Arial"/>
        </w:rPr>
        <w:t>diagnosis-related group.</w:t>
      </w:r>
    </w:p>
    <w:bookmarkEnd w:id="657"/>
    <w:bookmarkEnd w:id="658"/>
    <w:p w:rsidR="00234376" w:rsidRPr="00537C3C" w:rsidRDefault="00234376" w:rsidP="008E03A7">
      <w:pPr>
        <w:pStyle w:val="Heading6"/>
      </w:pPr>
      <w:r w:rsidRPr="00537C3C">
        <w:t>Cost of non-surgical management</w:t>
      </w:r>
    </w:p>
    <w:p w:rsidR="00234376" w:rsidRDefault="00234376" w:rsidP="00234376">
      <w:pPr>
        <w:rPr>
          <w:rFonts w:cs="Arial"/>
        </w:rPr>
      </w:pPr>
      <w:r w:rsidRPr="00537C3C">
        <w:rPr>
          <w:rFonts w:cs="Arial"/>
        </w:rPr>
        <w:t xml:space="preserve">Non-surgical management options include primary radiotherapy, adjuvant radiotherapy and chemo-radiotherapy. </w:t>
      </w:r>
      <w:r w:rsidRPr="00537C3C" w:rsidDel="00110B9C">
        <w:rPr>
          <w:rFonts w:cs="Arial"/>
        </w:rPr>
        <w:t>We</w:t>
      </w:r>
      <w:r w:rsidRPr="00537C3C">
        <w:rPr>
          <w:rFonts w:cs="Arial"/>
        </w:rPr>
        <w:t xml:space="preserve"> have assumed that adjuvant radiotherapy has the same cost as primary radiotherapy.</w:t>
      </w:r>
    </w:p>
    <w:p w:rsidR="00234376" w:rsidRPr="00537C3C" w:rsidRDefault="00234376" w:rsidP="008E03A7">
      <w:pPr>
        <w:pStyle w:val="TableNamea"/>
        <w:keepLines/>
        <w:ind w:left="1644"/>
      </w:pPr>
      <w:bookmarkStart w:id="659" w:name="_Ref209517167"/>
      <w:bookmarkStart w:id="660" w:name="_Toc95971282"/>
      <w:r w:rsidRPr="00537C3C">
        <w:t xml:space="preserve">Table </w:t>
      </w:r>
      <w:fldSimple w:instr=" SEQ Table \* ARABIC ">
        <w:r w:rsidR="007D3DFF">
          <w:rPr>
            <w:noProof/>
          </w:rPr>
          <w:t>46</w:t>
        </w:r>
      </w:fldSimple>
      <w:bookmarkEnd w:id="659"/>
      <w:r w:rsidRPr="00537C3C">
        <w:tab/>
        <w:t>Cost of non-surgical managements.</w:t>
      </w:r>
      <w:bookmarkEnd w:id="660"/>
    </w:p>
    <w:tbl>
      <w:tblPr>
        <w:tblW w:w="9055" w:type="dxa"/>
        <w:tblInd w:w="698" w:type="dxa"/>
        <w:tblLook w:val="0000" w:firstRow="0" w:lastRow="0" w:firstColumn="0" w:lastColumn="0" w:noHBand="0" w:noVBand="0"/>
      </w:tblPr>
      <w:tblGrid>
        <w:gridCol w:w="3291"/>
        <w:gridCol w:w="1676"/>
        <w:gridCol w:w="1496"/>
        <w:gridCol w:w="1308"/>
        <w:gridCol w:w="1284"/>
      </w:tblGrid>
      <w:tr w:rsidR="00234376" w:rsidRPr="00537C3C">
        <w:trPr>
          <w:trHeight w:val="300"/>
        </w:trPr>
        <w:tc>
          <w:tcPr>
            <w:tcW w:w="3291" w:type="dxa"/>
            <w:tcBorders>
              <w:top w:val="single" w:sz="4" w:space="0" w:color="auto"/>
              <w:bottom w:val="single" w:sz="4" w:space="0" w:color="auto"/>
            </w:tcBorders>
            <w:noWrap/>
          </w:tcPr>
          <w:p w:rsidR="00234376" w:rsidRPr="00537C3C" w:rsidRDefault="00234376" w:rsidP="008E03A7">
            <w:pPr>
              <w:spacing w:after="0"/>
              <w:ind w:left="0"/>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Components</w:t>
            </w:r>
          </w:p>
        </w:tc>
        <w:tc>
          <w:tcPr>
            <w:tcW w:w="1676" w:type="dxa"/>
            <w:tcBorders>
              <w:top w:val="single" w:sz="4" w:space="0" w:color="auto"/>
              <w:bottom w:val="single" w:sz="4" w:space="0" w:color="auto"/>
            </w:tcBorders>
            <w:noWrap/>
          </w:tcPr>
          <w:p w:rsidR="00234376" w:rsidRPr="00537C3C" w:rsidRDefault="00234376" w:rsidP="008E03A7">
            <w:pPr>
              <w:spacing w:after="0"/>
              <w:ind w:left="0"/>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DRG item</w:t>
            </w:r>
          </w:p>
        </w:tc>
        <w:tc>
          <w:tcPr>
            <w:tcW w:w="1496" w:type="dxa"/>
            <w:tcBorders>
              <w:top w:val="single" w:sz="4" w:space="0" w:color="auto"/>
              <w:bottom w:val="single" w:sz="4" w:space="0" w:color="auto"/>
            </w:tcBorders>
          </w:tcPr>
          <w:p w:rsidR="00234376" w:rsidRDefault="00234376" w:rsidP="00234376">
            <w:pPr>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Unit cost</w:t>
            </w:r>
          </w:p>
        </w:tc>
        <w:tc>
          <w:tcPr>
            <w:tcW w:w="1308" w:type="dxa"/>
            <w:tcBorders>
              <w:top w:val="single" w:sz="4" w:space="0" w:color="auto"/>
              <w:bottom w:val="single" w:sz="4" w:space="0" w:color="auto"/>
            </w:tcBorders>
          </w:tcPr>
          <w:p w:rsidR="00234376" w:rsidRDefault="00234376" w:rsidP="00234376">
            <w:pPr>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Units</w:t>
            </w:r>
          </w:p>
        </w:tc>
        <w:tc>
          <w:tcPr>
            <w:tcW w:w="1284" w:type="dxa"/>
            <w:tcBorders>
              <w:top w:val="single" w:sz="4" w:space="0" w:color="auto"/>
              <w:bottom w:val="single" w:sz="4" w:space="0" w:color="auto"/>
            </w:tcBorders>
            <w:noWrap/>
          </w:tcPr>
          <w:p w:rsidR="00234376" w:rsidRDefault="00234376" w:rsidP="00234376">
            <w:pPr>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Cost</w:t>
            </w:r>
          </w:p>
        </w:tc>
      </w:tr>
      <w:tr w:rsidR="00234376" w:rsidRPr="00537C3C">
        <w:trPr>
          <w:trHeight w:val="227"/>
        </w:trPr>
        <w:tc>
          <w:tcPr>
            <w:tcW w:w="3291"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Cost of radiation</w:t>
            </w:r>
          </w:p>
        </w:tc>
        <w:tc>
          <w:tcPr>
            <w:tcW w:w="1676"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c>
          <w:tcPr>
            <w:tcW w:w="1496"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c>
          <w:tcPr>
            <w:tcW w:w="1308"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c>
          <w:tcPr>
            <w:tcW w:w="1284"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r>
      <w:tr w:rsidR="00234376" w:rsidRPr="00537C3C">
        <w:trPr>
          <w:trHeight w:val="227"/>
        </w:trPr>
        <w:tc>
          <w:tcPr>
            <w:tcW w:w="3291"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Specialist consult</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104</w:t>
            </w:r>
          </w:p>
        </w:tc>
        <w:tc>
          <w:tcPr>
            <w:tcW w:w="1496"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c>
          <w:tcPr>
            <w:tcW w:w="1308" w:type="dxa"/>
            <w:noWrap/>
          </w:tcPr>
          <w:p w:rsidR="00234376" w:rsidRPr="00537C3C" w:rsidRDefault="00234376" w:rsidP="008E03A7">
            <w:pPr>
              <w:tabs>
                <w:tab w:val="decimal" w:pos="63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284" w:type="dxa"/>
            <w:noWrap/>
          </w:tcPr>
          <w:p w:rsidR="00234376" w:rsidRPr="00537C3C" w:rsidRDefault="00234376" w:rsidP="008E03A7">
            <w:pPr>
              <w:tabs>
                <w:tab w:val="decimal" w:pos="374"/>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r>
      <w:tr w:rsidR="00234376" w:rsidRPr="00537C3C">
        <w:trPr>
          <w:trHeight w:val="227"/>
        </w:trPr>
        <w:tc>
          <w:tcPr>
            <w:tcW w:w="3291"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Inpatient radiation</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DRG </w:t>
            </w:r>
            <w:bookmarkStart w:id="661" w:name="OLE_LINK254"/>
            <w:bookmarkStart w:id="662" w:name="OLE_LINK255"/>
            <w:r w:rsidRPr="00537C3C">
              <w:rPr>
                <w:rFonts w:ascii="Arial Narrow" w:eastAsia="Arial Unicode MS" w:hAnsi="Arial Narrow" w:cs="Arial Unicode MS"/>
                <w:sz w:val="18"/>
                <w:szCs w:val="18"/>
              </w:rPr>
              <w:t>R64Z</w:t>
            </w:r>
            <w:bookmarkEnd w:id="661"/>
            <w:bookmarkEnd w:id="662"/>
          </w:p>
        </w:tc>
        <w:tc>
          <w:tcPr>
            <w:tcW w:w="1496"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$740.00</w:t>
            </w:r>
          </w:p>
        </w:tc>
        <w:tc>
          <w:tcPr>
            <w:tcW w:w="1308" w:type="dxa"/>
            <w:noWrap/>
          </w:tcPr>
          <w:p w:rsidR="00234376" w:rsidRPr="00537C3C" w:rsidRDefault="00234376" w:rsidP="008E03A7">
            <w:pPr>
              <w:tabs>
                <w:tab w:val="decimal" w:pos="63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w:t>
            </w:r>
          </w:p>
        </w:tc>
        <w:tc>
          <w:tcPr>
            <w:tcW w:w="1284" w:type="dxa"/>
            <w:noWrap/>
          </w:tcPr>
          <w:p w:rsidR="00234376" w:rsidRPr="00537C3C" w:rsidRDefault="00234376" w:rsidP="008E03A7">
            <w:pPr>
              <w:tabs>
                <w:tab w:val="decimal" w:pos="374"/>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$1480.00</w:t>
            </w:r>
          </w:p>
        </w:tc>
      </w:tr>
      <w:tr w:rsidR="00234376" w:rsidRPr="00537C3C">
        <w:trPr>
          <w:trHeight w:val="227"/>
        </w:trPr>
        <w:tc>
          <w:tcPr>
            <w:tcW w:w="3291"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Outpatient radiation </w:t>
            </w:r>
            <w:r w:rsidRPr="00234376">
              <w:rPr>
                <w:rFonts w:ascii="Arial Narrow" w:eastAsia="Arial Unicode MS" w:hAnsi="Arial Narrow" w:cs="Arial Unicode MS"/>
                <w:sz w:val="18"/>
                <w:szCs w:val="18"/>
                <w:vertAlign w:val="superscript"/>
              </w:rPr>
              <w:t>a</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DRG R64Z</w:t>
            </w:r>
          </w:p>
        </w:tc>
        <w:tc>
          <w:tcPr>
            <w:tcW w:w="1496" w:type="dxa"/>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$370.00</w:t>
            </w:r>
          </w:p>
        </w:tc>
        <w:tc>
          <w:tcPr>
            <w:tcW w:w="1308" w:type="dxa"/>
            <w:noWrap/>
          </w:tcPr>
          <w:p w:rsidR="00234376" w:rsidRPr="00537C3C" w:rsidRDefault="00234376" w:rsidP="008E03A7">
            <w:pPr>
              <w:tabs>
                <w:tab w:val="decimal" w:pos="63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20</w:t>
            </w:r>
          </w:p>
        </w:tc>
        <w:tc>
          <w:tcPr>
            <w:tcW w:w="1284" w:type="dxa"/>
            <w:noWrap/>
          </w:tcPr>
          <w:p w:rsidR="00234376" w:rsidRPr="00537C3C" w:rsidRDefault="00234376" w:rsidP="008E03A7">
            <w:pPr>
              <w:tabs>
                <w:tab w:val="decimal" w:pos="374"/>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$7400.00</w:t>
            </w:r>
          </w:p>
        </w:tc>
      </w:tr>
      <w:tr w:rsidR="00234376" w:rsidRPr="00537C3C">
        <w:trPr>
          <w:trHeight w:val="227"/>
        </w:trPr>
        <w:tc>
          <w:tcPr>
            <w:tcW w:w="3291" w:type="dxa"/>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 xml:space="preserve">Total </w:t>
            </w:r>
          </w:p>
        </w:tc>
        <w:tc>
          <w:tcPr>
            <w:tcW w:w="1676" w:type="dxa"/>
            <w:noWrap/>
          </w:tcPr>
          <w:p w:rsidR="00234376" w:rsidRPr="00537C3C" w:rsidRDefault="00234376" w:rsidP="008E03A7">
            <w:pPr>
              <w:spacing w:after="0"/>
              <w:ind w:left="0"/>
              <w:rPr>
                <w:rFonts w:ascii="Arial Narrow" w:eastAsia="Arial Unicode MS" w:hAnsi="Arial Narrow" w:cs="Arial Unicode MS"/>
                <w:b/>
                <w:bCs/>
                <w:sz w:val="18"/>
                <w:szCs w:val="18"/>
              </w:rPr>
            </w:pPr>
          </w:p>
        </w:tc>
        <w:tc>
          <w:tcPr>
            <w:tcW w:w="1496" w:type="dxa"/>
            <w:noWrap/>
          </w:tcPr>
          <w:p w:rsidR="00234376" w:rsidRPr="00537C3C" w:rsidRDefault="00234376" w:rsidP="008E03A7">
            <w:pPr>
              <w:tabs>
                <w:tab w:val="decimal" w:pos="708"/>
              </w:tabs>
              <w:spacing w:after="0"/>
              <w:ind w:left="0"/>
              <w:rPr>
                <w:rFonts w:ascii="Arial Narrow" w:eastAsia="Arial Unicode MS" w:hAnsi="Arial Narrow" w:cs="Arial Unicode MS"/>
                <w:b/>
                <w:bCs/>
                <w:sz w:val="18"/>
                <w:szCs w:val="18"/>
              </w:rPr>
            </w:pPr>
          </w:p>
        </w:tc>
        <w:tc>
          <w:tcPr>
            <w:tcW w:w="1308" w:type="dxa"/>
            <w:noWrap/>
          </w:tcPr>
          <w:p w:rsidR="00234376" w:rsidRPr="00537C3C" w:rsidRDefault="00234376" w:rsidP="008E03A7">
            <w:pPr>
              <w:tabs>
                <w:tab w:val="decimal" w:pos="632"/>
              </w:tabs>
              <w:spacing w:after="0"/>
              <w:ind w:left="0"/>
              <w:rPr>
                <w:rFonts w:ascii="Arial Narrow" w:eastAsia="Arial Unicode MS" w:hAnsi="Arial Narrow" w:cs="Arial Unicode MS"/>
                <w:b/>
                <w:bCs/>
                <w:sz w:val="18"/>
                <w:szCs w:val="18"/>
              </w:rPr>
            </w:pPr>
          </w:p>
        </w:tc>
        <w:tc>
          <w:tcPr>
            <w:tcW w:w="1284" w:type="dxa"/>
            <w:noWrap/>
          </w:tcPr>
          <w:p w:rsidR="00234376" w:rsidRPr="00537C3C" w:rsidRDefault="00234376" w:rsidP="008E03A7">
            <w:pPr>
              <w:tabs>
                <w:tab w:val="decimal" w:pos="374"/>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$8957.25</w:t>
            </w:r>
          </w:p>
        </w:tc>
      </w:tr>
      <w:tr w:rsidR="00234376" w:rsidRPr="00537C3C">
        <w:trPr>
          <w:trHeight w:val="227"/>
        </w:trPr>
        <w:tc>
          <w:tcPr>
            <w:tcW w:w="3291" w:type="dxa"/>
            <w:noWrap/>
          </w:tcPr>
          <w:p w:rsidR="00234376" w:rsidRPr="00537C3C" w:rsidRDefault="00234376" w:rsidP="008E03A7">
            <w:pPr>
              <w:tabs>
                <w:tab w:val="decimal" w:pos="374"/>
                <w:tab w:val="decimal" w:pos="632"/>
                <w:tab w:val="decimal" w:pos="708"/>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Cost of chemo-radiation</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p>
        </w:tc>
        <w:tc>
          <w:tcPr>
            <w:tcW w:w="1496"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p>
        </w:tc>
        <w:tc>
          <w:tcPr>
            <w:tcW w:w="1308" w:type="dxa"/>
            <w:noWrap/>
          </w:tcPr>
          <w:p w:rsidR="00234376" w:rsidRPr="00537C3C" w:rsidRDefault="00234376" w:rsidP="008E03A7">
            <w:pPr>
              <w:tabs>
                <w:tab w:val="decimal" w:pos="632"/>
              </w:tabs>
              <w:spacing w:after="0"/>
              <w:ind w:left="0"/>
              <w:rPr>
                <w:rFonts w:ascii="Arial Narrow" w:eastAsia="Arial Unicode MS" w:hAnsi="Arial Narrow" w:cs="Arial Unicode MS"/>
                <w:sz w:val="18"/>
                <w:szCs w:val="18"/>
              </w:rPr>
            </w:pPr>
          </w:p>
        </w:tc>
        <w:tc>
          <w:tcPr>
            <w:tcW w:w="1284" w:type="dxa"/>
            <w:noWrap/>
          </w:tcPr>
          <w:p w:rsidR="00234376" w:rsidRPr="00537C3C" w:rsidRDefault="00234376" w:rsidP="008E03A7">
            <w:pPr>
              <w:tabs>
                <w:tab w:val="decimal" w:pos="374"/>
              </w:tabs>
              <w:spacing w:after="0"/>
              <w:ind w:left="0"/>
              <w:rPr>
                <w:rFonts w:ascii="Arial Narrow" w:eastAsia="Arial Unicode MS" w:hAnsi="Arial Narrow" w:cs="Arial Unicode MS"/>
                <w:sz w:val="18"/>
                <w:szCs w:val="18"/>
              </w:rPr>
            </w:pPr>
          </w:p>
        </w:tc>
      </w:tr>
      <w:tr w:rsidR="00234376" w:rsidRPr="00537C3C">
        <w:trPr>
          <w:trHeight w:val="227"/>
        </w:trPr>
        <w:tc>
          <w:tcPr>
            <w:tcW w:w="3291"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Specialist consult</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104</w:t>
            </w:r>
          </w:p>
        </w:tc>
        <w:tc>
          <w:tcPr>
            <w:tcW w:w="1496"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c>
          <w:tcPr>
            <w:tcW w:w="1308" w:type="dxa"/>
            <w:noWrap/>
          </w:tcPr>
          <w:p w:rsidR="00234376" w:rsidRPr="00537C3C" w:rsidRDefault="00234376" w:rsidP="008E03A7">
            <w:pPr>
              <w:tabs>
                <w:tab w:val="decimal" w:pos="63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284" w:type="dxa"/>
            <w:noWrap/>
          </w:tcPr>
          <w:p w:rsidR="00234376" w:rsidRPr="00537C3C" w:rsidRDefault="00234376" w:rsidP="008E03A7">
            <w:pPr>
              <w:tabs>
                <w:tab w:val="decimal" w:pos="374"/>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$77.25</w:t>
            </w:r>
          </w:p>
        </w:tc>
      </w:tr>
      <w:tr w:rsidR="00234376" w:rsidRPr="00537C3C">
        <w:trPr>
          <w:trHeight w:val="227"/>
        </w:trPr>
        <w:tc>
          <w:tcPr>
            <w:tcW w:w="3291"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Inpatient radiation</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DRG R64Z</w:t>
            </w:r>
          </w:p>
        </w:tc>
        <w:tc>
          <w:tcPr>
            <w:tcW w:w="1496"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$740.00</w:t>
            </w:r>
          </w:p>
        </w:tc>
        <w:tc>
          <w:tcPr>
            <w:tcW w:w="1308" w:type="dxa"/>
            <w:noWrap/>
          </w:tcPr>
          <w:p w:rsidR="00234376" w:rsidRPr="00537C3C" w:rsidRDefault="00234376" w:rsidP="008E03A7">
            <w:pPr>
              <w:tabs>
                <w:tab w:val="decimal" w:pos="63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w:t>
            </w:r>
          </w:p>
        </w:tc>
        <w:tc>
          <w:tcPr>
            <w:tcW w:w="1284" w:type="dxa"/>
            <w:noWrap/>
          </w:tcPr>
          <w:p w:rsidR="00234376" w:rsidRPr="00537C3C" w:rsidRDefault="00234376" w:rsidP="008E03A7">
            <w:pPr>
              <w:tabs>
                <w:tab w:val="decimal" w:pos="374"/>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$1480.00</w:t>
            </w:r>
          </w:p>
        </w:tc>
      </w:tr>
      <w:tr w:rsidR="00234376" w:rsidRPr="00537C3C">
        <w:trPr>
          <w:trHeight w:val="227"/>
        </w:trPr>
        <w:tc>
          <w:tcPr>
            <w:tcW w:w="3291"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Outpatient radiation </w:t>
            </w:r>
            <w:r w:rsidRPr="00234376">
              <w:rPr>
                <w:rFonts w:ascii="Arial Narrow" w:eastAsia="Arial Unicode MS" w:hAnsi="Arial Narrow" w:cs="Arial Unicode MS"/>
                <w:sz w:val="18"/>
                <w:szCs w:val="18"/>
                <w:vertAlign w:val="superscript"/>
              </w:rPr>
              <w:t>a</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DRG R64Z</w:t>
            </w:r>
          </w:p>
        </w:tc>
        <w:tc>
          <w:tcPr>
            <w:tcW w:w="1496" w:type="dxa"/>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$370.00</w:t>
            </w:r>
          </w:p>
        </w:tc>
        <w:tc>
          <w:tcPr>
            <w:tcW w:w="1308" w:type="dxa"/>
            <w:noWrap/>
          </w:tcPr>
          <w:p w:rsidR="00234376" w:rsidRPr="00537C3C" w:rsidRDefault="00234376" w:rsidP="008E03A7">
            <w:pPr>
              <w:tabs>
                <w:tab w:val="decimal" w:pos="63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20</w:t>
            </w:r>
          </w:p>
        </w:tc>
        <w:tc>
          <w:tcPr>
            <w:tcW w:w="1284" w:type="dxa"/>
            <w:noWrap/>
          </w:tcPr>
          <w:p w:rsidR="00234376" w:rsidRPr="00537C3C" w:rsidRDefault="00234376" w:rsidP="008E03A7">
            <w:pPr>
              <w:tabs>
                <w:tab w:val="decimal" w:pos="374"/>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$7400.00</w:t>
            </w:r>
          </w:p>
        </w:tc>
      </w:tr>
      <w:tr w:rsidR="00234376" w:rsidRPr="00537C3C">
        <w:trPr>
          <w:trHeight w:val="227"/>
        </w:trPr>
        <w:tc>
          <w:tcPr>
            <w:tcW w:w="3291"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Outpatient chemotherapy </w:t>
            </w:r>
            <w:r w:rsidRPr="00234376">
              <w:rPr>
                <w:rFonts w:ascii="Arial Narrow" w:eastAsia="Arial Unicode MS" w:hAnsi="Arial Narrow" w:cs="Arial Unicode MS"/>
                <w:sz w:val="18"/>
                <w:szCs w:val="18"/>
                <w:vertAlign w:val="superscript"/>
              </w:rPr>
              <w:t>b</w:t>
            </w:r>
          </w:p>
        </w:tc>
        <w:tc>
          <w:tcPr>
            <w:tcW w:w="1676"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DRG </w:t>
            </w:r>
            <w:bookmarkStart w:id="663" w:name="OLE_LINK256"/>
            <w:bookmarkStart w:id="664" w:name="OLE_LINK257"/>
            <w:r w:rsidRPr="00537C3C">
              <w:rPr>
                <w:rFonts w:ascii="Arial Narrow" w:eastAsia="Arial Unicode MS" w:hAnsi="Arial Narrow" w:cs="Arial Unicode MS"/>
                <w:sz w:val="18"/>
                <w:szCs w:val="18"/>
              </w:rPr>
              <w:t>R63Z</w:t>
            </w:r>
            <w:bookmarkEnd w:id="663"/>
            <w:bookmarkEnd w:id="664"/>
          </w:p>
        </w:tc>
        <w:tc>
          <w:tcPr>
            <w:tcW w:w="1496" w:type="dxa"/>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$1087.00</w:t>
            </w:r>
          </w:p>
        </w:tc>
        <w:tc>
          <w:tcPr>
            <w:tcW w:w="1308" w:type="dxa"/>
            <w:noWrap/>
          </w:tcPr>
          <w:p w:rsidR="00234376" w:rsidRPr="00537C3C" w:rsidRDefault="00234376" w:rsidP="008E03A7">
            <w:pPr>
              <w:tabs>
                <w:tab w:val="decimal" w:pos="63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w:t>
            </w:r>
          </w:p>
        </w:tc>
        <w:tc>
          <w:tcPr>
            <w:tcW w:w="1284" w:type="dxa"/>
            <w:noWrap/>
          </w:tcPr>
          <w:p w:rsidR="00234376" w:rsidRPr="00537C3C" w:rsidRDefault="00234376" w:rsidP="008E03A7">
            <w:pPr>
              <w:tabs>
                <w:tab w:val="decimal" w:pos="374"/>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$6522.00</w:t>
            </w:r>
          </w:p>
        </w:tc>
      </w:tr>
      <w:tr w:rsidR="00234376" w:rsidRPr="00537C3C">
        <w:trPr>
          <w:trHeight w:val="227"/>
        </w:trPr>
        <w:tc>
          <w:tcPr>
            <w:tcW w:w="3291" w:type="dxa"/>
            <w:tcBorders>
              <w:bottom w:val="single" w:sz="4" w:space="0" w:color="auto"/>
            </w:tcBorders>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 xml:space="preserve">Total </w:t>
            </w:r>
          </w:p>
        </w:tc>
        <w:tc>
          <w:tcPr>
            <w:tcW w:w="1676" w:type="dxa"/>
            <w:tcBorders>
              <w:bottom w:val="single" w:sz="4" w:space="0" w:color="auto"/>
            </w:tcBorders>
            <w:noWrap/>
          </w:tcPr>
          <w:p w:rsidR="00234376" w:rsidRPr="00537C3C" w:rsidRDefault="00234376" w:rsidP="008E03A7">
            <w:pPr>
              <w:spacing w:after="0"/>
              <w:ind w:left="0"/>
              <w:rPr>
                <w:rFonts w:ascii="Arial Narrow" w:eastAsia="Arial Unicode MS" w:hAnsi="Arial Narrow" w:cs="Arial Unicode MS"/>
                <w:b/>
                <w:bCs/>
                <w:sz w:val="18"/>
                <w:szCs w:val="18"/>
              </w:rPr>
            </w:pPr>
          </w:p>
        </w:tc>
        <w:tc>
          <w:tcPr>
            <w:tcW w:w="1496" w:type="dxa"/>
            <w:tcBorders>
              <w:bottom w:val="single" w:sz="4" w:space="0" w:color="auto"/>
            </w:tcBorders>
            <w:noWrap/>
          </w:tcPr>
          <w:p w:rsidR="00234376" w:rsidRPr="00537C3C" w:rsidRDefault="00234376" w:rsidP="008E03A7">
            <w:pPr>
              <w:spacing w:after="0"/>
              <w:ind w:left="0"/>
              <w:rPr>
                <w:rFonts w:ascii="Arial Narrow" w:eastAsia="Arial Unicode MS" w:hAnsi="Arial Narrow" w:cs="Arial Unicode MS"/>
                <w:b/>
                <w:bCs/>
                <w:sz w:val="18"/>
                <w:szCs w:val="18"/>
              </w:rPr>
            </w:pPr>
          </w:p>
        </w:tc>
        <w:tc>
          <w:tcPr>
            <w:tcW w:w="1308" w:type="dxa"/>
            <w:tcBorders>
              <w:bottom w:val="single" w:sz="4" w:space="0" w:color="auto"/>
            </w:tcBorders>
            <w:noWrap/>
          </w:tcPr>
          <w:p w:rsidR="00234376" w:rsidRPr="00537C3C" w:rsidRDefault="00234376" w:rsidP="008E03A7">
            <w:pPr>
              <w:spacing w:after="0"/>
              <w:ind w:left="0"/>
              <w:rPr>
                <w:rFonts w:ascii="Arial Narrow" w:eastAsia="Arial Unicode MS" w:hAnsi="Arial Narrow" w:cs="Arial Unicode MS"/>
                <w:b/>
                <w:bCs/>
                <w:sz w:val="18"/>
                <w:szCs w:val="18"/>
              </w:rPr>
            </w:pPr>
          </w:p>
        </w:tc>
        <w:tc>
          <w:tcPr>
            <w:tcW w:w="1284" w:type="dxa"/>
            <w:tcBorders>
              <w:bottom w:val="single" w:sz="4" w:space="0" w:color="auto"/>
            </w:tcBorders>
            <w:noWrap/>
          </w:tcPr>
          <w:p w:rsidR="00234376" w:rsidRPr="00537C3C" w:rsidRDefault="00234376" w:rsidP="008E03A7">
            <w:pPr>
              <w:tabs>
                <w:tab w:val="decimal" w:pos="374"/>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$15479.25</w:t>
            </w:r>
          </w:p>
        </w:tc>
      </w:tr>
    </w:tbl>
    <w:p w:rsidR="00234376" w:rsidRPr="00537C3C" w:rsidRDefault="00234376" w:rsidP="008E03A7">
      <w:pPr>
        <w:tabs>
          <w:tab w:val="left" w:pos="3864"/>
          <w:tab w:val="left" w:pos="5540"/>
          <w:tab w:val="left" w:pos="7036"/>
          <w:tab w:val="left" w:pos="8572"/>
        </w:tabs>
        <w:spacing w:after="0"/>
        <w:ind w:left="839"/>
        <w:rPr>
          <w:rFonts w:ascii="Arial Narrow" w:eastAsia="Arial Unicode MS" w:hAnsi="Arial Narrow" w:cs="Arial Unicode MS"/>
          <w:sz w:val="18"/>
          <w:szCs w:val="18"/>
        </w:rPr>
      </w:pPr>
      <w:r w:rsidRPr="00234376">
        <w:rPr>
          <w:rFonts w:ascii="Arial Narrow" w:eastAsia="Arial Unicode MS" w:hAnsi="Arial Narrow" w:cs="Arial Unicode MS"/>
          <w:sz w:val="18"/>
          <w:szCs w:val="18"/>
          <w:vertAlign w:val="superscript"/>
        </w:rPr>
        <w:t>a</w:t>
      </w:r>
      <w:r w:rsidRPr="00537C3C">
        <w:rPr>
          <w:rFonts w:ascii="Arial Narrow" w:eastAsia="Arial Unicode MS" w:hAnsi="Arial Narrow" w:cs="Arial Unicode MS"/>
          <w:sz w:val="18"/>
          <w:szCs w:val="18"/>
        </w:rPr>
        <w:t xml:space="preserve"> Assumed to be 50% cost of inpatient radiation. </w:t>
      </w:r>
    </w:p>
    <w:p w:rsidR="00234376" w:rsidRPr="00537C3C" w:rsidRDefault="00234376" w:rsidP="008E03A7">
      <w:pPr>
        <w:tabs>
          <w:tab w:val="left" w:pos="5540"/>
          <w:tab w:val="left" w:pos="7036"/>
          <w:tab w:val="left" w:pos="8572"/>
        </w:tabs>
        <w:spacing w:after="0"/>
        <w:ind w:left="839"/>
        <w:rPr>
          <w:rFonts w:ascii="Arial Narrow" w:eastAsia="Arial Unicode MS" w:hAnsi="Arial Narrow" w:cs="Arial Unicode MS"/>
          <w:sz w:val="18"/>
          <w:szCs w:val="18"/>
        </w:rPr>
      </w:pPr>
      <w:r w:rsidRPr="00234376">
        <w:rPr>
          <w:rFonts w:ascii="Arial Narrow" w:eastAsia="Arial Unicode MS" w:hAnsi="Arial Narrow" w:cs="Arial Unicode MS"/>
          <w:sz w:val="18"/>
          <w:szCs w:val="18"/>
          <w:vertAlign w:val="superscript"/>
        </w:rPr>
        <w:t>b</w:t>
      </w:r>
      <w:r w:rsidRPr="00537C3C">
        <w:rPr>
          <w:rFonts w:ascii="Arial Narrow" w:eastAsia="Arial Unicode MS" w:hAnsi="Arial Narrow" w:cs="Arial Unicode MS"/>
          <w:sz w:val="18"/>
          <w:szCs w:val="18"/>
        </w:rPr>
        <w:t xml:space="preserve"> Assumed to be same as cost of inpatient chemotherapy (</w:t>
      </w:r>
      <w:r w:rsidRPr="006C24DD">
        <w:rPr>
          <w:rFonts w:ascii="Arial Narrow" w:eastAsia="Arial Unicode MS" w:hAnsi="Arial Narrow" w:cs="Arial Unicode MS"/>
          <w:sz w:val="18"/>
          <w:szCs w:val="18"/>
        </w:rPr>
        <w:t>length of stay</w:t>
      </w:r>
      <w:r w:rsidRPr="00537C3C">
        <w:rPr>
          <w:rFonts w:ascii="Arial Narrow" w:eastAsia="Arial Unicode MS" w:hAnsi="Arial Narrow" w:cs="Arial Unicode MS"/>
          <w:sz w:val="18"/>
          <w:szCs w:val="18"/>
        </w:rPr>
        <w:t xml:space="preserve"> = 1 day).</w:t>
      </w:r>
    </w:p>
    <w:p w:rsidR="00234376" w:rsidRPr="006C24DD" w:rsidRDefault="00234376" w:rsidP="008E03A7">
      <w:pPr>
        <w:pStyle w:val="TableNotes"/>
        <w:rPr>
          <w:rFonts w:cs="Arial"/>
        </w:rPr>
      </w:pPr>
      <w:r w:rsidRPr="00537C3C">
        <w:rPr>
          <w:rFonts w:cs="Arial"/>
        </w:rPr>
        <w:t xml:space="preserve">DRG = </w:t>
      </w:r>
      <w:r w:rsidRPr="006C24DD">
        <w:rPr>
          <w:rFonts w:cs="Arial"/>
        </w:rPr>
        <w:t>diagnosis-related group.</w:t>
      </w:r>
    </w:p>
    <w:p w:rsidR="00234376" w:rsidRPr="00537C3C" w:rsidRDefault="00234376" w:rsidP="008E03A7">
      <w:pPr>
        <w:pStyle w:val="Heading6"/>
      </w:pPr>
      <w:r w:rsidRPr="00537C3C">
        <w:lastRenderedPageBreak/>
        <w:t>Cost of work-up</w:t>
      </w:r>
    </w:p>
    <w:p w:rsidR="00234376" w:rsidRPr="00537C3C" w:rsidRDefault="00234376" w:rsidP="008E03A7">
      <w:pPr>
        <w:pStyle w:val="TableNamea"/>
        <w:keepLines/>
        <w:ind w:left="1644"/>
      </w:pPr>
      <w:bookmarkStart w:id="665" w:name="_Ref209517187"/>
      <w:bookmarkStart w:id="666" w:name="_Toc95971283"/>
      <w:r w:rsidRPr="00537C3C">
        <w:t xml:space="preserve">Table </w:t>
      </w:r>
      <w:fldSimple w:instr=" SEQ Table \* ARABIC ">
        <w:r w:rsidR="007D3DFF">
          <w:rPr>
            <w:noProof/>
          </w:rPr>
          <w:t>47</w:t>
        </w:r>
      </w:fldSimple>
      <w:bookmarkEnd w:id="665"/>
      <w:r w:rsidRPr="00537C3C">
        <w:tab/>
        <w:t>Unit costs of work-up procedures</w:t>
      </w:r>
      <w:r w:rsidRPr="00537C3C">
        <w:rPr>
          <w:rFonts w:ascii="Arial Narrow" w:hAnsi="Arial Narrow" w:cs="Arial"/>
          <w:sz w:val="18"/>
          <w:szCs w:val="18"/>
        </w:rPr>
        <w:t>.</w:t>
      </w:r>
      <w:bookmarkEnd w:id="666"/>
    </w:p>
    <w:tbl>
      <w:tblPr>
        <w:tblW w:w="9086" w:type="dxa"/>
        <w:tblInd w:w="675" w:type="dxa"/>
        <w:tblLook w:val="0000" w:firstRow="0" w:lastRow="0" w:firstColumn="0" w:lastColumn="0" w:noHBand="0" w:noVBand="0"/>
      </w:tblPr>
      <w:tblGrid>
        <w:gridCol w:w="3344"/>
        <w:gridCol w:w="1676"/>
        <w:gridCol w:w="1242"/>
        <w:gridCol w:w="1420"/>
        <w:gridCol w:w="1404"/>
      </w:tblGrid>
      <w:tr w:rsidR="00234376" w:rsidRPr="00537C3C">
        <w:trPr>
          <w:trHeight w:val="291"/>
        </w:trPr>
        <w:tc>
          <w:tcPr>
            <w:tcW w:w="3344" w:type="dxa"/>
            <w:tcBorders>
              <w:top w:val="single" w:sz="4" w:space="0" w:color="auto"/>
              <w:bottom w:val="single" w:sz="4" w:space="0" w:color="auto"/>
            </w:tcBorders>
            <w:noWrap/>
          </w:tcPr>
          <w:p w:rsidR="00234376" w:rsidRPr="00537C3C" w:rsidRDefault="00234376" w:rsidP="008E03A7">
            <w:pPr>
              <w:spacing w:after="0"/>
              <w:ind w:left="0"/>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Components</w:t>
            </w:r>
          </w:p>
        </w:tc>
        <w:tc>
          <w:tcPr>
            <w:tcW w:w="1676" w:type="dxa"/>
            <w:tcBorders>
              <w:top w:val="single" w:sz="4" w:space="0" w:color="auto"/>
              <w:bottom w:val="single" w:sz="4" w:space="0" w:color="auto"/>
            </w:tcBorders>
            <w:noWrap/>
          </w:tcPr>
          <w:p w:rsidR="00234376" w:rsidRDefault="00234376" w:rsidP="00234376">
            <w:pPr>
              <w:spacing w:after="0"/>
              <w:ind w:left="0"/>
              <w:jc w:val="center"/>
              <w:rPr>
                <w:rFonts w:ascii="Arial Narrow" w:eastAsia="Arial Unicode MS" w:hAnsi="Arial Narrow" w:cs="Arial Unicode MS"/>
                <w:b/>
                <w:sz w:val="20"/>
                <w:szCs w:val="18"/>
              </w:rPr>
            </w:pPr>
            <w:r w:rsidRPr="00BB76D8">
              <w:rPr>
                <w:rFonts w:ascii="Arial Narrow" w:eastAsia="Arial Unicode MS" w:hAnsi="Arial Narrow" w:cs="Arial Unicode MS"/>
                <w:b/>
                <w:sz w:val="20"/>
                <w:szCs w:val="18"/>
              </w:rPr>
              <w:t>MBS</w:t>
            </w:r>
            <w:r w:rsidRPr="00537C3C">
              <w:rPr>
                <w:rFonts w:ascii="Arial Narrow" w:eastAsia="Arial Unicode MS" w:hAnsi="Arial Narrow" w:cs="Arial Unicode MS"/>
                <w:b/>
                <w:sz w:val="20"/>
                <w:szCs w:val="18"/>
              </w:rPr>
              <w:t>/DRG item</w:t>
            </w:r>
          </w:p>
        </w:tc>
        <w:tc>
          <w:tcPr>
            <w:tcW w:w="1242" w:type="dxa"/>
            <w:tcBorders>
              <w:top w:val="single" w:sz="4" w:space="0" w:color="auto"/>
              <w:bottom w:val="single" w:sz="4" w:space="0" w:color="auto"/>
            </w:tcBorders>
          </w:tcPr>
          <w:p w:rsidR="00234376" w:rsidRDefault="00234376" w:rsidP="00234376">
            <w:pPr>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Unit cost</w:t>
            </w:r>
          </w:p>
        </w:tc>
        <w:tc>
          <w:tcPr>
            <w:tcW w:w="1420" w:type="dxa"/>
            <w:tcBorders>
              <w:top w:val="single" w:sz="4" w:space="0" w:color="auto"/>
              <w:bottom w:val="single" w:sz="4" w:space="0" w:color="auto"/>
            </w:tcBorders>
          </w:tcPr>
          <w:p w:rsidR="00234376" w:rsidRDefault="00234376" w:rsidP="00234376">
            <w:pPr>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Proportion of patients</w:t>
            </w:r>
          </w:p>
        </w:tc>
        <w:tc>
          <w:tcPr>
            <w:tcW w:w="1404" w:type="dxa"/>
            <w:tcBorders>
              <w:top w:val="single" w:sz="4" w:space="0" w:color="auto"/>
              <w:bottom w:val="single" w:sz="4" w:space="0" w:color="auto"/>
            </w:tcBorders>
            <w:noWrap/>
          </w:tcPr>
          <w:p w:rsidR="00234376" w:rsidRDefault="00234376" w:rsidP="00234376">
            <w:pPr>
              <w:spacing w:after="0"/>
              <w:ind w:left="0"/>
              <w:jc w:val="center"/>
              <w:rPr>
                <w:rFonts w:ascii="Arial Narrow" w:eastAsia="Arial Unicode MS" w:hAnsi="Arial Narrow" w:cs="Arial Unicode MS"/>
                <w:b/>
                <w:sz w:val="20"/>
                <w:szCs w:val="18"/>
              </w:rPr>
            </w:pPr>
            <w:r w:rsidRPr="00537C3C">
              <w:rPr>
                <w:rFonts w:ascii="Arial Narrow" w:eastAsia="Arial Unicode MS" w:hAnsi="Arial Narrow" w:cs="Arial Unicode MS"/>
                <w:b/>
                <w:sz w:val="20"/>
                <w:szCs w:val="18"/>
              </w:rPr>
              <w:t>Cost</w:t>
            </w:r>
          </w:p>
        </w:tc>
      </w:tr>
      <w:tr w:rsidR="00234376" w:rsidRPr="00537C3C">
        <w:trPr>
          <w:trHeight w:val="300"/>
        </w:trPr>
        <w:tc>
          <w:tcPr>
            <w:tcW w:w="3344"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i/>
                <w:iCs/>
                <w:sz w:val="18"/>
                <w:szCs w:val="18"/>
              </w:rPr>
            </w:pPr>
            <w:r w:rsidRPr="00537C3C">
              <w:rPr>
                <w:rFonts w:ascii="Arial Narrow" w:eastAsia="Arial Unicode MS" w:hAnsi="Arial Narrow" w:cs="Arial Unicode MS"/>
                <w:i/>
                <w:iCs/>
                <w:sz w:val="18"/>
                <w:szCs w:val="18"/>
              </w:rPr>
              <w:t>Colposcopy + biopsy</w:t>
            </w:r>
          </w:p>
        </w:tc>
        <w:tc>
          <w:tcPr>
            <w:tcW w:w="1676"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c>
          <w:tcPr>
            <w:tcW w:w="1242"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c>
          <w:tcPr>
            <w:tcW w:w="1420"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c>
          <w:tcPr>
            <w:tcW w:w="1404" w:type="dxa"/>
            <w:tcBorders>
              <w:top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p>
        </w:tc>
      </w:tr>
      <w:tr w:rsidR="00234376" w:rsidRPr="00537C3C">
        <w:trPr>
          <w:trHeight w:val="300"/>
        </w:trPr>
        <w:tc>
          <w:tcPr>
            <w:tcW w:w="3344"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Colposcopy </w:t>
            </w:r>
            <w:r w:rsidRPr="00234376">
              <w:rPr>
                <w:rFonts w:ascii="Arial Narrow" w:eastAsia="Arial Unicode MS" w:hAnsi="Arial Narrow" w:cs="Arial Unicode MS"/>
                <w:sz w:val="18"/>
                <w:szCs w:val="18"/>
                <w:vertAlign w:val="superscript"/>
              </w:rPr>
              <w:t>a</w:t>
            </w: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35614</w:t>
            </w: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$28.83</w:t>
            </w: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$28.83</w:t>
            </w:r>
          </w:p>
        </w:tc>
      </w:tr>
      <w:tr w:rsidR="00234376" w:rsidRPr="00537C3C">
        <w:trPr>
          <w:trHeight w:val="300"/>
        </w:trPr>
        <w:tc>
          <w:tcPr>
            <w:tcW w:w="3344"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Biopsy</w:t>
            </w: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35608</w:t>
            </w: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$57.75</w:t>
            </w: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$57.75</w:t>
            </w:r>
          </w:p>
        </w:tc>
      </w:tr>
      <w:tr w:rsidR="00234376" w:rsidRPr="00537C3C">
        <w:trPr>
          <w:trHeight w:val="300"/>
        </w:trPr>
        <w:tc>
          <w:tcPr>
            <w:tcW w:w="3344"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Histopathology </w:t>
            </w:r>
            <w:r w:rsidRPr="00234376">
              <w:rPr>
                <w:rFonts w:ascii="Arial Narrow" w:eastAsia="Arial Unicode MS" w:hAnsi="Arial Narrow" w:cs="Arial Unicode MS"/>
                <w:sz w:val="18"/>
                <w:szCs w:val="18"/>
                <w:vertAlign w:val="superscript"/>
              </w:rPr>
              <w:t>b</w:t>
            </w: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72823</w:t>
            </w: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$97.95</w:t>
            </w: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0.667</w:t>
            </w: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$97.95</w:t>
            </w:r>
          </w:p>
        </w:tc>
      </w:tr>
      <w:tr w:rsidR="00234376" w:rsidRPr="00537C3C">
        <w:trPr>
          <w:trHeight w:val="300"/>
        </w:trPr>
        <w:tc>
          <w:tcPr>
            <w:tcW w:w="3344"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72824</w:t>
            </w: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$142.30</w:t>
            </w: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0.333</w:t>
            </w: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$142.30</w:t>
            </w:r>
          </w:p>
        </w:tc>
      </w:tr>
      <w:tr w:rsidR="00234376" w:rsidRPr="00537C3C">
        <w:trPr>
          <w:trHeight w:val="300"/>
        </w:trPr>
        <w:tc>
          <w:tcPr>
            <w:tcW w:w="3344" w:type="dxa"/>
            <w:noWrap/>
          </w:tcPr>
          <w:p w:rsidR="00234376" w:rsidRPr="00537C3C" w:rsidRDefault="00234376" w:rsidP="00041544">
            <w:pPr>
              <w:spacing w:after="0"/>
              <w:ind w:left="0" w:firstLineChars="100" w:firstLine="18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Initiation of patient episode</w:t>
            </w: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73926</w:t>
            </w: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$8.25</w:t>
            </w: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1.000</w:t>
            </w: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$8.25</w:t>
            </w:r>
          </w:p>
        </w:tc>
      </w:tr>
      <w:tr w:rsidR="00234376" w:rsidRPr="00537C3C">
        <w:trPr>
          <w:trHeight w:val="300"/>
        </w:trPr>
        <w:tc>
          <w:tcPr>
            <w:tcW w:w="3344" w:type="dxa"/>
            <w:noWrap/>
          </w:tcPr>
          <w:p w:rsidR="00234376" w:rsidRPr="00537C3C" w:rsidRDefault="00234376" w:rsidP="008E03A7">
            <w:pPr>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Total cost colposcopy</w:t>
            </w: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$335.08</w:t>
            </w:r>
          </w:p>
        </w:tc>
      </w:tr>
      <w:tr w:rsidR="00234376" w:rsidRPr="00537C3C">
        <w:trPr>
          <w:trHeight w:val="300"/>
        </w:trPr>
        <w:tc>
          <w:tcPr>
            <w:tcW w:w="3344" w:type="dxa"/>
            <w:noWrap/>
          </w:tcPr>
          <w:p w:rsidR="00234376" w:rsidRPr="00537C3C" w:rsidRDefault="00234376" w:rsidP="008E03A7">
            <w:pPr>
              <w:spacing w:after="0"/>
              <w:ind w:left="0"/>
              <w:rPr>
                <w:rFonts w:ascii="Arial Narrow" w:eastAsia="Arial Unicode MS" w:hAnsi="Arial Narrow" w:cs="Arial Unicode MS"/>
                <w:i/>
                <w:iCs/>
                <w:sz w:val="18"/>
                <w:szCs w:val="18"/>
              </w:rPr>
            </w:pPr>
            <w:r w:rsidRPr="00537C3C">
              <w:rPr>
                <w:rFonts w:ascii="Arial Narrow" w:eastAsia="Arial Unicode MS" w:hAnsi="Arial Narrow" w:cs="Arial Unicode MS"/>
                <w:i/>
                <w:iCs/>
                <w:sz w:val="18"/>
                <w:szCs w:val="18"/>
              </w:rPr>
              <w:t>Chest x-ray</w:t>
            </w: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58503</w:t>
            </w: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$47.15</w:t>
            </w: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$47.15</w:t>
            </w:r>
          </w:p>
        </w:tc>
      </w:tr>
      <w:tr w:rsidR="00234376" w:rsidRPr="00537C3C">
        <w:trPr>
          <w:trHeight w:val="300"/>
        </w:trPr>
        <w:tc>
          <w:tcPr>
            <w:tcW w:w="3344"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CT scan</w:t>
            </w: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56507</w:t>
            </w: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$480.05</w:t>
            </w: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$480.05</w:t>
            </w:r>
          </w:p>
        </w:tc>
      </w:tr>
      <w:tr w:rsidR="00234376" w:rsidRPr="00537C3C">
        <w:trPr>
          <w:trHeight w:val="300"/>
        </w:trPr>
        <w:tc>
          <w:tcPr>
            <w:tcW w:w="3344"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 xml:space="preserve">PET scan (assume as for </w:t>
            </w:r>
            <w:bookmarkStart w:id="667" w:name="OLE_LINK258"/>
            <w:bookmarkStart w:id="668" w:name="OLE_LINK259"/>
            <w:r w:rsidRPr="006C24DD">
              <w:rPr>
                <w:rFonts w:ascii="Arial Narrow" w:eastAsia="Arial Unicode MS" w:hAnsi="Arial Narrow" w:cs="Arial Unicode MS"/>
                <w:sz w:val="18"/>
                <w:szCs w:val="18"/>
              </w:rPr>
              <w:t>non-small-cell lung cancer</w:t>
            </w:r>
            <w:bookmarkEnd w:id="667"/>
            <w:bookmarkEnd w:id="668"/>
            <w:r w:rsidRPr="00537C3C">
              <w:rPr>
                <w:rFonts w:ascii="Arial Narrow" w:eastAsia="Arial Unicode MS" w:hAnsi="Arial Narrow" w:cs="Arial Unicode MS"/>
                <w:sz w:val="18"/>
                <w:szCs w:val="18"/>
              </w:rPr>
              <w:t>)</w:t>
            </w: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61529</w:t>
            </w: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$953.00</w:t>
            </w: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$953.00</w:t>
            </w:r>
          </w:p>
        </w:tc>
      </w:tr>
      <w:tr w:rsidR="00234376" w:rsidRPr="00537C3C">
        <w:trPr>
          <w:trHeight w:val="300"/>
        </w:trPr>
        <w:tc>
          <w:tcPr>
            <w:tcW w:w="3344"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MRI**</w:t>
            </w: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63470</w:t>
            </w: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$403.20</w:t>
            </w: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0.806</w:t>
            </w: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$446.55</w:t>
            </w:r>
          </w:p>
        </w:tc>
      </w:tr>
      <w:tr w:rsidR="00234376" w:rsidRPr="00537C3C">
        <w:trPr>
          <w:trHeight w:val="300"/>
        </w:trPr>
        <w:tc>
          <w:tcPr>
            <w:tcW w:w="3344" w:type="dxa"/>
            <w:noWrap/>
          </w:tcPr>
          <w:p w:rsidR="00234376" w:rsidRPr="00537C3C" w:rsidRDefault="00234376" w:rsidP="008E03A7">
            <w:pPr>
              <w:spacing w:after="0"/>
              <w:ind w:left="0"/>
              <w:rPr>
                <w:rFonts w:ascii="Arial Narrow" w:eastAsia="Arial Unicode MS" w:hAnsi="Arial Narrow" w:cs="Arial Unicode MS"/>
                <w:sz w:val="18"/>
                <w:szCs w:val="18"/>
              </w:rPr>
            </w:pP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63473</w:t>
            </w: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$627.20</w:t>
            </w: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0.194</w:t>
            </w: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b/>
                <w:bCs/>
                <w:sz w:val="18"/>
                <w:szCs w:val="18"/>
              </w:rPr>
            </w:pPr>
          </w:p>
        </w:tc>
      </w:tr>
      <w:tr w:rsidR="00234376" w:rsidRPr="00537C3C">
        <w:trPr>
          <w:trHeight w:val="300"/>
        </w:trPr>
        <w:tc>
          <w:tcPr>
            <w:tcW w:w="3344" w:type="dxa"/>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Bone scan</w:t>
            </w:r>
          </w:p>
        </w:tc>
        <w:tc>
          <w:tcPr>
            <w:tcW w:w="1676" w:type="dxa"/>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61421</w:t>
            </w:r>
          </w:p>
        </w:tc>
        <w:tc>
          <w:tcPr>
            <w:tcW w:w="1242" w:type="dxa"/>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$479.80</w:t>
            </w:r>
          </w:p>
        </w:tc>
        <w:tc>
          <w:tcPr>
            <w:tcW w:w="1420" w:type="dxa"/>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404" w:type="dxa"/>
            <w:noWrap/>
          </w:tcPr>
          <w:p w:rsidR="00234376" w:rsidRPr="00537C3C" w:rsidRDefault="00234376" w:rsidP="008E03A7">
            <w:pPr>
              <w:tabs>
                <w:tab w:val="decimal" w:pos="60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$479.80</w:t>
            </w:r>
          </w:p>
        </w:tc>
      </w:tr>
      <w:tr w:rsidR="00234376" w:rsidRPr="00537C3C">
        <w:trPr>
          <w:trHeight w:val="300"/>
        </w:trPr>
        <w:tc>
          <w:tcPr>
            <w:tcW w:w="3344" w:type="dxa"/>
            <w:tcBorders>
              <w:bottom w:val="single" w:sz="4" w:space="0" w:color="auto"/>
            </w:tcBorders>
            <w:noWrap/>
          </w:tcPr>
          <w:p w:rsidR="00234376" w:rsidRPr="00537C3C" w:rsidRDefault="00234376" w:rsidP="008E03A7">
            <w:pPr>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Cystoscopy</w:t>
            </w:r>
          </w:p>
        </w:tc>
        <w:tc>
          <w:tcPr>
            <w:tcW w:w="1676" w:type="dxa"/>
            <w:tcBorders>
              <w:bottom w:val="single" w:sz="4" w:space="0" w:color="auto"/>
            </w:tcBorders>
            <w:noWrap/>
          </w:tcPr>
          <w:p w:rsidR="00234376" w:rsidRDefault="00234376" w:rsidP="00234376">
            <w:pPr>
              <w:spacing w:after="0"/>
              <w:ind w:left="0"/>
              <w:jc w:val="center"/>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36812</w:t>
            </w:r>
          </w:p>
        </w:tc>
        <w:tc>
          <w:tcPr>
            <w:tcW w:w="1242" w:type="dxa"/>
            <w:tcBorders>
              <w:bottom w:val="single" w:sz="4" w:space="0" w:color="auto"/>
            </w:tcBorders>
            <w:noWrap/>
          </w:tcPr>
          <w:p w:rsidR="00234376" w:rsidRPr="00537C3C" w:rsidRDefault="00234376" w:rsidP="008E03A7">
            <w:pPr>
              <w:tabs>
                <w:tab w:val="decimal" w:pos="708"/>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$150.55</w:t>
            </w:r>
          </w:p>
        </w:tc>
        <w:tc>
          <w:tcPr>
            <w:tcW w:w="1420" w:type="dxa"/>
            <w:tcBorders>
              <w:bottom w:val="single" w:sz="4" w:space="0" w:color="auto"/>
            </w:tcBorders>
            <w:noWrap/>
          </w:tcPr>
          <w:p w:rsidR="00234376" w:rsidRPr="00537C3C" w:rsidRDefault="00234376" w:rsidP="008E03A7">
            <w:pPr>
              <w:tabs>
                <w:tab w:val="decimal" w:pos="539"/>
              </w:tabs>
              <w:spacing w:after="0"/>
              <w:ind w:left="0"/>
              <w:rPr>
                <w:rFonts w:ascii="Arial Narrow" w:eastAsia="Arial Unicode MS" w:hAnsi="Arial Narrow" w:cs="Arial Unicode MS"/>
                <w:sz w:val="18"/>
                <w:szCs w:val="18"/>
              </w:rPr>
            </w:pPr>
            <w:r w:rsidRPr="00537C3C">
              <w:rPr>
                <w:rFonts w:ascii="Arial Narrow" w:eastAsia="Arial Unicode MS" w:hAnsi="Arial Narrow" w:cs="Arial Unicode MS"/>
                <w:sz w:val="18"/>
                <w:szCs w:val="18"/>
              </w:rPr>
              <w:t>1</w:t>
            </w:r>
          </w:p>
        </w:tc>
        <w:tc>
          <w:tcPr>
            <w:tcW w:w="1404" w:type="dxa"/>
            <w:tcBorders>
              <w:bottom w:val="single" w:sz="4" w:space="0" w:color="auto"/>
            </w:tcBorders>
            <w:noWrap/>
          </w:tcPr>
          <w:p w:rsidR="00234376" w:rsidRPr="00537C3C" w:rsidRDefault="00234376" w:rsidP="008E03A7">
            <w:pPr>
              <w:tabs>
                <w:tab w:val="decimal" w:pos="602"/>
              </w:tabs>
              <w:spacing w:after="0"/>
              <w:ind w:left="0"/>
              <w:rPr>
                <w:rFonts w:ascii="Arial Narrow" w:eastAsia="Arial Unicode MS" w:hAnsi="Arial Narrow" w:cs="Arial Unicode MS"/>
                <w:b/>
                <w:bCs/>
                <w:sz w:val="18"/>
                <w:szCs w:val="18"/>
              </w:rPr>
            </w:pPr>
            <w:r w:rsidRPr="00537C3C">
              <w:rPr>
                <w:rFonts w:ascii="Arial Narrow" w:eastAsia="Arial Unicode MS" w:hAnsi="Arial Narrow" w:cs="Arial Unicode MS"/>
                <w:b/>
                <w:bCs/>
                <w:sz w:val="18"/>
                <w:szCs w:val="18"/>
              </w:rPr>
              <w:t>$150.55</w:t>
            </w:r>
          </w:p>
        </w:tc>
      </w:tr>
    </w:tbl>
    <w:p w:rsidR="00234376" w:rsidRPr="00537C3C" w:rsidRDefault="00234376" w:rsidP="008E03A7">
      <w:pPr>
        <w:spacing w:after="0"/>
        <w:rPr>
          <w:rFonts w:ascii="Arial Narrow" w:eastAsia="Arial Unicode MS" w:hAnsi="Arial Narrow" w:cs="Arial Unicode MS"/>
          <w:sz w:val="18"/>
          <w:szCs w:val="18"/>
        </w:rPr>
      </w:pPr>
      <w:r w:rsidRPr="00234376">
        <w:rPr>
          <w:rFonts w:ascii="Arial Narrow" w:eastAsia="Arial Unicode MS" w:hAnsi="Arial Narrow" w:cs="Arial Unicode MS"/>
          <w:sz w:val="18"/>
          <w:szCs w:val="18"/>
          <w:vertAlign w:val="superscript"/>
        </w:rPr>
        <w:t>a</w:t>
      </w:r>
      <w:r w:rsidRPr="00537C3C">
        <w:rPr>
          <w:rFonts w:ascii="Arial Narrow" w:eastAsia="Arial Unicode MS" w:hAnsi="Arial Narrow" w:cs="Arial Unicode MS"/>
          <w:sz w:val="18"/>
          <w:szCs w:val="18"/>
        </w:rPr>
        <w:t xml:space="preserve"> </w:t>
      </w:r>
      <w:r w:rsidRPr="00BB76D8">
        <w:rPr>
          <w:rFonts w:ascii="Arial Narrow" w:eastAsia="Arial Unicode MS" w:hAnsi="Arial Narrow" w:cs="Arial Unicode MS"/>
          <w:sz w:val="18"/>
          <w:szCs w:val="18"/>
        </w:rPr>
        <w:t>MBS</w:t>
      </w:r>
      <w:r w:rsidRPr="00537C3C">
        <w:rPr>
          <w:rFonts w:ascii="Arial Narrow" w:eastAsia="Arial Unicode MS" w:hAnsi="Arial Narrow" w:cs="Arial Unicode MS"/>
          <w:sz w:val="18"/>
          <w:szCs w:val="18"/>
        </w:rPr>
        <w:t xml:space="preserve"> multiple operation rule Note T8.2.</w:t>
      </w:r>
    </w:p>
    <w:p w:rsidR="00234376" w:rsidRPr="00537C3C" w:rsidRDefault="00234376" w:rsidP="008E03A7">
      <w:pPr>
        <w:spacing w:after="0"/>
        <w:rPr>
          <w:rFonts w:ascii="Arial Narrow" w:eastAsia="Arial Unicode MS" w:hAnsi="Arial Narrow" w:cs="Arial Unicode MS"/>
          <w:sz w:val="18"/>
          <w:szCs w:val="18"/>
        </w:rPr>
      </w:pPr>
      <w:r w:rsidRPr="00234376">
        <w:rPr>
          <w:rFonts w:ascii="Arial Narrow" w:eastAsia="Arial Unicode MS" w:hAnsi="Arial Narrow" w:cs="Arial Unicode MS"/>
          <w:sz w:val="18"/>
          <w:szCs w:val="18"/>
          <w:vertAlign w:val="superscript"/>
        </w:rPr>
        <w:t>b</w:t>
      </w:r>
      <w:r w:rsidRPr="00537C3C">
        <w:rPr>
          <w:rFonts w:ascii="Arial Narrow" w:eastAsia="Arial Unicode MS" w:hAnsi="Arial Narrow" w:cs="Arial Unicode MS"/>
          <w:sz w:val="18"/>
          <w:szCs w:val="18"/>
        </w:rPr>
        <w:t xml:space="preserve"> 2007 </w:t>
      </w:r>
      <w:r w:rsidRPr="00BB76D8">
        <w:rPr>
          <w:rFonts w:ascii="Arial Narrow" w:eastAsia="Arial Unicode MS" w:hAnsi="Arial Narrow" w:cs="Arial Unicode MS"/>
          <w:sz w:val="18"/>
          <w:szCs w:val="18"/>
        </w:rPr>
        <w:t>MBS</w:t>
      </w:r>
      <w:r w:rsidRPr="00537C3C">
        <w:rPr>
          <w:rFonts w:ascii="Arial Narrow" w:eastAsia="Arial Unicode MS" w:hAnsi="Arial Narrow" w:cs="Arial Unicode MS"/>
          <w:sz w:val="18"/>
          <w:szCs w:val="18"/>
        </w:rPr>
        <w:t xml:space="preserve"> use data.</w:t>
      </w:r>
    </w:p>
    <w:p w:rsidR="00234376" w:rsidRDefault="00234376" w:rsidP="00234376">
      <w:pPr>
        <w:pStyle w:val="TableNotes"/>
      </w:pPr>
      <w:r w:rsidRPr="00537C3C">
        <w:rPr>
          <w:rFonts w:cs="Arial"/>
        </w:rPr>
        <w:t xml:space="preserve">DRG = </w:t>
      </w:r>
      <w:r w:rsidRPr="006C24DD">
        <w:rPr>
          <w:rFonts w:cs="Arial"/>
        </w:rPr>
        <w:t>diagnosis-related group.</w:t>
      </w:r>
    </w:p>
    <w:p w:rsidR="00234376" w:rsidRPr="00537C3C" w:rsidRDefault="00234376" w:rsidP="008E03A7">
      <w:pPr>
        <w:pStyle w:val="Heading4"/>
      </w:pPr>
      <w:r w:rsidRPr="00537C3C">
        <w:t>Management</w:t>
      </w:r>
    </w:p>
    <w:p w:rsidR="00234376" w:rsidRPr="00537C3C" w:rsidRDefault="00234376" w:rsidP="008E03A7">
      <w:r w:rsidRPr="00537C3C">
        <w:t xml:space="preserve">Management of cytology, colposcopy and histology results was modelled to reflect current Australian recommendations </w:t>
      </w:r>
      <w:r w:rsidRPr="00537C3C">
        <w:fldChar w:fldCharType="begin"/>
      </w:r>
      <w:r w:rsidRPr="00537C3C">
        <w:instrText xml:space="preserve"> ADDIN REFMGR.CITE &lt;Refman&gt;&lt;Cite&gt;&lt;Author&gt;NHMRC&lt;/Author&gt;&lt;Year&gt;2005&lt;/Year&gt;&lt;RecNum&gt;321&lt;/RecNum&gt;&lt;IDText&gt;Screening to prevent cervical cancer: Guidelines for the management of asymptomatic women with screen detected abnormalities&lt;/IDText&gt;&lt;MDL Ref_Type="Report"&gt;&lt;Ref_Type&gt;Report&lt;/Ref_Type&gt;&lt;Ref_ID&gt;321&lt;/Ref_ID&gt;&lt;Title_Primary&gt;Screening to prevent cervical cancer: Guidelines for the management of asymptomatic women with screen detected abnormalities&lt;/Title_Primary&gt;&lt;Authors_Primary&gt;NHMRC&lt;/Authors_Primary&gt;&lt;Date_Primary&gt;2005&lt;/Date_Primary&gt;&lt;Reprint&gt;In File&lt;/Reprint&gt;&lt;Pub_Place&gt;Canberra, ACT&lt;/Pub_Place&gt;&lt;Publisher&gt;National Health and Medical Research Council, Commonwealth of Australia&lt;/Publisher&gt;&lt;Web_URL&gt;&lt;u&gt;www.nhmrc.gov.au/publications&lt;/u&gt;&lt;/Web_URL&gt;&lt;ZZ_WorkformID&gt;24&lt;/ZZ_WorkformID&gt;&lt;/MDL&gt;&lt;/Cite&gt;&lt;/Refman&gt;</w:instrText>
      </w:r>
      <w:r w:rsidRPr="00537C3C">
        <w:fldChar w:fldCharType="separate"/>
      </w:r>
      <w:r w:rsidRPr="00537C3C">
        <w:t>(</w:t>
      </w:r>
      <w:r w:rsidRPr="00BB76D8">
        <w:t>NHMRC</w:t>
      </w:r>
      <w:r w:rsidRPr="00537C3C">
        <w:t xml:space="preserve"> 2005)</w:t>
      </w:r>
      <w:r w:rsidRPr="00537C3C">
        <w:fldChar w:fldCharType="end"/>
      </w:r>
      <w:r w:rsidRPr="00537C3C">
        <w:t xml:space="preserve">. In some instances the guidelines provide for the discretion of the clinician, and thus do not specify management at the level of detail required by the model. In these areas we assumed pathways of management practice based on input from the Advisory Panel—details of these assumptions are provided in </w:t>
      </w:r>
      <w:r w:rsidRPr="00234376">
        <w:rPr>
          <w:rFonts w:cs="Arial"/>
        </w:rPr>
        <w:fldChar w:fldCharType="begin"/>
      </w:r>
      <w:r w:rsidRPr="00234376">
        <w:rPr>
          <w:rFonts w:cs="Arial"/>
        </w:rPr>
        <w:instrText xml:space="preserve"> REF _Ref212432848 </w:instrText>
      </w:r>
      <w:r w:rsidRPr="00BA595E">
        <w:rPr>
          <w:rFonts w:cs="Arial"/>
        </w:rPr>
        <w:instrText>\</w:instrText>
      </w:r>
      <w:r w:rsidRPr="00234376">
        <w:rPr>
          <w:rFonts w:cs="Arial"/>
        </w:rPr>
        <w:instrText xml:space="preserve">h  </w:instrText>
      </w:r>
      <w:r w:rsidRPr="00BA595E">
        <w:rPr>
          <w:rFonts w:cs="Arial"/>
        </w:rPr>
        <w:instrText>\</w:instrText>
      </w:r>
      <w:r w:rsidRPr="00234376">
        <w:rPr>
          <w:rFonts w:cs="Arial"/>
        </w:rPr>
        <w:instrText xml:space="preserve">* MERGEFORMAT </w:instrText>
      </w:r>
      <w:r w:rsidRPr="00234376">
        <w:rPr>
          <w:rFonts w:cs="Arial"/>
        </w:rPr>
      </w:r>
      <w:r w:rsidRPr="00234376">
        <w:rPr>
          <w:rFonts w:cs="Arial"/>
        </w:rPr>
        <w:fldChar w:fldCharType="separate"/>
      </w:r>
      <w:r w:rsidR="007D3DFF" w:rsidRPr="00537C3C">
        <w:t xml:space="preserve">Appendix </w:t>
      </w:r>
      <w:r w:rsidR="007D3DFF">
        <w:rPr>
          <w:noProof/>
        </w:rPr>
        <w:t>J</w:t>
      </w:r>
      <w:r w:rsidR="007D3DFF">
        <w:t xml:space="preserve">  </w:t>
      </w:r>
      <w:r w:rsidR="007D3DFF" w:rsidRPr="00537C3C">
        <w:t>Detailed model data sources</w:t>
      </w:r>
      <w:r w:rsidRPr="00234376">
        <w:rPr>
          <w:rFonts w:cs="Arial"/>
        </w:rPr>
        <w:fldChar w:fldCharType="end"/>
      </w:r>
      <w:r w:rsidRPr="00537C3C">
        <w:t>, in the section ‘</w:t>
      </w:r>
      <w:r w:rsidRPr="00234376">
        <w:fldChar w:fldCharType="begin"/>
      </w:r>
      <w:r w:rsidRPr="00234376">
        <w:instrText xml:space="preserve"> REF _Ref212961043 </w:instrText>
      </w:r>
      <w:r w:rsidRPr="00BA595E">
        <w:instrText>\</w:instrText>
      </w:r>
      <w:r w:rsidRPr="00234376">
        <w:instrText xml:space="preserve">h  </w:instrText>
      </w:r>
      <w:r w:rsidRPr="00BA595E">
        <w:instrText>\</w:instrText>
      </w:r>
      <w:r w:rsidRPr="00234376">
        <w:instrText xml:space="preserve">* MERGEFORMAT </w:instrText>
      </w:r>
      <w:r w:rsidRPr="00234376">
        <w:fldChar w:fldCharType="separate"/>
      </w:r>
      <w:r w:rsidR="007D3DFF" w:rsidRPr="00537C3C">
        <w:t>Management assumptions made for modelling in cases where guidelines do not specify outcomes</w:t>
      </w:r>
      <w:r w:rsidRPr="00234376">
        <w:fldChar w:fldCharType="end"/>
      </w:r>
      <w:r w:rsidRPr="00537C3C">
        <w:t xml:space="preserve">’, on page </w:t>
      </w:r>
      <w:r w:rsidRPr="00537C3C">
        <w:fldChar w:fldCharType="begin"/>
      </w:r>
      <w:r w:rsidRPr="00537C3C">
        <w:instrText xml:space="preserve"> PAGEREF _Ref212961043 \h </w:instrText>
      </w:r>
      <w:r w:rsidRPr="00537C3C">
        <w:fldChar w:fldCharType="separate"/>
      </w:r>
      <w:r w:rsidR="007D3DFF">
        <w:rPr>
          <w:noProof/>
        </w:rPr>
        <w:t>148</w:t>
      </w:r>
      <w:r w:rsidRPr="00537C3C">
        <w:fldChar w:fldCharType="end"/>
      </w:r>
      <w:r w:rsidRPr="00537C3C">
        <w:t>.</w:t>
      </w:r>
    </w:p>
    <w:p w:rsidR="00234376" w:rsidRPr="00537C3C" w:rsidRDefault="00234376" w:rsidP="008E03A7">
      <w:pPr>
        <w:pStyle w:val="Heading4"/>
      </w:pPr>
      <w:r w:rsidRPr="00537C3C">
        <w:t>Baseline model calibration and validation</w:t>
      </w:r>
    </w:p>
    <w:p w:rsidR="00234376" w:rsidRPr="00537C3C" w:rsidRDefault="00234376" w:rsidP="008E03A7">
      <w:pPr>
        <w:pStyle w:val="Heading5"/>
      </w:pPr>
      <w:r w:rsidRPr="00537C3C">
        <w:t>Calibration of the natural history model</w:t>
      </w:r>
    </w:p>
    <w:p w:rsidR="00234376" w:rsidRPr="00537C3C" w:rsidRDefault="00234376" w:rsidP="008E03A7">
      <w:r w:rsidRPr="00537C3C">
        <w:t xml:space="preserve">As previously described </w:t>
      </w:r>
      <w:r w:rsidRPr="00537C3C">
        <w:fldChar w:fldCharType="begin"/>
      </w:r>
      <w:r w:rsidRPr="00537C3C">
        <w:instrText xml:space="preserve"> ADDIN REFMGR.CITE &lt;Refman&gt;&lt;Cite&gt;&lt;Author&gt;Canfell&lt;/Author&gt;&lt;Year&gt;2008&lt;/Year&gt;&lt;RecNum&gt;4980&lt;/RecNum&gt;&lt;IDText&gt;Cost-effectiveness of proposed changes to the National Cervical Screening Program&lt;/IDText&gt;&lt;MDL Ref_Type="Report"&gt;&lt;Ref_Type&gt;Report&lt;/Ref_Type&gt;&lt;Ref_ID&gt;4980&lt;/Ref_ID&gt;&lt;Title_Primary&gt;Cost-effectiveness of proposed changes to the National Cervical Screening Program&lt;/Title_Primary&gt;&lt;Authors_Primary&gt;Canfell,K.&lt;/Authors_Primary&gt;&lt;Authors_Primary&gt;Clements,M.&lt;/Authors_Primary&gt;&lt;Authors_Primary&gt;Harris,J.&lt;/Authors_Primary&gt;&lt;Date_Primary&gt;2008&lt;/Date_Primary&gt;&lt;Keywords&gt;cost-effectiveness&lt;/Keywords&gt;&lt;Keywords&gt;screening&lt;/Keywords&gt;&lt;Reprint&gt;In File&lt;/Reprint&gt;&lt;Periodical&gt;Report to the National Screening Unit, New Zealand.&lt;/Periodical&gt;&lt;ZZ_JournalStdAbbrev&gt;&lt;f name="System"&gt;Report to the National Screening Unit, New Zealand.&lt;/f&gt;&lt;/ZZ_JournalStdAbbrev&gt;&lt;ZZ_WorkformID&gt;24&lt;/ZZ_WorkformID&gt;&lt;/MDL&gt;&lt;/Cite&gt;&lt;/Refman&gt;</w:instrText>
      </w:r>
      <w:r w:rsidRPr="00537C3C">
        <w:fldChar w:fldCharType="separate"/>
      </w:r>
      <w:r w:rsidRPr="00537C3C">
        <w:t>(Canfell et al. 2008)</w:t>
      </w:r>
      <w:r w:rsidRPr="00537C3C">
        <w:fldChar w:fldCharType="end"/>
      </w:r>
      <w:r w:rsidRPr="00537C3C">
        <w:t>, the natural history model was calibrated to two sources of data:</w:t>
      </w:r>
    </w:p>
    <w:p w:rsidR="00234376" w:rsidRPr="00537C3C" w:rsidRDefault="00234376" w:rsidP="00600AC0">
      <w:pPr>
        <w:numPr>
          <w:ilvl w:val="0"/>
          <w:numId w:val="23"/>
        </w:numPr>
        <w:tabs>
          <w:tab w:val="clear" w:pos="1440"/>
          <w:tab w:val="num" w:pos="993"/>
        </w:tabs>
        <w:ind w:left="993" w:hanging="284"/>
      </w:pPr>
      <w:r w:rsidRPr="00537C3C">
        <w:t xml:space="preserve">The predicted age-specific prevalence of oncogenic </w:t>
      </w:r>
      <w:r w:rsidRPr="00BB76D8">
        <w:t>HPV</w:t>
      </w:r>
      <w:r w:rsidRPr="00537C3C">
        <w:t xml:space="preserve"> infection in </w:t>
      </w:r>
      <w:smartTag w:uri="urn:schemas-microsoft-com:office:smarttags" w:element="place">
        <w:smartTag w:uri="urn:schemas-microsoft-com:office:smarttags" w:element="country-region">
          <w:r w:rsidRPr="00537C3C">
            <w:t>Australia</w:t>
          </w:r>
        </w:smartTag>
      </w:smartTag>
      <w:r w:rsidRPr="00537C3C">
        <w:t xml:space="preserve"> was calibrated to a number of published data sources from the international literature. </w:t>
      </w:r>
      <w:r>
        <w:fldChar w:fldCharType="begin"/>
      </w:r>
      <w:r>
        <w:instrText xml:space="preserve"> REF _Ref208804961 \h  \* MERGEFORMAT </w:instrText>
      </w:r>
      <w:r>
        <w:fldChar w:fldCharType="separate"/>
      </w:r>
      <w:r w:rsidR="007D3DFF" w:rsidRPr="00537C3C">
        <w:t xml:space="preserve">Figure </w:t>
      </w:r>
      <w:r w:rsidR="007D3DFF">
        <w:rPr>
          <w:noProof/>
        </w:rPr>
        <w:t>7</w:t>
      </w:r>
      <w:r>
        <w:fldChar w:fldCharType="end"/>
      </w:r>
      <w:bookmarkStart w:id="669" w:name="OLE_LINK654"/>
      <w:bookmarkStart w:id="670" w:name="OLE_LINK655"/>
      <w:r w:rsidRPr="00537C3C">
        <w:t xml:space="preserve"> (adapted from </w:t>
      </w:r>
      <w:r w:rsidRPr="00537C3C">
        <w:fldChar w:fldCharType="begin"/>
      </w:r>
      <w:r w:rsidRPr="00537C3C">
        <w:instrText xml:space="preserve"> ADDIN REFMGR.CITE &lt;Refman&gt;&lt;Cite&gt;&lt;Author&gt;Smith&lt;/Author&gt;&lt;Year&gt;2008&lt;/Year&gt;&lt;RecNum&gt;1&lt;/RecNum&gt;&lt;IDText&gt;The predicted impact of vaccination on human papillomavirus infections in Australia&lt;/IDText&gt;&lt;MDL Ref_Type="Journal"&gt;&lt;Ref_Type&gt;Journal&lt;/Ref_Type&gt;&lt;Ref_ID&gt;1&lt;/Ref_ID&gt;&lt;Title_Primary&gt;The predicted impact of vaccination on human papillomavirus infections in Australia&lt;/Title_Primary&gt;&lt;Authors_Primary&gt;Smith,M.A.&lt;/Authors_Primary&gt;&lt;Authors_Primary&gt;Canfell,K.&lt;/Authors_Primary&gt;&lt;Authors_Primary&gt;Brotherton,J.M.&lt;/Authors_Primary&gt;&lt;Authors_Primary&gt;Lew,J.B.&lt;/Authors_Primary&gt;&lt;Authors_Primary&gt;Barnabas,R.V.&lt;/Authors_Primary&gt;&lt;Date_Primary&gt;2008&lt;/Date_Primary&gt;&lt;Keywords&gt;Active&lt;/Keywords&gt;&lt;Keywords&gt;administration &amp;amp; dosage&lt;/Keywords&gt;&lt;Keywords&gt;Adolescent&lt;/Keywords&gt;&lt;Keywords&gt;Adult&lt;/Keywords&gt;&lt;Keywords&gt;Aged&lt;/Keywords&gt;&lt;Keywords&gt;analysis&lt;/Keywords&gt;&lt;Keywords&gt;Australia&lt;/Keywords&gt;&lt;Keywords&gt;Cancer&lt;/Keywords&gt;&lt;Keywords&gt;Child&lt;/Keywords&gt;&lt;Keywords&gt;Epidemiology&lt;/Keywords&gt;&lt;Keywords&gt;Female&lt;/Keywords&gt;&lt;Keywords&gt;HPV&lt;/Keywords&gt;&lt;Keywords&gt;Human&lt;/Keywords&gt;&lt;Keywords&gt;Humans&lt;/Keywords&gt;&lt;Keywords&gt;Incidence&lt;/Keywords&gt;&lt;Keywords&gt;Infection&lt;/Keywords&gt;&lt;Keywords&gt;Male&lt;/Keywords&gt;&lt;Keywords&gt;Middle Aged&lt;/Keywords&gt;&lt;Keywords&gt;Models,Statistical&lt;/Keywords&gt;&lt;Keywords&gt;Papillomavirus&lt;/Keywords&gt;&lt;Keywords&gt;Papillomavirus Infections&lt;/Keywords&gt;&lt;Keywords&gt;Papillomavirus Vaccines&lt;/Keywords&gt;&lt;Keywords&gt;prevention &amp;amp; control&lt;/Keywords&gt;&lt;Keywords&gt;Research&lt;/Keywords&gt;&lt;Keywords&gt;Sexual Behavior&lt;/Keywords&gt;&lt;Keywords&gt;Support&lt;/Keywords&gt;&lt;Keywords&gt;transmission&lt;/Keywords&gt;&lt;Keywords&gt;Vaccination&lt;/Keywords&gt;&lt;Keywords&gt;Vaccines&lt;/Keywords&gt;&lt;Keywords&gt;Wales&lt;/Keywords&gt;&lt;Keywords&gt;Women&lt;/Keywords&gt;&lt;Reprint&gt;Not in File&lt;/Reprint&gt;&lt;Start_Page&gt;1854&lt;/Start_Page&gt;&lt;End_Page&gt;1863&lt;/End_Page&gt;&lt;Periodical&gt;Int J Cancer&lt;/Periodical&gt;&lt;Volume&gt;123&lt;/Volume&gt;&lt;Issue&gt;8&lt;/Issue&gt;&lt;Address&gt;Cancer Epidemiology Research Unit, The Cancer Council New South Wales, Woolloomooloo, New South Wales, Australia&lt;/Address&gt;&lt;Web_URL&gt;PM:18636563&lt;/Web_URL&gt;&lt;ZZ_JournalStdAbbrev&gt;&lt;f name="System"&gt;Int J Cancer&lt;/f&gt;&lt;/ZZ_JournalStdAbbrev&gt;&lt;ZZ_WorkformID&gt;1&lt;/ZZ_WorkformID&gt;&lt;/MDL&gt;&lt;/Cite&gt;&lt;/Refman&gt;</w:instrText>
      </w:r>
      <w:r w:rsidRPr="00537C3C">
        <w:fldChar w:fldCharType="separate"/>
      </w:r>
      <w:r w:rsidRPr="00537C3C">
        <w:t>Smith et al. 2008</w:t>
      </w:r>
      <w:r w:rsidRPr="00537C3C">
        <w:fldChar w:fldCharType="end"/>
      </w:r>
      <w:r w:rsidRPr="00537C3C">
        <w:t>)</w:t>
      </w:r>
      <w:bookmarkEnd w:id="669"/>
      <w:bookmarkEnd w:id="670"/>
      <w:r w:rsidRPr="00537C3C">
        <w:t xml:space="preserve"> compares the model results with those obtained from an international meta-analysis of the cross-sectional prevalence of </w:t>
      </w:r>
      <w:r w:rsidRPr="00BB76D8">
        <w:t>HPV</w:t>
      </w:r>
      <w:r w:rsidRPr="00537C3C">
        <w:t xml:space="preserve"> </w:t>
      </w:r>
      <w:r w:rsidRPr="00537C3C">
        <w:fldChar w:fldCharType="begin"/>
      </w:r>
      <w:r w:rsidRPr="00537C3C">
        <w:instrText xml:space="preserve"> ADDIN REFMGR.CITE &lt;Refman&gt;&lt;Cite&gt;&lt;Author&gt;Burchell&lt;/Author&gt;&lt;Year&gt;2006&lt;/Year&gt;&lt;RecNum&gt;3737&lt;/RecNum&gt;&lt;IDText&gt;Chapter 6: Epidemiology and transmission dynamics of genital HPV infection&lt;/IDText&gt;&lt;MDL Ref_Type="Journal"&gt;&lt;Ref_Type&gt;Journal&lt;/Ref_Type&gt;&lt;Ref_ID&gt;3737&lt;/Ref_ID&gt;&lt;Title_Primary&gt;Chapter 6: Epidemiology and transmission dynamics of genital HPV infection&lt;/Title_Primary&gt;&lt;Authors_Primary&gt;Burchell,A.N.&lt;/Authors_Primary&gt;&lt;Authors_Primary&gt;Winer,R.L.&lt;/Authors_Primary&gt;&lt;Authors_Primary&gt;De,Sanjose S.&lt;/Authors_Primary&gt;&lt;Authors_Primary&gt;Franco,E.L.&lt;/Authors_Primary&gt;&lt;Date_Primary&gt;2006&lt;/Date_Primary&gt;&lt;Keywords&gt;Canada&lt;/Keywords&gt;&lt;Keywords&gt;Cancer&lt;/Keywords&gt;&lt;Keywords&gt;Epidemiology&lt;/Keywords&gt;&lt;Keywords&gt;HPV&lt;/Keywords&gt;&lt;Keywords&gt;Human&lt;/Keywords&gt;&lt;Keywords&gt;Incidence&lt;/Keywords&gt;&lt;Keywords&gt;Infection&lt;/Keywords&gt;&lt;Keywords&gt;Papillomavirus&lt;/Keywords&gt;&lt;Keywords&gt;Population&lt;/Keywords&gt;&lt;Keywords&gt;prevalence&lt;/Keywords&gt;&lt;Keywords&gt;Quebec&lt;/Keywords&gt;&lt;Keywords&gt;transmission&lt;/Keywords&gt;&lt;Keywords&gt;Universities&lt;/Keywords&gt;&lt;Keywords&gt;Vaccines&lt;/Keywords&gt;&lt;Keywords&gt;Women&lt;/Keywords&gt;&lt;Reprint&gt;Not in File&lt;/Reprint&gt;&lt;Start_Page&gt;S52&lt;/Start_Page&gt;&lt;End_Page&gt;S61&lt;/End_Page&gt;&lt;Periodical&gt;Vaccine&lt;/Periodical&gt;&lt;Volume&gt;24 Suppl 3&lt;/Volume&gt;&lt;Address&gt;Division of Cancer Epidemiology, Departments of Oncology and Epidemiology and Biostatistics, McGill University, 546 Pine Avenue West, Montreal, Quebec, Canada, H2W 1S6&lt;/Address&gt;&lt;Web_URL&gt;PM:16950018&lt;/Web_URL&gt;&lt;ZZ_JournalFull&gt;&lt;f name="System"&gt;Vaccine&lt;/f&gt;&lt;/ZZ_JournalFull&gt;&lt;ZZ_WorkformID&gt;1&lt;/ZZ_WorkformID&gt;&lt;/MDL&gt;&lt;/Cite&gt;&lt;/Refman&gt;</w:instrText>
      </w:r>
      <w:r w:rsidRPr="00537C3C">
        <w:fldChar w:fldCharType="separate"/>
      </w:r>
      <w:r w:rsidRPr="00537C3C">
        <w:t>(Burchell et al. 2006)</w:t>
      </w:r>
      <w:r w:rsidRPr="00537C3C">
        <w:fldChar w:fldCharType="end"/>
      </w:r>
      <w:r w:rsidRPr="00537C3C">
        <w:t xml:space="preserve">. The predicted and actual values showed close agreement in women aged less than 50 years. The modelled prevalence is also consistent with Australian data on </w:t>
      </w:r>
      <w:r w:rsidRPr="00BB76D8">
        <w:t>HPV</w:t>
      </w:r>
      <w:r w:rsidRPr="00537C3C">
        <w:t xml:space="preserve"> prevalence in a population of 805 non-Indigenous, cytologically normal women attending for routine screening who were recruited to the </w:t>
      </w:r>
      <w:bookmarkStart w:id="671" w:name="OLE_LINK613"/>
      <w:bookmarkStart w:id="672" w:name="OLE_LINK614"/>
      <w:r w:rsidRPr="006C24DD">
        <w:t xml:space="preserve">Women, Human </w:t>
      </w:r>
      <w:bookmarkStart w:id="673" w:name="OLE_LINK260"/>
      <w:bookmarkStart w:id="674" w:name="OLE_LINK261"/>
      <w:r w:rsidRPr="006C24DD">
        <w:t xml:space="preserve">Papillomavirus </w:t>
      </w:r>
      <w:bookmarkEnd w:id="673"/>
      <w:bookmarkEnd w:id="674"/>
      <w:r w:rsidRPr="006C24DD">
        <w:t>Prevalence, Indigenous, Non-Indigenous, Urban, Rural Study</w:t>
      </w:r>
      <w:bookmarkEnd w:id="671"/>
      <w:bookmarkEnd w:id="672"/>
      <w:r w:rsidRPr="006C24DD">
        <w:t xml:space="preserve"> (</w:t>
      </w:r>
      <w:bookmarkStart w:id="675" w:name="OLE_LINK262"/>
      <w:bookmarkStart w:id="676" w:name="OLE_LINK263"/>
      <w:r w:rsidRPr="006C24DD">
        <w:t>WHINURS</w:t>
      </w:r>
      <w:bookmarkEnd w:id="675"/>
      <w:bookmarkEnd w:id="676"/>
      <w:r w:rsidRPr="00537C3C">
        <w:t>) in Australia (pers. comm., Prof. Suzanne Garland).</w:t>
      </w:r>
    </w:p>
    <w:p w:rsidR="00234376" w:rsidRPr="00537C3C" w:rsidRDefault="00234376" w:rsidP="00600AC0">
      <w:pPr>
        <w:numPr>
          <w:ilvl w:val="0"/>
          <w:numId w:val="23"/>
        </w:numPr>
        <w:tabs>
          <w:tab w:val="clear" w:pos="1440"/>
          <w:tab w:val="num" w:pos="993"/>
        </w:tabs>
        <w:ind w:left="993" w:hanging="284"/>
      </w:pPr>
      <w:r w:rsidRPr="00537C3C">
        <w:lastRenderedPageBreak/>
        <w:t xml:space="preserve">The age-specific incidence of cervical cancer in 25 developing countries without significant levels of cervical screening was calculated from data published in </w:t>
      </w:r>
      <w:bookmarkStart w:id="677" w:name="OLE_LINK264"/>
      <w:bookmarkStart w:id="678" w:name="OLE_LINK265"/>
      <w:r w:rsidRPr="00537C3C">
        <w:t xml:space="preserve">Parkin et al. </w:t>
      </w:r>
      <w:bookmarkEnd w:id="677"/>
      <w:bookmarkEnd w:id="678"/>
      <w:r w:rsidRPr="00537C3C">
        <w:fldChar w:fldCharType="begin"/>
      </w:r>
      <w:r w:rsidRPr="00537C3C">
        <w:instrText xml:space="preserve"> ADDIN REFMGR.CITE &lt;Refman&gt;&lt;Cite&gt;&lt;Author&gt;Parkin&lt;/Author&gt;&lt;Year&gt;2002&lt;/Year&gt;&lt;RecNum&gt;2529&lt;/RecNum&gt;&lt;IDText&gt;Cancer incidence in five continents Vol. VIII&lt;/IDText&gt;&lt;MDL Ref_Type="Book, Whole"&gt;&lt;Ref_Type&gt;Book, Whole&lt;/Ref_Type&gt;&lt;Ref_ID&gt;2529&lt;/Ref_ID&gt;&lt;Title_Primary&gt;Cancer incidence in five continents Vol. VIII&lt;/Title_Primary&gt;&lt;Date_Primary&gt;2002&lt;/Date_Primary&gt;&lt;Keywords&gt;Cancer&lt;/Keywords&gt;&lt;Keywords&gt;Incidence&lt;/Keywords&gt;&lt;Reprint&gt;Not in File&lt;/Reprint&gt;&lt;Authors_Secondary&gt;Parkin,D.M.&lt;/Authors_Secondary&gt;&lt;Authors_Secondary&gt;Whelen,S.L.&lt;/Authors_Secondary&gt;&lt;Authors_Secondary&gt;Ferlay,J.&lt;/Authors_Secondary&gt;&lt;Authors_Secondary&gt;Teppo,L.&lt;/Authors_Secondary&gt;&lt;Authors_Secondary&gt;Thomas,D.B.&lt;/Authors_Secondary&gt;&lt;Pub_Place&gt;Lyon, France&lt;/Pub_Place&gt;&lt;Publisher&gt;IARC Scientific Publications&lt;/Publisher&gt;&lt;ZZ_WorkformID&gt;2&lt;/ZZ_WorkformID&gt;&lt;/MDL&gt;&lt;/Cite&gt;&lt;/Refman&gt;</w:instrText>
      </w:r>
      <w:r w:rsidRPr="00537C3C">
        <w:fldChar w:fldCharType="separate"/>
      </w:r>
      <w:r w:rsidRPr="00537C3C">
        <w:t>(2002)</w:t>
      </w:r>
      <w:r w:rsidRPr="00537C3C">
        <w:fldChar w:fldCharType="end"/>
      </w:r>
      <w:r w:rsidRPr="00537C3C">
        <w:t xml:space="preserve"> (</w:t>
      </w:r>
      <w:r>
        <w:fldChar w:fldCharType="begin"/>
      </w:r>
      <w:r>
        <w:instrText xml:space="preserve"> REF _Ref209609416 \h  \* MERGEFORMAT </w:instrText>
      </w:r>
      <w:r>
        <w:fldChar w:fldCharType="separate"/>
      </w:r>
      <w:r w:rsidR="007D3DFF" w:rsidRPr="00537C3C">
        <w:t xml:space="preserve">Figure </w:t>
      </w:r>
      <w:r w:rsidR="007D3DFF">
        <w:rPr>
          <w:noProof/>
        </w:rPr>
        <w:t>8</w:t>
      </w:r>
      <w:r>
        <w:fldChar w:fldCharType="end"/>
      </w:r>
      <w:r w:rsidRPr="00537C3C">
        <w:t>). Modelled and actual values showed close agreement in women aged less than 50 years. Over the age of 50 years, the model predicts a plateau in age-specific cancer incidence;</w:t>
      </w:r>
      <w:r w:rsidRPr="00537C3C" w:rsidDel="0030078D">
        <w:t xml:space="preserve"> </w:t>
      </w:r>
      <w:r w:rsidRPr="00537C3C">
        <w:t xml:space="preserve">the decrease observed in the data from developing countries is likely to reflect cohort effects in women over 65 years of age (owing to a lesser risk of exposure to </w:t>
      </w:r>
      <w:r w:rsidRPr="00BB76D8">
        <w:t>HPV</w:t>
      </w:r>
      <w:r w:rsidRPr="00537C3C">
        <w:t xml:space="preserve"> infection as younger women). The predicted </w:t>
      </w:r>
      <w:bookmarkStart w:id="679" w:name="OLE_LINK615"/>
      <w:bookmarkStart w:id="680" w:name="OLE_LINK616"/>
      <w:r w:rsidRPr="00537C3C">
        <w:t>cumulative lifetime risk</w:t>
      </w:r>
      <w:bookmarkEnd w:id="679"/>
      <w:bookmarkEnd w:id="680"/>
      <w:r w:rsidRPr="00537C3C">
        <w:t xml:space="preserve"> of cervical cancer was 2.6 per cent in women aged 10 to 85 years.</w:t>
      </w:r>
    </w:p>
    <w:p w:rsidR="00D141F3" w:rsidRDefault="00234376" w:rsidP="008E03A7">
      <w:pPr>
        <w:pStyle w:val="Caption"/>
      </w:pPr>
      <w:bookmarkStart w:id="681" w:name="_Ref208804961"/>
      <w:bookmarkStart w:id="682" w:name="_Ref209251009"/>
      <w:bookmarkStart w:id="683" w:name="_Toc231895848"/>
      <w:bookmarkStart w:id="684" w:name="_Toc222823904"/>
      <w:r w:rsidRPr="00537C3C">
        <w:t xml:space="preserve">Figure </w:t>
      </w:r>
      <w:fldSimple w:instr=" SEQ Figure \* ARABIC ">
        <w:r w:rsidR="007D3DFF">
          <w:rPr>
            <w:noProof/>
          </w:rPr>
          <w:t>7</w:t>
        </w:r>
      </w:fldSimple>
      <w:bookmarkEnd w:id="681"/>
      <w:r w:rsidRPr="00537C3C">
        <w:tab/>
        <w:t xml:space="preserve">Predicted age-specific prevalence of oncogenic </w:t>
      </w:r>
      <w:r w:rsidRPr="00BB76D8">
        <w:t>HPV</w:t>
      </w:r>
      <w:r w:rsidRPr="00537C3C">
        <w:t xml:space="preserve"> infection, compared </w:t>
      </w:r>
      <w:r w:rsidR="00CC3BE5">
        <w:t>to</w:t>
      </w:r>
      <w:r w:rsidR="00CC3BE5" w:rsidRPr="00537C3C">
        <w:t xml:space="preserve"> </w:t>
      </w:r>
      <w:r w:rsidRPr="00537C3C">
        <w:t xml:space="preserve">a 2006 meta-analysis of international data (with 95% </w:t>
      </w:r>
      <w:r w:rsidRPr="00BB76D8">
        <w:t>CI</w:t>
      </w:r>
      <w:r w:rsidRPr="00537C3C">
        <w:t>)</w:t>
      </w:r>
      <w:bookmarkEnd w:id="682"/>
      <w:r w:rsidRPr="00537C3C">
        <w:t xml:space="preserve"> (data from </w:t>
      </w:r>
      <w:r w:rsidRPr="00537C3C">
        <w:fldChar w:fldCharType="begin"/>
      </w:r>
      <w:r w:rsidRPr="00537C3C">
        <w:instrText xml:space="preserve"> ADDIN REFMGR.CITE &lt;Refman&gt;&lt;Cite&gt;&lt;Author&gt;Smith&lt;/Author&gt;&lt;Year&gt;2008&lt;/Year&gt;&lt;RecNum&gt;1&lt;/RecNum&gt;&lt;IDText&gt;The predicted impact of vaccination on human papillomavirus infections in Australia&lt;/IDText&gt;&lt;MDL Ref_Type="Journal"&gt;&lt;Ref_Type&gt;Journal&lt;/Ref_Type&gt;&lt;Ref_ID&gt;1&lt;/Ref_ID&gt;&lt;Title_Primary&gt;The predicted impact of vaccination on human papillomavirus infections in Australia&lt;/Title_Primary&gt;&lt;Authors_Primary&gt;Smith,M.A.&lt;/Authors_Primary&gt;&lt;Authors_Primary&gt;Canfell,K.&lt;/Authors_Primary&gt;&lt;Authors_Primary&gt;Brotherton,J.M.&lt;/Authors_Primary&gt;&lt;Authors_Primary&gt;Lew,J.B.&lt;/Authors_Primary&gt;&lt;Authors_Primary&gt;Barnabas,R.V.&lt;/Authors_Primary&gt;&lt;Date_Primary&gt;2008&lt;/Date_Primary&gt;&lt;Keywords&gt;Active&lt;/Keywords&gt;&lt;Keywords&gt;administration &amp;amp; dosage&lt;/Keywords&gt;&lt;Keywords&gt;Adolescent&lt;/Keywords&gt;&lt;Keywords&gt;Adult&lt;/Keywords&gt;&lt;Keywords&gt;Aged&lt;/Keywords&gt;&lt;Keywords&gt;analysis&lt;/Keywords&gt;&lt;Keywords&gt;Australia&lt;/Keywords&gt;&lt;Keywords&gt;Cancer&lt;/Keywords&gt;&lt;Keywords&gt;Child&lt;/Keywords&gt;&lt;Keywords&gt;Epidemiology&lt;/Keywords&gt;&lt;Keywords&gt;Female&lt;/Keywords&gt;&lt;Keywords&gt;HPV&lt;/Keywords&gt;&lt;Keywords&gt;Human&lt;/Keywords&gt;&lt;Keywords&gt;Humans&lt;/Keywords&gt;&lt;Keywords&gt;Incidence&lt;/Keywords&gt;&lt;Keywords&gt;Infection&lt;/Keywords&gt;&lt;Keywords&gt;Male&lt;/Keywords&gt;&lt;Keywords&gt;Middle Aged&lt;/Keywords&gt;&lt;Keywords&gt;Models,Statistical&lt;/Keywords&gt;&lt;Keywords&gt;Papillomavirus&lt;/Keywords&gt;&lt;Keywords&gt;Papillomavirus Infections&lt;/Keywords&gt;&lt;Keywords&gt;Papillomavirus Vaccines&lt;/Keywords&gt;&lt;Keywords&gt;prevention &amp;amp; control&lt;/Keywords&gt;&lt;Keywords&gt;Research&lt;/Keywords&gt;&lt;Keywords&gt;Sexual Behavior&lt;/Keywords&gt;&lt;Keywords&gt;Support&lt;/Keywords&gt;&lt;Keywords&gt;transmission&lt;/Keywords&gt;&lt;Keywords&gt;Vaccination&lt;/Keywords&gt;&lt;Keywords&gt;Vaccines&lt;/Keywords&gt;&lt;Keywords&gt;Wales&lt;/Keywords&gt;&lt;Keywords&gt;Women&lt;/Keywords&gt;&lt;Reprint&gt;Not in File&lt;/Reprint&gt;&lt;Start_Page&gt;1854&lt;/Start_Page&gt;&lt;End_Page&gt;1863&lt;/End_Page&gt;&lt;Periodical&gt;Int J Cancer&lt;/Periodical&gt;&lt;Volume&gt;123&lt;/Volume&gt;&lt;Issue&gt;8&lt;/Issue&gt;&lt;Address&gt;Cancer Epidemiology Research Unit, The Cancer Council New South Wales, Woolloomooloo, New South Wales, Australia&lt;/Address&gt;&lt;Web_URL&gt;PM:18636563&lt;/Web_URL&gt;&lt;ZZ_JournalStdAbbrev&gt;&lt;f name="System"&gt;Int J Cancer&lt;/f&gt;&lt;/ZZ_JournalStdAbbrev&gt;&lt;ZZ_WorkformID&gt;1&lt;/ZZ_WorkformID&gt;&lt;/MDL&gt;&lt;/Cite&gt;&lt;/Refman&gt;</w:instrText>
      </w:r>
      <w:r w:rsidRPr="00537C3C">
        <w:fldChar w:fldCharType="separate"/>
      </w:r>
      <w:r w:rsidRPr="00537C3C">
        <w:t>Smith et al. 2008</w:t>
      </w:r>
      <w:r w:rsidRPr="00537C3C">
        <w:fldChar w:fldCharType="end"/>
      </w:r>
      <w:r w:rsidRPr="00537C3C">
        <w:t>).</w:t>
      </w:r>
      <w:bookmarkEnd w:id="683"/>
      <w:bookmarkEnd w:id="684"/>
    </w:p>
    <w:p w:rsidR="00234376" w:rsidRPr="00537C3C" w:rsidRDefault="006F242B" w:rsidP="002E3E59">
      <w:r>
        <w:rPr>
          <w:noProof/>
          <w:lang w:eastAsia="en-AU"/>
        </w:rPr>
        <w:drawing>
          <wp:inline distT="0" distB="0" distL="0" distR="0" wp14:anchorId="3A2E2035" wp14:editId="16966314">
            <wp:extent cx="5091430" cy="2818765"/>
            <wp:effectExtent l="0" t="0" r="0" b="635"/>
            <wp:docPr id="90" name="Picture 9" title="Predicted age-specific prevalence of oncogenic HPV infection, compared to a 2006 meta-analysis of international data (with 95% CI) (data from Smith et al.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1430" cy="2818765"/>
                    </a:xfrm>
                    <a:prstGeom prst="rect">
                      <a:avLst/>
                    </a:prstGeom>
                    <a:noFill/>
                  </pic:spPr>
                </pic:pic>
              </a:graphicData>
            </a:graphic>
          </wp:inline>
        </w:drawing>
      </w:r>
      <w:bookmarkStart w:id="685" w:name="_Ref208804966"/>
      <w:r w:rsidR="00234376">
        <w:fldChar w:fldCharType="begin" w:fldLock="1"/>
      </w:r>
      <w:r w:rsidR="00234376">
        <w:instrText xml:space="preserve">ref </w:instrText>
      </w:r>
      <w:r w:rsidR="00234376" w:rsidRPr="00537C3C">
        <w:instrText xml:space="preserve"> SHAPE  \* MERGEFORMAT </w:instrText>
      </w:r>
      <w:r w:rsidR="00234376">
        <w:fldChar w:fldCharType="end"/>
      </w:r>
    </w:p>
    <w:p w:rsidR="00234376" w:rsidRPr="00537C3C" w:rsidRDefault="00234376" w:rsidP="008E03A7">
      <w:pPr>
        <w:pStyle w:val="Caption"/>
        <w:ind w:left="720" w:firstLine="0"/>
      </w:pPr>
      <w:bookmarkStart w:id="686" w:name="_Ref209609416"/>
      <w:bookmarkStart w:id="687" w:name="_Toc231895849"/>
      <w:bookmarkStart w:id="688" w:name="_Toc222823905"/>
      <w:r w:rsidRPr="00537C3C">
        <w:t xml:space="preserve">Figure </w:t>
      </w:r>
      <w:fldSimple w:instr=" SEQ Figure \* ARABIC ">
        <w:r w:rsidR="007D3DFF">
          <w:rPr>
            <w:noProof/>
          </w:rPr>
          <w:t>8</w:t>
        </w:r>
      </w:fldSimple>
      <w:bookmarkEnd w:id="685"/>
      <w:bookmarkEnd w:id="686"/>
      <w:r w:rsidRPr="00537C3C">
        <w:tab/>
        <w:t xml:space="preserve">Predicted age-specific incidence of cervical cancer in an unscreened population, compared </w:t>
      </w:r>
      <w:r w:rsidR="00CC3BE5">
        <w:t>to</w:t>
      </w:r>
      <w:r w:rsidRPr="00537C3C">
        <w:t xml:space="preserve"> data from 25 developing countries (data from </w:t>
      </w:r>
      <w:r w:rsidRPr="00537C3C" w:rsidDel="006C24DD">
        <w:t>Parkin et al.</w:t>
      </w:r>
      <w:r w:rsidRPr="00537C3C">
        <w:t xml:space="preserve"> 2002).</w:t>
      </w:r>
      <w:bookmarkEnd w:id="687"/>
      <w:bookmarkEnd w:id="688"/>
    </w:p>
    <w:p w:rsidR="00234376" w:rsidRPr="00537C3C" w:rsidRDefault="006F242B" w:rsidP="002E3E59">
      <w:r>
        <w:rPr>
          <w:noProof/>
          <w:lang w:eastAsia="en-AU"/>
        </w:rPr>
        <w:drawing>
          <wp:inline distT="0" distB="0" distL="0" distR="0" wp14:anchorId="2263B73B" wp14:editId="6679186A">
            <wp:extent cx="5091430" cy="3032125"/>
            <wp:effectExtent l="0" t="0" r="0" b="0"/>
            <wp:docPr id="89" name="Picture 8" title="Predicted age-specific incidence of cervical cancer in an unscreened population, compared to data from 25 developing countries (data from Parkin et al.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91430" cy="3032125"/>
                    </a:xfrm>
                    <a:prstGeom prst="rect">
                      <a:avLst/>
                    </a:prstGeom>
                    <a:noFill/>
                  </pic:spPr>
                </pic:pic>
              </a:graphicData>
            </a:graphic>
          </wp:inline>
        </w:drawing>
      </w:r>
    </w:p>
    <w:p w:rsidR="00234376" w:rsidRPr="00537C3C" w:rsidRDefault="00234376" w:rsidP="008E03A7">
      <w:pPr>
        <w:pStyle w:val="Heading5"/>
      </w:pPr>
      <w:bookmarkStart w:id="689" w:name="_Ref210623061"/>
      <w:r w:rsidRPr="00537C3C">
        <w:lastRenderedPageBreak/>
        <w:t>Calibration of the screening model</w:t>
      </w:r>
      <w:bookmarkEnd w:id="689"/>
    </w:p>
    <w:p w:rsidR="00234376" w:rsidRPr="00537C3C" w:rsidRDefault="00234376" w:rsidP="008E03A7">
      <w:r w:rsidRPr="00537C3C">
        <w:t xml:space="preserve">Following calibration of the natural history model, the complete model of screening, diagnosis and management in </w:t>
      </w:r>
      <w:smartTag w:uri="urn:schemas-microsoft-com:office:smarttags" w:element="place">
        <w:smartTag w:uri="urn:schemas-microsoft-com:office:smarttags" w:element="country-region">
          <w:r w:rsidRPr="00537C3C">
            <w:t>Australia</w:t>
          </w:r>
        </w:smartTag>
      </w:smartTag>
      <w:r w:rsidRPr="00537C3C">
        <w:t xml:space="preserve"> was implemented. The full model was considerably complex and incorporated data on age-specific screening initiation and screening and management recommendation compliance in Australian women (as informed by an analysis of </w:t>
      </w:r>
      <w:r w:rsidRPr="00BB76D8">
        <w:t>VCCR</w:t>
      </w:r>
      <w:r w:rsidRPr="00537C3C">
        <w:t xml:space="preserve"> data), and incorporated the estimates of test characteristics of conventional cytology and colposcopy.</w:t>
      </w:r>
    </w:p>
    <w:p w:rsidR="00234376" w:rsidRPr="00537C3C" w:rsidRDefault="00234376" w:rsidP="008E03A7">
      <w:r w:rsidRPr="00537C3C">
        <w:t>The output of the full screening model was compared with:</w:t>
      </w:r>
    </w:p>
    <w:p w:rsidR="00234376" w:rsidRPr="00537C3C" w:rsidRDefault="00234376" w:rsidP="008E03A7">
      <w:pPr>
        <w:numPr>
          <w:ilvl w:val="0"/>
          <w:numId w:val="28"/>
        </w:numPr>
      </w:pPr>
      <w:r w:rsidRPr="00537C3C">
        <w:t xml:space="preserve">the age-specific and age-standardised incidence of cervical cancer in Australia over the period 2002–2004 </w:t>
      </w:r>
      <w:r w:rsidRPr="00537C3C">
        <w:fldChar w:fldCharType="begin"/>
      </w:r>
      <w:r w:rsidRPr="00537C3C">
        <w:instrText xml:space="preserve"> ADDIN REFMGR.CITE &lt;Refman&gt;&lt;Cite&gt;&lt;Author&gt;AIHW&lt;/Author&gt;&lt;Year&gt;2008&lt;/Year&gt;&lt;RecNum&gt;4903&lt;/RecNum&gt;&lt;IDText&gt;Cervical screening in Australia 2005-2006&lt;/IDText&gt;&lt;MDL Ref_Type="Report"&gt;&lt;Ref_Type&gt;Report&lt;/Ref_Type&gt;&lt;Ref_ID&gt;4903&lt;/Ref_ID&gt;&lt;Title_Primary&gt;Cervical screening in Australia 2005-2006&lt;/Title_Primary&gt;&lt;Authors_Primary&gt;AIHW&lt;/Authors_Primary&gt;&lt;Date_Primary&gt;2008&lt;/Date_Primary&gt;&lt;Keywords&gt;Australia&lt;/Keywords&gt;&lt;Keywords&gt;Cancer&lt;/Keywords&gt;&lt;Keywords&gt;screening&lt;/Keywords&gt;&lt;Keywords&gt;cervical&lt;/Keywords&gt;&lt;Reprint&gt;Not in File&lt;/Reprint&gt;&lt;Volume&gt;AIHW cat. no. Can 36&lt;/Volume&gt;&lt;Pub_Place&gt;Canberra: AIHW&lt;/Pub_Place&gt;&lt;Publisher&gt;Australian Institute of Health and Welfare&lt;/Publisher&gt;&lt;Title_Series&gt;Cancer series no. 41&lt;/Title_Series&gt;&lt;ZZ_WorkformID&gt;24&lt;/ZZ_WorkformID&gt;&lt;/MDL&gt;&lt;/Cite&gt;&lt;/Refman&gt;</w:instrText>
      </w:r>
      <w:r w:rsidRPr="00537C3C">
        <w:fldChar w:fldCharType="separate"/>
      </w:r>
      <w:r w:rsidRPr="00537C3C">
        <w:t>(</w:t>
      </w:r>
      <w:r w:rsidRPr="00BB76D8">
        <w:t>AIHW</w:t>
      </w:r>
      <w:r w:rsidRPr="00537C3C">
        <w:t xml:space="preserve"> 2008)</w:t>
      </w:r>
      <w:r w:rsidRPr="00537C3C">
        <w:fldChar w:fldCharType="end"/>
      </w:r>
    </w:p>
    <w:p w:rsidR="00234376" w:rsidRPr="00537C3C" w:rsidRDefault="00234376" w:rsidP="008E03A7">
      <w:pPr>
        <w:numPr>
          <w:ilvl w:val="0"/>
          <w:numId w:val="28"/>
        </w:numPr>
      </w:pPr>
      <w:r w:rsidRPr="00537C3C">
        <w:t xml:space="preserve">the age-specific and age-standardised mortality due to cervical cancer in Australia over the period 2002–2004 </w:t>
      </w:r>
      <w:r w:rsidRPr="00537C3C">
        <w:fldChar w:fldCharType="begin"/>
      </w:r>
      <w:r w:rsidRPr="00537C3C">
        <w:instrText xml:space="preserve"> ADDIN REFMGR.CITE &lt;Refman&gt;&lt;Cite&gt;&lt;Author&gt;AIHW&lt;/Author&gt;&lt;Year&gt;2008&lt;/Year&gt;&lt;RecNum&gt;4903&lt;/RecNum&gt;&lt;IDText&gt;Cervical screening in Australia 2005-2006&lt;/IDText&gt;&lt;MDL Ref_Type="Report"&gt;&lt;Ref_Type&gt;Report&lt;/Ref_Type&gt;&lt;Ref_ID&gt;4903&lt;/Ref_ID&gt;&lt;Title_Primary&gt;Cervical screening in Australia 2005-2006&lt;/Title_Primary&gt;&lt;Authors_Primary&gt;AIHW&lt;/Authors_Primary&gt;&lt;Date_Primary&gt;2008&lt;/Date_Primary&gt;&lt;Keywords&gt;Australia&lt;/Keywords&gt;&lt;Keywords&gt;Cancer&lt;/Keywords&gt;&lt;Keywords&gt;screening&lt;/Keywords&gt;&lt;Keywords&gt;cervical&lt;/Keywords&gt;&lt;Reprint&gt;Not in File&lt;/Reprint&gt;&lt;Volume&gt;AIHW cat. no. Can 36&lt;/Volume&gt;&lt;Pub_Place&gt;Canberra: AIHW&lt;/Pub_Place&gt;&lt;Publisher&gt;Australian Institute of Health and Welfare&lt;/Publisher&gt;&lt;Title_Series&gt;Cancer series no. 41&lt;/Title_Series&gt;&lt;ZZ_WorkformID&gt;24&lt;/ZZ_WorkformID&gt;&lt;/MDL&gt;&lt;/Cite&gt;&lt;/Refman&gt;</w:instrText>
      </w:r>
      <w:r w:rsidRPr="00537C3C">
        <w:fldChar w:fldCharType="separate"/>
      </w:r>
      <w:r w:rsidRPr="00537C3C">
        <w:t>(</w:t>
      </w:r>
      <w:r w:rsidRPr="00BB76D8">
        <w:t>AIHW</w:t>
      </w:r>
      <w:r w:rsidRPr="00537C3C">
        <w:t xml:space="preserve"> 2008)</w:t>
      </w:r>
      <w:r w:rsidRPr="00537C3C">
        <w:fldChar w:fldCharType="end"/>
      </w:r>
    </w:p>
    <w:p w:rsidR="00234376" w:rsidRPr="00537C3C" w:rsidRDefault="00234376" w:rsidP="008E03A7">
      <w:pPr>
        <w:numPr>
          <w:ilvl w:val="0"/>
          <w:numId w:val="28"/>
        </w:numPr>
      </w:pPr>
      <w:r w:rsidRPr="00537C3C">
        <w:t>the age-specific and age-standardised rate of histologically confirmed high-grade disease during 2006</w:t>
      </w:r>
    </w:p>
    <w:p w:rsidR="00234376" w:rsidRPr="00537C3C" w:rsidRDefault="00234376" w:rsidP="008E03A7">
      <w:pPr>
        <w:numPr>
          <w:ilvl w:val="0"/>
          <w:numId w:val="28"/>
        </w:numPr>
      </w:pPr>
      <w:r w:rsidRPr="00537C3C">
        <w:t>the age-specific and age-standardised rate of histologically confirmed low-grade disease during 2006.</w:t>
      </w:r>
    </w:p>
    <w:p w:rsidR="00234376" w:rsidRPr="00537C3C" w:rsidRDefault="00234376" w:rsidP="008E03A7">
      <w:r w:rsidRPr="00537C3C">
        <w:t xml:space="preserve">The results are shown in </w:t>
      </w:r>
      <w:r>
        <w:fldChar w:fldCharType="begin"/>
      </w:r>
      <w:r>
        <w:instrText xml:space="preserve"> REF _Ref214157092 \h  \* MERGEFORMAT </w:instrText>
      </w:r>
      <w:r>
        <w:fldChar w:fldCharType="separate"/>
      </w:r>
      <w:r w:rsidR="007D3DFF" w:rsidRPr="00537C3C">
        <w:t xml:space="preserve">Figure </w:t>
      </w:r>
      <w:r w:rsidR="007D3DFF">
        <w:rPr>
          <w:noProof/>
        </w:rPr>
        <w:t>9</w:t>
      </w:r>
      <w:r>
        <w:fldChar w:fldCharType="end"/>
      </w:r>
      <w:r w:rsidRPr="00537C3C">
        <w:t xml:space="preserve">, </w:t>
      </w:r>
      <w:r>
        <w:fldChar w:fldCharType="begin"/>
      </w:r>
      <w:r>
        <w:instrText xml:space="preserve"> REF _Ref214157099 \h  \* MERGEFORMAT </w:instrText>
      </w:r>
      <w:r>
        <w:fldChar w:fldCharType="separate"/>
      </w:r>
      <w:r w:rsidR="007D3DFF" w:rsidRPr="00537C3C">
        <w:t xml:space="preserve">Figure </w:t>
      </w:r>
      <w:r w:rsidR="007D3DFF">
        <w:rPr>
          <w:noProof/>
        </w:rPr>
        <w:t>10</w:t>
      </w:r>
      <w:r>
        <w:fldChar w:fldCharType="end"/>
      </w:r>
      <w:r w:rsidRPr="00537C3C">
        <w:t xml:space="preserve">, </w:t>
      </w:r>
      <w:r>
        <w:fldChar w:fldCharType="begin"/>
      </w:r>
      <w:r>
        <w:instrText xml:space="preserve"> REF _Ref214157102 \h  \* MERGEFORMAT </w:instrText>
      </w:r>
      <w:r>
        <w:fldChar w:fldCharType="separate"/>
      </w:r>
      <w:r w:rsidR="007D3DFF" w:rsidRPr="00537C3C">
        <w:t xml:space="preserve">Figure </w:t>
      </w:r>
      <w:r w:rsidR="007D3DFF">
        <w:rPr>
          <w:noProof/>
        </w:rPr>
        <w:t>11</w:t>
      </w:r>
      <w:r>
        <w:fldChar w:fldCharType="end"/>
      </w:r>
      <w:r w:rsidRPr="00537C3C">
        <w:t xml:space="preserve">, </w:t>
      </w:r>
      <w:r>
        <w:fldChar w:fldCharType="begin"/>
      </w:r>
      <w:r>
        <w:instrText xml:space="preserve"> REF _Ref214157104 \h  \* MERGEFORMAT </w:instrText>
      </w:r>
      <w:r>
        <w:fldChar w:fldCharType="separate"/>
      </w:r>
      <w:r w:rsidR="007D3DFF" w:rsidRPr="00537C3C">
        <w:t xml:space="preserve">Figure </w:t>
      </w:r>
      <w:r w:rsidR="007D3DFF">
        <w:rPr>
          <w:noProof/>
        </w:rPr>
        <w:t>12</w:t>
      </w:r>
      <w:r>
        <w:fldChar w:fldCharType="end"/>
      </w:r>
      <w:r w:rsidRPr="00537C3C">
        <w:t xml:space="preserve">, and </w:t>
      </w:r>
      <w:r>
        <w:fldChar w:fldCharType="begin"/>
      </w:r>
      <w:r>
        <w:instrText xml:space="preserve"> REF _Ref208726251 \h  \* MERGEFORMAT </w:instrText>
      </w:r>
      <w:r>
        <w:fldChar w:fldCharType="separate"/>
      </w:r>
      <w:r w:rsidR="007D3DFF" w:rsidRPr="00537C3C">
        <w:t xml:space="preserve">Table </w:t>
      </w:r>
      <w:r w:rsidR="007D3DFF">
        <w:rPr>
          <w:noProof/>
        </w:rPr>
        <w:t>48</w:t>
      </w:r>
      <w:r>
        <w:fldChar w:fldCharType="end"/>
      </w:r>
      <w:r w:rsidRPr="00537C3C">
        <w:t>.</w:t>
      </w:r>
    </w:p>
    <w:p w:rsidR="00234376" w:rsidRPr="00537C3C" w:rsidRDefault="00234376" w:rsidP="008E03A7">
      <w:r w:rsidRPr="00537C3C">
        <w:t>Modelled and actual values of age-specific cancer incidence and mortality showed close agreement. The model predicts lower than observed rates of cervical cancer mortality among women over 70 years of age, potentially reflecting a cohort effect in the survival probabilities used to parameterise the model.</w:t>
      </w:r>
    </w:p>
    <w:p w:rsidR="00234376" w:rsidRDefault="00234376" w:rsidP="008E03A7">
      <w:pPr>
        <w:pStyle w:val="Caption"/>
      </w:pPr>
      <w:bookmarkStart w:id="690" w:name="_Ref214157092"/>
      <w:bookmarkStart w:id="691" w:name="_Toc231895850"/>
      <w:bookmarkStart w:id="692" w:name="_Toc222823906"/>
      <w:r w:rsidRPr="00537C3C">
        <w:t xml:space="preserve">Figure </w:t>
      </w:r>
      <w:fldSimple w:instr=" SEQ Figure \* ARABIC ">
        <w:r w:rsidR="007D3DFF">
          <w:rPr>
            <w:noProof/>
          </w:rPr>
          <w:t>9</w:t>
        </w:r>
      </w:fldSimple>
      <w:bookmarkEnd w:id="690"/>
      <w:r w:rsidRPr="00537C3C">
        <w:tab/>
        <w:t xml:space="preserve">Predicted age-specific incidence of cervical cancer in </w:t>
      </w:r>
      <w:smartTag w:uri="urn:schemas-microsoft-com:office:smarttags" w:element="place">
        <w:smartTag w:uri="urn:schemas-microsoft-com:office:smarttags" w:element="country-region">
          <w:r w:rsidRPr="00537C3C">
            <w:t>Australia</w:t>
          </w:r>
        </w:smartTag>
      </w:smartTag>
      <w:r w:rsidRPr="00537C3C">
        <w:t>, compared with cancer registry data from 2002–2004.</w:t>
      </w:r>
      <w:bookmarkEnd w:id="691"/>
      <w:bookmarkEnd w:id="692"/>
    </w:p>
    <w:p w:rsidR="003A3624" w:rsidRPr="00537C3C" w:rsidRDefault="006F242B" w:rsidP="00574DA5">
      <w:pPr>
        <w:rPr>
          <w:lang w:eastAsia="en-AU"/>
        </w:rPr>
      </w:pPr>
      <w:r>
        <w:rPr>
          <w:noProof/>
          <w:lang w:eastAsia="en-AU"/>
        </w:rPr>
        <w:drawing>
          <wp:inline distT="0" distB="0" distL="0" distR="0" wp14:anchorId="4EAA8D5F" wp14:editId="7FFE60CE">
            <wp:extent cx="5100955" cy="3041650"/>
            <wp:effectExtent l="0" t="0" r="4445" b="6350"/>
            <wp:docPr id="88" name="Picture 7" title="Predicted age-specific incidence of cervical cancer in Australia, compared with cancer registry data from 2002–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0955" cy="3041650"/>
                    </a:xfrm>
                    <a:prstGeom prst="rect">
                      <a:avLst/>
                    </a:prstGeom>
                    <a:noFill/>
                  </pic:spPr>
                </pic:pic>
              </a:graphicData>
            </a:graphic>
          </wp:inline>
        </w:drawing>
      </w:r>
    </w:p>
    <w:p w:rsidR="00234376" w:rsidRPr="00537C3C" w:rsidRDefault="00234376" w:rsidP="008E03A7">
      <w:pPr>
        <w:pStyle w:val="Caption"/>
      </w:pPr>
      <w:bookmarkStart w:id="693" w:name="_Ref214157099"/>
      <w:bookmarkStart w:id="694" w:name="_Toc231895851"/>
      <w:bookmarkStart w:id="695" w:name="_Toc222823907"/>
      <w:r w:rsidRPr="00537C3C">
        <w:lastRenderedPageBreak/>
        <w:t xml:space="preserve">Figure </w:t>
      </w:r>
      <w:fldSimple w:instr=" SEQ Figure \* ARABIC ">
        <w:r w:rsidR="007D3DFF">
          <w:rPr>
            <w:noProof/>
          </w:rPr>
          <w:t>10</w:t>
        </w:r>
      </w:fldSimple>
      <w:bookmarkEnd w:id="693"/>
      <w:r w:rsidRPr="00537C3C">
        <w:tab/>
        <w:t xml:space="preserve">Predicted age-specific mortality in </w:t>
      </w:r>
      <w:smartTag w:uri="urn:schemas-microsoft-com:office:smarttags" w:element="place">
        <w:smartTag w:uri="urn:schemas-microsoft-com:office:smarttags" w:element="country-region">
          <w:r w:rsidRPr="00537C3C">
            <w:t>Australia</w:t>
          </w:r>
        </w:smartTag>
      </w:smartTag>
      <w:r w:rsidRPr="00537C3C">
        <w:t>, compared with cancer registry data from 2003 to 2005.</w:t>
      </w:r>
      <w:bookmarkEnd w:id="694"/>
      <w:bookmarkEnd w:id="695"/>
    </w:p>
    <w:p w:rsidR="00234376" w:rsidRPr="00537C3C" w:rsidRDefault="006F242B" w:rsidP="00D025DC">
      <w:r>
        <w:rPr>
          <w:noProof/>
          <w:lang w:eastAsia="en-AU"/>
        </w:rPr>
        <w:drawing>
          <wp:inline distT="0" distB="0" distL="0" distR="0" wp14:anchorId="5CD4C33C" wp14:editId="6952AD23">
            <wp:extent cx="5097780" cy="2626995"/>
            <wp:effectExtent l="0" t="0" r="7620" b="1905"/>
            <wp:docPr id="87" name="Picture 6" title="Predicted age-specific mortality in Australia, compared with cancer registry data from 2003 to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97780" cy="2626995"/>
                    </a:xfrm>
                    <a:prstGeom prst="rect">
                      <a:avLst/>
                    </a:prstGeom>
                    <a:noFill/>
                  </pic:spPr>
                </pic:pic>
              </a:graphicData>
            </a:graphic>
          </wp:inline>
        </w:drawing>
      </w:r>
    </w:p>
    <w:p w:rsidR="00234376" w:rsidRDefault="00234376" w:rsidP="008E03A7">
      <w:pPr>
        <w:pStyle w:val="Caption"/>
      </w:pPr>
      <w:bookmarkStart w:id="696" w:name="_Ref214157102"/>
      <w:bookmarkStart w:id="697" w:name="_Toc231895852"/>
      <w:bookmarkStart w:id="698" w:name="_Toc222823908"/>
      <w:r w:rsidRPr="00537C3C">
        <w:t xml:space="preserve">Figure </w:t>
      </w:r>
      <w:fldSimple w:instr=" SEQ Figure \* ARABIC ">
        <w:r w:rsidR="007D3DFF">
          <w:rPr>
            <w:noProof/>
          </w:rPr>
          <w:t>11</w:t>
        </w:r>
      </w:fldSimple>
      <w:bookmarkEnd w:id="696"/>
      <w:r w:rsidRPr="00537C3C">
        <w:tab/>
        <w:t>Predicted age-specific rate of histologically confirmed high grades detected, compared with registry data (2006).</w:t>
      </w:r>
      <w:bookmarkEnd w:id="697"/>
      <w:bookmarkEnd w:id="698"/>
    </w:p>
    <w:p w:rsidR="003A3624" w:rsidRPr="00537C3C" w:rsidRDefault="006F242B" w:rsidP="00D025DC">
      <w:pPr>
        <w:rPr>
          <w:lang w:eastAsia="en-AU"/>
        </w:rPr>
      </w:pPr>
      <w:r>
        <w:rPr>
          <w:noProof/>
          <w:lang w:eastAsia="en-AU"/>
        </w:rPr>
        <w:drawing>
          <wp:inline distT="0" distB="0" distL="0" distR="0" wp14:anchorId="23C8F77A" wp14:editId="6FCABC0A">
            <wp:extent cx="5091430" cy="3038475"/>
            <wp:effectExtent l="0" t="0" r="0" b="9525"/>
            <wp:docPr id="86" name="Picture 5" title="Predicted age-specific rate of histologically confirmed high grades detected, compared with registry data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91430" cy="3038475"/>
                    </a:xfrm>
                    <a:prstGeom prst="rect">
                      <a:avLst/>
                    </a:prstGeom>
                    <a:noFill/>
                  </pic:spPr>
                </pic:pic>
              </a:graphicData>
            </a:graphic>
          </wp:inline>
        </w:drawing>
      </w:r>
    </w:p>
    <w:p w:rsidR="00234376" w:rsidRPr="00537C3C" w:rsidRDefault="00C97E47" w:rsidP="008E03A7">
      <w:pPr>
        <w:ind w:left="284"/>
      </w:pPr>
      <w:r>
        <w:fldChar w:fldCharType="begin" w:fldLock="1"/>
      </w:r>
      <w:r>
        <w:instrText xml:space="preserve">ref  SHAPE  \* MERGEFORMAT </w:instrText>
      </w:r>
      <w:r>
        <w:fldChar w:fldCharType="end"/>
      </w:r>
    </w:p>
    <w:p w:rsidR="00234376" w:rsidRDefault="00234376" w:rsidP="008E03A7">
      <w:pPr>
        <w:pStyle w:val="Caption"/>
      </w:pPr>
      <w:bookmarkStart w:id="699" w:name="_Ref214157104"/>
      <w:bookmarkStart w:id="700" w:name="_Toc231895853"/>
      <w:bookmarkStart w:id="701" w:name="_Toc222823909"/>
      <w:r w:rsidRPr="00537C3C">
        <w:lastRenderedPageBreak/>
        <w:t xml:space="preserve">Figure </w:t>
      </w:r>
      <w:fldSimple w:instr=" SEQ Figure \* ARABIC ">
        <w:r w:rsidR="007D3DFF">
          <w:rPr>
            <w:noProof/>
          </w:rPr>
          <w:t>12</w:t>
        </w:r>
      </w:fldSimple>
      <w:bookmarkEnd w:id="699"/>
      <w:r w:rsidRPr="00537C3C">
        <w:tab/>
        <w:t>Predicted age-specific rate of histologically confirmed low grades detected, compared with registry data (2006).</w:t>
      </w:r>
      <w:bookmarkEnd w:id="700"/>
      <w:bookmarkEnd w:id="701"/>
    </w:p>
    <w:p w:rsidR="00D025DC" w:rsidRDefault="006F242B" w:rsidP="00D025DC">
      <w:pPr>
        <w:rPr>
          <w:lang w:eastAsia="en-AU"/>
        </w:rPr>
      </w:pPr>
      <w:r>
        <w:rPr>
          <w:noProof/>
          <w:lang w:eastAsia="en-AU"/>
        </w:rPr>
        <w:drawing>
          <wp:inline distT="0" distB="0" distL="0" distR="0" wp14:anchorId="4F9CB8BA" wp14:editId="4A67A364">
            <wp:extent cx="5082540" cy="3030855"/>
            <wp:effectExtent l="0" t="0" r="3810" b="0"/>
            <wp:docPr id="85" name="Picture 4" title="Predicted age-specific rate of histologically confirmed low grades detected, compared with registry data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82540" cy="3030855"/>
                    </a:xfrm>
                    <a:prstGeom prst="rect">
                      <a:avLst/>
                    </a:prstGeom>
                    <a:noFill/>
                  </pic:spPr>
                </pic:pic>
              </a:graphicData>
            </a:graphic>
          </wp:inline>
        </w:drawing>
      </w:r>
    </w:p>
    <w:p w:rsidR="003A3624" w:rsidRPr="00537C3C" w:rsidRDefault="003A3624" w:rsidP="008E03A7">
      <w:pPr>
        <w:pStyle w:val="BodyText"/>
        <w:rPr>
          <w:lang w:eastAsia="en-AU"/>
        </w:rPr>
      </w:pPr>
    </w:p>
    <w:p w:rsidR="00234376" w:rsidRPr="00537C3C" w:rsidRDefault="00C97E47" w:rsidP="008E03A7">
      <w:pPr>
        <w:pStyle w:val="BodyText"/>
        <w:ind w:left="284"/>
        <w:rPr>
          <w:lang w:eastAsia="en-AU"/>
        </w:rPr>
      </w:pPr>
      <w:r>
        <w:fldChar w:fldCharType="begin" w:fldLock="1"/>
      </w:r>
      <w:r>
        <w:instrText xml:space="preserve">ref  SHAPE  \* MERGEFORMAT </w:instrText>
      </w:r>
      <w:r>
        <w:fldChar w:fldCharType="end"/>
      </w:r>
    </w:p>
    <w:p w:rsidR="00234376" w:rsidRPr="00537C3C" w:rsidRDefault="00234376" w:rsidP="008E03A7">
      <w:r w:rsidRPr="00537C3C">
        <w:t>Modelled and actual values of histologically confirmed high-grade lesions showed close agreement (</w:t>
      </w:r>
      <w:r>
        <w:fldChar w:fldCharType="begin"/>
      </w:r>
      <w:r>
        <w:instrText xml:space="preserve"> REF _Ref214157102 \h  \* MERGEFORMAT </w:instrText>
      </w:r>
      <w:r>
        <w:fldChar w:fldCharType="separate"/>
      </w:r>
      <w:r w:rsidR="007D3DFF" w:rsidRPr="00537C3C">
        <w:t xml:space="preserve">Figure </w:t>
      </w:r>
      <w:r w:rsidR="007D3DFF">
        <w:rPr>
          <w:noProof/>
        </w:rPr>
        <w:t>11</w:t>
      </w:r>
      <w:r>
        <w:fldChar w:fldCharType="end"/>
      </w:r>
      <w:r w:rsidRPr="00537C3C">
        <w:t>). The model predicts lower than observed rates of histologically confirmed low-grade lesions (</w:t>
      </w:r>
      <w:r>
        <w:fldChar w:fldCharType="begin"/>
      </w:r>
      <w:r>
        <w:instrText xml:space="preserve"> REF _Ref214157104 \h  \* MERGEFORMAT </w:instrText>
      </w:r>
      <w:r>
        <w:fldChar w:fldCharType="separate"/>
      </w:r>
      <w:r w:rsidR="007D3DFF" w:rsidRPr="00537C3C">
        <w:t xml:space="preserve">Figure </w:t>
      </w:r>
      <w:r w:rsidR="007D3DFF">
        <w:rPr>
          <w:noProof/>
        </w:rPr>
        <w:t>12</w:t>
      </w:r>
      <w:r>
        <w:fldChar w:fldCharType="end"/>
      </w:r>
      <w:r w:rsidRPr="00537C3C">
        <w:t xml:space="preserve">). This discrepancy is due largely to the model’s simulating the current </w:t>
      </w:r>
      <w:r w:rsidRPr="00BB76D8">
        <w:t>NHMRC</w:t>
      </w:r>
      <w:r w:rsidRPr="00537C3C">
        <w:t xml:space="preserve"> management guidelines, which came into effect from July 2006, whereas the calibration data mostly reflect the management practice under the previous </w:t>
      </w:r>
      <w:r w:rsidRPr="00BB76D8">
        <w:t>NHMRC</w:t>
      </w:r>
      <w:r w:rsidRPr="00537C3C">
        <w:t xml:space="preserve"> management guidelines </w:t>
      </w:r>
      <w:r w:rsidRPr="00537C3C">
        <w:fldChar w:fldCharType="begin"/>
      </w:r>
      <w:r w:rsidRPr="00537C3C">
        <w:instrText xml:space="preserve"> ADDIN REFMGR.CITE &lt;Refman&gt;&lt;Cite&gt;&lt;Author&gt;NHMRC&lt;/Author&gt;&lt;Year&gt;1994&lt;/Year&gt;&lt;RecNum&gt;2567&lt;/RecNum&gt;&lt;IDText&gt;Screening to prevent cervical cancer: Guidelines for the management of women with screen detected abnormalities.&lt;/IDText&gt;&lt;MDL Ref_Type="Generic"&gt;&lt;Ref_Type&gt;Generic&lt;/Ref_Type&gt;&lt;Ref_ID&gt;2567&lt;/Ref_ID&gt;&lt;Title_Primary&gt;Screening to prevent cervical cancer: Guidelines for the management of women with screen detected abnormalities.&lt;/Title_Primary&gt;&lt;Authors_Primary&gt;NHMRC&lt;/Authors_Primary&gt;&lt;Date_Primary&gt;1994/4&lt;/Date_Primary&gt;&lt;Keywords&gt;abnormalities&lt;/Keywords&gt;&lt;Keywords&gt;Australia&lt;/Keywords&gt;&lt;Keywords&gt;Cancer&lt;/Keywords&gt;&lt;Keywords&gt;Research&lt;/Keywords&gt;&lt;Keywords&gt;screening&lt;/Keywords&gt;&lt;Keywords&gt;Women&lt;/Keywords&gt;&lt;Keywords&gt;cervical&lt;/Keywords&gt;&lt;Reprint&gt;Not in File&lt;/Reprint&gt;&lt;Pub_Place&gt;Canberra: National Health and Medical Research Council&lt;/Pub_Place&gt;&lt;Publisher&gt;Australian Government Publishing Service&lt;/Publisher&gt;&lt;ZZ_WorkformID&gt;33&lt;/ZZ_WorkformID&gt;&lt;/MDL&gt;&lt;/Cite&gt;&lt;/Refman&gt;</w:instrText>
      </w:r>
      <w:r w:rsidRPr="00537C3C">
        <w:fldChar w:fldCharType="separate"/>
      </w:r>
      <w:r w:rsidRPr="00537C3C">
        <w:t>(</w:t>
      </w:r>
      <w:r w:rsidRPr="00BB76D8">
        <w:t>NHMRC</w:t>
      </w:r>
      <w:r w:rsidRPr="00537C3C">
        <w:t xml:space="preserve"> 1994)</w:t>
      </w:r>
      <w:r w:rsidRPr="00537C3C">
        <w:fldChar w:fldCharType="end"/>
      </w:r>
      <w:r w:rsidRPr="00537C3C">
        <w:t>. We confirmed this by performing a simplified test to determine whether the difference in management was sufficient to explain the difference between actual and predicted rates of histologically verified low-grade disease. The test involved simulating the referral of increasing proportions of women with cytological d</w:t>
      </w:r>
      <w:r w:rsidRPr="00BB76D8">
        <w:t>LSIL</w:t>
      </w:r>
      <w:r w:rsidRPr="00537C3C">
        <w:t xml:space="preserve"> (but not </w:t>
      </w:r>
      <w:r w:rsidRPr="00BB76D8">
        <w:t>pLSIL</w:t>
      </w:r>
      <w:r w:rsidRPr="00537C3C">
        <w:t>) for immediate colposcopy. As the number of immediate referrals increased, the age-specific rates more closely resembled the calibration target.</w:t>
      </w:r>
    </w:p>
    <w:p w:rsidR="00234376" w:rsidRPr="00537C3C" w:rsidRDefault="00234376" w:rsidP="008E03A7">
      <w:pPr>
        <w:pStyle w:val="Caption"/>
        <w:keepLines/>
      </w:pPr>
      <w:bookmarkStart w:id="702" w:name="_Ref208726251"/>
      <w:bookmarkStart w:id="703" w:name="_Ref209846966"/>
      <w:bookmarkStart w:id="704" w:name="_Toc208728048"/>
      <w:bookmarkStart w:id="705" w:name="_Ref209602986"/>
      <w:bookmarkStart w:id="706" w:name="_Toc95971284"/>
      <w:r w:rsidRPr="00537C3C">
        <w:lastRenderedPageBreak/>
        <w:t xml:space="preserve">Table </w:t>
      </w:r>
      <w:fldSimple w:instr=" SEQ Table \* ARABIC ">
        <w:r w:rsidR="007D3DFF">
          <w:rPr>
            <w:noProof/>
          </w:rPr>
          <w:t>48</w:t>
        </w:r>
      </w:fldSimple>
      <w:bookmarkEnd w:id="702"/>
      <w:bookmarkEnd w:id="703"/>
      <w:r w:rsidRPr="00537C3C">
        <w:tab/>
      </w:r>
      <w:bookmarkEnd w:id="704"/>
      <w:r w:rsidRPr="00537C3C">
        <w:t>Model prediction versus actual data for detection of histological high disease, and cervical cancer incidence and mortality</w:t>
      </w:r>
      <w:bookmarkEnd w:id="705"/>
      <w:r w:rsidRPr="00537C3C">
        <w:t>.*</w:t>
      </w:r>
      <w:bookmarkEnd w:id="706"/>
    </w:p>
    <w:tbl>
      <w:tblPr>
        <w:tblW w:w="8358" w:type="dxa"/>
        <w:tblInd w:w="685" w:type="dxa"/>
        <w:tblLook w:val="0000" w:firstRow="0" w:lastRow="0" w:firstColumn="0" w:lastColumn="0" w:noHBand="0" w:noVBand="0"/>
      </w:tblPr>
      <w:tblGrid>
        <w:gridCol w:w="3546"/>
        <w:gridCol w:w="1988"/>
        <w:gridCol w:w="2824"/>
      </w:tblGrid>
      <w:tr w:rsidR="00234376" w:rsidRPr="00537C3C">
        <w:trPr>
          <w:trHeight w:val="300"/>
        </w:trPr>
        <w:tc>
          <w:tcPr>
            <w:tcW w:w="3546" w:type="dxa"/>
            <w:tcBorders>
              <w:top w:val="single" w:sz="4" w:space="0" w:color="auto"/>
              <w:left w:val="single" w:sz="4" w:space="0" w:color="auto"/>
              <w:bottom w:val="single" w:sz="4" w:space="0" w:color="auto"/>
            </w:tcBorders>
            <w:noWrap/>
          </w:tcPr>
          <w:p w:rsidR="00234376" w:rsidRPr="00537C3C" w:rsidRDefault="00234376" w:rsidP="008E03A7">
            <w:pPr>
              <w:keepNext/>
              <w:keepLines/>
              <w:spacing w:after="0"/>
              <w:ind w:left="0"/>
              <w:rPr>
                <w:color w:val="000000"/>
                <w:sz w:val="22"/>
                <w:szCs w:val="22"/>
              </w:rPr>
            </w:pPr>
            <w:r w:rsidRPr="00537C3C">
              <w:rPr>
                <w:color w:val="000000"/>
                <w:sz w:val="22"/>
                <w:szCs w:val="22"/>
              </w:rPr>
              <w:t> </w:t>
            </w:r>
          </w:p>
        </w:tc>
        <w:tc>
          <w:tcPr>
            <w:tcW w:w="1988" w:type="dxa"/>
            <w:tcBorders>
              <w:top w:val="single" w:sz="4" w:space="0" w:color="auto"/>
              <w:bottom w:val="single" w:sz="4" w:space="0" w:color="auto"/>
            </w:tcBorders>
            <w:noWrap/>
          </w:tcPr>
          <w:p w:rsidR="00234376" w:rsidRPr="00537C3C" w:rsidRDefault="00234376" w:rsidP="008E03A7">
            <w:pPr>
              <w:keepNext/>
              <w:keepLines/>
              <w:spacing w:after="0"/>
              <w:ind w:left="0"/>
              <w:jc w:val="center"/>
              <w:rPr>
                <w:b/>
                <w:bCs/>
                <w:color w:val="000000"/>
                <w:sz w:val="22"/>
                <w:szCs w:val="22"/>
              </w:rPr>
            </w:pPr>
            <w:r w:rsidRPr="00537C3C">
              <w:rPr>
                <w:b/>
                <w:bCs/>
                <w:color w:val="000000"/>
                <w:sz w:val="22"/>
                <w:szCs w:val="22"/>
              </w:rPr>
              <w:t>Model predicted</w:t>
            </w:r>
          </w:p>
        </w:tc>
        <w:tc>
          <w:tcPr>
            <w:tcW w:w="2824" w:type="dxa"/>
            <w:tcBorders>
              <w:top w:val="single" w:sz="4" w:space="0" w:color="auto"/>
              <w:bottom w:val="single" w:sz="4" w:space="0" w:color="auto"/>
              <w:right w:val="single" w:sz="4" w:space="0" w:color="auto"/>
            </w:tcBorders>
            <w:noWrap/>
          </w:tcPr>
          <w:p w:rsidR="00234376" w:rsidRPr="00537C3C" w:rsidRDefault="00234376" w:rsidP="008E03A7">
            <w:pPr>
              <w:keepNext/>
              <w:keepLines/>
              <w:spacing w:after="0"/>
              <w:ind w:left="0"/>
              <w:jc w:val="center"/>
              <w:rPr>
                <w:b/>
                <w:bCs/>
                <w:color w:val="000000"/>
                <w:sz w:val="22"/>
                <w:szCs w:val="22"/>
              </w:rPr>
            </w:pPr>
            <w:r w:rsidRPr="00537C3C">
              <w:rPr>
                <w:b/>
                <w:bCs/>
                <w:color w:val="000000"/>
                <w:sz w:val="22"/>
                <w:szCs w:val="22"/>
              </w:rPr>
              <w:t xml:space="preserve">Australian data </w:t>
            </w:r>
            <w:r w:rsidRPr="00537C3C">
              <w:rPr>
                <w:b/>
                <w:bCs/>
                <w:color w:val="000000"/>
                <w:sz w:val="22"/>
                <w:szCs w:val="22"/>
                <w:vertAlign w:val="superscript"/>
              </w:rPr>
              <w:t>†</w:t>
            </w:r>
          </w:p>
        </w:tc>
      </w:tr>
      <w:tr w:rsidR="00234376" w:rsidRPr="00537C3C">
        <w:trPr>
          <w:trHeight w:val="300"/>
        </w:trPr>
        <w:tc>
          <w:tcPr>
            <w:tcW w:w="3546" w:type="dxa"/>
            <w:tcBorders>
              <w:top w:val="single" w:sz="4" w:space="0" w:color="auto"/>
              <w:left w:val="single" w:sz="4" w:space="0" w:color="auto"/>
              <w:bottom w:val="single" w:sz="4" w:space="0" w:color="auto"/>
            </w:tcBorders>
            <w:noWrap/>
          </w:tcPr>
          <w:p w:rsidR="00234376" w:rsidRPr="00537C3C" w:rsidRDefault="00234376" w:rsidP="008E03A7">
            <w:pPr>
              <w:keepNext/>
              <w:keepLines/>
              <w:spacing w:after="0"/>
              <w:ind w:left="0"/>
              <w:rPr>
                <w:bCs/>
                <w:color w:val="000000"/>
                <w:sz w:val="22"/>
                <w:szCs w:val="22"/>
              </w:rPr>
            </w:pPr>
            <w:r w:rsidRPr="00537C3C">
              <w:rPr>
                <w:bCs/>
                <w:color w:val="000000"/>
                <w:sz w:val="22"/>
                <w:szCs w:val="22"/>
              </w:rPr>
              <w:t>Detection of histologically confirmed high-grade disease per 1000 women screened, age 20–69 years</w:t>
            </w:r>
          </w:p>
        </w:tc>
        <w:tc>
          <w:tcPr>
            <w:tcW w:w="1988" w:type="dxa"/>
            <w:tcBorders>
              <w:top w:val="single" w:sz="4" w:space="0" w:color="auto"/>
              <w:bottom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7.3</w:t>
            </w:r>
          </w:p>
        </w:tc>
        <w:tc>
          <w:tcPr>
            <w:tcW w:w="2824" w:type="dxa"/>
            <w:tcBorders>
              <w:top w:val="single" w:sz="4" w:space="0" w:color="auto"/>
              <w:bottom w:val="single" w:sz="4" w:space="0" w:color="auto"/>
              <w:right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7.4</w:t>
            </w:r>
          </w:p>
          <w:p w:rsidR="00234376" w:rsidRPr="00537C3C" w:rsidRDefault="00234376" w:rsidP="008E03A7">
            <w:pPr>
              <w:keepNext/>
              <w:keepLines/>
              <w:spacing w:after="0"/>
              <w:ind w:left="0"/>
              <w:jc w:val="center"/>
              <w:rPr>
                <w:color w:val="000000"/>
                <w:sz w:val="22"/>
                <w:szCs w:val="22"/>
              </w:rPr>
            </w:pPr>
            <w:r w:rsidRPr="00537C3C">
              <w:rPr>
                <w:color w:val="000000"/>
                <w:sz w:val="22"/>
                <w:szCs w:val="22"/>
              </w:rPr>
              <w:t>(range 7.3–7.5)</w:t>
            </w:r>
          </w:p>
          <w:p w:rsidR="00234376" w:rsidRPr="00537C3C" w:rsidRDefault="00234376" w:rsidP="008E03A7">
            <w:pPr>
              <w:keepNext/>
              <w:keepLines/>
              <w:spacing w:after="0"/>
              <w:ind w:left="0"/>
              <w:jc w:val="center"/>
              <w:rPr>
                <w:color w:val="000000"/>
                <w:sz w:val="22"/>
                <w:szCs w:val="22"/>
              </w:rPr>
            </w:pPr>
            <w:r w:rsidRPr="00537C3C">
              <w:rPr>
                <w:bCs/>
                <w:color w:val="000000"/>
                <w:sz w:val="22"/>
                <w:szCs w:val="22"/>
              </w:rPr>
              <w:t>average 2004–2006</w:t>
            </w:r>
          </w:p>
        </w:tc>
      </w:tr>
      <w:tr w:rsidR="00234376" w:rsidRPr="00537C3C">
        <w:trPr>
          <w:trHeight w:val="300"/>
        </w:trPr>
        <w:tc>
          <w:tcPr>
            <w:tcW w:w="3546" w:type="dxa"/>
            <w:tcBorders>
              <w:top w:val="single" w:sz="4" w:space="0" w:color="auto"/>
              <w:left w:val="single" w:sz="4" w:space="0" w:color="auto"/>
              <w:bottom w:val="single" w:sz="4" w:space="0" w:color="auto"/>
            </w:tcBorders>
            <w:noWrap/>
          </w:tcPr>
          <w:p w:rsidR="00234376" w:rsidRPr="00537C3C" w:rsidRDefault="00234376" w:rsidP="008E03A7">
            <w:pPr>
              <w:keepNext/>
              <w:keepLines/>
              <w:spacing w:after="0"/>
              <w:ind w:left="0"/>
              <w:rPr>
                <w:bCs/>
                <w:color w:val="000000"/>
                <w:sz w:val="22"/>
                <w:szCs w:val="22"/>
              </w:rPr>
            </w:pPr>
            <w:r w:rsidRPr="00537C3C">
              <w:rPr>
                <w:bCs/>
                <w:color w:val="000000"/>
                <w:sz w:val="22"/>
                <w:szCs w:val="22"/>
              </w:rPr>
              <w:t xml:space="preserve">Cumulative lifetime risk of cervical cancer </w:t>
            </w:r>
          </w:p>
        </w:tc>
        <w:tc>
          <w:tcPr>
            <w:tcW w:w="1988" w:type="dxa"/>
            <w:tcBorders>
              <w:top w:val="single" w:sz="4" w:space="0" w:color="auto"/>
              <w:bottom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0.64%</w:t>
            </w:r>
          </w:p>
          <w:p w:rsidR="00234376" w:rsidRPr="00537C3C" w:rsidRDefault="00234376" w:rsidP="008E03A7">
            <w:pPr>
              <w:keepNext/>
              <w:keepLines/>
              <w:spacing w:after="0"/>
              <w:ind w:left="0"/>
              <w:jc w:val="center"/>
              <w:rPr>
                <w:color w:val="000000"/>
                <w:sz w:val="22"/>
                <w:szCs w:val="22"/>
              </w:rPr>
            </w:pPr>
            <w:r w:rsidRPr="00537C3C">
              <w:rPr>
                <w:bCs/>
                <w:color w:val="000000"/>
                <w:sz w:val="22"/>
                <w:szCs w:val="22"/>
              </w:rPr>
              <w:t>(to age 85)</w:t>
            </w:r>
          </w:p>
        </w:tc>
        <w:tc>
          <w:tcPr>
            <w:tcW w:w="2824" w:type="dxa"/>
            <w:tcBorders>
              <w:top w:val="single" w:sz="4" w:space="0" w:color="auto"/>
              <w:bottom w:val="single" w:sz="4" w:space="0" w:color="auto"/>
              <w:right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0.66%</w:t>
            </w:r>
          </w:p>
        </w:tc>
      </w:tr>
      <w:tr w:rsidR="00234376" w:rsidRPr="00537C3C">
        <w:trPr>
          <w:trHeight w:val="300"/>
        </w:trPr>
        <w:tc>
          <w:tcPr>
            <w:tcW w:w="3546" w:type="dxa"/>
            <w:tcBorders>
              <w:top w:val="single" w:sz="4" w:space="0" w:color="auto"/>
              <w:left w:val="single" w:sz="4" w:space="0" w:color="auto"/>
              <w:bottom w:val="single" w:sz="4" w:space="0" w:color="auto"/>
            </w:tcBorders>
            <w:noWrap/>
          </w:tcPr>
          <w:p w:rsidR="00234376" w:rsidRPr="00537C3C" w:rsidRDefault="00234376" w:rsidP="008E03A7">
            <w:pPr>
              <w:keepNext/>
              <w:keepLines/>
              <w:spacing w:after="0"/>
              <w:ind w:left="0"/>
              <w:rPr>
                <w:bCs/>
                <w:color w:val="000000"/>
                <w:sz w:val="22"/>
                <w:szCs w:val="22"/>
              </w:rPr>
            </w:pPr>
            <w:r w:rsidRPr="00537C3C">
              <w:rPr>
                <w:bCs/>
                <w:color w:val="000000"/>
                <w:sz w:val="22"/>
                <w:szCs w:val="22"/>
              </w:rPr>
              <w:t>Invasive cancer incidence per 100 000 women, all ages</w:t>
            </w:r>
          </w:p>
        </w:tc>
        <w:tc>
          <w:tcPr>
            <w:tcW w:w="1988" w:type="dxa"/>
            <w:tcBorders>
              <w:top w:val="single" w:sz="4" w:space="0" w:color="auto"/>
              <w:bottom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6.6.</w:t>
            </w:r>
          </w:p>
        </w:tc>
        <w:tc>
          <w:tcPr>
            <w:tcW w:w="2824" w:type="dxa"/>
            <w:tcBorders>
              <w:top w:val="single" w:sz="4" w:space="0" w:color="auto"/>
              <w:bottom w:val="single" w:sz="4" w:space="0" w:color="auto"/>
              <w:right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6.9</w:t>
            </w:r>
          </w:p>
          <w:p w:rsidR="00234376" w:rsidRPr="00537C3C" w:rsidRDefault="00234376" w:rsidP="008E03A7">
            <w:pPr>
              <w:keepNext/>
              <w:keepLines/>
              <w:spacing w:after="0"/>
              <w:ind w:left="0"/>
              <w:jc w:val="center"/>
              <w:rPr>
                <w:color w:val="000000"/>
                <w:sz w:val="22"/>
                <w:szCs w:val="22"/>
              </w:rPr>
            </w:pPr>
            <w:r w:rsidRPr="00537C3C">
              <w:rPr>
                <w:color w:val="000000"/>
                <w:sz w:val="22"/>
                <w:szCs w:val="22"/>
              </w:rPr>
              <w:t>(range 6.8–7.0)</w:t>
            </w:r>
          </w:p>
          <w:p w:rsidR="00234376" w:rsidRPr="00537C3C" w:rsidRDefault="00234376" w:rsidP="008E03A7">
            <w:pPr>
              <w:keepNext/>
              <w:keepLines/>
              <w:spacing w:after="0"/>
              <w:ind w:left="0"/>
              <w:jc w:val="center"/>
              <w:rPr>
                <w:color w:val="000000"/>
                <w:sz w:val="22"/>
                <w:szCs w:val="22"/>
              </w:rPr>
            </w:pPr>
            <w:r w:rsidRPr="00537C3C">
              <w:rPr>
                <w:bCs/>
                <w:color w:val="000000"/>
                <w:sz w:val="22"/>
                <w:szCs w:val="22"/>
              </w:rPr>
              <w:t>average 2002–2004</w:t>
            </w:r>
          </w:p>
        </w:tc>
      </w:tr>
      <w:tr w:rsidR="00234376" w:rsidRPr="00537C3C">
        <w:trPr>
          <w:trHeight w:val="300"/>
        </w:trPr>
        <w:tc>
          <w:tcPr>
            <w:tcW w:w="3546" w:type="dxa"/>
            <w:tcBorders>
              <w:top w:val="single" w:sz="4" w:space="0" w:color="auto"/>
              <w:left w:val="single" w:sz="4" w:space="0" w:color="auto"/>
              <w:bottom w:val="single" w:sz="4" w:space="0" w:color="auto"/>
            </w:tcBorders>
            <w:noWrap/>
          </w:tcPr>
          <w:p w:rsidR="00234376" w:rsidRPr="00537C3C" w:rsidRDefault="00234376" w:rsidP="008E03A7">
            <w:pPr>
              <w:keepNext/>
              <w:keepLines/>
              <w:spacing w:after="0"/>
              <w:ind w:left="0"/>
              <w:rPr>
                <w:bCs/>
                <w:color w:val="000000"/>
                <w:sz w:val="22"/>
                <w:szCs w:val="22"/>
              </w:rPr>
            </w:pPr>
            <w:r w:rsidRPr="00537C3C">
              <w:rPr>
                <w:bCs/>
                <w:color w:val="000000"/>
                <w:sz w:val="22"/>
                <w:szCs w:val="22"/>
              </w:rPr>
              <w:t>Invasive cancer incidence per 100 000 women, age 20–69 years</w:t>
            </w:r>
          </w:p>
          <w:p w:rsidR="00234376" w:rsidRPr="00537C3C" w:rsidRDefault="00234376" w:rsidP="008E03A7">
            <w:pPr>
              <w:keepNext/>
              <w:keepLines/>
              <w:spacing w:after="0"/>
              <w:ind w:left="0"/>
              <w:rPr>
                <w:bCs/>
                <w:color w:val="000000"/>
                <w:sz w:val="22"/>
                <w:szCs w:val="22"/>
              </w:rPr>
            </w:pPr>
          </w:p>
        </w:tc>
        <w:tc>
          <w:tcPr>
            <w:tcW w:w="1988" w:type="dxa"/>
            <w:tcBorders>
              <w:top w:val="single" w:sz="4" w:space="0" w:color="auto"/>
              <w:bottom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10.4</w:t>
            </w:r>
          </w:p>
        </w:tc>
        <w:tc>
          <w:tcPr>
            <w:tcW w:w="2824" w:type="dxa"/>
            <w:tcBorders>
              <w:top w:val="single" w:sz="4" w:space="0" w:color="auto"/>
              <w:bottom w:val="single" w:sz="4" w:space="0" w:color="auto"/>
              <w:right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9.0</w:t>
            </w:r>
          </w:p>
          <w:p w:rsidR="00234376" w:rsidRPr="00537C3C" w:rsidRDefault="00234376" w:rsidP="008E03A7">
            <w:pPr>
              <w:keepNext/>
              <w:keepLines/>
              <w:spacing w:after="0"/>
              <w:ind w:left="0"/>
              <w:jc w:val="center"/>
              <w:rPr>
                <w:color w:val="000000"/>
                <w:sz w:val="22"/>
                <w:szCs w:val="22"/>
              </w:rPr>
            </w:pPr>
            <w:r w:rsidRPr="00537C3C">
              <w:rPr>
                <w:color w:val="000000"/>
                <w:sz w:val="22"/>
                <w:szCs w:val="22"/>
              </w:rPr>
              <w:t>(range 8.9–9.1)</w:t>
            </w:r>
          </w:p>
          <w:p w:rsidR="00234376" w:rsidRPr="00537C3C" w:rsidRDefault="00234376" w:rsidP="008E03A7">
            <w:pPr>
              <w:keepNext/>
              <w:keepLines/>
              <w:spacing w:after="0"/>
              <w:ind w:left="0"/>
              <w:jc w:val="center"/>
              <w:rPr>
                <w:color w:val="000000"/>
                <w:sz w:val="22"/>
                <w:szCs w:val="22"/>
              </w:rPr>
            </w:pPr>
            <w:r w:rsidRPr="00537C3C">
              <w:rPr>
                <w:bCs/>
                <w:color w:val="000000"/>
                <w:sz w:val="22"/>
                <w:szCs w:val="22"/>
              </w:rPr>
              <w:t>average 2002–2004</w:t>
            </w:r>
          </w:p>
        </w:tc>
      </w:tr>
      <w:tr w:rsidR="00234376" w:rsidRPr="00537C3C">
        <w:trPr>
          <w:trHeight w:val="300"/>
        </w:trPr>
        <w:tc>
          <w:tcPr>
            <w:tcW w:w="3546" w:type="dxa"/>
            <w:tcBorders>
              <w:top w:val="single" w:sz="4" w:space="0" w:color="auto"/>
              <w:left w:val="single" w:sz="4" w:space="0" w:color="auto"/>
              <w:bottom w:val="single" w:sz="4" w:space="0" w:color="auto"/>
            </w:tcBorders>
            <w:noWrap/>
          </w:tcPr>
          <w:p w:rsidR="00234376" w:rsidRPr="00537C3C" w:rsidRDefault="00234376" w:rsidP="008E03A7">
            <w:pPr>
              <w:keepNext/>
              <w:keepLines/>
              <w:spacing w:after="0"/>
              <w:ind w:left="0"/>
              <w:rPr>
                <w:bCs/>
                <w:color w:val="000000"/>
                <w:sz w:val="22"/>
                <w:szCs w:val="22"/>
              </w:rPr>
            </w:pPr>
            <w:r w:rsidRPr="00537C3C">
              <w:rPr>
                <w:bCs/>
                <w:color w:val="000000"/>
                <w:sz w:val="22"/>
                <w:szCs w:val="22"/>
              </w:rPr>
              <w:t>Invasive cancer mortality per 100 000 women, all ages</w:t>
            </w:r>
          </w:p>
        </w:tc>
        <w:tc>
          <w:tcPr>
            <w:tcW w:w="1988" w:type="dxa"/>
            <w:tcBorders>
              <w:top w:val="single" w:sz="4" w:space="0" w:color="auto"/>
              <w:bottom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1.7</w:t>
            </w:r>
          </w:p>
        </w:tc>
        <w:tc>
          <w:tcPr>
            <w:tcW w:w="2824" w:type="dxa"/>
            <w:tcBorders>
              <w:top w:val="single" w:sz="4" w:space="0" w:color="auto"/>
              <w:bottom w:val="single" w:sz="4" w:space="0" w:color="auto"/>
              <w:right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2.0</w:t>
            </w:r>
          </w:p>
          <w:p w:rsidR="00234376" w:rsidRPr="00537C3C" w:rsidRDefault="00234376" w:rsidP="008E03A7">
            <w:pPr>
              <w:keepNext/>
              <w:keepLines/>
              <w:spacing w:after="0"/>
              <w:ind w:left="0"/>
              <w:jc w:val="center"/>
              <w:rPr>
                <w:color w:val="000000"/>
                <w:sz w:val="22"/>
                <w:szCs w:val="22"/>
              </w:rPr>
            </w:pPr>
            <w:r w:rsidRPr="00537C3C">
              <w:rPr>
                <w:color w:val="000000"/>
                <w:sz w:val="22"/>
                <w:szCs w:val="22"/>
              </w:rPr>
              <w:t>(range 1.9–2.2)</w:t>
            </w:r>
          </w:p>
          <w:p w:rsidR="00234376" w:rsidRPr="00537C3C" w:rsidRDefault="00234376" w:rsidP="008E03A7">
            <w:pPr>
              <w:keepNext/>
              <w:keepLines/>
              <w:spacing w:after="0"/>
              <w:ind w:left="0"/>
              <w:jc w:val="center"/>
              <w:rPr>
                <w:color w:val="000000"/>
                <w:sz w:val="22"/>
                <w:szCs w:val="22"/>
              </w:rPr>
            </w:pPr>
            <w:r w:rsidRPr="00537C3C">
              <w:rPr>
                <w:bCs/>
                <w:color w:val="000000"/>
                <w:sz w:val="22"/>
                <w:szCs w:val="22"/>
              </w:rPr>
              <w:t>average 2003–2005</w:t>
            </w:r>
          </w:p>
        </w:tc>
      </w:tr>
      <w:tr w:rsidR="00234376" w:rsidRPr="00537C3C">
        <w:trPr>
          <w:trHeight w:val="300"/>
        </w:trPr>
        <w:tc>
          <w:tcPr>
            <w:tcW w:w="3546" w:type="dxa"/>
            <w:tcBorders>
              <w:top w:val="single" w:sz="4" w:space="0" w:color="auto"/>
              <w:left w:val="single" w:sz="4" w:space="0" w:color="auto"/>
              <w:bottom w:val="single" w:sz="4" w:space="0" w:color="auto"/>
            </w:tcBorders>
            <w:noWrap/>
          </w:tcPr>
          <w:p w:rsidR="00234376" w:rsidRPr="00537C3C" w:rsidRDefault="00234376" w:rsidP="008E03A7">
            <w:pPr>
              <w:keepNext/>
              <w:keepLines/>
              <w:spacing w:after="0"/>
              <w:ind w:left="0"/>
              <w:rPr>
                <w:bCs/>
                <w:color w:val="000000"/>
                <w:sz w:val="22"/>
                <w:szCs w:val="22"/>
              </w:rPr>
            </w:pPr>
            <w:r w:rsidRPr="00537C3C">
              <w:rPr>
                <w:bCs/>
                <w:color w:val="000000"/>
                <w:sz w:val="22"/>
                <w:szCs w:val="22"/>
              </w:rPr>
              <w:t>Invasive cancer mortality per 100 000 women, age 20–69 years</w:t>
            </w:r>
          </w:p>
        </w:tc>
        <w:tc>
          <w:tcPr>
            <w:tcW w:w="1988" w:type="dxa"/>
            <w:tcBorders>
              <w:top w:val="single" w:sz="4" w:space="0" w:color="auto"/>
              <w:bottom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2.3</w:t>
            </w:r>
          </w:p>
        </w:tc>
        <w:tc>
          <w:tcPr>
            <w:tcW w:w="2824" w:type="dxa"/>
            <w:tcBorders>
              <w:top w:val="single" w:sz="4" w:space="0" w:color="auto"/>
              <w:bottom w:val="single" w:sz="4" w:space="0" w:color="auto"/>
              <w:right w:val="single" w:sz="4" w:space="0" w:color="auto"/>
            </w:tcBorders>
            <w:noWrap/>
          </w:tcPr>
          <w:p w:rsidR="00234376" w:rsidRPr="00537C3C" w:rsidRDefault="00234376" w:rsidP="008E03A7">
            <w:pPr>
              <w:keepNext/>
              <w:keepLines/>
              <w:spacing w:after="0"/>
              <w:ind w:left="0"/>
              <w:jc w:val="center"/>
              <w:rPr>
                <w:color w:val="000000"/>
                <w:sz w:val="22"/>
                <w:szCs w:val="22"/>
              </w:rPr>
            </w:pPr>
            <w:r w:rsidRPr="00537C3C">
              <w:rPr>
                <w:color w:val="000000"/>
                <w:sz w:val="22"/>
                <w:szCs w:val="22"/>
              </w:rPr>
              <w:t>2.0</w:t>
            </w:r>
          </w:p>
          <w:p w:rsidR="00234376" w:rsidRPr="00537C3C" w:rsidRDefault="00234376" w:rsidP="008E03A7">
            <w:pPr>
              <w:keepNext/>
              <w:keepLines/>
              <w:spacing w:after="0"/>
              <w:ind w:left="0"/>
              <w:jc w:val="center"/>
              <w:rPr>
                <w:color w:val="000000"/>
                <w:sz w:val="22"/>
                <w:szCs w:val="22"/>
              </w:rPr>
            </w:pPr>
            <w:r w:rsidRPr="00537C3C">
              <w:rPr>
                <w:color w:val="000000"/>
                <w:sz w:val="22"/>
                <w:szCs w:val="22"/>
              </w:rPr>
              <w:t>(range 1.8–2.2)</w:t>
            </w:r>
          </w:p>
          <w:p w:rsidR="00234376" w:rsidRDefault="00234376" w:rsidP="00234376">
            <w:pPr>
              <w:keepNext/>
              <w:keepLines/>
              <w:spacing w:after="0"/>
              <w:ind w:left="0"/>
              <w:jc w:val="center"/>
              <w:rPr>
                <w:b/>
                <w:color w:val="000000"/>
                <w:sz w:val="22"/>
                <w:szCs w:val="22"/>
              </w:rPr>
            </w:pPr>
            <w:r w:rsidRPr="00537C3C">
              <w:rPr>
                <w:bCs/>
                <w:color w:val="000000"/>
                <w:sz w:val="22"/>
                <w:szCs w:val="22"/>
              </w:rPr>
              <w:t>average 2003–2005</w:t>
            </w:r>
          </w:p>
        </w:tc>
      </w:tr>
    </w:tbl>
    <w:p w:rsidR="00234376" w:rsidRPr="00537C3C" w:rsidRDefault="00234376" w:rsidP="008E03A7">
      <w:pPr>
        <w:pStyle w:val="TableNotes"/>
      </w:pPr>
      <w:r w:rsidRPr="00537C3C">
        <w:t xml:space="preserve">* All values except detected histologically confirmed high-grade disease and cumulative lifetime risk are age-standardised to the Australian 2001 population. † Source </w:t>
      </w:r>
      <w:r w:rsidRPr="00537C3C">
        <w:fldChar w:fldCharType="begin"/>
      </w:r>
      <w:r w:rsidRPr="00537C3C">
        <w:instrText xml:space="preserve"> ADDIN REFMGR.CITE &lt;Refman&gt;&lt;Cite&gt;&lt;Author&gt;AIHW&lt;/Author&gt;&lt;Year&gt;2008&lt;/Year&gt;&lt;RecNum&gt;4903&lt;/RecNum&gt;&lt;IDText&gt;Cervical screening in Australia 2005-2006&lt;/IDText&gt;&lt;MDL Ref_Type="Report"&gt;&lt;Ref_Type&gt;Report&lt;/Ref_Type&gt;&lt;Ref_ID&gt;4903&lt;/Ref_ID&gt;&lt;Title_Primary&gt;Cervical screening in Australia 2005-2006&lt;/Title_Primary&gt;&lt;Authors_Primary&gt;AIHW&lt;/Authors_Primary&gt;&lt;Date_Primary&gt;2008&lt;/Date_Primary&gt;&lt;Keywords&gt;Australia&lt;/Keywords&gt;&lt;Keywords&gt;Cancer&lt;/Keywords&gt;&lt;Keywords&gt;screening&lt;/Keywords&gt;&lt;Keywords&gt;cervical&lt;/Keywords&gt;&lt;Reprint&gt;Not in File&lt;/Reprint&gt;&lt;Volume&gt;AIHW cat. no. Can 36&lt;/Volume&gt;&lt;Pub_Place&gt;Canberra: AIHW&lt;/Pub_Place&gt;&lt;Publisher&gt;Australian Institute of Health and Welfare&lt;/Publisher&gt;&lt;Title_Series&gt;Cancer series no. 41&lt;/Title_Series&gt;&lt;ZZ_WorkformID&gt;24&lt;/ZZ_WorkformID&gt;&lt;/MDL&gt;&lt;/Cite&gt;&lt;/Refman&gt;</w:instrText>
      </w:r>
      <w:r w:rsidRPr="00537C3C">
        <w:fldChar w:fldCharType="separate"/>
      </w:r>
      <w:r w:rsidRPr="00537C3C">
        <w:t>(</w:t>
      </w:r>
      <w:r w:rsidRPr="00BB76D8">
        <w:t>AIHW</w:t>
      </w:r>
      <w:r w:rsidRPr="00537C3C">
        <w:t xml:space="preserve"> 2008)</w:t>
      </w:r>
      <w:r w:rsidRPr="00537C3C">
        <w:fldChar w:fldCharType="end"/>
      </w:r>
      <w:r w:rsidRPr="00537C3C">
        <w:t>.</w:t>
      </w:r>
    </w:p>
    <w:p w:rsidR="00234376" w:rsidRPr="00537C3C" w:rsidRDefault="00234376" w:rsidP="008E03A7">
      <w:pPr>
        <w:pStyle w:val="Heading6"/>
      </w:pPr>
      <w:bookmarkStart w:id="707" w:name="_Ref216059467"/>
      <w:r w:rsidRPr="00537C3C">
        <w:t>Additional cytology calibration</w:t>
      </w:r>
      <w:bookmarkEnd w:id="707"/>
    </w:p>
    <w:p w:rsidR="00234376" w:rsidRPr="00537C3C" w:rsidRDefault="00234376" w:rsidP="008E03A7">
      <w:r w:rsidRPr="00537C3C">
        <w:t>As described above in ‘</w:t>
      </w:r>
      <w:r w:rsidRPr="00234376">
        <w:fldChar w:fldCharType="begin"/>
      </w:r>
      <w:r w:rsidRPr="00234376">
        <w:instrText xml:space="preserve"> REF _Ref213638223 </w:instrText>
      </w:r>
      <w:r>
        <w:instrText>\</w:instrText>
      </w:r>
      <w:r w:rsidRPr="00234376">
        <w:instrText xml:space="preserve">h  </w:instrText>
      </w:r>
      <w:r>
        <w:instrText>\</w:instrText>
      </w:r>
      <w:r w:rsidRPr="00234376">
        <w:instrText xml:space="preserve">* MERGEFORMAT </w:instrText>
      </w:r>
      <w:r w:rsidRPr="00234376">
        <w:fldChar w:fldCharType="separate"/>
      </w:r>
      <w:r w:rsidR="007D3DFF" w:rsidRPr="00537C3C">
        <w:t>Test characteristics</w:t>
      </w:r>
      <w:r w:rsidR="007D3DFF">
        <w:t xml:space="preserve"> </w:t>
      </w:r>
      <w:r w:rsidR="007D3DFF" w:rsidRPr="00537C3C">
        <w:t>—</w:t>
      </w:r>
      <w:r w:rsidR="007D3DFF">
        <w:t xml:space="preserve"> </w:t>
      </w:r>
      <w:r w:rsidR="007D3DFF" w:rsidRPr="00537C3C">
        <w:t>cytology</w:t>
      </w:r>
      <w:r w:rsidRPr="00234376">
        <w:fldChar w:fldCharType="end"/>
      </w:r>
      <w:r w:rsidRPr="00110B9C">
        <w:t xml:space="preserve">’ </w:t>
      </w:r>
      <w:r w:rsidRPr="00537C3C">
        <w:t xml:space="preserve">and in detail in </w:t>
      </w:r>
      <w:r w:rsidRPr="00234376">
        <w:fldChar w:fldCharType="begin"/>
      </w:r>
      <w:r w:rsidRPr="00234376">
        <w:instrText xml:space="preserve"> REF _Ref212433107 </w:instrText>
      </w:r>
      <w:r>
        <w:instrText>\</w:instrText>
      </w:r>
      <w:r w:rsidRPr="00234376">
        <w:instrText xml:space="preserve">h  </w:instrText>
      </w:r>
      <w:r>
        <w:instrText>\</w:instrText>
      </w:r>
      <w:r w:rsidRPr="00234376">
        <w:instrText xml:space="preserve">* MERGEFORMAT </w:instrText>
      </w:r>
      <w:r w:rsidRPr="00234376">
        <w:fldChar w:fldCharType="separate"/>
      </w:r>
      <w:r w:rsidR="007D3DFF" w:rsidRPr="00537C3C">
        <w:t xml:space="preserve">Appendix </w:t>
      </w:r>
      <w:r w:rsidR="007D3DFF">
        <w:rPr>
          <w:noProof/>
        </w:rPr>
        <w:t>K</w:t>
      </w:r>
      <w:r w:rsidR="007D3DFF">
        <w:t xml:space="preserve">  </w:t>
      </w:r>
      <w:r w:rsidR="007D3DFF" w:rsidRPr="00537C3C">
        <w:t>Derivation of test probability matrices for cytology</w:t>
      </w:r>
      <w:r w:rsidRPr="00234376">
        <w:fldChar w:fldCharType="end"/>
      </w:r>
      <w:r w:rsidRPr="00234376">
        <w:t xml:space="preserve">, </w:t>
      </w:r>
      <w:r w:rsidRPr="00537C3C">
        <w:t>the test characteristics for conventional cytology were derived from several sources. They were also calibrated in conjunction with the test characteristics for HC</w:t>
      </w:r>
      <w:r w:rsidRPr="00BB76D8">
        <w:t>II</w:t>
      </w:r>
      <w:r w:rsidRPr="00537C3C">
        <w:t xml:space="preserve"> in the context of </w:t>
      </w:r>
      <w:r w:rsidRPr="00BB76D8">
        <w:t>HPV</w:t>
      </w:r>
      <w:r w:rsidRPr="00537C3C">
        <w:t xml:space="preserve"> triage in order to predict distributions of triage test results by age as reported in the literature (refer to </w:t>
      </w:r>
      <w:r w:rsidRPr="00BB76D8">
        <w:rPr>
          <w:i/>
        </w:rPr>
        <w:t>MSAC</w:t>
      </w:r>
      <w:r w:rsidRPr="00537C3C">
        <w:rPr>
          <w:i/>
        </w:rPr>
        <w:t xml:space="preserve"> reference 39: </w:t>
      </w:r>
      <w:r w:rsidRPr="00BB76D8">
        <w:rPr>
          <w:i/>
        </w:rPr>
        <w:t>HPV</w:t>
      </w:r>
      <w:r w:rsidRPr="00537C3C">
        <w:rPr>
          <w:i/>
        </w:rPr>
        <w:t xml:space="preserve"> triage</w:t>
      </w:r>
      <w:r w:rsidRPr="00537C3C">
        <w:t xml:space="preserve">). For this aspect of the calibration, the targets used were sensitivity and specificity of </w:t>
      </w:r>
      <w:r w:rsidRPr="00BB76D8">
        <w:t>HPV</w:t>
      </w:r>
      <w:r w:rsidRPr="00537C3C">
        <w:t xml:space="preserve"> triage for detection of </w:t>
      </w:r>
      <w:r w:rsidRPr="00BB76D8">
        <w:t>CIN</w:t>
      </w:r>
      <w:r w:rsidRPr="00537C3C">
        <w:t xml:space="preserve"> 2+, and </w:t>
      </w:r>
      <w:r w:rsidRPr="00BB76D8">
        <w:t>HPV</w:t>
      </w:r>
      <w:r w:rsidRPr="00537C3C">
        <w:t xml:space="preserve"> test positivity rates, in women with </w:t>
      </w:r>
      <w:r w:rsidRPr="00BB76D8">
        <w:t>pLSIL</w:t>
      </w:r>
      <w:r w:rsidRPr="00537C3C">
        <w:t xml:space="preserve"> and d</w:t>
      </w:r>
      <w:r w:rsidRPr="00BB76D8">
        <w:t>LSIL</w:t>
      </w:r>
      <w:r w:rsidRPr="00537C3C">
        <w:t xml:space="preserve"> cytology results. For consistency, we used the same calibrated test characteristics for conventional cytology and for HC</w:t>
      </w:r>
      <w:r w:rsidRPr="00BB76D8">
        <w:t>II</w:t>
      </w:r>
      <w:r w:rsidRPr="00537C3C">
        <w:t xml:space="preserve"> as reported in </w:t>
      </w:r>
      <w:r w:rsidRPr="00BB76D8">
        <w:t>MSAC</w:t>
      </w:r>
      <w:r w:rsidRPr="00537C3C">
        <w:t xml:space="preserve"> reference 39. The relevant calibration results are given in </w:t>
      </w:r>
      <w:r w:rsidRPr="00234376">
        <w:fldChar w:fldCharType="begin"/>
      </w:r>
      <w:r w:rsidRPr="00234376">
        <w:instrText xml:space="preserve"> REF _Ref212433107 </w:instrText>
      </w:r>
      <w:r>
        <w:instrText>\</w:instrText>
      </w:r>
      <w:r w:rsidRPr="00234376">
        <w:instrText xml:space="preserve">h  </w:instrText>
      </w:r>
      <w:r>
        <w:instrText>\</w:instrText>
      </w:r>
      <w:r w:rsidRPr="00234376">
        <w:instrText xml:space="preserve">* MERGEFORMAT </w:instrText>
      </w:r>
      <w:r w:rsidRPr="00234376">
        <w:fldChar w:fldCharType="separate"/>
      </w:r>
      <w:r w:rsidR="007D3DFF" w:rsidRPr="00537C3C">
        <w:t xml:space="preserve">Appendix </w:t>
      </w:r>
      <w:r w:rsidR="007D3DFF">
        <w:rPr>
          <w:noProof/>
        </w:rPr>
        <w:t>K</w:t>
      </w:r>
      <w:r w:rsidR="007D3DFF">
        <w:t xml:space="preserve">  </w:t>
      </w:r>
      <w:r w:rsidR="007D3DFF" w:rsidRPr="00537C3C">
        <w:t>Derivation of test probability matrices for cytology</w:t>
      </w:r>
      <w:r w:rsidRPr="00234376">
        <w:fldChar w:fldCharType="end"/>
      </w:r>
      <w:r w:rsidRPr="00234376">
        <w:t>.</w:t>
      </w:r>
    </w:p>
    <w:p w:rsidR="00234376" w:rsidRPr="00537C3C" w:rsidRDefault="00234376" w:rsidP="008E03A7">
      <w:r w:rsidRPr="00537C3C">
        <w:t xml:space="preserve">Test characteristics for the new cytology test technologies were adjusted so that their accuracies relative to conventional cytology were within the ranges reported in the literature. The most reliable data for manually read </w:t>
      </w:r>
      <w:r w:rsidRPr="00BB76D8">
        <w:t>LBC</w:t>
      </w:r>
      <w:r w:rsidRPr="00537C3C">
        <w:t xml:space="preserve"> came from a meta-analysis </w:t>
      </w:r>
      <w:r w:rsidRPr="00537C3C">
        <w:fldChar w:fldCharType="begin"/>
      </w:r>
      <w:r w:rsidRPr="00537C3C">
        <w:instrText xml:space="preserve"> ADDIN REFMGR.CITE &lt;Refman&gt;&lt;Cite&gt;&lt;Author&gt;Arbyn&lt;/Author&gt;&lt;Year&gt;2008&lt;/Year&gt;&lt;RecNum&gt;5&lt;/RecNum&gt;&lt;IDText&gt;Liquid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537C3C">
        <w:fldChar w:fldCharType="separate"/>
      </w:r>
      <w:r w:rsidRPr="00537C3C">
        <w:t>(Arbyn et al. 2008)</w:t>
      </w:r>
      <w:r w:rsidRPr="00537C3C">
        <w:fldChar w:fldCharType="end"/>
      </w:r>
      <w:r w:rsidRPr="00537C3C">
        <w:t xml:space="preserve"> which reported relative sensitivity and specificity compared </w:t>
      </w:r>
      <w:r w:rsidR="00CC3BE5">
        <w:t>to</w:t>
      </w:r>
      <w:r w:rsidRPr="00537C3C">
        <w:t xml:space="preserve"> conventional cytology as ratios. There was no equivalent information on the ratios of sensitivity and specificity for automated </w:t>
      </w:r>
      <w:r w:rsidRPr="00BB76D8">
        <w:t>LBC</w:t>
      </w:r>
      <w:r w:rsidRPr="00537C3C">
        <w:t xml:space="preserve"> and conventional cytology. The relative sensitivity measured in terms of additional true </w:t>
      </w:r>
      <w:r w:rsidR="005660D8">
        <w:t xml:space="preserve">positives </w:t>
      </w:r>
      <w:r w:rsidRPr="00537C3C">
        <w:t xml:space="preserve">and false positives per 1000 women screened was used as the calibration target for automated </w:t>
      </w:r>
      <w:r w:rsidRPr="00BB76D8">
        <w:t>LBC</w:t>
      </w:r>
      <w:r w:rsidRPr="00537C3C">
        <w:t>. The sources of these estimates are described in the literature review section of this report (‘</w:t>
      </w:r>
      <w:r w:rsidR="00CC3BE5" w:rsidRPr="00CC3BE5">
        <w:t>test accuracy</w:t>
      </w:r>
      <w:r w:rsidRPr="00CC3BE5">
        <w:t>’</w:t>
      </w:r>
      <w:r w:rsidRPr="00537C3C">
        <w:t xml:space="preserve">) and summarised in </w:t>
      </w:r>
      <w:r>
        <w:fldChar w:fldCharType="begin"/>
      </w:r>
      <w:r>
        <w:instrText xml:space="preserve"> REF _Ref190499190 \h  \* MERGEFORMAT </w:instrText>
      </w:r>
      <w:r>
        <w:fldChar w:fldCharType="separate"/>
      </w:r>
      <w:r w:rsidR="007D3DFF" w:rsidRPr="00537C3C">
        <w:t xml:space="preserve">Table </w:t>
      </w:r>
      <w:r w:rsidR="007D3DFF">
        <w:rPr>
          <w:noProof/>
        </w:rPr>
        <w:t>17</w:t>
      </w:r>
      <w:r>
        <w:fldChar w:fldCharType="end"/>
      </w:r>
      <w:r w:rsidRPr="00537C3C">
        <w:t xml:space="preserve"> (page </w:t>
      </w:r>
      <w:r w:rsidRPr="00537C3C">
        <w:fldChar w:fldCharType="begin"/>
      </w:r>
      <w:r w:rsidRPr="00537C3C">
        <w:instrText xml:space="preserve"> PAGEREF _Ref219605662 \h </w:instrText>
      </w:r>
      <w:r w:rsidRPr="00537C3C">
        <w:fldChar w:fldCharType="separate"/>
      </w:r>
      <w:r w:rsidR="007D3DFF">
        <w:rPr>
          <w:noProof/>
        </w:rPr>
        <w:t>43</w:t>
      </w:r>
      <w:r w:rsidRPr="00537C3C">
        <w:fldChar w:fldCharType="end"/>
      </w:r>
      <w:r w:rsidRPr="00537C3C">
        <w:t>).</w:t>
      </w:r>
    </w:p>
    <w:p w:rsidR="00234376" w:rsidRPr="00537C3C" w:rsidRDefault="00234376" w:rsidP="008E03A7">
      <w:r w:rsidRPr="00537C3C">
        <w:t xml:space="preserve">It was not possible to precisely replicate the values in </w:t>
      </w:r>
      <w:r w:rsidR="00CC265E">
        <w:fldChar w:fldCharType="begin"/>
      </w:r>
      <w:r w:rsidR="00CC265E">
        <w:instrText xml:space="preserve"> REF _Ref190499190 \h  \* MERGEFORMAT </w:instrText>
      </w:r>
      <w:r w:rsidR="00CC265E">
        <w:fldChar w:fldCharType="separate"/>
      </w:r>
      <w:r w:rsidR="007D3DFF" w:rsidRPr="00537C3C">
        <w:t xml:space="preserve">Table </w:t>
      </w:r>
      <w:r w:rsidR="007D3DFF">
        <w:rPr>
          <w:noProof/>
        </w:rPr>
        <w:t>17</w:t>
      </w:r>
      <w:r w:rsidR="00CC265E">
        <w:fldChar w:fldCharType="end"/>
      </w:r>
      <w:r w:rsidRPr="00537C3C">
        <w:t xml:space="preserve"> in the context of other constraints on the test probability matrices. We therefore selected a set of values which were more favourable to the newer technologies. The results are shown in </w:t>
      </w:r>
      <w:r w:rsidRPr="00537C3C">
        <w:fldChar w:fldCharType="begin"/>
      </w:r>
      <w:r w:rsidRPr="00537C3C">
        <w:instrText xml:space="preserve"> REF _Ref210623030 \h </w:instrText>
      </w:r>
      <w:r w:rsidRPr="00537C3C">
        <w:fldChar w:fldCharType="separate"/>
      </w:r>
      <w:r w:rsidR="007D3DFF" w:rsidRPr="00537C3C">
        <w:t xml:space="preserve">Table </w:t>
      </w:r>
      <w:r w:rsidR="007D3DFF">
        <w:rPr>
          <w:noProof/>
        </w:rPr>
        <w:t>49</w:t>
      </w:r>
      <w:r w:rsidRPr="00537C3C">
        <w:fldChar w:fldCharType="end"/>
      </w:r>
      <w:r w:rsidRPr="00537C3C">
        <w:t>.</w:t>
      </w:r>
    </w:p>
    <w:p w:rsidR="00234376" w:rsidRPr="00537C3C" w:rsidRDefault="00234376" w:rsidP="008E03A7">
      <w:pPr>
        <w:pStyle w:val="Caption"/>
      </w:pPr>
      <w:bookmarkStart w:id="708" w:name="_Ref210623030"/>
      <w:bookmarkStart w:id="709" w:name="_Ref219604665"/>
      <w:bookmarkStart w:id="710" w:name="_Toc95971285"/>
      <w:r w:rsidRPr="00537C3C">
        <w:lastRenderedPageBreak/>
        <w:t xml:space="preserve">Table </w:t>
      </w:r>
      <w:fldSimple w:instr=" SEQ Table \* ARABIC ">
        <w:r w:rsidR="007D3DFF">
          <w:rPr>
            <w:noProof/>
          </w:rPr>
          <w:t>49</w:t>
        </w:r>
      </w:fldSimple>
      <w:bookmarkEnd w:id="708"/>
      <w:r w:rsidRPr="00537C3C">
        <w:tab/>
        <w:t xml:space="preserve">Predicted and reported sensitivity and specificity of manual </w:t>
      </w:r>
      <w:r w:rsidRPr="00BB76D8">
        <w:t>LBC</w:t>
      </w:r>
      <w:r w:rsidRPr="00537C3C">
        <w:t xml:space="preserve">, relative to conventional cytology, for </w:t>
      </w:r>
      <w:r w:rsidRPr="00BB76D8">
        <w:t>CIN</w:t>
      </w:r>
      <w:r w:rsidRPr="00537C3C">
        <w:t xml:space="preserve"> 2+</w:t>
      </w:r>
      <w:bookmarkEnd w:id="709"/>
      <w:r w:rsidRPr="00537C3C">
        <w:t>.</w:t>
      </w:r>
      <w:bookmarkEnd w:id="710"/>
    </w:p>
    <w:tbl>
      <w:tblPr>
        <w:tblW w:w="8031" w:type="dxa"/>
        <w:tblInd w:w="840" w:type="dxa"/>
        <w:tblBorders>
          <w:top w:val="single" w:sz="4" w:space="0" w:color="auto"/>
          <w:bottom w:val="single" w:sz="4" w:space="0" w:color="auto"/>
          <w:insideH w:val="single" w:sz="4" w:space="0" w:color="auto"/>
        </w:tblBorders>
        <w:tblLook w:val="01E0" w:firstRow="1" w:lastRow="1" w:firstColumn="1" w:lastColumn="1" w:noHBand="0" w:noVBand="0"/>
      </w:tblPr>
      <w:tblGrid>
        <w:gridCol w:w="1606"/>
        <w:gridCol w:w="1070"/>
        <w:gridCol w:w="2143"/>
        <w:gridCol w:w="1123"/>
        <w:gridCol w:w="2089"/>
      </w:tblGrid>
      <w:tr w:rsidR="00234376" w:rsidRPr="009B4BF1">
        <w:tc>
          <w:tcPr>
            <w:tcW w:w="1606" w:type="dxa"/>
            <w:tcBorders>
              <w:bottom w:val="single" w:sz="4" w:space="0" w:color="auto"/>
            </w:tcBorders>
            <w:vAlign w:val="center"/>
          </w:tcPr>
          <w:p w:rsidR="00234376" w:rsidRPr="00537C3C" w:rsidRDefault="00234376" w:rsidP="008E03A7">
            <w:pPr>
              <w:pStyle w:val="TableHeading0"/>
              <w:spacing w:before="0" w:after="0"/>
              <w:rPr>
                <w:rFonts w:ascii="Arial Narrow" w:hAnsi="Arial Narrow"/>
                <w:bCs/>
                <w:sz w:val="20"/>
              </w:rPr>
            </w:pPr>
          </w:p>
        </w:tc>
        <w:tc>
          <w:tcPr>
            <w:tcW w:w="3213" w:type="dxa"/>
            <w:gridSpan w:val="2"/>
            <w:tcBorders>
              <w:bottom w:val="single" w:sz="4" w:space="0" w:color="auto"/>
            </w:tcBorders>
            <w:vAlign w:val="center"/>
          </w:tcPr>
          <w:p w:rsidR="00234376" w:rsidRPr="009B4BF1" w:rsidRDefault="00234376" w:rsidP="008E03A7">
            <w:pPr>
              <w:pStyle w:val="TableHeading0"/>
              <w:spacing w:before="120" w:after="120"/>
              <w:jc w:val="center"/>
            </w:pPr>
            <w:r w:rsidRPr="009B4BF1">
              <w:t>Sensitivity relative to conventional</w:t>
            </w:r>
          </w:p>
        </w:tc>
        <w:tc>
          <w:tcPr>
            <w:tcW w:w="3212" w:type="dxa"/>
            <w:gridSpan w:val="2"/>
            <w:tcBorders>
              <w:bottom w:val="single" w:sz="4" w:space="0" w:color="auto"/>
            </w:tcBorders>
            <w:vAlign w:val="center"/>
          </w:tcPr>
          <w:p w:rsidR="00234376" w:rsidRPr="009B4BF1" w:rsidRDefault="00234376" w:rsidP="008E03A7">
            <w:pPr>
              <w:pStyle w:val="TableHeading0"/>
              <w:spacing w:before="120" w:after="120"/>
              <w:jc w:val="center"/>
              <w:rPr>
                <w:rFonts w:ascii="Arial Narrow" w:hAnsi="Arial Narrow"/>
                <w:bCs/>
                <w:sz w:val="20"/>
              </w:rPr>
            </w:pPr>
            <w:r w:rsidRPr="009B4BF1">
              <w:rPr>
                <w:rFonts w:ascii="Arial Narrow" w:hAnsi="Arial Narrow"/>
                <w:bCs/>
                <w:sz w:val="20"/>
              </w:rPr>
              <w:t>Specificity relative to conventional</w:t>
            </w:r>
          </w:p>
        </w:tc>
      </w:tr>
      <w:tr w:rsidR="00234376" w:rsidRPr="009B4BF1">
        <w:tblPrEx>
          <w:tblBorders>
            <w:top w:val="none" w:sz="0" w:space="0" w:color="auto"/>
            <w:bottom w:val="none" w:sz="0" w:space="0" w:color="auto"/>
            <w:insideH w:val="none" w:sz="0" w:space="0" w:color="auto"/>
          </w:tblBorders>
        </w:tblPrEx>
        <w:tc>
          <w:tcPr>
            <w:tcW w:w="1606" w:type="dxa"/>
            <w:tcBorders>
              <w:top w:val="single" w:sz="4" w:space="0" w:color="auto"/>
            </w:tcBorders>
          </w:tcPr>
          <w:p w:rsidR="00234376" w:rsidRPr="009B4BF1" w:rsidRDefault="00234376" w:rsidP="008E03A7">
            <w:pPr>
              <w:pStyle w:val="TableHeading0"/>
              <w:spacing w:before="0" w:after="0"/>
              <w:rPr>
                <w:rFonts w:ascii="Arial Narrow" w:hAnsi="Arial Narrow"/>
                <w:bCs/>
                <w:sz w:val="20"/>
              </w:rPr>
            </w:pPr>
            <w:r w:rsidRPr="009B4BF1">
              <w:rPr>
                <w:rFonts w:ascii="Arial Narrow" w:hAnsi="Arial Narrow"/>
                <w:bCs/>
                <w:sz w:val="20"/>
              </w:rPr>
              <w:t>Test threshold</w:t>
            </w:r>
          </w:p>
        </w:tc>
        <w:tc>
          <w:tcPr>
            <w:tcW w:w="1070" w:type="dxa"/>
            <w:tcBorders>
              <w:top w:val="single" w:sz="4" w:space="0" w:color="auto"/>
            </w:tcBorders>
          </w:tcPr>
          <w:p w:rsidR="00234376" w:rsidRPr="009B4BF1" w:rsidRDefault="00234376" w:rsidP="008E03A7">
            <w:pPr>
              <w:pStyle w:val="TableHeading0"/>
              <w:spacing w:before="0" w:after="0"/>
              <w:jc w:val="center"/>
              <w:rPr>
                <w:rFonts w:ascii="Arial Narrow" w:hAnsi="Arial Narrow"/>
                <w:bCs/>
                <w:sz w:val="20"/>
              </w:rPr>
            </w:pPr>
            <w:r w:rsidRPr="009B4BF1">
              <w:rPr>
                <w:rFonts w:ascii="Arial Narrow" w:hAnsi="Arial Narrow"/>
                <w:bCs/>
                <w:sz w:val="20"/>
              </w:rPr>
              <w:t>Predicted by model</w:t>
            </w:r>
          </w:p>
        </w:tc>
        <w:tc>
          <w:tcPr>
            <w:tcW w:w="2143" w:type="dxa"/>
            <w:tcBorders>
              <w:top w:val="single" w:sz="4" w:space="0" w:color="auto"/>
            </w:tcBorders>
          </w:tcPr>
          <w:p w:rsidR="00234376" w:rsidRPr="009B4BF1" w:rsidRDefault="00234376" w:rsidP="008E03A7">
            <w:pPr>
              <w:pStyle w:val="TableHeading0"/>
              <w:spacing w:before="0" w:after="0"/>
              <w:jc w:val="center"/>
              <w:rPr>
                <w:rFonts w:ascii="Arial Narrow" w:hAnsi="Arial Narrow"/>
                <w:bCs/>
                <w:sz w:val="20"/>
              </w:rPr>
            </w:pPr>
            <w:r w:rsidRPr="009B4BF1">
              <w:rPr>
                <w:rFonts w:ascii="Arial Narrow" w:hAnsi="Arial Narrow"/>
                <w:bCs/>
                <w:sz w:val="20"/>
              </w:rPr>
              <w:t>Reported</w:t>
            </w:r>
            <w:r w:rsidRPr="009B4BF1">
              <w:rPr>
                <w:rFonts w:ascii="Arial Narrow" w:hAnsi="Arial Narrow"/>
                <w:bCs/>
                <w:sz w:val="20"/>
                <w:vertAlign w:val="superscript"/>
              </w:rPr>
              <w:t xml:space="preserve"> </w:t>
            </w:r>
            <w:r w:rsidRPr="009B4BF1">
              <w:rPr>
                <w:rFonts w:ascii="Arial Narrow" w:hAnsi="Arial Narrow"/>
                <w:bCs/>
                <w:sz w:val="20"/>
              </w:rPr>
              <w:t>[Arbyn et al.]</w:t>
            </w:r>
            <w:bookmarkStart w:id="711" w:name="OLE_LINK13"/>
            <w:bookmarkStart w:id="712" w:name="OLE_LINK14"/>
          </w:p>
          <w:p w:rsidR="00234376" w:rsidRPr="009B4BF1" w:rsidRDefault="00234376" w:rsidP="008E03A7">
            <w:pPr>
              <w:pStyle w:val="TableText0"/>
              <w:jc w:val="center"/>
            </w:pPr>
            <w:r w:rsidRPr="009B4BF1">
              <w:rPr>
                <w:rFonts w:ascii="Arial Narrow" w:hAnsi="Arial Narrow"/>
                <w:b/>
                <w:bCs/>
                <w:sz w:val="20"/>
              </w:rPr>
              <w:t>(95% CI)</w:t>
            </w:r>
            <w:bookmarkEnd w:id="711"/>
            <w:bookmarkEnd w:id="712"/>
          </w:p>
        </w:tc>
        <w:tc>
          <w:tcPr>
            <w:tcW w:w="1123" w:type="dxa"/>
            <w:tcBorders>
              <w:top w:val="single" w:sz="4" w:space="0" w:color="auto"/>
            </w:tcBorders>
          </w:tcPr>
          <w:p w:rsidR="00234376" w:rsidRPr="009B4BF1" w:rsidRDefault="00234376" w:rsidP="008E03A7">
            <w:pPr>
              <w:pStyle w:val="TableHeading0"/>
              <w:spacing w:before="0" w:after="0"/>
              <w:jc w:val="center"/>
              <w:rPr>
                <w:rFonts w:ascii="Arial Narrow" w:hAnsi="Arial Narrow"/>
                <w:bCs/>
                <w:sz w:val="20"/>
              </w:rPr>
            </w:pPr>
            <w:r w:rsidRPr="009B4BF1">
              <w:rPr>
                <w:rFonts w:ascii="Arial Narrow" w:hAnsi="Arial Narrow"/>
                <w:bCs/>
                <w:sz w:val="20"/>
              </w:rPr>
              <w:t>Predicted by model</w:t>
            </w:r>
          </w:p>
        </w:tc>
        <w:tc>
          <w:tcPr>
            <w:tcW w:w="2089" w:type="dxa"/>
            <w:tcBorders>
              <w:top w:val="single" w:sz="4" w:space="0" w:color="auto"/>
            </w:tcBorders>
          </w:tcPr>
          <w:p w:rsidR="00234376" w:rsidRPr="009B4BF1" w:rsidRDefault="00234376" w:rsidP="008E03A7">
            <w:pPr>
              <w:pStyle w:val="TableHeading0"/>
              <w:spacing w:before="0" w:after="0"/>
              <w:jc w:val="center"/>
              <w:rPr>
                <w:rFonts w:ascii="Arial Narrow" w:hAnsi="Arial Narrow"/>
                <w:bCs/>
                <w:sz w:val="20"/>
              </w:rPr>
            </w:pPr>
            <w:r w:rsidRPr="009B4BF1">
              <w:rPr>
                <w:rFonts w:ascii="Arial Narrow" w:hAnsi="Arial Narrow"/>
                <w:bCs/>
                <w:sz w:val="20"/>
              </w:rPr>
              <w:t>Reported [Arbyn et al.]</w:t>
            </w:r>
          </w:p>
          <w:p w:rsidR="00234376" w:rsidRPr="009B4BF1" w:rsidRDefault="00234376" w:rsidP="008E03A7">
            <w:pPr>
              <w:pStyle w:val="TableText0"/>
              <w:jc w:val="center"/>
            </w:pPr>
            <w:r w:rsidRPr="009B4BF1">
              <w:rPr>
                <w:rFonts w:ascii="Arial Narrow" w:hAnsi="Arial Narrow"/>
                <w:b/>
                <w:bCs/>
                <w:sz w:val="20"/>
              </w:rPr>
              <w:t>(95% CI)</w:t>
            </w:r>
          </w:p>
        </w:tc>
      </w:tr>
      <w:tr w:rsidR="00234376" w:rsidRPr="009B4BF1">
        <w:tblPrEx>
          <w:tblBorders>
            <w:top w:val="none" w:sz="0" w:space="0" w:color="auto"/>
            <w:bottom w:val="none" w:sz="0" w:space="0" w:color="auto"/>
            <w:insideH w:val="none" w:sz="0" w:space="0" w:color="auto"/>
          </w:tblBorders>
        </w:tblPrEx>
        <w:tc>
          <w:tcPr>
            <w:tcW w:w="1606" w:type="dxa"/>
          </w:tcPr>
          <w:p w:rsidR="00234376" w:rsidRPr="009B4BF1" w:rsidRDefault="00234376" w:rsidP="008E03A7">
            <w:pPr>
              <w:pStyle w:val="TableText0"/>
              <w:rPr>
                <w:rFonts w:ascii="Arial Narrow" w:hAnsi="Arial Narrow"/>
              </w:rPr>
            </w:pPr>
          </w:p>
        </w:tc>
        <w:tc>
          <w:tcPr>
            <w:tcW w:w="1070" w:type="dxa"/>
          </w:tcPr>
          <w:p w:rsidR="00234376" w:rsidRPr="009B4BF1" w:rsidRDefault="00234376" w:rsidP="008E03A7">
            <w:pPr>
              <w:pStyle w:val="TableHeading0"/>
              <w:spacing w:before="0" w:after="0"/>
              <w:rPr>
                <w:rFonts w:ascii="Arial Narrow" w:hAnsi="Arial Narrow"/>
                <w:bCs/>
                <w:sz w:val="20"/>
              </w:rPr>
            </w:pPr>
          </w:p>
        </w:tc>
        <w:tc>
          <w:tcPr>
            <w:tcW w:w="2143" w:type="dxa"/>
          </w:tcPr>
          <w:p w:rsidR="00234376" w:rsidRPr="009B4BF1" w:rsidRDefault="00234376" w:rsidP="008E03A7">
            <w:pPr>
              <w:pStyle w:val="TableHeading0"/>
              <w:spacing w:before="0" w:after="0"/>
              <w:rPr>
                <w:rFonts w:ascii="Arial Narrow" w:hAnsi="Arial Narrow"/>
                <w:bCs/>
                <w:sz w:val="20"/>
              </w:rPr>
            </w:pPr>
          </w:p>
        </w:tc>
        <w:tc>
          <w:tcPr>
            <w:tcW w:w="1123" w:type="dxa"/>
          </w:tcPr>
          <w:p w:rsidR="00234376" w:rsidRPr="009B4BF1" w:rsidRDefault="00234376" w:rsidP="008E03A7">
            <w:pPr>
              <w:pStyle w:val="TableHeading0"/>
              <w:spacing w:before="0" w:after="0"/>
              <w:jc w:val="center"/>
            </w:pPr>
          </w:p>
        </w:tc>
        <w:tc>
          <w:tcPr>
            <w:tcW w:w="2089" w:type="dxa"/>
          </w:tcPr>
          <w:p w:rsidR="00234376" w:rsidRPr="009B4BF1" w:rsidRDefault="00234376" w:rsidP="008E03A7">
            <w:pPr>
              <w:pStyle w:val="TableHeading0"/>
              <w:spacing w:before="0" w:after="0"/>
              <w:jc w:val="center"/>
            </w:pPr>
          </w:p>
        </w:tc>
      </w:tr>
      <w:tr w:rsidR="00234376" w:rsidRPr="009B4BF1">
        <w:tblPrEx>
          <w:tblBorders>
            <w:top w:val="none" w:sz="0" w:space="0" w:color="auto"/>
            <w:bottom w:val="none" w:sz="0" w:space="0" w:color="auto"/>
            <w:insideH w:val="none" w:sz="0" w:space="0" w:color="auto"/>
          </w:tblBorders>
        </w:tblPrEx>
        <w:tc>
          <w:tcPr>
            <w:tcW w:w="1606" w:type="dxa"/>
          </w:tcPr>
          <w:p w:rsidR="00234376" w:rsidRPr="009B4BF1" w:rsidRDefault="00234376" w:rsidP="008E03A7">
            <w:pPr>
              <w:pStyle w:val="TableText0"/>
              <w:rPr>
                <w:rFonts w:ascii="Arial Narrow" w:hAnsi="Arial Narrow"/>
              </w:rPr>
            </w:pPr>
            <w:r w:rsidRPr="009B4BF1">
              <w:rPr>
                <w:rFonts w:ascii="Arial Narrow" w:hAnsi="Arial Narrow"/>
              </w:rPr>
              <w:t>pLSIL</w:t>
            </w:r>
          </w:p>
        </w:tc>
        <w:tc>
          <w:tcPr>
            <w:tcW w:w="1070" w:type="dxa"/>
          </w:tcPr>
          <w:p w:rsidR="00234376" w:rsidRPr="009B4BF1" w:rsidRDefault="00234376" w:rsidP="008E03A7">
            <w:pPr>
              <w:pStyle w:val="TableText0"/>
              <w:jc w:val="center"/>
              <w:rPr>
                <w:rFonts w:ascii="Arial Narrow" w:hAnsi="Arial Narrow"/>
              </w:rPr>
            </w:pPr>
            <w:r w:rsidRPr="009B4BF1">
              <w:rPr>
                <w:rFonts w:ascii="Arial Narrow" w:hAnsi="Arial Narrow"/>
              </w:rPr>
              <w:t>1.03</w:t>
            </w:r>
          </w:p>
        </w:tc>
        <w:tc>
          <w:tcPr>
            <w:tcW w:w="2143" w:type="dxa"/>
          </w:tcPr>
          <w:p w:rsidR="00234376" w:rsidRPr="009B4BF1" w:rsidRDefault="00234376" w:rsidP="008E03A7">
            <w:pPr>
              <w:pStyle w:val="TableText0"/>
              <w:jc w:val="center"/>
              <w:rPr>
                <w:rFonts w:ascii="Arial Narrow" w:hAnsi="Arial Narrow"/>
              </w:rPr>
            </w:pPr>
            <w:r w:rsidRPr="009B4BF1">
              <w:rPr>
                <w:rFonts w:ascii="Arial Narrow" w:hAnsi="Arial Narrow"/>
              </w:rPr>
              <w:t>1.03 (0.97–1.09)</w:t>
            </w:r>
          </w:p>
        </w:tc>
        <w:tc>
          <w:tcPr>
            <w:tcW w:w="1123" w:type="dxa"/>
          </w:tcPr>
          <w:p w:rsidR="00234376" w:rsidRPr="009B4BF1" w:rsidRDefault="006D4EFE" w:rsidP="008E03A7">
            <w:pPr>
              <w:pStyle w:val="TableText0"/>
              <w:jc w:val="center"/>
              <w:rPr>
                <w:rFonts w:ascii="Arial Narrow" w:hAnsi="Arial Narrow"/>
              </w:rPr>
            </w:pPr>
            <w:r w:rsidRPr="009B4BF1">
              <w:rPr>
                <w:rFonts w:ascii="Arial Narrow" w:hAnsi="Arial Narrow"/>
              </w:rPr>
              <w:t>0.990</w:t>
            </w:r>
          </w:p>
        </w:tc>
        <w:tc>
          <w:tcPr>
            <w:tcW w:w="2089" w:type="dxa"/>
          </w:tcPr>
          <w:p w:rsidR="00234376" w:rsidRPr="009B4BF1" w:rsidRDefault="00234376" w:rsidP="008E03A7">
            <w:pPr>
              <w:pStyle w:val="TableText0"/>
              <w:jc w:val="center"/>
              <w:rPr>
                <w:rFonts w:ascii="Arial Narrow" w:hAnsi="Arial Narrow"/>
              </w:rPr>
            </w:pPr>
            <w:r w:rsidRPr="009B4BF1">
              <w:rPr>
                <w:rFonts w:ascii="Arial Narrow" w:hAnsi="Arial Narrow"/>
              </w:rPr>
              <w:t>0.91 (0.84–0.98)</w:t>
            </w:r>
          </w:p>
        </w:tc>
      </w:tr>
      <w:tr w:rsidR="00234376" w:rsidRPr="00537C3C">
        <w:tblPrEx>
          <w:tblBorders>
            <w:top w:val="none" w:sz="0" w:space="0" w:color="auto"/>
            <w:bottom w:val="none" w:sz="0" w:space="0" w:color="auto"/>
            <w:insideH w:val="none" w:sz="0" w:space="0" w:color="auto"/>
          </w:tblBorders>
        </w:tblPrEx>
        <w:tc>
          <w:tcPr>
            <w:tcW w:w="1606" w:type="dxa"/>
          </w:tcPr>
          <w:p w:rsidR="00234376" w:rsidRPr="009B4BF1" w:rsidRDefault="00234376" w:rsidP="008E03A7">
            <w:pPr>
              <w:pStyle w:val="TableText0"/>
              <w:rPr>
                <w:rFonts w:ascii="Arial Narrow" w:hAnsi="Arial Narrow"/>
              </w:rPr>
            </w:pPr>
            <w:r w:rsidRPr="009B4BF1">
              <w:rPr>
                <w:rFonts w:ascii="Arial Narrow" w:hAnsi="Arial Narrow"/>
              </w:rPr>
              <w:t>dLSIL</w:t>
            </w:r>
          </w:p>
        </w:tc>
        <w:tc>
          <w:tcPr>
            <w:tcW w:w="1070" w:type="dxa"/>
          </w:tcPr>
          <w:p w:rsidR="00234376" w:rsidRPr="009B4BF1" w:rsidRDefault="00234376" w:rsidP="008E03A7">
            <w:pPr>
              <w:pStyle w:val="TableText0"/>
              <w:jc w:val="center"/>
              <w:rPr>
                <w:rFonts w:ascii="Arial Narrow" w:hAnsi="Arial Narrow"/>
              </w:rPr>
            </w:pPr>
            <w:r w:rsidRPr="009B4BF1">
              <w:rPr>
                <w:rFonts w:ascii="Arial Narrow" w:hAnsi="Arial Narrow"/>
              </w:rPr>
              <w:t>1.03</w:t>
            </w:r>
          </w:p>
        </w:tc>
        <w:tc>
          <w:tcPr>
            <w:tcW w:w="2143" w:type="dxa"/>
          </w:tcPr>
          <w:p w:rsidR="00234376" w:rsidRPr="009B4BF1" w:rsidRDefault="00234376" w:rsidP="008E03A7">
            <w:pPr>
              <w:pStyle w:val="TableText0"/>
              <w:jc w:val="center"/>
              <w:rPr>
                <w:rFonts w:ascii="Arial Narrow" w:hAnsi="Arial Narrow"/>
              </w:rPr>
            </w:pPr>
            <w:r w:rsidRPr="009B4BF1">
              <w:rPr>
                <w:rFonts w:ascii="Arial Narrow" w:hAnsi="Arial Narrow"/>
              </w:rPr>
              <w:t>1.03 (0.96–1.11)</w:t>
            </w:r>
          </w:p>
        </w:tc>
        <w:tc>
          <w:tcPr>
            <w:tcW w:w="1123" w:type="dxa"/>
          </w:tcPr>
          <w:p w:rsidR="00234376" w:rsidRPr="009B4BF1" w:rsidRDefault="006D4EFE" w:rsidP="008E03A7">
            <w:pPr>
              <w:pStyle w:val="TableText0"/>
              <w:jc w:val="center"/>
              <w:rPr>
                <w:rFonts w:ascii="Arial Narrow" w:hAnsi="Arial Narrow"/>
              </w:rPr>
            </w:pPr>
            <w:r w:rsidRPr="009B4BF1">
              <w:rPr>
                <w:rFonts w:ascii="Arial Narrow" w:hAnsi="Arial Narrow"/>
              </w:rPr>
              <w:t>0.991</w:t>
            </w:r>
          </w:p>
        </w:tc>
        <w:tc>
          <w:tcPr>
            <w:tcW w:w="2089" w:type="dxa"/>
          </w:tcPr>
          <w:p w:rsidR="00234376" w:rsidRPr="00537C3C" w:rsidRDefault="00234376" w:rsidP="008E03A7">
            <w:pPr>
              <w:pStyle w:val="TableText0"/>
              <w:jc w:val="center"/>
              <w:rPr>
                <w:rFonts w:ascii="Arial Narrow" w:hAnsi="Arial Narrow"/>
              </w:rPr>
            </w:pPr>
            <w:r w:rsidRPr="009B4BF1">
              <w:rPr>
                <w:rFonts w:ascii="Arial Narrow" w:hAnsi="Arial Narrow"/>
              </w:rPr>
              <w:t>0.97 (0.94–1.01)</w:t>
            </w:r>
          </w:p>
        </w:tc>
      </w:tr>
      <w:tr w:rsidR="00234376" w:rsidRPr="00537C3C">
        <w:tblPrEx>
          <w:tblBorders>
            <w:top w:val="none" w:sz="0" w:space="0" w:color="auto"/>
            <w:bottom w:val="none" w:sz="0" w:space="0" w:color="auto"/>
            <w:insideH w:val="none" w:sz="0" w:space="0" w:color="auto"/>
          </w:tblBorders>
        </w:tblPrEx>
        <w:tc>
          <w:tcPr>
            <w:tcW w:w="1606" w:type="dxa"/>
            <w:tcBorders>
              <w:bottom w:val="single" w:sz="4" w:space="0" w:color="auto"/>
            </w:tcBorders>
          </w:tcPr>
          <w:p w:rsidR="00234376" w:rsidRPr="00537C3C" w:rsidRDefault="00234376" w:rsidP="008E03A7">
            <w:pPr>
              <w:pStyle w:val="TableHeading0"/>
              <w:spacing w:before="0" w:after="0"/>
              <w:rPr>
                <w:rFonts w:ascii="Arial Narrow" w:hAnsi="Arial Narrow"/>
                <w:bCs/>
                <w:sz w:val="20"/>
              </w:rPr>
            </w:pPr>
          </w:p>
        </w:tc>
        <w:tc>
          <w:tcPr>
            <w:tcW w:w="1070" w:type="dxa"/>
            <w:tcBorders>
              <w:bottom w:val="single" w:sz="4" w:space="0" w:color="auto"/>
            </w:tcBorders>
          </w:tcPr>
          <w:p w:rsidR="00234376" w:rsidRPr="00537C3C" w:rsidRDefault="00234376" w:rsidP="008E03A7">
            <w:pPr>
              <w:pStyle w:val="TableHeading0"/>
              <w:spacing w:before="0" w:after="0"/>
              <w:rPr>
                <w:rFonts w:ascii="Arial Narrow" w:hAnsi="Arial Narrow"/>
                <w:bCs/>
                <w:sz w:val="20"/>
              </w:rPr>
            </w:pPr>
          </w:p>
        </w:tc>
        <w:tc>
          <w:tcPr>
            <w:tcW w:w="2143" w:type="dxa"/>
            <w:tcBorders>
              <w:bottom w:val="single" w:sz="4" w:space="0" w:color="auto"/>
            </w:tcBorders>
          </w:tcPr>
          <w:p w:rsidR="00234376" w:rsidRPr="00537C3C" w:rsidRDefault="00234376" w:rsidP="008E03A7">
            <w:pPr>
              <w:pStyle w:val="TableHeading0"/>
              <w:spacing w:before="0" w:after="0"/>
              <w:rPr>
                <w:rFonts w:ascii="Arial Narrow" w:hAnsi="Arial Narrow"/>
                <w:bCs/>
                <w:sz w:val="20"/>
              </w:rPr>
            </w:pPr>
          </w:p>
        </w:tc>
        <w:tc>
          <w:tcPr>
            <w:tcW w:w="1123" w:type="dxa"/>
            <w:tcBorders>
              <w:bottom w:val="single" w:sz="4" w:space="0" w:color="auto"/>
            </w:tcBorders>
          </w:tcPr>
          <w:p w:rsidR="00234376" w:rsidRPr="00537C3C" w:rsidRDefault="00234376" w:rsidP="008E03A7">
            <w:pPr>
              <w:pStyle w:val="TableHeading0"/>
              <w:spacing w:before="0" w:after="0"/>
              <w:jc w:val="center"/>
            </w:pPr>
          </w:p>
        </w:tc>
        <w:tc>
          <w:tcPr>
            <w:tcW w:w="2089" w:type="dxa"/>
            <w:tcBorders>
              <w:bottom w:val="single" w:sz="4" w:space="0" w:color="auto"/>
            </w:tcBorders>
          </w:tcPr>
          <w:p w:rsidR="00234376" w:rsidRPr="00537C3C" w:rsidRDefault="00234376" w:rsidP="008E03A7">
            <w:pPr>
              <w:pStyle w:val="TableHeading0"/>
              <w:spacing w:before="0" w:after="0"/>
              <w:jc w:val="center"/>
            </w:pPr>
          </w:p>
        </w:tc>
      </w:tr>
    </w:tbl>
    <w:p w:rsidR="00234376" w:rsidRPr="00537C3C" w:rsidRDefault="00234376" w:rsidP="008E03A7"/>
    <w:p w:rsidR="00234376" w:rsidRPr="00537C3C" w:rsidRDefault="00234376" w:rsidP="008E03A7">
      <w:r w:rsidRPr="00537C3C">
        <w:t xml:space="preserve">The relative sensitivity of manual </w:t>
      </w:r>
      <w:r w:rsidRPr="00BB76D8">
        <w:t>LBC</w:t>
      </w:r>
      <w:r w:rsidRPr="00537C3C">
        <w:t xml:space="preserve"> compared </w:t>
      </w:r>
      <w:r w:rsidR="009B4BF1">
        <w:t>to</w:t>
      </w:r>
      <w:r w:rsidRPr="00537C3C">
        <w:t xml:space="preserve"> conventional cytology used in the model is consistent with that found by Arbyn et al</w:t>
      </w:r>
      <w:r w:rsidR="009B4BF1">
        <w:t>.</w:t>
      </w:r>
      <w:r w:rsidRPr="00537C3C">
        <w:t xml:space="preserve"> The relative specificity used in the model is greater than the point estimate in Arbyn et al., and is at the upper end of the 95% </w:t>
      </w:r>
      <w:r w:rsidRPr="00BB76D8">
        <w:t>CI</w:t>
      </w:r>
      <w:r w:rsidRPr="00537C3C">
        <w:t>. As increased specificity will tend to improve cost-effectiveness, this is a favourable assumption.</w:t>
      </w:r>
    </w:p>
    <w:p w:rsidR="00234376" w:rsidRPr="00537C3C" w:rsidRDefault="00234376" w:rsidP="008E03A7">
      <w:pPr>
        <w:pStyle w:val="Caption"/>
      </w:pPr>
      <w:bookmarkStart w:id="713" w:name="_Ref210623038"/>
      <w:bookmarkStart w:id="714" w:name="_Ref219604668"/>
      <w:bookmarkStart w:id="715" w:name="_Toc95971286"/>
      <w:r w:rsidRPr="00537C3C">
        <w:t xml:space="preserve">Table </w:t>
      </w:r>
      <w:fldSimple w:instr=" SEQ Table \* ARABIC ">
        <w:r w:rsidR="007D3DFF">
          <w:rPr>
            <w:noProof/>
          </w:rPr>
          <w:t>50</w:t>
        </w:r>
      </w:fldSimple>
      <w:bookmarkEnd w:id="713"/>
      <w:r w:rsidRPr="00537C3C">
        <w:tab/>
        <w:t xml:space="preserve">Predicted and reported additional TPs and FPs from automated </w:t>
      </w:r>
      <w:r w:rsidRPr="00BB76D8">
        <w:t>LBC</w:t>
      </w:r>
      <w:r w:rsidRPr="00537C3C">
        <w:t xml:space="preserve"> (test threshold of possible </w:t>
      </w:r>
      <w:r w:rsidRPr="00BB76D8">
        <w:t>HSIL</w:t>
      </w:r>
      <w:r w:rsidRPr="00537C3C">
        <w:t>, excluding glandular where possible)</w:t>
      </w:r>
      <w:bookmarkEnd w:id="714"/>
      <w:r w:rsidRPr="00537C3C">
        <w:t>.</w:t>
      </w:r>
      <w:bookmarkEnd w:id="715"/>
    </w:p>
    <w:tbl>
      <w:tblPr>
        <w:tblW w:w="8229" w:type="dxa"/>
        <w:tblInd w:w="817" w:type="dxa"/>
        <w:tblLook w:val="01E0" w:firstRow="1" w:lastRow="1" w:firstColumn="1" w:lastColumn="1" w:noHBand="0" w:noVBand="0"/>
      </w:tblPr>
      <w:tblGrid>
        <w:gridCol w:w="2994"/>
        <w:gridCol w:w="1308"/>
        <w:gridCol w:w="1309"/>
        <w:gridCol w:w="1309"/>
        <w:gridCol w:w="1309"/>
      </w:tblGrid>
      <w:tr w:rsidR="00234376" w:rsidRPr="00537C3C">
        <w:tc>
          <w:tcPr>
            <w:tcW w:w="2994" w:type="dxa"/>
            <w:vMerge w:val="restart"/>
            <w:tcBorders>
              <w:top w:val="single" w:sz="4" w:space="0" w:color="auto"/>
            </w:tcBorders>
          </w:tcPr>
          <w:p w:rsidR="00234376" w:rsidRPr="009B4BF1" w:rsidRDefault="00234376" w:rsidP="008E03A7">
            <w:pPr>
              <w:pStyle w:val="TableHeading0"/>
              <w:spacing w:before="0" w:after="0"/>
              <w:rPr>
                <w:rFonts w:ascii="Arial Narrow" w:hAnsi="Arial Narrow"/>
                <w:bCs/>
                <w:sz w:val="20"/>
              </w:rPr>
            </w:pPr>
            <w:r w:rsidRPr="009B4BF1">
              <w:rPr>
                <w:rFonts w:ascii="Arial Narrow" w:hAnsi="Arial Narrow"/>
                <w:bCs/>
                <w:sz w:val="20"/>
              </w:rPr>
              <w:t>Comparator cytology test technology</w:t>
            </w:r>
          </w:p>
        </w:tc>
        <w:tc>
          <w:tcPr>
            <w:tcW w:w="5235" w:type="dxa"/>
            <w:gridSpan w:val="4"/>
            <w:tcBorders>
              <w:top w:val="single" w:sz="4" w:space="0" w:color="auto"/>
            </w:tcBorders>
          </w:tcPr>
          <w:p w:rsidR="00234376" w:rsidRPr="009B4BF1" w:rsidRDefault="00234376" w:rsidP="008E03A7">
            <w:pPr>
              <w:pStyle w:val="TableHeading0"/>
              <w:spacing w:before="0" w:after="120"/>
              <w:jc w:val="center"/>
              <w:rPr>
                <w:rFonts w:ascii="Arial Narrow" w:hAnsi="Arial Narrow"/>
                <w:bCs/>
                <w:sz w:val="20"/>
              </w:rPr>
            </w:pPr>
            <w:r w:rsidRPr="009B4BF1">
              <w:rPr>
                <w:rFonts w:ascii="Arial Narrow" w:hAnsi="Arial Narrow"/>
                <w:bCs/>
                <w:sz w:val="20"/>
              </w:rPr>
              <w:t>Additional cases per 1000 women screened</w:t>
            </w:r>
          </w:p>
        </w:tc>
      </w:tr>
      <w:tr w:rsidR="00234376" w:rsidRPr="00537C3C">
        <w:tc>
          <w:tcPr>
            <w:tcW w:w="2994" w:type="dxa"/>
            <w:vMerge/>
          </w:tcPr>
          <w:p w:rsidR="00234376" w:rsidRPr="009B4BF1" w:rsidRDefault="00234376" w:rsidP="008E03A7">
            <w:pPr>
              <w:pStyle w:val="TableHeading0"/>
              <w:spacing w:before="0" w:after="0"/>
              <w:rPr>
                <w:rFonts w:ascii="Arial Narrow" w:hAnsi="Arial Narrow"/>
                <w:bCs/>
                <w:sz w:val="20"/>
              </w:rPr>
            </w:pPr>
          </w:p>
        </w:tc>
        <w:tc>
          <w:tcPr>
            <w:tcW w:w="2617" w:type="dxa"/>
            <w:gridSpan w:val="2"/>
          </w:tcPr>
          <w:p w:rsidR="00234376" w:rsidRPr="009B4BF1" w:rsidRDefault="00234376" w:rsidP="008E03A7">
            <w:pPr>
              <w:pStyle w:val="TableHeading0"/>
              <w:spacing w:before="0" w:after="120"/>
              <w:jc w:val="center"/>
              <w:rPr>
                <w:rFonts w:ascii="Arial Narrow" w:hAnsi="Arial Narrow"/>
                <w:bCs/>
                <w:sz w:val="20"/>
              </w:rPr>
            </w:pPr>
            <w:r w:rsidRPr="009B4BF1">
              <w:rPr>
                <w:rFonts w:ascii="Arial Narrow" w:hAnsi="Arial Narrow"/>
                <w:bCs/>
                <w:sz w:val="20"/>
              </w:rPr>
              <w:t>True positives</w:t>
            </w:r>
          </w:p>
        </w:tc>
        <w:tc>
          <w:tcPr>
            <w:tcW w:w="2618" w:type="dxa"/>
            <w:gridSpan w:val="2"/>
          </w:tcPr>
          <w:p w:rsidR="00234376" w:rsidRPr="009B4BF1" w:rsidRDefault="00234376" w:rsidP="008E03A7">
            <w:pPr>
              <w:pStyle w:val="TableHeading0"/>
              <w:spacing w:before="0" w:after="120"/>
              <w:jc w:val="center"/>
              <w:rPr>
                <w:rFonts w:ascii="Arial Narrow" w:hAnsi="Arial Narrow"/>
                <w:bCs/>
                <w:sz w:val="20"/>
              </w:rPr>
            </w:pPr>
            <w:r w:rsidRPr="009B4BF1">
              <w:rPr>
                <w:rFonts w:ascii="Arial Narrow" w:hAnsi="Arial Narrow"/>
                <w:bCs/>
                <w:sz w:val="20"/>
              </w:rPr>
              <w:t>False positives</w:t>
            </w:r>
          </w:p>
        </w:tc>
      </w:tr>
      <w:tr w:rsidR="00234376" w:rsidRPr="00537C3C">
        <w:tblPrEx>
          <w:tblBorders>
            <w:top w:val="single" w:sz="4" w:space="0" w:color="auto"/>
            <w:bottom w:val="single" w:sz="4" w:space="0" w:color="auto"/>
            <w:insideH w:val="single" w:sz="4" w:space="0" w:color="auto"/>
          </w:tblBorders>
        </w:tblPrEx>
        <w:tc>
          <w:tcPr>
            <w:tcW w:w="2994" w:type="dxa"/>
            <w:vMerge/>
          </w:tcPr>
          <w:p w:rsidR="00234376" w:rsidRPr="009B4BF1" w:rsidRDefault="00234376" w:rsidP="008E03A7">
            <w:pPr>
              <w:pStyle w:val="TableHeading0"/>
              <w:spacing w:before="0" w:after="0"/>
              <w:rPr>
                <w:rFonts w:ascii="Arial Narrow" w:hAnsi="Arial Narrow"/>
                <w:bCs/>
                <w:sz w:val="20"/>
              </w:rPr>
            </w:pPr>
          </w:p>
        </w:tc>
        <w:tc>
          <w:tcPr>
            <w:tcW w:w="1308" w:type="dxa"/>
            <w:tcBorders>
              <w:top w:val="nil"/>
            </w:tcBorders>
          </w:tcPr>
          <w:p w:rsidR="00234376" w:rsidRPr="009B4BF1" w:rsidRDefault="00234376" w:rsidP="008E03A7">
            <w:pPr>
              <w:pStyle w:val="TableHeading0"/>
              <w:spacing w:before="0" w:after="0"/>
              <w:jc w:val="center"/>
              <w:rPr>
                <w:rFonts w:ascii="Arial Narrow" w:hAnsi="Arial Narrow"/>
                <w:bCs/>
                <w:sz w:val="20"/>
              </w:rPr>
            </w:pPr>
            <w:r w:rsidRPr="009B4BF1">
              <w:rPr>
                <w:rFonts w:ascii="Arial Narrow" w:hAnsi="Arial Narrow"/>
                <w:bCs/>
                <w:sz w:val="20"/>
              </w:rPr>
              <w:t>Predicted by model</w:t>
            </w:r>
          </w:p>
        </w:tc>
        <w:tc>
          <w:tcPr>
            <w:tcW w:w="1309" w:type="dxa"/>
            <w:tcBorders>
              <w:top w:val="nil"/>
            </w:tcBorders>
          </w:tcPr>
          <w:p w:rsidR="00234376" w:rsidRPr="009B4BF1" w:rsidRDefault="00234376" w:rsidP="008E03A7">
            <w:pPr>
              <w:pStyle w:val="TableHeading0"/>
              <w:spacing w:before="0" w:after="0"/>
              <w:jc w:val="center"/>
              <w:rPr>
                <w:rFonts w:ascii="Arial Narrow" w:hAnsi="Arial Narrow"/>
                <w:bCs/>
                <w:sz w:val="20"/>
              </w:rPr>
            </w:pPr>
            <w:r w:rsidRPr="009B4BF1">
              <w:rPr>
                <w:rFonts w:ascii="Arial Narrow" w:hAnsi="Arial Narrow"/>
                <w:bCs/>
                <w:sz w:val="20"/>
              </w:rPr>
              <w:t xml:space="preserve">Reported </w:t>
            </w:r>
            <w:r w:rsidRPr="009B4BF1">
              <w:rPr>
                <w:rFonts w:ascii="Arial Narrow" w:hAnsi="Arial Narrow"/>
                <w:bCs/>
                <w:sz w:val="20"/>
                <w:vertAlign w:val="superscript"/>
              </w:rPr>
              <w:t>a</w:t>
            </w:r>
          </w:p>
        </w:tc>
        <w:tc>
          <w:tcPr>
            <w:tcW w:w="1309" w:type="dxa"/>
            <w:tcBorders>
              <w:top w:val="nil"/>
            </w:tcBorders>
          </w:tcPr>
          <w:p w:rsidR="00234376" w:rsidRPr="009B4BF1" w:rsidRDefault="00234376" w:rsidP="008E03A7">
            <w:pPr>
              <w:pStyle w:val="TableHeading0"/>
              <w:spacing w:before="0" w:after="0"/>
              <w:jc w:val="center"/>
              <w:rPr>
                <w:rFonts w:ascii="Arial Narrow" w:hAnsi="Arial Narrow"/>
                <w:bCs/>
                <w:sz w:val="20"/>
              </w:rPr>
            </w:pPr>
            <w:r w:rsidRPr="009B4BF1">
              <w:rPr>
                <w:rFonts w:ascii="Arial Narrow" w:hAnsi="Arial Narrow"/>
                <w:bCs/>
                <w:sz w:val="20"/>
              </w:rPr>
              <w:t>Predicted by model</w:t>
            </w:r>
          </w:p>
        </w:tc>
        <w:tc>
          <w:tcPr>
            <w:tcW w:w="1309" w:type="dxa"/>
            <w:tcBorders>
              <w:top w:val="nil"/>
            </w:tcBorders>
          </w:tcPr>
          <w:p w:rsidR="00234376" w:rsidRPr="009B4BF1" w:rsidRDefault="00234376" w:rsidP="008E03A7">
            <w:pPr>
              <w:pStyle w:val="TableHeading0"/>
              <w:spacing w:before="0" w:after="0"/>
              <w:jc w:val="center"/>
              <w:rPr>
                <w:rFonts w:ascii="Arial Narrow" w:hAnsi="Arial Narrow"/>
                <w:bCs/>
                <w:sz w:val="20"/>
              </w:rPr>
            </w:pPr>
            <w:r w:rsidRPr="009B4BF1">
              <w:rPr>
                <w:rFonts w:ascii="Arial Narrow" w:hAnsi="Arial Narrow"/>
                <w:bCs/>
                <w:sz w:val="20"/>
              </w:rPr>
              <w:t xml:space="preserve">Reported </w:t>
            </w:r>
            <w:r w:rsidRPr="009B4BF1">
              <w:rPr>
                <w:rFonts w:ascii="Arial Narrow" w:hAnsi="Arial Narrow"/>
                <w:bCs/>
                <w:sz w:val="20"/>
                <w:vertAlign w:val="superscript"/>
              </w:rPr>
              <w:t>a</w:t>
            </w:r>
          </w:p>
        </w:tc>
      </w:tr>
      <w:tr w:rsidR="00234376" w:rsidRPr="00537C3C">
        <w:tblPrEx>
          <w:tblBorders>
            <w:top w:val="single" w:sz="4" w:space="0" w:color="auto"/>
            <w:bottom w:val="single" w:sz="4" w:space="0" w:color="auto"/>
            <w:insideH w:val="single" w:sz="4" w:space="0" w:color="auto"/>
          </w:tblBorders>
        </w:tblPrEx>
        <w:tc>
          <w:tcPr>
            <w:tcW w:w="2994" w:type="dxa"/>
            <w:tcBorders>
              <w:bottom w:val="nil"/>
            </w:tcBorders>
          </w:tcPr>
          <w:p w:rsidR="00234376" w:rsidRPr="009B4BF1" w:rsidRDefault="00234376" w:rsidP="008E03A7">
            <w:pPr>
              <w:pStyle w:val="TableText0"/>
              <w:rPr>
                <w:rFonts w:ascii="Arial Narrow" w:hAnsi="Arial Narrow"/>
              </w:rPr>
            </w:pPr>
          </w:p>
        </w:tc>
        <w:tc>
          <w:tcPr>
            <w:tcW w:w="1308" w:type="dxa"/>
            <w:tcBorders>
              <w:bottom w:val="nil"/>
            </w:tcBorders>
          </w:tcPr>
          <w:p w:rsidR="00234376" w:rsidRPr="009B4BF1" w:rsidRDefault="00234376" w:rsidP="008E03A7">
            <w:pPr>
              <w:pStyle w:val="TableText0"/>
              <w:jc w:val="center"/>
              <w:rPr>
                <w:rFonts w:ascii="Arial Narrow" w:hAnsi="Arial Narrow"/>
              </w:rPr>
            </w:pPr>
          </w:p>
        </w:tc>
        <w:tc>
          <w:tcPr>
            <w:tcW w:w="1309" w:type="dxa"/>
            <w:tcBorders>
              <w:bottom w:val="nil"/>
            </w:tcBorders>
          </w:tcPr>
          <w:p w:rsidR="00234376" w:rsidRPr="009B4BF1" w:rsidRDefault="00234376" w:rsidP="008E03A7">
            <w:pPr>
              <w:pStyle w:val="TableHeading0"/>
              <w:spacing w:before="0" w:after="0"/>
              <w:jc w:val="center"/>
              <w:rPr>
                <w:rFonts w:ascii="Arial Narrow" w:hAnsi="Arial Narrow"/>
                <w:bCs/>
                <w:sz w:val="20"/>
              </w:rPr>
            </w:pPr>
          </w:p>
        </w:tc>
        <w:tc>
          <w:tcPr>
            <w:tcW w:w="1309" w:type="dxa"/>
            <w:tcBorders>
              <w:bottom w:val="nil"/>
            </w:tcBorders>
          </w:tcPr>
          <w:p w:rsidR="00234376" w:rsidRPr="009B4BF1" w:rsidRDefault="00234376" w:rsidP="008E03A7">
            <w:pPr>
              <w:pStyle w:val="TableText0"/>
              <w:jc w:val="center"/>
              <w:rPr>
                <w:rFonts w:ascii="Arial Narrow" w:hAnsi="Arial Narrow"/>
              </w:rPr>
            </w:pPr>
          </w:p>
        </w:tc>
        <w:tc>
          <w:tcPr>
            <w:tcW w:w="1309" w:type="dxa"/>
            <w:tcBorders>
              <w:bottom w:val="nil"/>
            </w:tcBorders>
          </w:tcPr>
          <w:p w:rsidR="00234376" w:rsidRPr="009B4BF1" w:rsidRDefault="00234376" w:rsidP="008E03A7">
            <w:pPr>
              <w:pStyle w:val="TableHeading0"/>
              <w:spacing w:before="0" w:after="0"/>
              <w:jc w:val="center"/>
            </w:pPr>
          </w:p>
        </w:tc>
      </w:tr>
      <w:tr w:rsidR="00234376" w:rsidRPr="00537C3C">
        <w:tblPrEx>
          <w:tblBorders>
            <w:top w:val="single" w:sz="4" w:space="0" w:color="auto"/>
            <w:bottom w:val="single" w:sz="4" w:space="0" w:color="auto"/>
            <w:insideH w:val="single" w:sz="4" w:space="0" w:color="auto"/>
          </w:tblBorders>
        </w:tblPrEx>
        <w:tc>
          <w:tcPr>
            <w:tcW w:w="2994" w:type="dxa"/>
            <w:tcBorders>
              <w:top w:val="nil"/>
              <w:bottom w:val="nil"/>
            </w:tcBorders>
          </w:tcPr>
          <w:p w:rsidR="00234376" w:rsidRPr="009B4BF1" w:rsidRDefault="00234376" w:rsidP="008E03A7">
            <w:pPr>
              <w:pStyle w:val="TableText0"/>
              <w:rPr>
                <w:rFonts w:ascii="Arial Narrow" w:hAnsi="Arial Narrow"/>
              </w:rPr>
            </w:pPr>
            <w:r w:rsidRPr="009B4BF1">
              <w:rPr>
                <w:rFonts w:ascii="Arial Narrow" w:hAnsi="Arial Narrow"/>
              </w:rPr>
              <w:t xml:space="preserve">Conventional cytology </w:t>
            </w:r>
          </w:p>
        </w:tc>
        <w:tc>
          <w:tcPr>
            <w:tcW w:w="1308" w:type="dxa"/>
            <w:tcBorders>
              <w:top w:val="nil"/>
              <w:bottom w:val="nil"/>
            </w:tcBorders>
          </w:tcPr>
          <w:p w:rsidR="00234376" w:rsidRPr="009B4BF1" w:rsidRDefault="003C5FD6" w:rsidP="008E03A7">
            <w:pPr>
              <w:pStyle w:val="TableText0"/>
              <w:jc w:val="center"/>
              <w:rPr>
                <w:rFonts w:ascii="Arial Narrow" w:hAnsi="Arial Narrow"/>
              </w:rPr>
            </w:pPr>
            <w:r w:rsidRPr="009B4BF1">
              <w:rPr>
                <w:rFonts w:ascii="Arial Narrow" w:hAnsi="Arial Narrow"/>
              </w:rPr>
              <w:t>1.57</w:t>
            </w:r>
          </w:p>
        </w:tc>
        <w:tc>
          <w:tcPr>
            <w:tcW w:w="1309" w:type="dxa"/>
            <w:tcBorders>
              <w:top w:val="nil"/>
              <w:bottom w:val="nil"/>
            </w:tcBorders>
          </w:tcPr>
          <w:p w:rsidR="00234376" w:rsidRPr="009B4BF1" w:rsidRDefault="00234376" w:rsidP="008E03A7">
            <w:pPr>
              <w:pStyle w:val="TableText0"/>
              <w:jc w:val="center"/>
              <w:rPr>
                <w:rFonts w:ascii="Arial Narrow" w:hAnsi="Arial Narrow"/>
              </w:rPr>
            </w:pPr>
            <w:r w:rsidRPr="009B4BF1">
              <w:rPr>
                <w:rFonts w:ascii="Arial Narrow" w:hAnsi="Arial Narrow"/>
              </w:rPr>
              <w:t>0.82</w:t>
            </w:r>
            <w:r w:rsidRPr="009B4BF1">
              <w:rPr>
                <w:rFonts w:ascii="Arial Narrow" w:hAnsi="Arial Narrow"/>
                <w:vertAlign w:val="superscript"/>
              </w:rPr>
              <w:t xml:space="preserve"> b</w:t>
            </w:r>
            <w:r w:rsidR="005660D8" w:rsidRPr="009B4BF1">
              <w:rPr>
                <w:rFonts w:ascii="Arial Narrow" w:hAnsi="Arial Narrow"/>
              </w:rPr>
              <w:t xml:space="preserve"> to</w:t>
            </w:r>
            <w:r w:rsidRPr="009B4BF1">
              <w:rPr>
                <w:rFonts w:ascii="Arial Narrow" w:hAnsi="Arial Narrow"/>
              </w:rPr>
              <w:t xml:space="preserve"> 1.58</w:t>
            </w:r>
          </w:p>
        </w:tc>
        <w:tc>
          <w:tcPr>
            <w:tcW w:w="1309" w:type="dxa"/>
            <w:tcBorders>
              <w:top w:val="nil"/>
              <w:bottom w:val="nil"/>
            </w:tcBorders>
          </w:tcPr>
          <w:p w:rsidR="00234376" w:rsidRPr="009B4BF1" w:rsidRDefault="00234376" w:rsidP="008E03A7">
            <w:pPr>
              <w:pStyle w:val="TableText0"/>
              <w:jc w:val="center"/>
              <w:rPr>
                <w:rFonts w:ascii="Arial Narrow" w:hAnsi="Arial Narrow"/>
              </w:rPr>
            </w:pPr>
            <w:r w:rsidRPr="009B4BF1">
              <w:rPr>
                <w:rFonts w:ascii="Arial Narrow" w:hAnsi="Arial Narrow"/>
              </w:rPr>
              <w:t>–0.07</w:t>
            </w:r>
          </w:p>
        </w:tc>
        <w:tc>
          <w:tcPr>
            <w:tcW w:w="1309" w:type="dxa"/>
            <w:tcBorders>
              <w:top w:val="nil"/>
              <w:bottom w:val="nil"/>
            </w:tcBorders>
          </w:tcPr>
          <w:p w:rsidR="00234376" w:rsidRPr="009B4BF1" w:rsidRDefault="00234376" w:rsidP="008E03A7">
            <w:pPr>
              <w:pStyle w:val="TableText0"/>
              <w:jc w:val="center"/>
              <w:rPr>
                <w:rFonts w:ascii="Arial Narrow" w:hAnsi="Arial Narrow"/>
              </w:rPr>
            </w:pPr>
            <w:r w:rsidRPr="009B4BF1">
              <w:rPr>
                <w:rFonts w:ascii="Arial Narrow" w:hAnsi="Arial Narrow"/>
              </w:rPr>
              <w:t>–0.07 to 1.93</w:t>
            </w:r>
          </w:p>
        </w:tc>
      </w:tr>
      <w:tr w:rsidR="00234376" w:rsidRPr="00537C3C">
        <w:tblPrEx>
          <w:tblBorders>
            <w:top w:val="single" w:sz="4" w:space="0" w:color="auto"/>
            <w:bottom w:val="single" w:sz="4" w:space="0" w:color="auto"/>
            <w:insideH w:val="single" w:sz="4" w:space="0" w:color="auto"/>
          </w:tblBorders>
        </w:tblPrEx>
        <w:tc>
          <w:tcPr>
            <w:tcW w:w="2994" w:type="dxa"/>
            <w:tcBorders>
              <w:top w:val="nil"/>
            </w:tcBorders>
          </w:tcPr>
          <w:p w:rsidR="00234376" w:rsidRPr="009B4BF1" w:rsidRDefault="00234376" w:rsidP="008E03A7">
            <w:pPr>
              <w:pStyle w:val="TableHeading0"/>
              <w:spacing w:before="0" w:after="0"/>
              <w:rPr>
                <w:rFonts w:ascii="Arial Narrow" w:hAnsi="Arial Narrow"/>
                <w:bCs/>
                <w:sz w:val="20"/>
              </w:rPr>
            </w:pPr>
          </w:p>
        </w:tc>
        <w:tc>
          <w:tcPr>
            <w:tcW w:w="1308" w:type="dxa"/>
            <w:tcBorders>
              <w:top w:val="nil"/>
            </w:tcBorders>
          </w:tcPr>
          <w:p w:rsidR="00234376" w:rsidRPr="009B4BF1" w:rsidRDefault="00234376" w:rsidP="008E03A7">
            <w:pPr>
              <w:pStyle w:val="TableHeading0"/>
              <w:spacing w:before="0" w:after="0"/>
              <w:rPr>
                <w:rFonts w:ascii="Arial Narrow" w:hAnsi="Arial Narrow"/>
                <w:bCs/>
                <w:sz w:val="20"/>
              </w:rPr>
            </w:pPr>
          </w:p>
        </w:tc>
        <w:tc>
          <w:tcPr>
            <w:tcW w:w="1309" w:type="dxa"/>
            <w:tcBorders>
              <w:top w:val="nil"/>
            </w:tcBorders>
          </w:tcPr>
          <w:p w:rsidR="00234376" w:rsidRPr="009B4BF1" w:rsidRDefault="00234376" w:rsidP="008E03A7">
            <w:pPr>
              <w:pStyle w:val="TableHeading0"/>
              <w:spacing w:before="0" w:after="0"/>
              <w:rPr>
                <w:rFonts w:ascii="Arial Narrow" w:hAnsi="Arial Narrow"/>
                <w:bCs/>
                <w:sz w:val="20"/>
              </w:rPr>
            </w:pPr>
          </w:p>
        </w:tc>
        <w:tc>
          <w:tcPr>
            <w:tcW w:w="1309" w:type="dxa"/>
            <w:tcBorders>
              <w:top w:val="nil"/>
            </w:tcBorders>
          </w:tcPr>
          <w:p w:rsidR="00234376" w:rsidRPr="009B4BF1" w:rsidRDefault="00234376" w:rsidP="008E03A7">
            <w:pPr>
              <w:pStyle w:val="TableHeading0"/>
              <w:spacing w:before="0" w:after="0"/>
              <w:jc w:val="center"/>
            </w:pPr>
          </w:p>
        </w:tc>
        <w:tc>
          <w:tcPr>
            <w:tcW w:w="1309" w:type="dxa"/>
            <w:tcBorders>
              <w:top w:val="nil"/>
            </w:tcBorders>
          </w:tcPr>
          <w:p w:rsidR="00234376" w:rsidRPr="009B4BF1" w:rsidRDefault="00234376" w:rsidP="008E03A7">
            <w:pPr>
              <w:pStyle w:val="TableHeading0"/>
              <w:spacing w:before="0" w:after="0"/>
              <w:jc w:val="center"/>
            </w:pPr>
          </w:p>
        </w:tc>
      </w:tr>
    </w:tbl>
    <w:p w:rsidR="00234376" w:rsidRPr="00537C3C" w:rsidRDefault="00234376" w:rsidP="008E03A7">
      <w:pPr>
        <w:pStyle w:val="TableNotes"/>
      </w:pPr>
      <w:r w:rsidRPr="00537C3C">
        <w:rPr>
          <w:bCs/>
          <w:vertAlign w:val="superscript"/>
        </w:rPr>
        <w:t>a</w:t>
      </w:r>
      <w:r w:rsidRPr="00537C3C">
        <w:t xml:space="preserve"> Based on </w:t>
      </w:r>
      <w:r>
        <w:fldChar w:fldCharType="begin"/>
      </w:r>
      <w:r>
        <w:instrText xml:space="preserve"> REF _Ref190499190 \h  \* MERGEFORMAT </w:instrText>
      </w:r>
      <w:r>
        <w:fldChar w:fldCharType="separate"/>
      </w:r>
      <w:r w:rsidR="007D3DFF" w:rsidRPr="007D3DFF">
        <w:rPr>
          <w:rStyle w:val="TableNotesChar1"/>
          <w:b/>
        </w:rPr>
        <w:t>Table 17</w:t>
      </w:r>
      <w:r>
        <w:fldChar w:fldCharType="end"/>
      </w:r>
      <w:r w:rsidRPr="00537C3C">
        <w:rPr>
          <w:rStyle w:val="TableNotesChar1"/>
        </w:rPr>
        <w:t>.</w:t>
      </w:r>
      <w:r w:rsidRPr="00537C3C">
        <w:rPr>
          <w:rStyle w:val="TableNotesChar1"/>
          <w:b/>
        </w:rPr>
        <w:t xml:space="preserve"> </w:t>
      </w:r>
      <w:r w:rsidRPr="00537C3C">
        <w:rPr>
          <w:vertAlign w:val="superscript"/>
        </w:rPr>
        <w:t xml:space="preserve">b </w:t>
      </w:r>
      <w:r w:rsidRPr="00537C3C">
        <w:rPr>
          <w:rStyle w:val="TableNotesChar1"/>
        </w:rPr>
        <w:t>Significant at the 0.05 level.</w:t>
      </w:r>
    </w:p>
    <w:p w:rsidR="00234376" w:rsidRPr="00537C3C" w:rsidRDefault="00234376" w:rsidP="008E03A7">
      <w:r w:rsidRPr="00537C3C">
        <w:t xml:space="preserve">The model-predicted additional true positives due to automated </w:t>
      </w:r>
      <w:r w:rsidRPr="00BB76D8">
        <w:t>LBC</w:t>
      </w:r>
      <w:r w:rsidRPr="00537C3C">
        <w:t xml:space="preserve"> are at the upper end of the range in published Australian data, and exceed the statistically significant estimate of 0.82 (</w:t>
      </w:r>
      <w:r w:rsidRPr="00537C3C">
        <w:fldChar w:fldCharType="begin"/>
      </w:r>
      <w:r w:rsidRPr="00537C3C">
        <w:instrText xml:space="preserve"> REF _Ref210623038 \h </w:instrText>
      </w:r>
      <w:r w:rsidRPr="00537C3C">
        <w:fldChar w:fldCharType="separate"/>
      </w:r>
      <w:r w:rsidR="007D3DFF" w:rsidRPr="00537C3C">
        <w:t xml:space="preserve">Table </w:t>
      </w:r>
      <w:r w:rsidR="007D3DFF">
        <w:rPr>
          <w:noProof/>
        </w:rPr>
        <w:t>50</w:t>
      </w:r>
      <w:r w:rsidRPr="00537C3C">
        <w:fldChar w:fldCharType="end"/>
      </w:r>
      <w:r w:rsidRPr="00537C3C">
        <w:t>). This is a favourable assumption, indicating an increase in sensitivity, which is likely to improve effectiveness.</w:t>
      </w:r>
    </w:p>
    <w:p w:rsidR="00234376" w:rsidRPr="00537C3C" w:rsidRDefault="00234376" w:rsidP="008E03A7">
      <w:r w:rsidRPr="00110B9C">
        <w:t>The model-predicted additional false positives due to automated LBC are at the lower end</w:t>
      </w:r>
      <w:r w:rsidRPr="00537C3C">
        <w:t xml:space="preserve"> of the reported range, indicating that the model assumes an improved specificity for </w:t>
      </w:r>
      <w:r w:rsidRPr="00BB76D8">
        <w:t>CIN</w:t>
      </w:r>
      <w:r w:rsidRPr="00537C3C">
        <w:t xml:space="preserve"> 2+ at the test threshold of </w:t>
      </w:r>
      <w:r w:rsidRPr="00BB76D8">
        <w:t>pHSIL</w:t>
      </w:r>
      <w:r w:rsidRPr="00537C3C">
        <w:t>. This is also a favourable assumption, as a reduction in false positives will tend to increase cost-effectiveness.</w:t>
      </w:r>
    </w:p>
    <w:p w:rsidR="00234376" w:rsidRPr="00537C3C" w:rsidRDefault="00234376" w:rsidP="008E03A7">
      <w:pPr>
        <w:pStyle w:val="Heading6"/>
      </w:pPr>
      <w:r w:rsidRPr="00537C3C">
        <w:t>Calibration of the total number of smears</w:t>
      </w:r>
    </w:p>
    <w:p w:rsidR="00234376" w:rsidRPr="00537C3C" w:rsidRDefault="00234376" w:rsidP="008E03A7">
      <w:r w:rsidRPr="00537C3C">
        <w:t xml:space="preserve">The model was used to calculate the predicted total number of cytological smears performed annually in Australia, and the results were compared </w:t>
      </w:r>
      <w:r w:rsidR="009B4BF1">
        <w:t>to</w:t>
      </w:r>
      <w:r w:rsidRPr="00537C3C">
        <w:t xml:space="preserve"> the total number of 2.1 million smears observed in 2007 </w:t>
      </w:r>
      <w:r w:rsidRPr="00537C3C">
        <w:fldChar w:fldCharType="begin"/>
      </w:r>
      <w:r w:rsidRPr="00537C3C">
        <w:instrText xml:space="preserve"> ADDIN REFMGR.CITE &lt;Refman&gt;&lt;Cite&gt;&lt;Author&gt;Royal College of Pathologists Australasia Cytopathology Quality Assurance Programs&lt;/Author&gt;&lt;Year&gt;2008&lt;/Year&gt;&lt;RecNum&gt;4986&lt;/RecNum&gt;&lt;IDText&gt;Performance Standards for Australian Laboratories Reporting Cervical Cytology 2008&lt;/IDText&gt;&lt;MDL Ref_Type="Generic"&gt;&lt;Ref_Type&gt;Generic&lt;/Ref_Type&gt;&lt;Ref_ID&gt;4986&lt;/Ref_ID&gt;&lt;Title_Primary&gt;Performance Standards for Australian Laboratories Reporting Cervical Cytology 2008&lt;/Title_Primary&gt;&lt;Authors_Primary&gt;Royal College of Pathologists Australasia Cytopathology Quality Assurance Programs&lt;/Authors_Primary&gt;&lt;Date_Primary&gt;2008&lt;/Date_Primary&gt;&lt;Reprint&gt;Not in File&lt;/Reprint&gt;&lt;ZZ_WorkformID&gt;33&lt;/ZZ_WorkformID&gt;&lt;/MDL&gt;&lt;/Cite&gt;&lt;/Refman&gt;</w:instrText>
      </w:r>
      <w:r w:rsidRPr="00537C3C">
        <w:fldChar w:fldCharType="separate"/>
      </w:r>
      <w:r w:rsidRPr="00537C3C">
        <w:t>(Royal College of Pathologists Australasia Cytopathology Quality Assurance Programs 2008)</w:t>
      </w:r>
      <w:r w:rsidRPr="00537C3C">
        <w:fldChar w:fldCharType="end"/>
      </w:r>
      <w:r w:rsidRPr="00537C3C">
        <w:t xml:space="preserve">. To reproduce the total observed number of smears nationally, additional data were used to inform the model on multiple early rescreening tests in a small proportion of women, practices not following the guidelines, or management practices which are outside the scope of the guidelines (such as some aspects of colposcopy, biopsy, and treatment management practices). Using data from Victoria (personal communication, Dr Jeffrey Tan, Royal Women’s Hospital, </w:t>
      </w:r>
      <w:smartTag w:uri="urn:schemas-microsoft-com:office:smarttags" w:element="place">
        <w:smartTag w:uri="urn:schemas-microsoft-com:office:smarttags" w:element="City">
          <w:r w:rsidRPr="00537C3C">
            <w:lastRenderedPageBreak/>
            <w:t>Melbourne</w:t>
          </w:r>
        </w:smartTag>
      </w:smartTag>
      <w:r w:rsidRPr="00537C3C">
        <w:t>, Victoria; and data from the Victorian Cervical Cytology Register 1995–2007), the following assumptions were made:</w:t>
      </w:r>
    </w:p>
    <w:p w:rsidR="00234376" w:rsidRPr="00537C3C" w:rsidRDefault="00234376" w:rsidP="00AC39E0">
      <w:pPr>
        <w:numPr>
          <w:ilvl w:val="0"/>
          <w:numId w:val="13"/>
        </w:numPr>
      </w:pPr>
      <w:r w:rsidRPr="00537C3C">
        <w:t>85 per cent of women have cytology at time of colposcopy (Victorian colposcopy data).</w:t>
      </w:r>
    </w:p>
    <w:p w:rsidR="00234376" w:rsidRPr="00537C3C" w:rsidRDefault="00234376" w:rsidP="00AC39E0">
      <w:pPr>
        <w:numPr>
          <w:ilvl w:val="0"/>
          <w:numId w:val="13"/>
        </w:numPr>
      </w:pPr>
      <w:r w:rsidRPr="00537C3C">
        <w:t>19 per cent of women have cytology at time of treatment (Victorian colposcopy data).</w:t>
      </w:r>
    </w:p>
    <w:p w:rsidR="00234376" w:rsidRPr="00537C3C" w:rsidRDefault="00234376" w:rsidP="00AC39E0">
      <w:pPr>
        <w:numPr>
          <w:ilvl w:val="0"/>
          <w:numId w:val="13"/>
        </w:numPr>
      </w:pPr>
      <w:r w:rsidRPr="00537C3C">
        <w:t>20 per cent of women have an additional cytology test associated with post-treatment follow-up (assumption).</w:t>
      </w:r>
    </w:p>
    <w:p w:rsidR="00234376" w:rsidRPr="00537C3C" w:rsidRDefault="00234376" w:rsidP="00AC39E0">
      <w:pPr>
        <w:numPr>
          <w:ilvl w:val="0"/>
          <w:numId w:val="13"/>
        </w:numPr>
      </w:pPr>
      <w:r w:rsidRPr="00537C3C">
        <w:t xml:space="preserve">3 per cent of women given a recommendation to return for their next smear in 2 years (ie, routine screening) have 2 additional smears within 15 months of their index smear (guided by </w:t>
      </w:r>
      <w:r w:rsidRPr="00537C3C">
        <w:fldChar w:fldCharType="begin"/>
      </w:r>
      <w:r w:rsidRPr="00537C3C">
        <w:instrText xml:space="preserve"> ADDIN REFMGR.CITE &lt;Refman&gt;&lt;Cite&gt;&lt;Author&gt;Victorian Cervical Cytology Registry&lt;/Author&gt;&lt;Year&gt;2006&lt;/Year&gt;&lt;RecNum&gt;4976&lt;/RecNum&gt;&lt;IDText&gt;Statistical Report 2006&lt;/IDText&gt;&lt;MDL Ref_Type="Generic"&gt;&lt;Ref_Type&gt;Generic&lt;/Ref_Type&gt;&lt;Ref_ID&gt;4976&lt;/Ref_ID&gt;&lt;Title_Primary&gt;Statistical Report 2006&lt;/Title_Primary&gt;&lt;Authors_Primary&gt;Victorian Cervical Cytology Registry&lt;/Authors_Primary&gt;&lt;Date_Primary&gt;2006=October &lt;/Date_Primary&gt;&lt;Keywords&gt;cytology&lt;/Keywords&gt;&lt;Keywords&gt;Registries&lt;/Keywords&gt;&lt;Keywords&gt;Statistical&lt;/Keywords&gt;&lt;Reprint&gt;Not in File&lt;/Reprint&gt;&lt;Web_URL&gt;www.vccr.org/downloads/VCCRStatisticalReport2006_Final_114224102007.pdf&lt;/Web_URL&gt;&lt;ZZ_WorkformID&gt;33&lt;/ZZ_WorkformID&gt;&lt;/MDL&gt;&lt;/Cite&gt;&lt;/Refman&gt;</w:instrText>
      </w:r>
      <w:r w:rsidRPr="00537C3C">
        <w:fldChar w:fldCharType="separate"/>
      </w:r>
      <w:r w:rsidRPr="00537C3C">
        <w:t>Victorian Cervical Cytology Registry 2006)</w:t>
      </w:r>
      <w:r w:rsidRPr="00537C3C">
        <w:fldChar w:fldCharType="end"/>
      </w:r>
      <w:r w:rsidRPr="00537C3C">
        <w:t>.</w:t>
      </w:r>
    </w:p>
    <w:p w:rsidR="00234376" w:rsidRPr="00537C3C" w:rsidRDefault="00234376" w:rsidP="00AC39E0">
      <w:pPr>
        <w:numPr>
          <w:ilvl w:val="0"/>
          <w:numId w:val="13"/>
        </w:numPr>
      </w:pPr>
      <w:r w:rsidRPr="00537C3C">
        <w:t xml:space="preserve">25 per cent of women given a recommendation to return for their next smear in 12 months have 2 additional smears within 15 months of their index smear (guided by </w:t>
      </w:r>
      <w:bookmarkStart w:id="716" w:name="OLE_LINK508"/>
      <w:bookmarkStart w:id="717" w:name="OLE_LINK509"/>
      <w:r w:rsidRPr="00BB76D8">
        <w:t>VCCR</w:t>
      </w:r>
      <w:r w:rsidRPr="00537C3C">
        <w:t xml:space="preserve"> statistical report 2006</w:t>
      </w:r>
      <w:bookmarkEnd w:id="716"/>
      <w:bookmarkEnd w:id="717"/>
      <w:r w:rsidRPr="00537C3C">
        <w:t>).</w:t>
      </w:r>
    </w:p>
    <w:p w:rsidR="00234376" w:rsidRPr="00537C3C" w:rsidRDefault="00234376" w:rsidP="008E03A7">
      <w:pPr>
        <w:pStyle w:val="Heading4"/>
      </w:pPr>
      <w:r w:rsidRPr="00537C3C">
        <w:t>Results of the economic evaluation</w:t>
      </w:r>
    </w:p>
    <w:p w:rsidR="00234376" w:rsidRPr="00537C3C" w:rsidRDefault="00234376" w:rsidP="008E03A7">
      <w:pPr>
        <w:pStyle w:val="Caption"/>
        <w:ind w:left="709" w:firstLine="11"/>
        <w:rPr>
          <w:rFonts w:ascii="Garamond" w:hAnsi="Garamond"/>
          <w:b w:val="0"/>
          <w:sz w:val="24"/>
          <w:szCs w:val="24"/>
        </w:rPr>
      </w:pPr>
      <w:r w:rsidRPr="00537C3C">
        <w:rPr>
          <w:rFonts w:ascii="Garamond" w:hAnsi="Garamond"/>
          <w:b w:val="0"/>
          <w:sz w:val="24"/>
          <w:szCs w:val="24"/>
        </w:rPr>
        <w:t xml:space="preserve">The model was used to calculate predicted discounted lifetime costs and effects if the new test technologies were introduced in </w:t>
      </w:r>
      <w:smartTag w:uri="urn:schemas-microsoft-com:office:smarttags" w:element="place">
        <w:smartTag w:uri="urn:schemas-microsoft-com:office:smarttags" w:element="country-region">
          <w:r w:rsidRPr="00537C3C">
            <w:rPr>
              <w:rFonts w:ascii="Garamond" w:hAnsi="Garamond"/>
              <w:b w:val="0"/>
              <w:sz w:val="24"/>
              <w:szCs w:val="24"/>
            </w:rPr>
            <w:t>Australia</w:t>
          </w:r>
        </w:smartTag>
      </w:smartTag>
      <w:r w:rsidRPr="00537C3C">
        <w:rPr>
          <w:rFonts w:ascii="Garamond" w:hAnsi="Garamond"/>
          <w:b w:val="0"/>
          <w:sz w:val="24"/>
          <w:szCs w:val="24"/>
        </w:rPr>
        <w:t>. The cost-</w:t>
      </w:r>
      <w:r w:rsidRPr="00537C3C">
        <w:rPr>
          <w:rFonts w:ascii="Garamond" w:hAnsi="Garamond"/>
          <w:b w:val="0"/>
          <w:bCs w:val="0"/>
          <w:sz w:val="24"/>
        </w:rPr>
        <w:t>effectiveness ratio</w:t>
      </w:r>
      <w:r w:rsidRPr="00537C3C">
        <w:t xml:space="preserve"> </w:t>
      </w:r>
      <w:r w:rsidRPr="00537C3C">
        <w:rPr>
          <w:rFonts w:ascii="Garamond" w:hAnsi="Garamond"/>
          <w:b w:val="0"/>
          <w:sz w:val="24"/>
          <w:szCs w:val="24"/>
        </w:rPr>
        <w:t xml:space="preserve">(calculated as a dollar amount per </w:t>
      </w:r>
      <w:smartTag w:uri="urn:schemas-microsoft-com:office:smarttags" w:element="place">
        <w:r w:rsidRPr="00537C3C">
          <w:rPr>
            <w:rFonts w:ascii="Garamond" w:hAnsi="Garamond"/>
            <w:b w:val="0"/>
            <w:sz w:val="24"/>
            <w:szCs w:val="24"/>
          </w:rPr>
          <w:t>LYS</w:t>
        </w:r>
      </w:smartTag>
      <w:r w:rsidRPr="00537C3C">
        <w:rPr>
          <w:rFonts w:ascii="Garamond" w:hAnsi="Garamond"/>
          <w:b w:val="0"/>
          <w:sz w:val="24"/>
          <w:szCs w:val="24"/>
        </w:rPr>
        <w:t>) was then calculated for each new technology compared with current practice. The ICERs for the new technologies versus the next most cost-effective alternative were also calculated using standard methods. A discount rate of 5 per cent was used for costs and effects.</w:t>
      </w:r>
    </w:p>
    <w:p w:rsidR="00234376" w:rsidRPr="00537C3C" w:rsidRDefault="00234376" w:rsidP="008E03A7">
      <w:r w:rsidRPr="00537C3C">
        <w:rPr>
          <w:color w:val="000000"/>
        </w:rPr>
        <w:t xml:space="preserve">The cost-effectiveness ratios </w:t>
      </w:r>
      <w:r w:rsidRPr="00537C3C">
        <w:t xml:space="preserve">for each technology relative to current practice are given in </w:t>
      </w:r>
      <w:r>
        <w:fldChar w:fldCharType="begin"/>
      </w:r>
      <w:r>
        <w:instrText xml:space="preserve"> REF _Ref212962190 \h  \* MERGEFORMAT </w:instrText>
      </w:r>
      <w:r>
        <w:fldChar w:fldCharType="separate"/>
      </w:r>
      <w:r w:rsidR="007D3DFF" w:rsidRPr="00537C3C">
        <w:t xml:space="preserve">Table </w:t>
      </w:r>
      <w:r w:rsidR="007D3DFF">
        <w:rPr>
          <w:noProof/>
        </w:rPr>
        <w:t>51</w:t>
      </w:r>
      <w:r>
        <w:fldChar w:fldCharType="end"/>
      </w:r>
      <w:r w:rsidRPr="00537C3C">
        <w:t xml:space="preserve">. For </w:t>
      </w:r>
      <w:r w:rsidRPr="00BB76D8">
        <w:t>LBC</w:t>
      </w:r>
      <w:r w:rsidRPr="00537C3C">
        <w:t xml:space="preserve"> with manual reading, we performed two separate evaluations of the cost-effectiveness at differing levels of reimbursement for the test: $22.00 ($2.40 incremental cost) and $30.50 ($10.90 incremental cost).</w:t>
      </w:r>
    </w:p>
    <w:p w:rsidR="00234376" w:rsidRPr="00537C3C" w:rsidRDefault="00234376" w:rsidP="008E03A7">
      <w:pPr>
        <w:rPr>
          <w:color w:val="000000"/>
        </w:rPr>
      </w:pPr>
      <w:bookmarkStart w:id="718" w:name="_Ref208727890"/>
      <w:bookmarkStart w:id="719" w:name="_Toc208728011"/>
      <w:r w:rsidRPr="00DF1AB9">
        <w:rPr>
          <w:color w:val="000000"/>
        </w:rPr>
        <w:t xml:space="preserve">The main findings of the economic evaluation were that </w:t>
      </w:r>
      <w:r w:rsidR="00C40B00" w:rsidRPr="00DF1AB9">
        <w:rPr>
          <w:color w:val="000000"/>
        </w:rPr>
        <w:t>cost-</w:t>
      </w:r>
      <w:r w:rsidR="00772C61" w:rsidRPr="00DF1AB9">
        <w:rPr>
          <w:color w:val="000000"/>
        </w:rPr>
        <w:t>effectiveness</w:t>
      </w:r>
      <w:r w:rsidR="00C40B00" w:rsidRPr="00DF1AB9">
        <w:rPr>
          <w:color w:val="000000"/>
        </w:rPr>
        <w:t xml:space="preserve"> ratios are high for both test technologies at the currently </w:t>
      </w:r>
      <w:r w:rsidR="00772C61" w:rsidRPr="00DF1AB9">
        <w:rPr>
          <w:color w:val="000000"/>
        </w:rPr>
        <w:t>requested</w:t>
      </w:r>
      <w:r w:rsidR="00C40B00" w:rsidRPr="00DF1AB9">
        <w:rPr>
          <w:color w:val="000000"/>
        </w:rPr>
        <w:t xml:space="preserve"> level of reimbursement.</w:t>
      </w:r>
      <w:bookmarkEnd w:id="718"/>
      <w:bookmarkEnd w:id="719"/>
      <w:r w:rsidRPr="00DF1AB9">
        <w:rPr>
          <w:color w:val="000000"/>
        </w:rPr>
        <w:t xml:space="preserve"> As</w:t>
      </w:r>
      <w:r w:rsidRPr="00537C3C">
        <w:rPr>
          <w:color w:val="000000"/>
        </w:rPr>
        <w:t xml:space="preserve"> described under ‘</w:t>
      </w:r>
      <w:r w:rsidRPr="00234376">
        <w:rPr>
          <w:color w:val="000000"/>
        </w:rPr>
        <w:fldChar w:fldCharType="begin"/>
      </w:r>
      <w:r w:rsidRPr="00234376">
        <w:rPr>
          <w:color w:val="000000"/>
        </w:rPr>
        <w:instrText xml:space="preserve"> REF _Ref216059467 </w:instrText>
      </w:r>
      <w:r>
        <w:rPr>
          <w:color w:val="000000"/>
        </w:rPr>
        <w:instrText>\</w:instrText>
      </w:r>
      <w:r w:rsidRPr="00234376">
        <w:rPr>
          <w:color w:val="000000"/>
        </w:rPr>
        <w:instrText xml:space="preserve">h  </w:instrText>
      </w:r>
      <w:r>
        <w:rPr>
          <w:color w:val="000000"/>
        </w:rPr>
        <w:instrText>\</w:instrText>
      </w:r>
      <w:r w:rsidRPr="00234376">
        <w:rPr>
          <w:color w:val="000000"/>
        </w:rPr>
        <w:instrText xml:space="preserve">* MERGEFORMAT </w:instrText>
      </w:r>
      <w:r w:rsidRPr="00234376">
        <w:rPr>
          <w:color w:val="000000"/>
        </w:rPr>
      </w:r>
      <w:r w:rsidRPr="00234376">
        <w:rPr>
          <w:color w:val="000000"/>
        </w:rPr>
        <w:fldChar w:fldCharType="separate"/>
      </w:r>
      <w:r w:rsidR="007D3DFF" w:rsidRPr="00537C3C">
        <w:t>Additional cytology calibration</w:t>
      </w:r>
      <w:r w:rsidRPr="00234376">
        <w:rPr>
          <w:color w:val="000000"/>
        </w:rPr>
        <w:fldChar w:fldCharType="end"/>
      </w:r>
      <w:r w:rsidRPr="00537C3C">
        <w:rPr>
          <w:color w:val="000000"/>
        </w:rPr>
        <w:t xml:space="preserve">’, these findings were made in the context of favourable assumptions with respect to test accuracy (see </w:t>
      </w:r>
      <w:r>
        <w:fldChar w:fldCharType="begin"/>
      </w:r>
      <w:r>
        <w:instrText xml:space="preserve"> REF _Ref210623030 \h  \* MERGEFORMAT </w:instrText>
      </w:r>
      <w:r>
        <w:fldChar w:fldCharType="separate"/>
      </w:r>
      <w:r w:rsidR="007D3DFF" w:rsidRPr="00537C3C">
        <w:t xml:space="preserve">Table </w:t>
      </w:r>
      <w:r w:rsidR="007D3DFF">
        <w:rPr>
          <w:noProof/>
        </w:rPr>
        <w:t>49</w:t>
      </w:r>
      <w:r>
        <w:fldChar w:fldCharType="end"/>
      </w:r>
      <w:r w:rsidRPr="00537C3C">
        <w:rPr>
          <w:color w:val="000000"/>
        </w:rPr>
        <w:t xml:space="preserve"> and </w:t>
      </w:r>
      <w:r>
        <w:fldChar w:fldCharType="begin"/>
      </w:r>
      <w:r>
        <w:instrText xml:space="preserve"> REF _Ref210623038 \h  \* MERGEFORMAT </w:instrText>
      </w:r>
      <w:r>
        <w:fldChar w:fldCharType="separate"/>
      </w:r>
      <w:r w:rsidR="007D3DFF" w:rsidRPr="00537C3C">
        <w:t xml:space="preserve">Table </w:t>
      </w:r>
      <w:r w:rsidR="007D3DFF">
        <w:rPr>
          <w:noProof/>
        </w:rPr>
        <w:t>50</w:t>
      </w:r>
      <w:r>
        <w:fldChar w:fldCharType="end"/>
      </w:r>
      <w:r w:rsidRPr="00537C3C">
        <w:rPr>
          <w:color w:val="000000"/>
        </w:rPr>
        <w:t>).</w:t>
      </w:r>
    </w:p>
    <w:p w:rsidR="00234376" w:rsidRPr="00537C3C" w:rsidRDefault="00234376" w:rsidP="008E03A7">
      <w:pPr>
        <w:pStyle w:val="Caption"/>
      </w:pPr>
      <w:bookmarkStart w:id="720" w:name="_Ref212962190"/>
      <w:bookmarkStart w:id="721" w:name="_Toc95971287"/>
      <w:r w:rsidRPr="00537C3C">
        <w:t xml:space="preserve">Table </w:t>
      </w:r>
      <w:fldSimple w:instr=" SEQ Table \* ARABIC ">
        <w:r w:rsidR="007D3DFF">
          <w:rPr>
            <w:noProof/>
          </w:rPr>
          <w:t>51</w:t>
        </w:r>
      </w:fldSimple>
      <w:bookmarkEnd w:id="720"/>
      <w:r w:rsidRPr="00537C3C">
        <w:tab/>
        <w:t>Baseline results of economic evaluation.</w:t>
      </w:r>
      <w:bookmarkEnd w:id="721"/>
    </w:p>
    <w:tbl>
      <w:tblPr>
        <w:tblW w:w="8852" w:type="dxa"/>
        <w:tblInd w:w="840" w:type="dxa"/>
        <w:tblLook w:val="0000" w:firstRow="0" w:lastRow="0" w:firstColumn="0" w:lastColumn="0" w:noHBand="0" w:noVBand="0"/>
      </w:tblPr>
      <w:tblGrid>
        <w:gridCol w:w="4938"/>
        <w:gridCol w:w="3914"/>
      </w:tblGrid>
      <w:tr w:rsidR="00234376" w:rsidRPr="00537C3C">
        <w:trPr>
          <w:cantSplit/>
        </w:trPr>
        <w:tc>
          <w:tcPr>
            <w:tcW w:w="4938" w:type="dxa"/>
            <w:tcBorders>
              <w:top w:val="single" w:sz="4" w:space="0" w:color="auto"/>
              <w:bottom w:val="single" w:sz="4" w:space="0" w:color="auto"/>
            </w:tcBorders>
            <w:vAlign w:val="center"/>
          </w:tcPr>
          <w:p w:rsidR="00234376" w:rsidRPr="00537C3C" w:rsidRDefault="00234376" w:rsidP="008E03A7">
            <w:pPr>
              <w:pStyle w:val="TableHeading0"/>
            </w:pPr>
            <w:r w:rsidRPr="00537C3C">
              <w:t>Scenario</w:t>
            </w:r>
          </w:p>
        </w:tc>
        <w:tc>
          <w:tcPr>
            <w:tcW w:w="3914" w:type="dxa"/>
            <w:tcBorders>
              <w:top w:val="single" w:sz="4" w:space="0" w:color="auto"/>
              <w:bottom w:val="single" w:sz="4" w:space="0" w:color="auto"/>
            </w:tcBorders>
            <w:vAlign w:val="center"/>
          </w:tcPr>
          <w:p w:rsidR="00234376" w:rsidRPr="00537C3C" w:rsidRDefault="00234376" w:rsidP="008E03A7">
            <w:pPr>
              <w:pStyle w:val="TableHeading0"/>
              <w:jc w:val="center"/>
            </w:pPr>
            <w:r w:rsidRPr="00537C3C">
              <w:t>Cost-effectiveness ratio relative to current practice</w:t>
            </w:r>
          </w:p>
          <w:p w:rsidR="00234376" w:rsidRDefault="00234376" w:rsidP="00234376">
            <w:pPr>
              <w:pStyle w:val="TableText0"/>
              <w:jc w:val="center"/>
              <w:rPr>
                <w:b/>
              </w:rPr>
            </w:pPr>
            <w:r w:rsidRPr="00A95778">
              <w:t xml:space="preserve">($ / </w:t>
            </w:r>
            <w:smartTag w:uri="urn:schemas-microsoft-com:office:smarttags" w:element="place">
              <w:r w:rsidRPr="00A95778">
                <w:rPr>
                  <w:color w:val="000000"/>
                </w:rPr>
                <w:t>LYS</w:t>
              </w:r>
            </w:smartTag>
            <w:r w:rsidRPr="00A95778">
              <w:t>)</w:t>
            </w:r>
          </w:p>
        </w:tc>
      </w:tr>
      <w:tr w:rsidR="00234376" w:rsidRPr="00537C3C">
        <w:trPr>
          <w:cantSplit/>
        </w:trPr>
        <w:tc>
          <w:tcPr>
            <w:tcW w:w="4938" w:type="dxa"/>
            <w:tcBorders>
              <w:top w:val="single" w:sz="4" w:space="0" w:color="auto"/>
            </w:tcBorders>
          </w:tcPr>
          <w:p w:rsidR="00234376" w:rsidRPr="00537C3C" w:rsidRDefault="00234376" w:rsidP="008E03A7">
            <w:pPr>
              <w:pStyle w:val="TableText0"/>
            </w:pPr>
            <w:r w:rsidRPr="00537C3C">
              <w:t xml:space="preserve">Automated </w:t>
            </w:r>
            <w:r w:rsidRPr="00BB76D8">
              <w:t>LBC</w:t>
            </w:r>
            <w:r w:rsidRPr="00537C3C">
              <w:t xml:space="preserve"> slide reading </w:t>
            </w:r>
          </w:p>
        </w:tc>
        <w:tc>
          <w:tcPr>
            <w:tcW w:w="3914" w:type="dxa"/>
            <w:tcBorders>
              <w:top w:val="single" w:sz="4" w:space="0" w:color="auto"/>
            </w:tcBorders>
          </w:tcPr>
          <w:p w:rsidR="00234376" w:rsidRPr="00537C3C" w:rsidRDefault="00234376" w:rsidP="008E03A7">
            <w:pPr>
              <w:pStyle w:val="TableText0"/>
              <w:jc w:val="center"/>
            </w:pPr>
            <w:r w:rsidRPr="00537C3C">
              <w:t>$194 835</w:t>
            </w:r>
          </w:p>
        </w:tc>
      </w:tr>
      <w:tr w:rsidR="00234376" w:rsidRPr="00537C3C">
        <w:trPr>
          <w:cantSplit/>
        </w:trPr>
        <w:tc>
          <w:tcPr>
            <w:tcW w:w="4938" w:type="dxa"/>
          </w:tcPr>
          <w:p w:rsidR="00234376" w:rsidRPr="00537C3C" w:rsidRDefault="00234376" w:rsidP="008E03A7">
            <w:pPr>
              <w:pStyle w:val="TableText0"/>
            </w:pPr>
            <w:r w:rsidRPr="00537C3C">
              <w:t xml:space="preserve">Manual </w:t>
            </w:r>
            <w:r w:rsidRPr="00BB76D8">
              <w:t>LBC</w:t>
            </w:r>
            <w:r w:rsidRPr="00537C3C">
              <w:t xml:space="preserve"> slide reading—$2.40 incremental cost</w:t>
            </w:r>
          </w:p>
        </w:tc>
        <w:tc>
          <w:tcPr>
            <w:tcW w:w="3914" w:type="dxa"/>
          </w:tcPr>
          <w:p w:rsidR="00234376" w:rsidRPr="00537C3C" w:rsidRDefault="00234376" w:rsidP="008E03A7">
            <w:pPr>
              <w:pStyle w:val="TableText0"/>
              <w:jc w:val="center"/>
            </w:pPr>
            <w:r w:rsidRPr="00537C3C">
              <w:t>$126 315</w:t>
            </w:r>
          </w:p>
        </w:tc>
      </w:tr>
      <w:tr w:rsidR="00234376" w:rsidRPr="00537C3C">
        <w:trPr>
          <w:cantSplit/>
        </w:trPr>
        <w:tc>
          <w:tcPr>
            <w:tcW w:w="4938" w:type="dxa"/>
            <w:tcBorders>
              <w:bottom w:val="single" w:sz="4" w:space="0" w:color="auto"/>
            </w:tcBorders>
          </w:tcPr>
          <w:p w:rsidR="00234376" w:rsidRPr="00537C3C" w:rsidRDefault="00234376" w:rsidP="008E03A7">
            <w:pPr>
              <w:pStyle w:val="TableText0"/>
            </w:pPr>
            <w:r w:rsidRPr="00537C3C">
              <w:t xml:space="preserve">Manual </w:t>
            </w:r>
            <w:r w:rsidRPr="00BB76D8">
              <w:t>LBC</w:t>
            </w:r>
            <w:r w:rsidRPr="00537C3C">
              <w:t xml:space="preserve"> slide reading—$10.90 incremental cost</w:t>
            </w:r>
          </w:p>
        </w:tc>
        <w:tc>
          <w:tcPr>
            <w:tcW w:w="3914" w:type="dxa"/>
            <w:tcBorders>
              <w:bottom w:val="single" w:sz="4" w:space="0" w:color="auto"/>
            </w:tcBorders>
          </w:tcPr>
          <w:p w:rsidR="00234376" w:rsidRPr="00537C3C" w:rsidRDefault="00234376" w:rsidP="008E03A7">
            <w:pPr>
              <w:pStyle w:val="TableText0"/>
              <w:jc w:val="center"/>
            </w:pPr>
            <w:r w:rsidRPr="00537C3C">
              <w:t>$385 982</w:t>
            </w:r>
          </w:p>
        </w:tc>
      </w:tr>
    </w:tbl>
    <w:p w:rsidR="00234376" w:rsidRPr="00537C3C" w:rsidRDefault="00234376" w:rsidP="008E03A7"/>
    <w:p w:rsidR="00234376" w:rsidRPr="00537C3C" w:rsidRDefault="00234376" w:rsidP="008E03A7">
      <w:r w:rsidRPr="00537C3C">
        <w:t>More details are presented below on the predicted costs and effects (</w:t>
      </w:r>
      <w:r>
        <w:fldChar w:fldCharType="begin"/>
      </w:r>
      <w:r>
        <w:instrText xml:space="preserve"> REF _Ref213640796 \h  \* MERGEFORMAT </w:instrText>
      </w:r>
      <w:r>
        <w:fldChar w:fldCharType="separate"/>
      </w:r>
      <w:r w:rsidR="007D3DFF" w:rsidRPr="00AC39E0">
        <w:t xml:space="preserve">Table </w:t>
      </w:r>
      <w:r w:rsidR="007D3DFF">
        <w:rPr>
          <w:noProof/>
        </w:rPr>
        <w:t>52</w:t>
      </w:r>
      <w:r>
        <w:fldChar w:fldCharType="end"/>
      </w:r>
      <w:r w:rsidRPr="00537C3C">
        <w:t>), process outcomes (</w:t>
      </w:r>
      <w:r>
        <w:fldChar w:fldCharType="begin"/>
      </w:r>
      <w:r>
        <w:instrText xml:space="preserve"> REF _Ref215908742 \h  \* MERGEFORMAT </w:instrText>
      </w:r>
      <w:r>
        <w:fldChar w:fldCharType="separate"/>
      </w:r>
      <w:r w:rsidR="007D3DFF" w:rsidRPr="00AC39E0">
        <w:t xml:space="preserve">Table </w:t>
      </w:r>
      <w:r w:rsidR="007D3DFF">
        <w:rPr>
          <w:noProof/>
        </w:rPr>
        <w:t>53</w:t>
      </w:r>
      <w:r>
        <w:fldChar w:fldCharType="end"/>
      </w:r>
      <w:r w:rsidRPr="00537C3C">
        <w:t>), and health outcomes (</w:t>
      </w:r>
      <w:r>
        <w:fldChar w:fldCharType="begin"/>
      </w:r>
      <w:r>
        <w:instrText xml:space="preserve"> REF _Ref213640814 \h  \* MERGEFORMAT </w:instrText>
      </w:r>
      <w:r>
        <w:fldChar w:fldCharType="separate"/>
      </w:r>
      <w:r w:rsidR="007D3DFF" w:rsidRPr="00AC39E0">
        <w:t xml:space="preserve">Table </w:t>
      </w:r>
      <w:r w:rsidR="007D3DFF">
        <w:rPr>
          <w:noProof/>
        </w:rPr>
        <w:t>54</w:t>
      </w:r>
      <w:r>
        <w:fldChar w:fldCharType="end"/>
      </w:r>
      <w:r w:rsidRPr="00537C3C">
        <w:t>).</w:t>
      </w:r>
    </w:p>
    <w:p w:rsidR="00234376" w:rsidRPr="00537C3C" w:rsidRDefault="00234376" w:rsidP="008E03A7">
      <w:r w:rsidRPr="00537C3C">
        <w:lastRenderedPageBreak/>
        <w:t xml:space="preserve">Both manual and automated </w:t>
      </w:r>
      <w:r w:rsidRPr="00BB76D8">
        <w:t>LBC</w:t>
      </w:r>
      <w:r w:rsidRPr="00537C3C">
        <w:t xml:space="preserve"> are predicted to result in a benefit in terms of the average discounted years of life saved in Australian women: between approximately 1 h (manual </w:t>
      </w:r>
      <w:r w:rsidRPr="00BB76D8">
        <w:t>LBC</w:t>
      </w:r>
      <w:r w:rsidRPr="00537C3C">
        <w:t xml:space="preserve">) and 3 h (automated </w:t>
      </w:r>
      <w:r w:rsidRPr="00BB76D8">
        <w:t>LBC</w:t>
      </w:r>
      <w:r w:rsidRPr="00537C3C">
        <w:t xml:space="preserve">). The benefit is achieved at an increased cost (see </w:t>
      </w:r>
      <w:r>
        <w:fldChar w:fldCharType="begin"/>
      </w:r>
      <w:r>
        <w:instrText xml:space="preserve"> REF _Ref213640796 \h  \* MERGEFORMAT </w:instrText>
      </w:r>
      <w:r>
        <w:fldChar w:fldCharType="separate"/>
      </w:r>
      <w:r w:rsidR="007D3DFF" w:rsidRPr="00AC39E0">
        <w:t xml:space="preserve">Table </w:t>
      </w:r>
      <w:r w:rsidR="007D3DFF">
        <w:rPr>
          <w:noProof/>
        </w:rPr>
        <w:t>52</w:t>
      </w:r>
      <w:r>
        <w:fldChar w:fldCharType="end"/>
      </w:r>
      <w:r w:rsidRPr="00537C3C">
        <w:t xml:space="preserve"> and </w:t>
      </w:r>
      <w:r>
        <w:fldChar w:fldCharType="begin"/>
      </w:r>
      <w:r>
        <w:instrText xml:space="preserve"> REF _Ref215973884 \h  \* MERGEFORMAT </w:instrText>
      </w:r>
      <w:r>
        <w:fldChar w:fldCharType="separate"/>
      </w:r>
      <w:r w:rsidR="007D3DFF" w:rsidRPr="00537C3C">
        <w:t xml:space="preserve">Table </w:t>
      </w:r>
      <w:r w:rsidR="007D3DFF">
        <w:rPr>
          <w:noProof/>
        </w:rPr>
        <w:t>57</w:t>
      </w:r>
      <w:r>
        <w:fldChar w:fldCharType="end"/>
      </w:r>
      <w:r w:rsidRPr="00537C3C">
        <w:t>), attributable mainly to the increased cost of cytology, although there is also a predicted increase attributable to the additional colposcopies and biopsies associated with the new technologies.</w:t>
      </w:r>
    </w:p>
    <w:p w:rsidR="00234376" w:rsidRPr="00537C3C" w:rsidRDefault="00234376" w:rsidP="008E03A7">
      <w:r w:rsidRPr="00537C3C">
        <w:t xml:space="preserve">Both manual and automated </w:t>
      </w:r>
      <w:r w:rsidRPr="00BB76D8">
        <w:t>LBC</w:t>
      </w:r>
      <w:r w:rsidRPr="00537C3C">
        <w:t xml:space="preserve"> are predicted to reduce the number of unsatisfactory smears, but in both cases this reduction is countered by an increase in the total number of satisfactory smears. For example, the analysis assumes that manual </w:t>
      </w:r>
      <w:r w:rsidRPr="00BB76D8">
        <w:t>LBC</w:t>
      </w:r>
      <w:r w:rsidRPr="00537C3C">
        <w:t xml:space="preserve"> is more sensitive but less specific at a threshold of </w:t>
      </w:r>
      <w:r w:rsidRPr="00BB76D8">
        <w:t>pLSIL</w:t>
      </w:r>
      <w:r w:rsidRPr="00537C3C">
        <w:t xml:space="preserve"> than conventional cytology (see </w:t>
      </w:r>
      <w:r>
        <w:fldChar w:fldCharType="begin"/>
      </w:r>
      <w:r>
        <w:instrText xml:space="preserve"> REF _Ref210021211 \h  \* MERGEFORMAT </w:instrText>
      </w:r>
      <w:r>
        <w:fldChar w:fldCharType="separate"/>
      </w:r>
      <w:r w:rsidR="007D3DFF" w:rsidRPr="00537C3C">
        <w:t xml:space="preserve">Table </w:t>
      </w:r>
      <w:r w:rsidR="007D3DFF">
        <w:rPr>
          <w:noProof/>
        </w:rPr>
        <w:t>29</w:t>
      </w:r>
      <w:r>
        <w:fldChar w:fldCharType="end"/>
      </w:r>
      <w:r w:rsidRPr="00537C3C">
        <w:t xml:space="preserve">). Both of these properties will tend to increase the number of smears with manual </w:t>
      </w:r>
      <w:r w:rsidRPr="00BB76D8">
        <w:t>LBC</w:t>
      </w:r>
      <w:r w:rsidRPr="00537C3C">
        <w:t>, and therefore will also tend to increase the number of colposcopies, biopsies and treatment</w:t>
      </w:r>
      <w:r w:rsidR="00386582">
        <w:t>s</w:t>
      </w:r>
      <w:r w:rsidRPr="00537C3C">
        <w:t>.</w:t>
      </w:r>
    </w:p>
    <w:p w:rsidR="00234376" w:rsidRPr="00537C3C" w:rsidRDefault="00234376" w:rsidP="008E03A7">
      <w:r w:rsidRPr="00537C3C">
        <w:t xml:space="preserve">Both manual and automated </w:t>
      </w:r>
      <w:r w:rsidRPr="00BB76D8">
        <w:t>LBC</w:t>
      </w:r>
      <w:r w:rsidRPr="00537C3C">
        <w:t xml:space="preserve"> are predicted to result in a 17 per cent reduction in the total number of unsatisfactory smears conducted within the program per year (a reduction of approximately 7000 smears), but the total number of satisfactory smears would increase by 1.6 to 2.4 per cent (29 960–45 263) because of differences in test characteristics and the associated flow-on effects. In net terms, therefore, this would result in 22 763 to 38 346 more smears performed annually if liquid-based technology were introduced.</w:t>
      </w:r>
    </w:p>
    <w:p w:rsidR="00234376" w:rsidRPr="00537C3C" w:rsidRDefault="00234376" w:rsidP="008E03A7">
      <w:r w:rsidRPr="00537C3C">
        <w:t xml:space="preserve">The use of manual </w:t>
      </w:r>
      <w:r w:rsidRPr="00BB76D8">
        <w:t>LBC</w:t>
      </w:r>
      <w:r w:rsidRPr="00537C3C">
        <w:t xml:space="preserve"> is predicted to result in an additional 6770 colposcopies</w:t>
      </w:r>
      <w:r w:rsidR="00386582">
        <w:t xml:space="preserve"> and</w:t>
      </w:r>
      <w:r w:rsidRPr="00537C3C">
        <w:t xml:space="preserve"> 3273 biopsies. This would be accompanied by an estimated 23 fewer cancer cases and 6 fewer cancer deaths annually.</w:t>
      </w:r>
    </w:p>
    <w:p w:rsidR="00234376" w:rsidRPr="00537C3C" w:rsidRDefault="00234376" w:rsidP="008E03A7">
      <w:r w:rsidRPr="00537C3C">
        <w:t xml:space="preserve">The use of automated </w:t>
      </w:r>
      <w:r w:rsidRPr="00BB76D8">
        <w:t>LBC</w:t>
      </w:r>
      <w:r w:rsidRPr="00537C3C">
        <w:t xml:space="preserve"> is predicted to result in an additional 10 788 colposcopies</w:t>
      </w:r>
      <w:r w:rsidR="00386582">
        <w:t xml:space="preserve"> and</w:t>
      </w:r>
      <w:r w:rsidRPr="00537C3C">
        <w:t xml:space="preserve"> 5154 biopsies. This would be accompanied by 68 fewer cancer cases and 19 fewer cancer deaths annually.</w:t>
      </w:r>
    </w:p>
    <w:p w:rsidR="00234376" w:rsidRPr="00537C3C" w:rsidRDefault="00234376" w:rsidP="008E03A7">
      <w:pPr>
        <w:sectPr w:rsidR="00234376" w:rsidRPr="00537C3C" w:rsidSect="008E03A7">
          <w:headerReference w:type="even" r:id="rId65"/>
          <w:headerReference w:type="default" r:id="rId66"/>
          <w:footerReference w:type="default" r:id="rId67"/>
          <w:headerReference w:type="first" r:id="rId68"/>
          <w:pgSz w:w="11906" w:h="16838"/>
          <w:pgMar w:top="1440" w:right="1440" w:bottom="1440" w:left="1440" w:header="720" w:footer="720" w:gutter="0"/>
          <w:paperSrc w:first="15" w:other="15"/>
          <w:cols w:space="720"/>
        </w:sectPr>
      </w:pPr>
    </w:p>
    <w:p w:rsidR="00234376" w:rsidRPr="00AC39E0" w:rsidRDefault="00234376" w:rsidP="008E03A7">
      <w:pPr>
        <w:pStyle w:val="Caption"/>
        <w:ind w:left="1134"/>
      </w:pPr>
      <w:bookmarkStart w:id="722" w:name="_Ref213640796"/>
      <w:bookmarkStart w:id="723" w:name="_Ref215758041"/>
      <w:bookmarkStart w:id="724" w:name="_Toc95971288"/>
      <w:r w:rsidRPr="00AC39E0">
        <w:lastRenderedPageBreak/>
        <w:t xml:space="preserve">Table </w:t>
      </w:r>
      <w:fldSimple w:instr=" SEQ Table \* ARABIC ">
        <w:r w:rsidR="007D3DFF">
          <w:rPr>
            <w:noProof/>
          </w:rPr>
          <w:t>52</w:t>
        </w:r>
      </w:fldSimple>
      <w:bookmarkEnd w:id="722"/>
      <w:r w:rsidRPr="00AC39E0">
        <w:tab/>
        <w:t>Predicted costs, effects, and incremental cost-effectiveness ratios, by cytology test technology</w:t>
      </w:r>
      <w:bookmarkEnd w:id="723"/>
      <w:r w:rsidRPr="00AC39E0">
        <w:t>.</w:t>
      </w:r>
      <w:bookmarkEnd w:id="724"/>
    </w:p>
    <w:tbl>
      <w:tblPr>
        <w:tblW w:w="4795" w:type="pct"/>
        <w:tblLook w:val="01E0" w:firstRow="1" w:lastRow="1" w:firstColumn="1" w:lastColumn="1" w:noHBand="0" w:noVBand="0"/>
      </w:tblPr>
      <w:tblGrid>
        <w:gridCol w:w="3406"/>
        <w:gridCol w:w="1777"/>
        <w:gridCol w:w="2030"/>
        <w:gridCol w:w="2467"/>
        <w:gridCol w:w="1598"/>
        <w:gridCol w:w="2472"/>
      </w:tblGrid>
      <w:tr w:rsidR="00234376" w:rsidRPr="00AC39E0">
        <w:tc>
          <w:tcPr>
            <w:tcW w:w="1239" w:type="pct"/>
            <w:tcBorders>
              <w:top w:val="single" w:sz="4" w:space="0" w:color="auto"/>
              <w:bottom w:val="single" w:sz="4" w:space="0" w:color="auto"/>
            </w:tcBorders>
          </w:tcPr>
          <w:p w:rsidR="00234376" w:rsidRPr="00AC39E0" w:rsidRDefault="00234376" w:rsidP="008E03A7">
            <w:pPr>
              <w:pStyle w:val="TableHeading0"/>
            </w:pPr>
            <w:r w:rsidRPr="00AC39E0">
              <w:t>Strategy</w:t>
            </w:r>
          </w:p>
        </w:tc>
        <w:tc>
          <w:tcPr>
            <w:tcW w:w="646" w:type="pct"/>
            <w:tcBorders>
              <w:top w:val="single" w:sz="4" w:space="0" w:color="auto"/>
              <w:bottom w:val="single" w:sz="4" w:space="0" w:color="auto"/>
            </w:tcBorders>
          </w:tcPr>
          <w:p w:rsidR="00234376" w:rsidRPr="00AC39E0" w:rsidRDefault="00234376" w:rsidP="008E03A7">
            <w:pPr>
              <w:pStyle w:val="TableHeading0"/>
              <w:jc w:val="center"/>
            </w:pPr>
            <w:r w:rsidRPr="00AC39E0">
              <w:t>Discounted lifetime costs</w:t>
            </w:r>
          </w:p>
          <w:p w:rsidR="00234376" w:rsidRPr="00AC39E0" w:rsidRDefault="00234376" w:rsidP="008E03A7">
            <w:pPr>
              <w:pStyle w:val="TableHeading0"/>
              <w:jc w:val="center"/>
            </w:pPr>
            <w:r w:rsidRPr="00AC39E0">
              <w:t>(5% discount rate)</w:t>
            </w:r>
          </w:p>
        </w:tc>
        <w:tc>
          <w:tcPr>
            <w:tcW w:w="738" w:type="pct"/>
            <w:tcBorders>
              <w:top w:val="single" w:sz="4" w:space="0" w:color="auto"/>
              <w:bottom w:val="single" w:sz="4" w:space="0" w:color="auto"/>
            </w:tcBorders>
          </w:tcPr>
          <w:p w:rsidR="00234376" w:rsidRPr="00AC39E0" w:rsidRDefault="00234376" w:rsidP="008E03A7">
            <w:pPr>
              <w:pStyle w:val="TableHeading0"/>
              <w:jc w:val="center"/>
            </w:pPr>
            <w:r w:rsidRPr="00AC39E0">
              <w:t>Discounted life years</w:t>
            </w:r>
          </w:p>
          <w:p w:rsidR="00234376" w:rsidRPr="00AC39E0" w:rsidRDefault="00234376" w:rsidP="008E03A7">
            <w:pPr>
              <w:pStyle w:val="TableHeading0"/>
              <w:jc w:val="center"/>
            </w:pPr>
            <w:r w:rsidRPr="00AC39E0">
              <w:t>(5% discount rate)</w:t>
            </w:r>
          </w:p>
        </w:tc>
        <w:tc>
          <w:tcPr>
            <w:tcW w:w="897" w:type="pct"/>
            <w:tcBorders>
              <w:top w:val="single" w:sz="4" w:space="0" w:color="auto"/>
              <w:bottom w:val="single" w:sz="4" w:space="0" w:color="auto"/>
            </w:tcBorders>
          </w:tcPr>
          <w:p w:rsidR="00234376" w:rsidRPr="00AC39E0" w:rsidRDefault="00234376" w:rsidP="008E03A7">
            <w:pPr>
              <w:pStyle w:val="TableHeading0"/>
              <w:jc w:val="center"/>
            </w:pPr>
            <w:r w:rsidRPr="00AC39E0">
              <w:t>Incremental discounted life years (min) compared with current practice</w:t>
            </w:r>
          </w:p>
        </w:tc>
        <w:tc>
          <w:tcPr>
            <w:tcW w:w="581" w:type="pct"/>
            <w:tcBorders>
              <w:top w:val="single" w:sz="4" w:space="0" w:color="auto"/>
              <w:bottom w:val="single" w:sz="4" w:space="0" w:color="auto"/>
            </w:tcBorders>
          </w:tcPr>
          <w:p w:rsidR="00234376" w:rsidRPr="00AC39E0" w:rsidRDefault="00234376" w:rsidP="008E03A7">
            <w:pPr>
              <w:pStyle w:val="TableHeading0"/>
              <w:jc w:val="center"/>
            </w:pPr>
            <w:r w:rsidRPr="00AC39E0">
              <w:t>ICER vs current practice</w:t>
            </w:r>
          </w:p>
          <w:p w:rsidR="00234376" w:rsidRPr="00AC39E0" w:rsidRDefault="00234376" w:rsidP="008E03A7">
            <w:pPr>
              <w:pStyle w:val="TableHeading0"/>
              <w:jc w:val="center"/>
            </w:pPr>
            <w:r w:rsidRPr="00AC39E0">
              <w:t xml:space="preserve">($ / </w:t>
            </w:r>
            <w:smartTag w:uri="urn:schemas-microsoft-com:office:smarttags" w:element="place">
              <w:r w:rsidRPr="00AC39E0">
                <w:t>LYS</w:t>
              </w:r>
            </w:smartTag>
            <w:r w:rsidRPr="00AC39E0">
              <w:t>)</w:t>
            </w:r>
          </w:p>
        </w:tc>
        <w:tc>
          <w:tcPr>
            <w:tcW w:w="899" w:type="pct"/>
            <w:tcBorders>
              <w:top w:val="single" w:sz="4" w:space="0" w:color="auto"/>
              <w:bottom w:val="single" w:sz="4" w:space="0" w:color="auto"/>
            </w:tcBorders>
          </w:tcPr>
          <w:p w:rsidR="00234376" w:rsidRPr="00AC39E0" w:rsidRDefault="00234376" w:rsidP="008E03A7">
            <w:pPr>
              <w:pStyle w:val="TableHeading0"/>
              <w:jc w:val="center"/>
            </w:pPr>
            <w:r w:rsidRPr="00AC39E0">
              <w:t>ICER vs next most cost-effective strategy</w:t>
            </w:r>
          </w:p>
          <w:p w:rsidR="00234376" w:rsidRPr="00AC39E0" w:rsidRDefault="00234376" w:rsidP="008E03A7">
            <w:pPr>
              <w:pStyle w:val="TableHeading0"/>
              <w:jc w:val="center"/>
            </w:pPr>
            <w:r w:rsidRPr="00AC39E0">
              <w:t xml:space="preserve">($ / </w:t>
            </w:r>
            <w:smartTag w:uri="urn:schemas-microsoft-com:office:smarttags" w:element="place">
              <w:r w:rsidRPr="00AC39E0">
                <w:t>LYS</w:t>
              </w:r>
            </w:smartTag>
            <w:r w:rsidRPr="00AC39E0">
              <w:t>)</w:t>
            </w:r>
          </w:p>
        </w:tc>
      </w:tr>
      <w:tr w:rsidR="00234376" w:rsidRPr="00AC39E0">
        <w:tc>
          <w:tcPr>
            <w:tcW w:w="1239" w:type="pct"/>
            <w:tcBorders>
              <w:top w:val="single" w:sz="4" w:space="0" w:color="auto"/>
            </w:tcBorders>
          </w:tcPr>
          <w:p w:rsidR="00234376" w:rsidRPr="00AC39E0" w:rsidRDefault="00234376" w:rsidP="008E03A7">
            <w:pPr>
              <w:pStyle w:val="TableText0"/>
            </w:pPr>
            <w:r w:rsidRPr="00AC39E0">
              <w:t>Current practice (conventional cytology)</w:t>
            </w:r>
          </w:p>
        </w:tc>
        <w:tc>
          <w:tcPr>
            <w:tcW w:w="646" w:type="pct"/>
            <w:tcBorders>
              <w:top w:val="single" w:sz="4" w:space="0" w:color="auto"/>
            </w:tcBorders>
          </w:tcPr>
          <w:p w:rsidR="00234376" w:rsidRPr="00AC39E0" w:rsidRDefault="00234376" w:rsidP="008E03A7">
            <w:pPr>
              <w:pStyle w:val="TableText0"/>
              <w:jc w:val="center"/>
            </w:pPr>
            <w:r w:rsidRPr="00AC39E0">
              <w:t>$297.55</w:t>
            </w:r>
          </w:p>
        </w:tc>
        <w:tc>
          <w:tcPr>
            <w:tcW w:w="738" w:type="pct"/>
            <w:tcBorders>
              <w:top w:val="single" w:sz="4" w:space="0" w:color="auto"/>
            </w:tcBorders>
          </w:tcPr>
          <w:p w:rsidR="00234376" w:rsidRPr="00AC39E0" w:rsidRDefault="00234376" w:rsidP="008E03A7">
            <w:pPr>
              <w:pStyle w:val="TableText0"/>
              <w:jc w:val="center"/>
            </w:pPr>
            <w:r w:rsidRPr="00AC39E0">
              <w:t>29.69575564</w:t>
            </w:r>
          </w:p>
        </w:tc>
        <w:tc>
          <w:tcPr>
            <w:tcW w:w="897" w:type="pct"/>
            <w:tcBorders>
              <w:top w:val="single" w:sz="4" w:space="0" w:color="auto"/>
            </w:tcBorders>
          </w:tcPr>
          <w:p w:rsidR="00234376" w:rsidRPr="00AC39E0" w:rsidRDefault="00234376" w:rsidP="008E03A7">
            <w:pPr>
              <w:pStyle w:val="TableText0"/>
              <w:jc w:val="center"/>
            </w:pPr>
            <w:r w:rsidRPr="00AC39E0">
              <w:t>–</w:t>
            </w:r>
          </w:p>
        </w:tc>
        <w:tc>
          <w:tcPr>
            <w:tcW w:w="581" w:type="pct"/>
            <w:tcBorders>
              <w:top w:val="single" w:sz="4" w:space="0" w:color="auto"/>
            </w:tcBorders>
          </w:tcPr>
          <w:p w:rsidR="00234376" w:rsidRPr="00AC39E0" w:rsidRDefault="00234376" w:rsidP="008E03A7">
            <w:pPr>
              <w:pStyle w:val="TableText0"/>
              <w:jc w:val="center"/>
            </w:pPr>
            <w:r w:rsidRPr="00AC39E0">
              <w:t>–</w:t>
            </w:r>
          </w:p>
        </w:tc>
        <w:tc>
          <w:tcPr>
            <w:tcW w:w="899" w:type="pct"/>
            <w:tcBorders>
              <w:top w:val="single" w:sz="4" w:space="0" w:color="auto"/>
            </w:tcBorders>
          </w:tcPr>
          <w:p w:rsidR="00234376" w:rsidRPr="00AC39E0" w:rsidRDefault="00234376" w:rsidP="008E03A7">
            <w:pPr>
              <w:pStyle w:val="TableText0"/>
              <w:jc w:val="center"/>
            </w:pPr>
            <w:r w:rsidRPr="00AC39E0">
              <w:t>–</w:t>
            </w:r>
          </w:p>
        </w:tc>
      </w:tr>
      <w:tr w:rsidR="00234376" w:rsidRPr="00AC39E0">
        <w:tc>
          <w:tcPr>
            <w:tcW w:w="1239" w:type="pct"/>
          </w:tcPr>
          <w:p w:rsidR="00234376" w:rsidRPr="00AC39E0" w:rsidRDefault="00234376" w:rsidP="008E03A7">
            <w:pPr>
              <w:pStyle w:val="TableText0"/>
            </w:pPr>
            <w:r w:rsidRPr="00AC39E0">
              <w:t>Manual LBC ($2.40 incremental cost)</w:t>
            </w:r>
          </w:p>
        </w:tc>
        <w:tc>
          <w:tcPr>
            <w:tcW w:w="646" w:type="pct"/>
          </w:tcPr>
          <w:p w:rsidR="00234376" w:rsidRPr="00AC39E0" w:rsidRDefault="00234376" w:rsidP="008E03A7">
            <w:pPr>
              <w:pStyle w:val="TableText0"/>
              <w:jc w:val="center"/>
            </w:pPr>
            <w:r w:rsidRPr="00AC39E0">
              <w:t>$311.52</w:t>
            </w:r>
          </w:p>
        </w:tc>
        <w:tc>
          <w:tcPr>
            <w:tcW w:w="738" w:type="pct"/>
          </w:tcPr>
          <w:p w:rsidR="00234376" w:rsidRPr="00AC39E0" w:rsidRDefault="00234376" w:rsidP="008E03A7">
            <w:pPr>
              <w:pStyle w:val="TableText0"/>
              <w:jc w:val="center"/>
            </w:pPr>
            <w:r w:rsidRPr="00AC39E0">
              <w:t>29.69586622</w:t>
            </w:r>
          </w:p>
        </w:tc>
        <w:tc>
          <w:tcPr>
            <w:tcW w:w="897" w:type="pct"/>
          </w:tcPr>
          <w:p w:rsidR="00234376" w:rsidRPr="00AC39E0" w:rsidRDefault="00234376" w:rsidP="008E03A7">
            <w:pPr>
              <w:pStyle w:val="TableText0"/>
              <w:jc w:val="center"/>
            </w:pPr>
            <w:r w:rsidRPr="00AC39E0">
              <w:t>0.000111 (58)</w:t>
            </w:r>
          </w:p>
        </w:tc>
        <w:tc>
          <w:tcPr>
            <w:tcW w:w="581" w:type="pct"/>
          </w:tcPr>
          <w:p w:rsidR="00234376" w:rsidRPr="00AC39E0" w:rsidRDefault="00234376" w:rsidP="008E03A7">
            <w:pPr>
              <w:pStyle w:val="TableText0"/>
              <w:jc w:val="center"/>
            </w:pPr>
            <w:r w:rsidRPr="00AC39E0">
              <w:t>$126 315</w:t>
            </w:r>
          </w:p>
        </w:tc>
        <w:tc>
          <w:tcPr>
            <w:tcW w:w="899" w:type="pct"/>
          </w:tcPr>
          <w:p w:rsidR="00234376" w:rsidRPr="00AC39E0" w:rsidRDefault="00234376" w:rsidP="008E03A7">
            <w:pPr>
              <w:pStyle w:val="TableText0"/>
              <w:jc w:val="center"/>
            </w:pPr>
            <w:r w:rsidRPr="00AC39E0">
              <w:t>$126 315</w:t>
            </w:r>
          </w:p>
        </w:tc>
      </w:tr>
      <w:tr w:rsidR="00234376" w:rsidRPr="00AC39E0">
        <w:tc>
          <w:tcPr>
            <w:tcW w:w="1239" w:type="pct"/>
          </w:tcPr>
          <w:p w:rsidR="00234376" w:rsidRPr="00AC39E0" w:rsidRDefault="00234376" w:rsidP="008E03A7">
            <w:pPr>
              <w:pStyle w:val="TableText0"/>
            </w:pPr>
            <w:r w:rsidRPr="00AC39E0">
              <w:t>Automated LBC</w:t>
            </w:r>
          </w:p>
        </w:tc>
        <w:tc>
          <w:tcPr>
            <w:tcW w:w="646" w:type="pct"/>
          </w:tcPr>
          <w:p w:rsidR="00234376" w:rsidRPr="00AC39E0" w:rsidRDefault="00234376" w:rsidP="008E03A7">
            <w:pPr>
              <w:pStyle w:val="TableText0"/>
              <w:jc w:val="center"/>
            </w:pPr>
            <w:r w:rsidRPr="00AC39E0">
              <w:t>$366.31</w:t>
            </w:r>
          </w:p>
        </w:tc>
        <w:tc>
          <w:tcPr>
            <w:tcW w:w="738" w:type="pct"/>
          </w:tcPr>
          <w:p w:rsidR="00234376" w:rsidRPr="00AC39E0" w:rsidRDefault="00234376" w:rsidP="008E03A7">
            <w:pPr>
              <w:pStyle w:val="TableText0"/>
              <w:jc w:val="center"/>
            </w:pPr>
            <w:r w:rsidRPr="00AC39E0">
              <w:t>29.69610857</w:t>
            </w:r>
          </w:p>
        </w:tc>
        <w:tc>
          <w:tcPr>
            <w:tcW w:w="897" w:type="pct"/>
          </w:tcPr>
          <w:p w:rsidR="00234376" w:rsidRPr="00AC39E0" w:rsidRDefault="00234376" w:rsidP="008E03A7">
            <w:pPr>
              <w:pStyle w:val="TableText0"/>
              <w:jc w:val="center"/>
            </w:pPr>
            <w:r w:rsidRPr="00AC39E0">
              <w:t>0.000353 (186)</w:t>
            </w:r>
          </w:p>
        </w:tc>
        <w:tc>
          <w:tcPr>
            <w:tcW w:w="581" w:type="pct"/>
          </w:tcPr>
          <w:p w:rsidR="00234376" w:rsidRPr="00AC39E0" w:rsidRDefault="00234376" w:rsidP="008E03A7">
            <w:pPr>
              <w:pStyle w:val="TableText0"/>
              <w:jc w:val="center"/>
            </w:pPr>
            <w:r w:rsidRPr="00AC39E0">
              <w:t>$194 835</w:t>
            </w:r>
          </w:p>
        </w:tc>
        <w:tc>
          <w:tcPr>
            <w:tcW w:w="899" w:type="pct"/>
          </w:tcPr>
          <w:p w:rsidR="00234376" w:rsidRPr="00AC39E0" w:rsidRDefault="00234376" w:rsidP="008E03A7">
            <w:pPr>
              <w:pStyle w:val="TableText0"/>
              <w:jc w:val="center"/>
            </w:pPr>
            <w:r w:rsidRPr="00AC39E0">
              <w:t>$226 100</w:t>
            </w:r>
          </w:p>
        </w:tc>
      </w:tr>
      <w:tr w:rsidR="00234376" w:rsidRPr="00AC39E0">
        <w:tc>
          <w:tcPr>
            <w:tcW w:w="1239" w:type="pct"/>
            <w:tcBorders>
              <w:bottom w:val="single" w:sz="4" w:space="0" w:color="auto"/>
            </w:tcBorders>
          </w:tcPr>
          <w:p w:rsidR="00234376" w:rsidRPr="00AC39E0" w:rsidRDefault="00234376" w:rsidP="008E03A7">
            <w:pPr>
              <w:pStyle w:val="TableText0"/>
            </w:pPr>
            <w:r w:rsidRPr="00AC39E0">
              <w:t>Manual LBC ($10.90 incremental cost)</w:t>
            </w:r>
          </w:p>
        </w:tc>
        <w:tc>
          <w:tcPr>
            <w:tcW w:w="646" w:type="pct"/>
            <w:tcBorders>
              <w:bottom w:val="single" w:sz="4" w:space="0" w:color="auto"/>
            </w:tcBorders>
          </w:tcPr>
          <w:p w:rsidR="00234376" w:rsidRPr="00AC39E0" w:rsidRDefault="00234376" w:rsidP="008E03A7">
            <w:pPr>
              <w:pStyle w:val="TableText0"/>
              <w:jc w:val="center"/>
            </w:pPr>
            <w:r w:rsidRPr="00AC39E0">
              <w:t>$340.23</w:t>
            </w:r>
          </w:p>
        </w:tc>
        <w:tc>
          <w:tcPr>
            <w:tcW w:w="738" w:type="pct"/>
            <w:tcBorders>
              <w:bottom w:val="single" w:sz="4" w:space="0" w:color="auto"/>
            </w:tcBorders>
          </w:tcPr>
          <w:p w:rsidR="00234376" w:rsidRPr="00AC39E0" w:rsidRDefault="00234376" w:rsidP="008E03A7">
            <w:pPr>
              <w:pStyle w:val="TableText0"/>
              <w:jc w:val="center"/>
            </w:pPr>
            <w:r w:rsidRPr="00AC39E0">
              <w:t>29.69586622</w:t>
            </w:r>
          </w:p>
        </w:tc>
        <w:tc>
          <w:tcPr>
            <w:tcW w:w="897" w:type="pct"/>
            <w:tcBorders>
              <w:bottom w:val="single" w:sz="4" w:space="0" w:color="auto"/>
            </w:tcBorders>
          </w:tcPr>
          <w:p w:rsidR="00234376" w:rsidRPr="00AC39E0" w:rsidRDefault="00234376" w:rsidP="008E03A7">
            <w:pPr>
              <w:pStyle w:val="TableText0"/>
              <w:jc w:val="center"/>
            </w:pPr>
            <w:r w:rsidRPr="00AC39E0">
              <w:t>0.000111 (58)</w:t>
            </w:r>
          </w:p>
        </w:tc>
        <w:tc>
          <w:tcPr>
            <w:tcW w:w="581" w:type="pct"/>
            <w:tcBorders>
              <w:bottom w:val="single" w:sz="4" w:space="0" w:color="auto"/>
            </w:tcBorders>
          </w:tcPr>
          <w:p w:rsidR="00234376" w:rsidRPr="00AC39E0" w:rsidRDefault="00234376" w:rsidP="008E03A7">
            <w:pPr>
              <w:pStyle w:val="TableText0"/>
              <w:jc w:val="center"/>
            </w:pPr>
            <w:r w:rsidRPr="00AC39E0">
              <w:t>$385 982</w:t>
            </w:r>
          </w:p>
        </w:tc>
        <w:tc>
          <w:tcPr>
            <w:tcW w:w="899" w:type="pct"/>
            <w:tcBorders>
              <w:bottom w:val="single" w:sz="4" w:space="0" w:color="auto"/>
            </w:tcBorders>
          </w:tcPr>
          <w:p w:rsidR="00234376" w:rsidRPr="00AC39E0" w:rsidRDefault="00234376" w:rsidP="008E03A7">
            <w:pPr>
              <w:pStyle w:val="TableText0"/>
              <w:jc w:val="center"/>
            </w:pPr>
            <w:r w:rsidRPr="00AC39E0">
              <w:t>Dominated</w:t>
            </w:r>
            <w:r w:rsidR="00AC5ABD" w:rsidRPr="00AC39E0">
              <w:rPr>
                <w:vertAlign w:val="superscript"/>
              </w:rPr>
              <w:t xml:space="preserve"> a</w:t>
            </w:r>
          </w:p>
        </w:tc>
      </w:tr>
    </w:tbl>
    <w:p w:rsidR="00234376" w:rsidRPr="00AC39E0" w:rsidRDefault="00AC5ABD" w:rsidP="00AC5ABD">
      <w:pPr>
        <w:pStyle w:val="TableNotes"/>
      </w:pPr>
      <w:r w:rsidRPr="00AC39E0">
        <w:rPr>
          <w:vertAlign w:val="superscript"/>
        </w:rPr>
        <w:t>a</w:t>
      </w:r>
      <w:r w:rsidRPr="00AC39E0">
        <w:t xml:space="preserve"> Strategy is said to be dominated as it is more expensive than a </w:t>
      </w:r>
      <w:r w:rsidR="00772C61" w:rsidRPr="00AC39E0">
        <w:t>strategy</w:t>
      </w:r>
      <w:r w:rsidRPr="00AC39E0">
        <w:t xml:space="preserve"> with equal or greater effectiveness, in this case Manual LBC at the lower incremental cost</w:t>
      </w:r>
    </w:p>
    <w:p w:rsidR="00234376" w:rsidRPr="00AC39E0" w:rsidRDefault="00234376" w:rsidP="008E03A7">
      <w:pPr>
        <w:pStyle w:val="Caption"/>
        <w:ind w:left="1134"/>
      </w:pPr>
      <w:bookmarkStart w:id="725" w:name="_Ref215908742"/>
      <w:bookmarkStart w:id="726" w:name="_Toc95971289"/>
      <w:r w:rsidRPr="00AC39E0">
        <w:t xml:space="preserve">Table </w:t>
      </w:r>
      <w:fldSimple w:instr=" SEQ Table \* ARABIC ">
        <w:r w:rsidR="007D3DFF">
          <w:rPr>
            <w:noProof/>
          </w:rPr>
          <w:t>53</w:t>
        </w:r>
      </w:fldSimple>
      <w:bookmarkEnd w:id="725"/>
      <w:r w:rsidRPr="00AC39E0">
        <w:tab/>
        <w:t xml:space="preserve">Predicted process outcomes in </w:t>
      </w:r>
      <w:smartTag w:uri="urn:schemas-microsoft-com:office:smarttags" w:element="place">
        <w:smartTag w:uri="urn:schemas-microsoft-com:office:smarttags" w:element="country-region">
          <w:r w:rsidRPr="00AC39E0">
            <w:t>Australia</w:t>
          </w:r>
        </w:smartTag>
      </w:smartTag>
      <w:r w:rsidRPr="00AC39E0">
        <w:t>, by cytology test technology</w:t>
      </w:r>
      <w:bookmarkStart w:id="727" w:name="OLE_LINK34"/>
      <w:bookmarkStart w:id="728" w:name="OLE_LINK35"/>
      <w:r w:rsidRPr="00AC39E0">
        <w:t xml:space="preserve"> (per annum)</w:t>
      </w:r>
      <w:bookmarkEnd w:id="727"/>
      <w:bookmarkEnd w:id="728"/>
      <w:r w:rsidRPr="00AC39E0">
        <w:t>.</w:t>
      </w:r>
      <w:bookmarkEnd w:id="726"/>
    </w:p>
    <w:tbl>
      <w:tblPr>
        <w:tblW w:w="14425" w:type="dxa"/>
        <w:tblLayout w:type="fixed"/>
        <w:tblLook w:val="01E0" w:firstRow="1" w:lastRow="1" w:firstColumn="1" w:lastColumn="1" w:noHBand="0" w:noVBand="0"/>
      </w:tblPr>
      <w:tblGrid>
        <w:gridCol w:w="3424"/>
        <w:gridCol w:w="2200"/>
        <w:gridCol w:w="2200"/>
        <w:gridCol w:w="2200"/>
        <w:gridCol w:w="2200"/>
        <w:gridCol w:w="2201"/>
      </w:tblGrid>
      <w:tr w:rsidR="00386582" w:rsidRPr="00AC39E0">
        <w:tc>
          <w:tcPr>
            <w:tcW w:w="3424" w:type="dxa"/>
            <w:tcBorders>
              <w:top w:val="single" w:sz="4" w:space="0" w:color="auto"/>
              <w:bottom w:val="single" w:sz="4" w:space="0" w:color="auto"/>
            </w:tcBorders>
          </w:tcPr>
          <w:p w:rsidR="00386582" w:rsidRPr="00AC39E0" w:rsidRDefault="00386582" w:rsidP="008E03A7">
            <w:pPr>
              <w:pStyle w:val="TableHeading0"/>
            </w:pPr>
            <w:r w:rsidRPr="00AC39E0">
              <w:t>Strategy</w:t>
            </w:r>
          </w:p>
        </w:tc>
        <w:tc>
          <w:tcPr>
            <w:tcW w:w="2200" w:type="dxa"/>
            <w:tcBorders>
              <w:top w:val="single" w:sz="4" w:space="0" w:color="auto"/>
              <w:bottom w:val="single" w:sz="4" w:space="0" w:color="auto"/>
            </w:tcBorders>
          </w:tcPr>
          <w:p w:rsidR="00386582" w:rsidRPr="00AC39E0" w:rsidRDefault="00386582" w:rsidP="008E03A7">
            <w:pPr>
              <w:pStyle w:val="TableHeading0"/>
              <w:jc w:val="center"/>
            </w:pPr>
            <w:bookmarkStart w:id="729" w:name="OLE_LINK603"/>
            <w:bookmarkStart w:id="730" w:name="OLE_LINK604"/>
            <w:r w:rsidRPr="00AC39E0">
              <w:t>No.</w:t>
            </w:r>
            <w:bookmarkEnd w:id="729"/>
            <w:bookmarkEnd w:id="730"/>
            <w:r w:rsidRPr="00AC39E0">
              <w:t xml:space="preserve"> satisfactory smears</w:t>
            </w:r>
          </w:p>
        </w:tc>
        <w:tc>
          <w:tcPr>
            <w:tcW w:w="2200" w:type="dxa"/>
            <w:tcBorders>
              <w:top w:val="single" w:sz="4" w:space="0" w:color="auto"/>
              <w:bottom w:val="single" w:sz="4" w:space="0" w:color="auto"/>
            </w:tcBorders>
          </w:tcPr>
          <w:p w:rsidR="00386582" w:rsidRPr="00AC39E0" w:rsidRDefault="00386582" w:rsidP="008E03A7">
            <w:pPr>
              <w:pStyle w:val="TableHeading0"/>
              <w:jc w:val="center"/>
            </w:pPr>
            <w:r w:rsidRPr="00AC39E0">
              <w:t>No. unsatisfactory smears</w:t>
            </w:r>
          </w:p>
        </w:tc>
        <w:tc>
          <w:tcPr>
            <w:tcW w:w="2200" w:type="dxa"/>
            <w:tcBorders>
              <w:top w:val="single" w:sz="4" w:space="0" w:color="auto"/>
              <w:bottom w:val="single" w:sz="4" w:space="0" w:color="auto"/>
            </w:tcBorders>
          </w:tcPr>
          <w:p w:rsidR="00386582" w:rsidRPr="00AC39E0" w:rsidRDefault="00386582" w:rsidP="008E03A7">
            <w:pPr>
              <w:pStyle w:val="TableHeading0"/>
              <w:jc w:val="center"/>
            </w:pPr>
            <w:r w:rsidRPr="00AC39E0">
              <w:t>No. colposcopies</w:t>
            </w:r>
          </w:p>
        </w:tc>
        <w:tc>
          <w:tcPr>
            <w:tcW w:w="2200" w:type="dxa"/>
            <w:tcBorders>
              <w:top w:val="single" w:sz="4" w:space="0" w:color="auto"/>
              <w:bottom w:val="single" w:sz="4" w:space="0" w:color="auto"/>
            </w:tcBorders>
          </w:tcPr>
          <w:p w:rsidR="00386582" w:rsidRPr="00AC39E0" w:rsidRDefault="00386582" w:rsidP="008E03A7">
            <w:pPr>
              <w:pStyle w:val="TableHeading0"/>
              <w:jc w:val="center"/>
            </w:pPr>
            <w:r w:rsidRPr="00AC39E0">
              <w:t>No. biopsies</w:t>
            </w:r>
          </w:p>
        </w:tc>
        <w:tc>
          <w:tcPr>
            <w:tcW w:w="2201" w:type="dxa"/>
            <w:tcBorders>
              <w:top w:val="single" w:sz="4" w:space="0" w:color="auto"/>
              <w:bottom w:val="single" w:sz="4" w:space="0" w:color="auto"/>
            </w:tcBorders>
          </w:tcPr>
          <w:p w:rsidR="00386582" w:rsidRPr="00AC39E0" w:rsidRDefault="00386582" w:rsidP="008E03A7">
            <w:pPr>
              <w:pStyle w:val="TableHeading0"/>
              <w:jc w:val="center"/>
              <w:rPr>
                <w:bCs/>
              </w:rPr>
            </w:pPr>
            <w:r w:rsidRPr="00AC39E0">
              <w:t>CIN 2/3 treatment</w:t>
            </w:r>
          </w:p>
        </w:tc>
      </w:tr>
      <w:tr w:rsidR="00386582" w:rsidRPr="00AC39E0">
        <w:tc>
          <w:tcPr>
            <w:tcW w:w="3424" w:type="dxa"/>
            <w:tcBorders>
              <w:top w:val="single" w:sz="4" w:space="0" w:color="auto"/>
            </w:tcBorders>
          </w:tcPr>
          <w:p w:rsidR="00386582" w:rsidRPr="00AC39E0" w:rsidRDefault="00386582" w:rsidP="008E03A7">
            <w:pPr>
              <w:pStyle w:val="TableText0"/>
            </w:pPr>
            <w:r w:rsidRPr="00AC39E0">
              <w:t>Current practice (</w:t>
            </w:r>
            <w:r w:rsidRPr="00AC39E0">
              <w:rPr>
                <w:rFonts w:cs="Arial"/>
              </w:rPr>
              <w:t>CC</w:t>
            </w:r>
            <w:r w:rsidRPr="00AC39E0">
              <w:t>)</w:t>
            </w:r>
          </w:p>
        </w:tc>
        <w:tc>
          <w:tcPr>
            <w:tcW w:w="2200" w:type="dxa"/>
            <w:tcBorders>
              <w:top w:val="single" w:sz="4" w:space="0" w:color="auto"/>
            </w:tcBorders>
          </w:tcPr>
          <w:p w:rsidR="00386582" w:rsidRPr="00AC39E0" w:rsidRDefault="00386582" w:rsidP="008E03A7">
            <w:pPr>
              <w:pStyle w:val="TableText0"/>
              <w:jc w:val="center"/>
            </w:pPr>
            <w:r w:rsidRPr="00AC39E0">
              <w:t>1 860 071</w:t>
            </w:r>
          </w:p>
        </w:tc>
        <w:tc>
          <w:tcPr>
            <w:tcW w:w="2200" w:type="dxa"/>
            <w:tcBorders>
              <w:top w:val="single" w:sz="4" w:space="0" w:color="auto"/>
            </w:tcBorders>
          </w:tcPr>
          <w:p w:rsidR="00386582" w:rsidRPr="00AC39E0" w:rsidRDefault="00386582" w:rsidP="008E03A7">
            <w:pPr>
              <w:pStyle w:val="TableText0"/>
              <w:jc w:val="center"/>
            </w:pPr>
            <w:r w:rsidRPr="00AC39E0">
              <w:t>41 842</w:t>
            </w:r>
          </w:p>
        </w:tc>
        <w:tc>
          <w:tcPr>
            <w:tcW w:w="2200" w:type="dxa"/>
            <w:tcBorders>
              <w:top w:val="single" w:sz="4" w:space="0" w:color="auto"/>
            </w:tcBorders>
          </w:tcPr>
          <w:p w:rsidR="00386582" w:rsidRPr="00AC39E0" w:rsidRDefault="00386582" w:rsidP="008E03A7">
            <w:pPr>
              <w:pStyle w:val="TableText0"/>
              <w:jc w:val="center"/>
            </w:pPr>
            <w:r w:rsidRPr="00AC39E0">
              <w:t>64 684</w:t>
            </w:r>
          </w:p>
        </w:tc>
        <w:tc>
          <w:tcPr>
            <w:tcW w:w="2200" w:type="dxa"/>
            <w:tcBorders>
              <w:top w:val="single" w:sz="4" w:space="0" w:color="auto"/>
            </w:tcBorders>
          </w:tcPr>
          <w:p w:rsidR="00386582" w:rsidRPr="00AC39E0" w:rsidRDefault="00386582" w:rsidP="008E03A7">
            <w:pPr>
              <w:pStyle w:val="TableText0"/>
              <w:jc w:val="center"/>
            </w:pPr>
            <w:r w:rsidRPr="00AC39E0">
              <w:t>31 356</w:t>
            </w:r>
          </w:p>
        </w:tc>
        <w:tc>
          <w:tcPr>
            <w:tcW w:w="2201" w:type="dxa"/>
            <w:tcBorders>
              <w:top w:val="single" w:sz="4" w:space="0" w:color="auto"/>
            </w:tcBorders>
          </w:tcPr>
          <w:p w:rsidR="00386582" w:rsidRPr="00AC39E0" w:rsidRDefault="00386582" w:rsidP="008E03A7">
            <w:pPr>
              <w:pStyle w:val="TableText0"/>
              <w:jc w:val="center"/>
            </w:pPr>
            <w:r w:rsidRPr="00AC39E0">
              <w:t>17 270</w:t>
            </w:r>
          </w:p>
        </w:tc>
      </w:tr>
      <w:tr w:rsidR="00386582" w:rsidRPr="00AC39E0">
        <w:tc>
          <w:tcPr>
            <w:tcW w:w="3424" w:type="dxa"/>
          </w:tcPr>
          <w:p w:rsidR="00386582" w:rsidRPr="00AC39E0" w:rsidRDefault="00386582" w:rsidP="008E03A7">
            <w:pPr>
              <w:pStyle w:val="TableText0"/>
            </w:pPr>
            <w:r w:rsidRPr="00AC39E0">
              <w:t>Manual LBC ($2.40 incremental cost)</w:t>
            </w:r>
          </w:p>
        </w:tc>
        <w:tc>
          <w:tcPr>
            <w:tcW w:w="2200" w:type="dxa"/>
          </w:tcPr>
          <w:p w:rsidR="00386582" w:rsidRPr="00AC39E0" w:rsidRDefault="00386582" w:rsidP="008E03A7">
            <w:pPr>
              <w:pStyle w:val="TableText0"/>
              <w:jc w:val="center"/>
            </w:pPr>
            <w:r w:rsidRPr="00AC39E0">
              <w:t>1 890 031</w:t>
            </w:r>
          </w:p>
        </w:tc>
        <w:tc>
          <w:tcPr>
            <w:tcW w:w="2200" w:type="dxa"/>
          </w:tcPr>
          <w:p w:rsidR="00386582" w:rsidRPr="00AC39E0" w:rsidRDefault="00386582" w:rsidP="008E03A7">
            <w:pPr>
              <w:pStyle w:val="TableText0"/>
              <w:jc w:val="center"/>
            </w:pPr>
            <w:r w:rsidRPr="00AC39E0">
              <w:t>34 644</w:t>
            </w:r>
          </w:p>
        </w:tc>
        <w:tc>
          <w:tcPr>
            <w:tcW w:w="2200" w:type="dxa"/>
          </w:tcPr>
          <w:p w:rsidR="00386582" w:rsidRPr="00AC39E0" w:rsidRDefault="00386582" w:rsidP="008E03A7">
            <w:pPr>
              <w:pStyle w:val="TableText0"/>
              <w:jc w:val="center"/>
            </w:pPr>
            <w:r w:rsidRPr="00AC39E0">
              <w:t>71 454</w:t>
            </w:r>
          </w:p>
        </w:tc>
        <w:tc>
          <w:tcPr>
            <w:tcW w:w="2200" w:type="dxa"/>
          </w:tcPr>
          <w:p w:rsidR="00386582" w:rsidRPr="00AC39E0" w:rsidRDefault="00386582" w:rsidP="008E03A7">
            <w:pPr>
              <w:pStyle w:val="TableText0"/>
              <w:jc w:val="center"/>
            </w:pPr>
            <w:r w:rsidRPr="00AC39E0">
              <w:t>34 630</w:t>
            </w:r>
          </w:p>
        </w:tc>
        <w:tc>
          <w:tcPr>
            <w:tcW w:w="2201" w:type="dxa"/>
          </w:tcPr>
          <w:p w:rsidR="00386582" w:rsidRPr="00AC39E0" w:rsidRDefault="00386582" w:rsidP="008E03A7">
            <w:pPr>
              <w:pStyle w:val="TableText0"/>
              <w:jc w:val="center"/>
            </w:pPr>
            <w:r w:rsidRPr="00AC39E0">
              <w:t>18 004</w:t>
            </w:r>
          </w:p>
        </w:tc>
      </w:tr>
      <w:tr w:rsidR="00386582" w:rsidRPr="00AC39E0">
        <w:tc>
          <w:tcPr>
            <w:tcW w:w="3424" w:type="dxa"/>
          </w:tcPr>
          <w:p w:rsidR="00386582" w:rsidRPr="00AC39E0" w:rsidRDefault="00386582" w:rsidP="008E03A7">
            <w:pPr>
              <w:pStyle w:val="TableText0"/>
            </w:pPr>
            <w:r w:rsidRPr="00AC39E0">
              <w:t>Automated LBC</w:t>
            </w:r>
          </w:p>
        </w:tc>
        <w:tc>
          <w:tcPr>
            <w:tcW w:w="2200" w:type="dxa"/>
          </w:tcPr>
          <w:p w:rsidR="00386582" w:rsidRPr="00AC39E0" w:rsidRDefault="00386582" w:rsidP="008E03A7">
            <w:pPr>
              <w:pStyle w:val="TableText0"/>
              <w:jc w:val="center"/>
            </w:pPr>
            <w:r w:rsidRPr="00AC39E0">
              <w:t>1 905 334</w:t>
            </w:r>
          </w:p>
        </w:tc>
        <w:tc>
          <w:tcPr>
            <w:tcW w:w="2200" w:type="dxa"/>
          </w:tcPr>
          <w:p w:rsidR="00386582" w:rsidRPr="00AC39E0" w:rsidRDefault="00386582" w:rsidP="008E03A7">
            <w:pPr>
              <w:pStyle w:val="TableText0"/>
              <w:jc w:val="center"/>
            </w:pPr>
            <w:r w:rsidRPr="00AC39E0">
              <w:t>34 925</w:t>
            </w:r>
          </w:p>
        </w:tc>
        <w:tc>
          <w:tcPr>
            <w:tcW w:w="2200" w:type="dxa"/>
          </w:tcPr>
          <w:p w:rsidR="00386582" w:rsidRPr="00AC39E0" w:rsidRDefault="00386582" w:rsidP="008E03A7">
            <w:pPr>
              <w:pStyle w:val="TableText0"/>
              <w:jc w:val="center"/>
            </w:pPr>
            <w:r w:rsidRPr="00AC39E0">
              <w:t>75 472</w:t>
            </w:r>
          </w:p>
        </w:tc>
        <w:tc>
          <w:tcPr>
            <w:tcW w:w="2200" w:type="dxa"/>
          </w:tcPr>
          <w:p w:rsidR="00386582" w:rsidRPr="00AC39E0" w:rsidRDefault="00386582" w:rsidP="008E03A7">
            <w:pPr>
              <w:pStyle w:val="TableText0"/>
              <w:jc w:val="center"/>
            </w:pPr>
            <w:r w:rsidRPr="00AC39E0">
              <w:t>36 510</w:t>
            </w:r>
          </w:p>
        </w:tc>
        <w:tc>
          <w:tcPr>
            <w:tcW w:w="2201" w:type="dxa"/>
          </w:tcPr>
          <w:p w:rsidR="00386582" w:rsidRPr="00AC39E0" w:rsidRDefault="00386582" w:rsidP="008E03A7">
            <w:pPr>
              <w:pStyle w:val="TableText0"/>
              <w:jc w:val="center"/>
            </w:pPr>
            <w:r w:rsidRPr="00AC39E0">
              <w:t>19 021</w:t>
            </w:r>
          </w:p>
        </w:tc>
      </w:tr>
      <w:tr w:rsidR="00386582" w:rsidRPr="00AC39E0">
        <w:tc>
          <w:tcPr>
            <w:tcW w:w="3424" w:type="dxa"/>
            <w:tcBorders>
              <w:bottom w:val="single" w:sz="4" w:space="0" w:color="auto"/>
            </w:tcBorders>
          </w:tcPr>
          <w:p w:rsidR="00386582" w:rsidRPr="00AC39E0" w:rsidRDefault="00386582" w:rsidP="008E03A7">
            <w:pPr>
              <w:pStyle w:val="TableText0"/>
            </w:pPr>
            <w:r w:rsidRPr="00AC39E0">
              <w:t>Manual LBC ($10.90 incremental cost)</w:t>
            </w:r>
          </w:p>
        </w:tc>
        <w:tc>
          <w:tcPr>
            <w:tcW w:w="2200" w:type="dxa"/>
            <w:tcBorders>
              <w:bottom w:val="single" w:sz="4" w:space="0" w:color="auto"/>
            </w:tcBorders>
          </w:tcPr>
          <w:p w:rsidR="00386582" w:rsidRPr="00AC39E0" w:rsidRDefault="00386582" w:rsidP="008E03A7">
            <w:pPr>
              <w:pStyle w:val="TableText0"/>
              <w:jc w:val="center"/>
            </w:pPr>
            <w:r w:rsidRPr="00AC39E0">
              <w:t>1 890 031</w:t>
            </w:r>
          </w:p>
        </w:tc>
        <w:tc>
          <w:tcPr>
            <w:tcW w:w="2200" w:type="dxa"/>
            <w:tcBorders>
              <w:bottom w:val="single" w:sz="4" w:space="0" w:color="auto"/>
            </w:tcBorders>
          </w:tcPr>
          <w:p w:rsidR="00386582" w:rsidRPr="00AC39E0" w:rsidRDefault="00386582" w:rsidP="008E03A7">
            <w:pPr>
              <w:pStyle w:val="TableText0"/>
              <w:jc w:val="center"/>
            </w:pPr>
            <w:r w:rsidRPr="00AC39E0">
              <w:t>34 644</w:t>
            </w:r>
          </w:p>
        </w:tc>
        <w:tc>
          <w:tcPr>
            <w:tcW w:w="2200" w:type="dxa"/>
            <w:tcBorders>
              <w:bottom w:val="single" w:sz="4" w:space="0" w:color="auto"/>
            </w:tcBorders>
          </w:tcPr>
          <w:p w:rsidR="00386582" w:rsidRPr="00AC39E0" w:rsidRDefault="00386582" w:rsidP="008E03A7">
            <w:pPr>
              <w:pStyle w:val="TableText0"/>
              <w:jc w:val="center"/>
            </w:pPr>
            <w:r w:rsidRPr="00AC39E0">
              <w:t>71 454</w:t>
            </w:r>
          </w:p>
        </w:tc>
        <w:tc>
          <w:tcPr>
            <w:tcW w:w="2200" w:type="dxa"/>
            <w:tcBorders>
              <w:bottom w:val="single" w:sz="4" w:space="0" w:color="auto"/>
            </w:tcBorders>
          </w:tcPr>
          <w:p w:rsidR="00386582" w:rsidRPr="00AC39E0" w:rsidRDefault="00386582" w:rsidP="008E03A7">
            <w:pPr>
              <w:pStyle w:val="TableText0"/>
              <w:jc w:val="center"/>
            </w:pPr>
            <w:r w:rsidRPr="00AC39E0">
              <w:t>34 630</w:t>
            </w:r>
          </w:p>
        </w:tc>
        <w:tc>
          <w:tcPr>
            <w:tcW w:w="2201" w:type="dxa"/>
            <w:tcBorders>
              <w:bottom w:val="single" w:sz="4" w:space="0" w:color="auto"/>
            </w:tcBorders>
          </w:tcPr>
          <w:p w:rsidR="00386582" w:rsidRPr="00AC39E0" w:rsidRDefault="00386582" w:rsidP="008E03A7">
            <w:pPr>
              <w:pStyle w:val="TableText0"/>
              <w:jc w:val="center"/>
            </w:pPr>
            <w:r w:rsidRPr="00AC39E0">
              <w:t>18 004</w:t>
            </w:r>
          </w:p>
        </w:tc>
      </w:tr>
    </w:tbl>
    <w:p w:rsidR="00234376" w:rsidRPr="00AC39E0" w:rsidRDefault="00234376" w:rsidP="008E03A7"/>
    <w:p w:rsidR="00234376" w:rsidRPr="00AC39E0" w:rsidRDefault="00234376" w:rsidP="00F65C70">
      <w:pPr>
        <w:pStyle w:val="Caption"/>
        <w:ind w:left="1134"/>
      </w:pPr>
      <w:bookmarkStart w:id="731" w:name="_Ref213640814"/>
      <w:bookmarkStart w:id="732" w:name="_Toc95971290"/>
      <w:r w:rsidRPr="00AC39E0">
        <w:t xml:space="preserve">Table </w:t>
      </w:r>
      <w:fldSimple w:instr=" SEQ Table \* ARABIC ">
        <w:r w:rsidR="007D3DFF">
          <w:rPr>
            <w:noProof/>
          </w:rPr>
          <w:t>54</w:t>
        </w:r>
      </w:fldSimple>
      <w:bookmarkEnd w:id="731"/>
      <w:r w:rsidRPr="00AC39E0">
        <w:tab/>
        <w:t>Predicted health outcomes in Australia, by cytology test technology (per annum).</w:t>
      </w:r>
      <w:bookmarkEnd w:id="732"/>
    </w:p>
    <w:tbl>
      <w:tblPr>
        <w:tblW w:w="14554" w:type="dxa"/>
        <w:tblLayout w:type="fixed"/>
        <w:tblLook w:val="01E0" w:firstRow="1" w:lastRow="1" w:firstColumn="1" w:lastColumn="1" w:noHBand="0" w:noVBand="0"/>
      </w:tblPr>
      <w:tblGrid>
        <w:gridCol w:w="3545"/>
        <w:gridCol w:w="1480"/>
        <w:gridCol w:w="1906"/>
        <w:gridCol w:w="1906"/>
        <w:gridCol w:w="1487"/>
        <w:gridCol w:w="1846"/>
        <w:gridCol w:w="2384"/>
      </w:tblGrid>
      <w:tr w:rsidR="00234376" w:rsidRPr="00AC39E0">
        <w:tc>
          <w:tcPr>
            <w:tcW w:w="3545" w:type="dxa"/>
            <w:tcBorders>
              <w:top w:val="single" w:sz="4" w:space="0" w:color="auto"/>
              <w:bottom w:val="single" w:sz="4" w:space="0" w:color="auto"/>
            </w:tcBorders>
          </w:tcPr>
          <w:p w:rsidR="00234376" w:rsidRPr="00AC39E0" w:rsidRDefault="00234376" w:rsidP="008E03A7">
            <w:pPr>
              <w:pStyle w:val="TableHeading0"/>
            </w:pPr>
            <w:r w:rsidRPr="00AC39E0">
              <w:t>Strategy</w:t>
            </w:r>
          </w:p>
        </w:tc>
        <w:tc>
          <w:tcPr>
            <w:tcW w:w="1480" w:type="dxa"/>
            <w:tcBorders>
              <w:top w:val="single" w:sz="4" w:space="0" w:color="auto"/>
              <w:bottom w:val="single" w:sz="4" w:space="0" w:color="auto"/>
            </w:tcBorders>
          </w:tcPr>
          <w:p w:rsidR="00234376" w:rsidRPr="00AC39E0" w:rsidRDefault="00234376" w:rsidP="008E03A7">
            <w:pPr>
              <w:pStyle w:val="TableHeading0"/>
              <w:jc w:val="center"/>
            </w:pPr>
            <w:r w:rsidRPr="00AC39E0">
              <w:t>Cancer cases</w:t>
            </w:r>
          </w:p>
        </w:tc>
        <w:tc>
          <w:tcPr>
            <w:tcW w:w="1906" w:type="dxa"/>
            <w:tcBorders>
              <w:top w:val="single" w:sz="4" w:space="0" w:color="auto"/>
              <w:bottom w:val="single" w:sz="4" w:space="0" w:color="auto"/>
            </w:tcBorders>
          </w:tcPr>
          <w:p w:rsidR="00234376" w:rsidRPr="00AC39E0" w:rsidRDefault="00234376" w:rsidP="008E03A7">
            <w:pPr>
              <w:pStyle w:val="TableHeading0"/>
              <w:jc w:val="center"/>
            </w:pPr>
            <w:r w:rsidRPr="00AC39E0">
              <w:t>Cancer incidence</w:t>
            </w:r>
          </w:p>
          <w:p w:rsidR="00234376" w:rsidRPr="00AC39E0" w:rsidRDefault="00234376" w:rsidP="008E03A7">
            <w:pPr>
              <w:pStyle w:val="TableHeading0"/>
              <w:jc w:val="center"/>
            </w:pPr>
            <w:bookmarkStart w:id="733" w:name="OLE_LINK18"/>
            <w:bookmarkStart w:id="734" w:name="OLE_LINK19"/>
            <w:r w:rsidRPr="00AC39E0">
              <w:t>(ASR</w:t>
            </w:r>
            <w:r w:rsidRPr="00AC39E0" w:rsidDel="001E6D1E">
              <w:t xml:space="preserve"> </w:t>
            </w:r>
            <w:r w:rsidRPr="00AC39E0">
              <w:rPr>
                <w:vertAlign w:val="superscript"/>
              </w:rPr>
              <w:t>a</w:t>
            </w:r>
            <w:r w:rsidRPr="00AC39E0">
              <w:t xml:space="preserve"> per 100 000 women, all ages)</w:t>
            </w:r>
            <w:bookmarkEnd w:id="733"/>
            <w:bookmarkEnd w:id="734"/>
          </w:p>
        </w:tc>
        <w:tc>
          <w:tcPr>
            <w:tcW w:w="1906" w:type="dxa"/>
            <w:tcBorders>
              <w:top w:val="single" w:sz="4" w:space="0" w:color="auto"/>
              <w:bottom w:val="single" w:sz="4" w:space="0" w:color="auto"/>
            </w:tcBorders>
          </w:tcPr>
          <w:p w:rsidR="00234376" w:rsidRPr="00AC39E0" w:rsidRDefault="00234376" w:rsidP="008E03A7">
            <w:pPr>
              <w:pStyle w:val="TableHeading0"/>
              <w:jc w:val="center"/>
            </w:pPr>
            <w:bookmarkStart w:id="735" w:name="OLE_LINK266"/>
            <w:bookmarkStart w:id="736" w:name="OLE_LINK267"/>
            <w:r w:rsidRPr="00AC39E0">
              <w:t>Cumulative lifetime risk</w:t>
            </w:r>
            <w:r w:rsidRPr="00AC39E0" w:rsidDel="006C24DD">
              <w:t xml:space="preserve"> </w:t>
            </w:r>
            <w:bookmarkEnd w:id="735"/>
            <w:bookmarkEnd w:id="736"/>
            <w:r w:rsidRPr="00AC39E0" w:rsidDel="006C24DD">
              <w:t xml:space="preserve">of </w:t>
            </w:r>
            <w:r w:rsidRPr="00AC39E0">
              <w:t>cancer</w:t>
            </w:r>
          </w:p>
          <w:p w:rsidR="00234376" w:rsidRPr="00AC39E0" w:rsidRDefault="00234376" w:rsidP="008E03A7">
            <w:pPr>
              <w:pStyle w:val="TableHeading0"/>
              <w:jc w:val="center"/>
            </w:pPr>
            <w:r w:rsidRPr="00AC39E0">
              <w:t>(to age 85 years)</w:t>
            </w:r>
          </w:p>
        </w:tc>
        <w:tc>
          <w:tcPr>
            <w:tcW w:w="1487" w:type="dxa"/>
            <w:tcBorders>
              <w:top w:val="single" w:sz="4" w:space="0" w:color="auto"/>
              <w:bottom w:val="single" w:sz="4" w:space="0" w:color="auto"/>
            </w:tcBorders>
          </w:tcPr>
          <w:p w:rsidR="00234376" w:rsidRPr="00AC39E0" w:rsidRDefault="00234376" w:rsidP="008E03A7">
            <w:pPr>
              <w:pStyle w:val="TableHeading0"/>
              <w:jc w:val="center"/>
            </w:pPr>
            <w:r w:rsidRPr="00AC39E0">
              <w:t>Cancer deaths</w:t>
            </w:r>
          </w:p>
        </w:tc>
        <w:tc>
          <w:tcPr>
            <w:tcW w:w="1846" w:type="dxa"/>
            <w:tcBorders>
              <w:top w:val="single" w:sz="4" w:space="0" w:color="auto"/>
              <w:bottom w:val="single" w:sz="4" w:space="0" w:color="auto"/>
            </w:tcBorders>
          </w:tcPr>
          <w:p w:rsidR="00234376" w:rsidRPr="00AC39E0" w:rsidRDefault="00234376" w:rsidP="008E03A7">
            <w:pPr>
              <w:pStyle w:val="TableHeading0"/>
              <w:jc w:val="center"/>
            </w:pPr>
            <w:r w:rsidRPr="00AC39E0">
              <w:t>Cancer mortality</w:t>
            </w:r>
          </w:p>
          <w:p w:rsidR="00234376" w:rsidRPr="00AC39E0" w:rsidRDefault="00234376" w:rsidP="008E03A7">
            <w:pPr>
              <w:pStyle w:val="TableHeading0"/>
              <w:jc w:val="center"/>
            </w:pPr>
            <w:bookmarkStart w:id="737" w:name="OLE_LINK20"/>
            <w:bookmarkStart w:id="738" w:name="OLE_LINK21"/>
            <w:r w:rsidRPr="00AC39E0">
              <w:t xml:space="preserve">(ASR </w:t>
            </w:r>
            <w:r w:rsidRPr="00AC39E0">
              <w:rPr>
                <w:vertAlign w:val="superscript"/>
              </w:rPr>
              <w:t>a</w:t>
            </w:r>
            <w:r w:rsidRPr="00AC39E0">
              <w:t xml:space="preserve"> per 100 000 women, all ages)</w:t>
            </w:r>
            <w:bookmarkEnd w:id="737"/>
            <w:bookmarkEnd w:id="738"/>
          </w:p>
        </w:tc>
        <w:tc>
          <w:tcPr>
            <w:tcW w:w="2384" w:type="dxa"/>
            <w:tcBorders>
              <w:top w:val="single" w:sz="4" w:space="0" w:color="auto"/>
              <w:bottom w:val="single" w:sz="4" w:space="0" w:color="auto"/>
            </w:tcBorders>
          </w:tcPr>
          <w:p w:rsidR="00234376" w:rsidRPr="00AC39E0" w:rsidRDefault="00234376" w:rsidP="008E03A7">
            <w:pPr>
              <w:pStyle w:val="TableHeading0"/>
              <w:jc w:val="center"/>
              <w:rPr>
                <w:bCs/>
              </w:rPr>
            </w:pPr>
            <w:r w:rsidRPr="00AC39E0">
              <w:rPr>
                <w:bCs/>
              </w:rPr>
              <w:t>Histologically confirmed high grades</w:t>
            </w:r>
          </w:p>
          <w:p w:rsidR="00234376" w:rsidRPr="00AC39E0" w:rsidRDefault="00234376" w:rsidP="008E03A7">
            <w:pPr>
              <w:pStyle w:val="TableHeading0"/>
              <w:jc w:val="center"/>
              <w:rPr>
                <w:bCs/>
              </w:rPr>
            </w:pPr>
            <w:r w:rsidRPr="00AC39E0">
              <w:rPr>
                <w:bCs/>
              </w:rPr>
              <w:t>(all ages )</w:t>
            </w:r>
          </w:p>
        </w:tc>
      </w:tr>
      <w:tr w:rsidR="00234376" w:rsidRPr="00AC39E0">
        <w:tc>
          <w:tcPr>
            <w:tcW w:w="3545" w:type="dxa"/>
            <w:tcBorders>
              <w:top w:val="single" w:sz="4" w:space="0" w:color="auto"/>
            </w:tcBorders>
          </w:tcPr>
          <w:p w:rsidR="00234376" w:rsidRPr="00AC39E0" w:rsidRDefault="00234376" w:rsidP="008E03A7">
            <w:pPr>
              <w:pStyle w:val="TableText0"/>
            </w:pPr>
            <w:r w:rsidRPr="00AC39E0">
              <w:t>Current practice (</w:t>
            </w:r>
            <w:r w:rsidRPr="00AC39E0">
              <w:rPr>
                <w:rFonts w:cs="Arial"/>
              </w:rPr>
              <w:t>CC</w:t>
            </w:r>
            <w:r w:rsidRPr="00AC39E0">
              <w:t>)</w:t>
            </w:r>
          </w:p>
        </w:tc>
        <w:tc>
          <w:tcPr>
            <w:tcW w:w="1480" w:type="dxa"/>
            <w:tcBorders>
              <w:top w:val="single" w:sz="4" w:space="0" w:color="auto"/>
            </w:tcBorders>
          </w:tcPr>
          <w:p w:rsidR="00234376" w:rsidRPr="00AC39E0" w:rsidRDefault="00234376" w:rsidP="008E03A7">
            <w:pPr>
              <w:pStyle w:val="TableText0"/>
              <w:jc w:val="center"/>
            </w:pPr>
          </w:p>
        </w:tc>
        <w:tc>
          <w:tcPr>
            <w:tcW w:w="1906" w:type="dxa"/>
            <w:tcBorders>
              <w:top w:val="single" w:sz="4" w:space="0" w:color="auto"/>
            </w:tcBorders>
          </w:tcPr>
          <w:p w:rsidR="00234376" w:rsidRPr="00AC39E0" w:rsidRDefault="00234376" w:rsidP="008E03A7">
            <w:pPr>
              <w:pStyle w:val="TableText0"/>
              <w:jc w:val="center"/>
            </w:pPr>
          </w:p>
        </w:tc>
        <w:tc>
          <w:tcPr>
            <w:tcW w:w="1906" w:type="dxa"/>
            <w:tcBorders>
              <w:top w:val="single" w:sz="4" w:space="0" w:color="auto"/>
            </w:tcBorders>
          </w:tcPr>
          <w:p w:rsidR="00234376" w:rsidRPr="00AC39E0" w:rsidRDefault="00234376" w:rsidP="008E03A7">
            <w:pPr>
              <w:pStyle w:val="TableText0"/>
              <w:jc w:val="center"/>
            </w:pPr>
          </w:p>
        </w:tc>
        <w:tc>
          <w:tcPr>
            <w:tcW w:w="1487" w:type="dxa"/>
            <w:tcBorders>
              <w:top w:val="single" w:sz="4" w:space="0" w:color="auto"/>
            </w:tcBorders>
          </w:tcPr>
          <w:p w:rsidR="00234376" w:rsidRPr="00AC39E0" w:rsidRDefault="00234376" w:rsidP="008E03A7">
            <w:pPr>
              <w:pStyle w:val="TableText0"/>
              <w:jc w:val="center"/>
            </w:pPr>
          </w:p>
        </w:tc>
        <w:tc>
          <w:tcPr>
            <w:tcW w:w="1846" w:type="dxa"/>
            <w:tcBorders>
              <w:top w:val="single" w:sz="4" w:space="0" w:color="auto"/>
            </w:tcBorders>
          </w:tcPr>
          <w:p w:rsidR="00234376" w:rsidRPr="00AC39E0" w:rsidRDefault="00234376" w:rsidP="008E03A7">
            <w:pPr>
              <w:pStyle w:val="TableText0"/>
              <w:jc w:val="center"/>
            </w:pPr>
          </w:p>
        </w:tc>
        <w:tc>
          <w:tcPr>
            <w:tcW w:w="2384" w:type="dxa"/>
            <w:tcBorders>
              <w:top w:val="single" w:sz="4" w:space="0" w:color="auto"/>
            </w:tcBorders>
          </w:tcPr>
          <w:p w:rsidR="00234376" w:rsidRPr="00AC39E0" w:rsidRDefault="00234376" w:rsidP="008E03A7">
            <w:pPr>
              <w:pStyle w:val="TableText0"/>
              <w:jc w:val="center"/>
            </w:pPr>
          </w:p>
        </w:tc>
      </w:tr>
      <w:tr w:rsidR="00234376" w:rsidRPr="00AC39E0">
        <w:tc>
          <w:tcPr>
            <w:tcW w:w="3545" w:type="dxa"/>
          </w:tcPr>
          <w:p w:rsidR="00234376" w:rsidRPr="00AC39E0" w:rsidRDefault="00234376" w:rsidP="008E03A7">
            <w:pPr>
              <w:pStyle w:val="TableText0"/>
              <w:ind w:left="318"/>
            </w:pPr>
            <w:r w:rsidRPr="00AC39E0">
              <w:t xml:space="preserve">Predicted </w:t>
            </w:r>
          </w:p>
        </w:tc>
        <w:tc>
          <w:tcPr>
            <w:tcW w:w="1480" w:type="dxa"/>
          </w:tcPr>
          <w:p w:rsidR="00234376" w:rsidRPr="00AC39E0" w:rsidRDefault="00234376" w:rsidP="008E03A7">
            <w:pPr>
              <w:pStyle w:val="TableText0"/>
              <w:jc w:val="center"/>
            </w:pPr>
            <w:r w:rsidRPr="00AC39E0">
              <w:t>712</w:t>
            </w:r>
          </w:p>
        </w:tc>
        <w:tc>
          <w:tcPr>
            <w:tcW w:w="1906" w:type="dxa"/>
          </w:tcPr>
          <w:p w:rsidR="00234376" w:rsidRPr="00AC39E0" w:rsidRDefault="00234376" w:rsidP="008E03A7">
            <w:pPr>
              <w:pStyle w:val="TableText0"/>
              <w:jc w:val="center"/>
            </w:pPr>
            <w:r w:rsidRPr="00AC39E0">
              <w:t>6.58</w:t>
            </w:r>
          </w:p>
        </w:tc>
        <w:tc>
          <w:tcPr>
            <w:tcW w:w="1906" w:type="dxa"/>
          </w:tcPr>
          <w:p w:rsidR="00234376" w:rsidRPr="00AC39E0" w:rsidRDefault="00234376" w:rsidP="008E03A7">
            <w:pPr>
              <w:pStyle w:val="TableText0"/>
              <w:jc w:val="center"/>
            </w:pPr>
            <w:r w:rsidRPr="00AC39E0">
              <w:t>0.64%</w:t>
            </w:r>
          </w:p>
        </w:tc>
        <w:tc>
          <w:tcPr>
            <w:tcW w:w="1487" w:type="dxa"/>
          </w:tcPr>
          <w:p w:rsidR="00234376" w:rsidRPr="00AC39E0" w:rsidRDefault="00234376" w:rsidP="008E03A7">
            <w:pPr>
              <w:pStyle w:val="TableText0"/>
              <w:jc w:val="center"/>
            </w:pPr>
            <w:r w:rsidRPr="00AC39E0">
              <w:t>188</w:t>
            </w:r>
          </w:p>
        </w:tc>
        <w:tc>
          <w:tcPr>
            <w:tcW w:w="1846" w:type="dxa"/>
          </w:tcPr>
          <w:p w:rsidR="00234376" w:rsidRPr="00AC39E0" w:rsidRDefault="00234376" w:rsidP="008E03A7">
            <w:pPr>
              <w:pStyle w:val="TableText0"/>
              <w:jc w:val="center"/>
            </w:pPr>
            <w:r w:rsidRPr="00AC39E0">
              <w:t>1.72</w:t>
            </w:r>
          </w:p>
        </w:tc>
        <w:tc>
          <w:tcPr>
            <w:tcW w:w="2384" w:type="dxa"/>
          </w:tcPr>
          <w:p w:rsidR="00234376" w:rsidRPr="00AC39E0" w:rsidRDefault="00234376" w:rsidP="008E03A7">
            <w:pPr>
              <w:pStyle w:val="TableText0"/>
              <w:jc w:val="center"/>
            </w:pPr>
            <w:r w:rsidRPr="00AC39E0">
              <w:t>12 608</w:t>
            </w:r>
          </w:p>
        </w:tc>
      </w:tr>
      <w:tr w:rsidR="00234376" w:rsidRPr="00AC39E0">
        <w:tc>
          <w:tcPr>
            <w:tcW w:w="3545" w:type="dxa"/>
          </w:tcPr>
          <w:p w:rsidR="00234376" w:rsidRPr="00AC39E0" w:rsidRDefault="00234376" w:rsidP="008E03A7">
            <w:pPr>
              <w:pStyle w:val="TableText0"/>
              <w:ind w:left="318"/>
              <w:rPr>
                <w:i/>
              </w:rPr>
            </w:pPr>
            <w:r w:rsidRPr="00AC39E0">
              <w:rPr>
                <w:i/>
              </w:rPr>
              <w:t>Actual</w:t>
            </w:r>
            <w:r w:rsidRPr="00AC39E0">
              <w:t xml:space="preserve"> </w:t>
            </w:r>
            <w:r w:rsidRPr="00AC39E0">
              <w:rPr>
                <w:vertAlign w:val="superscript"/>
              </w:rPr>
              <w:t>b</w:t>
            </w:r>
          </w:p>
        </w:tc>
        <w:tc>
          <w:tcPr>
            <w:tcW w:w="1480" w:type="dxa"/>
          </w:tcPr>
          <w:p w:rsidR="00234376" w:rsidRPr="00AC39E0" w:rsidRDefault="00234376" w:rsidP="008E03A7">
            <w:pPr>
              <w:pStyle w:val="TableText0"/>
              <w:jc w:val="center"/>
              <w:rPr>
                <w:i/>
              </w:rPr>
            </w:pPr>
            <w:r w:rsidRPr="00AC39E0">
              <w:rPr>
                <w:i/>
              </w:rPr>
              <w:t>718</w:t>
            </w:r>
          </w:p>
        </w:tc>
        <w:tc>
          <w:tcPr>
            <w:tcW w:w="1906" w:type="dxa"/>
          </w:tcPr>
          <w:p w:rsidR="00234376" w:rsidRPr="00AC39E0" w:rsidRDefault="00234376" w:rsidP="008E03A7">
            <w:pPr>
              <w:pStyle w:val="TableText0"/>
              <w:jc w:val="center"/>
              <w:rPr>
                <w:i/>
              </w:rPr>
            </w:pPr>
            <w:r w:rsidRPr="00AC39E0">
              <w:rPr>
                <w:i/>
              </w:rPr>
              <w:t>6.9</w:t>
            </w:r>
          </w:p>
        </w:tc>
        <w:tc>
          <w:tcPr>
            <w:tcW w:w="1906" w:type="dxa"/>
          </w:tcPr>
          <w:p w:rsidR="00234376" w:rsidRPr="00AC39E0" w:rsidRDefault="00234376" w:rsidP="008E03A7">
            <w:pPr>
              <w:pStyle w:val="TableText0"/>
              <w:jc w:val="center"/>
              <w:rPr>
                <w:i/>
              </w:rPr>
            </w:pPr>
            <w:r w:rsidRPr="00AC39E0">
              <w:rPr>
                <w:i/>
              </w:rPr>
              <w:t>0.66%</w:t>
            </w:r>
          </w:p>
        </w:tc>
        <w:tc>
          <w:tcPr>
            <w:tcW w:w="1487" w:type="dxa"/>
          </w:tcPr>
          <w:p w:rsidR="00234376" w:rsidRPr="00AC39E0" w:rsidRDefault="00234376" w:rsidP="008E03A7">
            <w:pPr>
              <w:pStyle w:val="TableText0"/>
              <w:jc w:val="center"/>
              <w:rPr>
                <w:i/>
              </w:rPr>
            </w:pPr>
            <w:r w:rsidRPr="00AC39E0">
              <w:rPr>
                <w:i/>
              </w:rPr>
              <w:t>216</w:t>
            </w:r>
          </w:p>
        </w:tc>
        <w:tc>
          <w:tcPr>
            <w:tcW w:w="1846" w:type="dxa"/>
          </w:tcPr>
          <w:p w:rsidR="00234376" w:rsidRPr="00AC39E0" w:rsidRDefault="00234376" w:rsidP="008E03A7">
            <w:pPr>
              <w:pStyle w:val="TableText0"/>
              <w:jc w:val="center"/>
              <w:rPr>
                <w:i/>
              </w:rPr>
            </w:pPr>
            <w:r w:rsidRPr="00AC39E0">
              <w:rPr>
                <w:i/>
              </w:rPr>
              <w:t>2.0</w:t>
            </w:r>
          </w:p>
        </w:tc>
        <w:tc>
          <w:tcPr>
            <w:tcW w:w="2384" w:type="dxa"/>
          </w:tcPr>
          <w:p w:rsidR="00234376" w:rsidRPr="00AC39E0" w:rsidRDefault="00234376" w:rsidP="008E03A7">
            <w:pPr>
              <w:pStyle w:val="TableText0"/>
              <w:jc w:val="center"/>
              <w:rPr>
                <w:i/>
              </w:rPr>
            </w:pPr>
            <w:r w:rsidRPr="00AC39E0">
              <w:rPr>
                <w:i/>
              </w:rPr>
              <w:t>14 469</w:t>
            </w:r>
            <w:r w:rsidRPr="00AC39E0">
              <w:t xml:space="preserve"> </w:t>
            </w:r>
            <w:r w:rsidRPr="00AC39E0">
              <w:rPr>
                <w:vertAlign w:val="superscript"/>
              </w:rPr>
              <w:t>b</w:t>
            </w:r>
          </w:p>
        </w:tc>
      </w:tr>
      <w:tr w:rsidR="00234376" w:rsidRPr="00AC39E0">
        <w:tc>
          <w:tcPr>
            <w:tcW w:w="3545" w:type="dxa"/>
          </w:tcPr>
          <w:p w:rsidR="00234376" w:rsidRPr="00AC39E0" w:rsidRDefault="00234376" w:rsidP="008E03A7">
            <w:pPr>
              <w:pStyle w:val="TableText0"/>
            </w:pPr>
            <w:r w:rsidRPr="00AC39E0">
              <w:t>Manual LBC ($2.40 incremental cost)</w:t>
            </w:r>
          </w:p>
        </w:tc>
        <w:tc>
          <w:tcPr>
            <w:tcW w:w="1480" w:type="dxa"/>
          </w:tcPr>
          <w:p w:rsidR="00234376" w:rsidRPr="00AC39E0" w:rsidRDefault="00234376" w:rsidP="008E03A7">
            <w:pPr>
              <w:pStyle w:val="TableText0"/>
              <w:jc w:val="center"/>
            </w:pPr>
            <w:r w:rsidRPr="00AC39E0">
              <w:t>689</w:t>
            </w:r>
          </w:p>
        </w:tc>
        <w:tc>
          <w:tcPr>
            <w:tcW w:w="1906" w:type="dxa"/>
          </w:tcPr>
          <w:p w:rsidR="00234376" w:rsidRPr="00AC39E0" w:rsidRDefault="00234376" w:rsidP="008E03A7">
            <w:pPr>
              <w:pStyle w:val="TableText0"/>
              <w:jc w:val="center"/>
            </w:pPr>
            <w:r w:rsidRPr="00AC39E0">
              <w:t>6.37</w:t>
            </w:r>
          </w:p>
        </w:tc>
        <w:tc>
          <w:tcPr>
            <w:tcW w:w="1906" w:type="dxa"/>
          </w:tcPr>
          <w:p w:rsidR="00234376" w:rsidRPr="00AC39E0" w:rsidRDefault="00234376" w:rsidP="008E03A7">
            <w:pPr>
              <w:pStyle w:val="TableText0"/>
              <w:jc w:val="center"/>
            </w:pPr>
            <w:r w:rsidRPr="00AC39E0">
              <w:t>0.62%</w:t>
            </w:r>
          </w:p>
        </w:tc>
        <w:tc>
          <w:tcPr>
            <w:tcW w:w="1487" w:type="dxa"/>
          </w:tcPr>
          <w:p w:rsidR="00234376" w:rsidRPr="00AC39E0" w:rsidRDefault="00234376" w:rsidP="008E03A7">
            <w:pPr>
              <w:pStyle w:val="TableText0"/>
              <w:jc w:val="center"/>
            </w:pPr>
            <w:r w:rsidRPr="00AC39E0">
              <w:t>182</w:t>
            </w:r>
          </w:p>
        </w:tc>
        <w:tc>
          <w:tcPr>
            <w:tcW w:w="1846" w:type="dxa"/>
          </w:tcPr>
          <w:p w:rsidR="00234376" w:rsidRPr="00AC39E0" w:rsidRDefault="00234376" w:rsidP="008E03A7">
            <w:pPr>
              <w:pStyle w:val="TableText0"/>
              <w:jc w:val="center"/>
            </w:pPr>
            <w:r w:rsidRPr="00AC39E0">
              <w:t>1.67</w:t>
            </w:r>
          </w:p>
        </w:tc>
        <w:tc>
          <w:tcPr>
            <w:tcW w:w="2384" w:type="dxa"/>
          </w:tcPr>
          <w:p w:rsidR="00234376" w:rsidRPr="00AC39E0" w:rsidRDefault="00234376" w:rsidP="008E03A7">
            <w:pPr>
              <w:pStyle w:val="TableText0"/>
              <w:jc w:val="center"/>
            </w:pPr>
            <w:r w:rsidRPr="00AC39E0">
              <w:t>12 921</w:t>
            </w:r>
          </w:p>
        </w:tc>
      </w:tr>
      <w:tr w:rsidR="00234376" w:rsidRPr="00AC39E0">
        <w:tc>
          <w:tcPr>
            <w:tcW w:w="3545" w:type="dxa"/>
          </w:tcPr>
          <w:p w:rsidR="00234376" w:rsidRPr="00AC39E0" w:rsidRDefault="00234376" w:rsidP="008E03A7">
            <w:pPr>
              <w:pStyle w:val="TableText0"/>
            </w:pPr>
            <w:r w:rsidRPr="00AC39E0">
              <w:t>Automated LBC</w:t>
            </w:r>
          </w:p>
        </w:tc>
        <w:tc>
          <w:tcPr>
            <w:tcW w:w="1480" w:type="dxa"/>
          </w:tcPr>
          <w:p w:rsidR="00234376" w:rsidRPr="00AC39E0" w:rsidRDefault="00234376" w:rsidP="008E03A7">
            <w:pPr>
              <w:pStyle w:val="TableText0"/>
              <w:jc w:val="center"/>
            </w:pPr>
            <w:r w:rsidRPr="00AC39E0">
              <w:t>644</w:t>
            </w:r>
          </w:p>
        </w:tc>
        <w:tc>
          <w:tcPr>
            <w:tcW w:w="1906" w:type="dxa"/>
          </w:tcPr>
          <w:p w:rsidR="00234376" w:rsidRPr="00AC39E0" w:rsidRDefault="00234376" w:rsidP="008E03A7">
            <w:pPr>
              <w:pStyle w:val="TableText0"/>
              <w:jc w:val="center"/>
            </w:pPr>
            <w:r w:rsidRPr="00AC39E0">
              <w:t>5.95</w:t>
            </w:r>
          </w:p>
        </w:tc>
        <w:tc>
          <w:tcPr>
            <w:tcW w:w="1906" w:type="dxa"/>
          </w:tcPr>
          <w:p w:rsidR="00234376" w:rsidRPr="00AC39E0" w:rsidRDefault="00234376" w:rsidP="008E03A7">
            <w:pPr>
              <w:pStyle w:val="TableText0"/>
              <w:jc w:val="center"/>
            </w:pPr>
            <w:r w:rsidRPr="00AC39E0">
              <w:t>0.58%</w:t>
            </w:r>
          </w:p>
        </w:tc>
        <w:tc>
          <w:tcPr>
            <w:tcW w:w="1487" w:type="dxa"/>
          </w:tcPr>
          <w:p w:rsidR="00234376" w:rsidRPr="00AC39E0" w:rsidRDefault="00234376" w:rsidP="008E03A7">
            <w:pPr>
              <w:pStyle w:val="TableText0"/>
              <w:jc w:val="center"/>
            </w:pPr>
            <w:r w:rsidRPr="00AC39E0">
              <w:t>169</w:t>
            </w:r>
          </w:p>
        </w:tc>
        <w:tc>
          <w:tcPr>
            <w:tcW w:w="1846" w:type="dxa"/>
          </w:tcPr>
          <w:p w:rsidR="00234376" w:rsidRPr="00AC39E0" w:rsidRDefault="00234376" w:rsidP="008E03A7">
            <w:pPr>
              <w:pStyle w:val="TableText0"/>
              <w:jc w:val="center"/>
            </w:pPr>
            <w:r w:rsidRPr="00AC39E0">
              <w:t>1.55</w:t>
            </w:r>
          </w:p>
        </w:tc>
        <w:tc>
          <w:tcPr>
            <w:tcW w:w="2384" w:type="dxa"/>
          </w:tcPr>
          <w:p w:rsidR="00234376" w:rsidRPr="00AC39E0" w:rsidRDefault="00234376" w:rsidP="008E03A7">
            <w:pPr>
              <w:pStyle w:val="TableText0"/>
              <w:jc w:val="center"/>
            </w:pPr>
            <w:r w:rsidRPr="00AC39E0">
              <w:t>13 694</w:t>
            </w:r>
          </w:p>
        </w:tc>
      </w:tr>
      <w:tr w:rsidR="00234376" w:rsidRPr="00AC39E0">
        <w:tc>
          <w:tcPr>
            <w:tcW w:w="3545" w:type="dxa"/>
            <w:tcBorders>
              <w:bottom w:val="single" w:sz="4" w:space="0" w:color="auto"/>
            </w:tcBorders>
          </w:tcPr>
          <w:p w:rsidR="00234376" w:rsidRPr="00AC39E0" w:rsidRDefault="00234376" w:rsidP="008E03A7">
            <w:pPr>
              <w:pStyle w:val="TableText0"/>
            </w:pPr>
            <w:r w:rsidRPr="00AC39E0">
              <w:t>Manual LBC ($10.90 incremental cost)</w:t>
            </w:r>
          </w:p>
        </w:tc>
        <w:tc>
          <w:tcPr>
            <w:tcW w:w="1480" w:type="dxa"/>
            <w:tcBorders>
              <w:bottom w:val="single" w:sz="4" w:space="0" w:color="auto"/>
            </w:tcBorders>
          </w:tcPr>
          <w:p w:rsidR="00234376" w:rsidRPr="00AC39E0" w:rsidRDefault="00234376" w:rsidP="008E03A7">
            <w:pPr>
              <w:pStyle w:val="TableText0"/>
              <w:jc w:val="center"/>
            </w:pPr>
            <w:r w:rsidRPr="00AC39E0">
              <w:t>689</w:t>
            </w:r>
          </w:p>
        </w:tc>
        <w:tc>
          <w:tcPr>
            <w:tcW w:w="1906" w:type="dxa"/>
            <w:tcBorders>
              <w:bottom w:val="single" w:sz="4" w:space="0" w:color="auto"/>
            </w:tcBorders>
          </w:tcPr>
          <w:p w:rsidR="00234376" w:rsidRPr="00AC39E0" w:rsidRDefault="00234376" w:rsidP="008E03A7">
            <w:pPr>
              <w:pStyle w:val="TableText0"/>
              <w:jc w:val="center"/>
            </w:pPr>
            <w:r w:rsidRPr="00AC39E0">
              <w:t>6.37</w:t>
            </w:r>
          </w:p>
        </w:tc>
        <w:tc>
          <w:tcPr>
            <w:tcW w:w="1906" w:type="dxa"/>
            <w:tcBorders>
              <w:bottom w:val="single" w:sz="4" w:space="0" w:color="auto"/>
            </w:tcBorders>
          </w:tcPr>
          <w:p w:rsidR="00234376" w:rsidRPr="00AC39E0" w:rsidRDefault="00234376" w:rsidP="008E03A7">
            <w:pPr>
              <w:pStyle w:val="TableText0"/>
              <w:jc w:val="center"/>
            </w:pPr>
            <w:r w:rsidRPr="00AC39E0">
              <w:t>0.62%</w:t>
            </w:r>
          </w:p>
        </w:tc>
        <w:tc>
          <w:tcPr>
            <w:tcW w:w="1487" w:type="dxa"/>
            <w:tcBorders>
              <w:bottom w:val="single" w:sz="4" w:space="0" w:color="auto"/>
            </w:tcBorders>
          </w:tcPr>
          <w:p w:rsidR="00234376" w:rsidRPr="00AC39E0" w:rsidRDefault="00234376" w:rsidP="008E03A7">
            <w:pPr>
              <w:pStyle w:val="TableText0"/>
              <w:jc w:val="center"/>
            </w:pPr>
            <w:r w:rsidRPr="00AC39E0">
              <w:t>182</w:t>
            </w:r>
          </w:p>
        </w:tc>
        <w:tc>
          <w:tcPr>
            <w:tcW w:w="1846" w:type="dxa"/>
            <w:tcBorders>
              <w:bottom w:val="single" w:sz="4" w:space="0" w:color="auto"/>
            </w:tcBorders>
          </w:tcPr>
          <w:p w:rsidR="00234376" w:rsidRPr="00AC39E0" w:rsidRDefault="00234376" w:rsidP="008E03A7">
            <w:pPr>
              <w:pStyle w:val="TableText0"/>
              <w:jc w:val="center"/>
            </w:pPr>
            <w:r w:rsidRPr="00AC39E0">
              <w:t>1.67</w:t>
            </w:r>
          </w:p>
        </w:tc>
        <w:tc>
          <w:tcPr>
            <w:tcW w:w="2384" w:type="dxa"/>
            <w:tcBorders>
              <w:bottom w:val="single" w:sz="4" w:space="0" w:color="auto"/>
            </w:tcBorders>
          </w:tcPr>
          <w:p w:rsidR="00234376" w:rsidRPr="00AC39E0" w:rsidRDefault="00234376" w:rsidP="008E03A7">
            <w:pPr>
              <w:pStyle w:val="TableText0"/>
              <w:jc w:val="center"/>
            </w:pPr>
            <w:r w:rsidRPr="00AC39E0">
              <w:t>12 921</w:t>
            </w:r>
          </w:p>
        </w:tc>
      </w:tr>
    </w:tbl>
    <w:p w:rsidR="00234376" w:rsidRPr="00537C3C" w:rsidRDefault="00234376" w:rsidP="008E03A7">
      <w:pPr>
        <w:pStyle w:val="TableNotes"/>
      </w:pPr>
      <w:r w:rsidRPr="00AC39E0">
        <w:rPr>
          <w:vertAlign w:val="superscript"/>
        </w:rPr>
        <w:t>a</w:t>
      </w:r>
      <w:r w:rsidRPr="00AC39E0">
        <w:t xml:space="preserve"> Age-standardised rate</w:t>
      </w:r>
      <w:r w:rsidRPr="00AC39E0" w:rsidDel="001E6D1E">
        <w:t>,</w:t>
      </w:r>
      <w:r w:rsidRPr="00AC39E0">
        <w:t xml:space="preserve"> standardised to the Australian 2001 population. </w:t>
      </w:r>
      <w:r w:rsidRPr="00AC39E0">
        <w:rPr>
          <w:vertAlign w:val="superscript"/>
        </w:rPr>
        <w:t>b</w:t>
      </w:r>
      <w:r w:rsidRPr="00AC39E0">
        <w:t xml:space="preserve"> Refer to </w:t>
      </w:r>
      <w:r w:rsidRPr="00AC39E0">
        <w:fldChar w:fldCharType="begin"/>
      </w:r>
      <w:r w:rsidRPr="00AC39E0">
        <w:instrText xml:space="preserve"> REF _Ref208726251 \h  \* MERGEFORMAT </w:instrText>
      </w:r>
      <w:r w:rsidRPr="00AC39E0">
        <w:fldChar w:fldCharType="separate"/>
      </w:r>
      <w:r w:rsidR="007D3DFF" w:rsidRPr="00537C3C">
        <w:t xml:space="preserve">Table </w:t>
      </w:r>
      <w:r w:rsidR="007D3DFF">
        <w:rPr>
          <w:noProof/>
        </w:rPr>
        <w:t>48</w:t>
      </w:r>
      <w:r w:rsidRPr="00AC39E0">
        <w:fldChar w:fldCharType="end"/>
      </w:r>
      <w:r w:rsidRPr="00AC39E0">
        <w:t xml:space="preserve"> and </w:t>
      </w:r>
      <w:r w:rsidRPr="00AC39E0">
        <w:fldChar w:fldCharType="begin"/>
      </w:r>
      <w:r w:rsidRPr="00AC39E0">
        <w:instrText xml:space="preserve"> ADDIN REFMGR.CITE &lt;Refman&gt;&lt;Cite&gt;&lt;Author&gt;AIHW&lt;/Author&gt;&lt;Year&gt;2008&lt;/Year&gt;&lt;RecNum&gt;4903&lt;/RecNum&gt;&lt;IDText&gt;Cervical screening in Australia 2005-2006&lt;/IDText&gt;&lt;MDL Ref_Type="Report"&gt;&lt;Ref_Type&gt;Report&lt;/Ref_Type&gt;&lt;Ref_ID&gt;4903&lt;/Ref_ID&gt;&lt;Title_Primary&gt;Cervical screening in Australia 2005-2006&lt;/Title_Primary&gt;&lt;Authors_Primary&gt;AIHW&lt;/Authors_Primary&gt;&lt;Date_Primary&gt;2008&lt;/Date_Primary&gt;&lt;Keywords&gt;Australia&lt;/Keywords&gt;&lt;Keywords&gt;Cancer&lt;/Keywords&gt;&lt;Keywords&gt;screening&lt;/Keywords&gt;&lt;Keywords&gt;cervical&lt;/Keywords&gt;&lt;Reprint&gt;Not in File&lt;/Reprint&gt;&lt;Volume&gt;AIHW cat. no. Can 36&lt;/Volume&gt;&lt;Pub_Place&gt;Canberra: AIHW&lt;/Pub_Place&gt;&lt;Publisher&gt;Australian Institute of Health and Welfare&lt;/Publisher&gt;&lt;Title_Series&gt;Cancer series no. 41&lt;/Title_Series&gt;&lt;ZZ_WorkformID&gt;24&lt;/ZZ_WorkformID&gt;&lt;/MDL&gt;&lt;/Cite&gt;&lt;/Refman&gt;</w:instrText>
      </w:r>
      <w:r w:rsidRPr="00AC39E0">
        <w:fldChar w:fldCharType="separate"/>
      </w:r>
      <w:r w:rsidRPr="00AC39E0">
        <w:t>(AIHW 2008)</w:t>
      </w:r>
      <w:r w:rsidRPr="00AC39E0">
        <w:fldChar w:fldCharType="end"/>
      </w:r>
      <w:r w:rsidRPr="00AC39E0">
        <w:t>.</w:t>
      </w:r>
    </w:p>
    <w:p w:rsidR="00234376" w:rsidRPr="00537C3C" w:rsidRDefault="00234376" w:rsidP="008E03A7">
      <w:pPr>
        <w:sectPr w:rsidR="00234376" w:rsidRPr="00537C3C" w:rsidSect="008E03A7">
          <w:pgSz w:w="16838" w:h="11906" w:orient="landscape"/>
          <w:pgMar w:top="1440" w:right="1440" w:bottom="1440" w:left="1276" w:header="720" w:footer="720" w:gutter="0"/>
          <w:paperSrc w:first="15" w:other="15"/>
          <w:cols w:space="720"/>
        </w:sectPr>
      </w:pPr>
    </w:p>
    <w:p w:rsidR="00234376" w:rsidRPr="00AC39E0" w:rsidRDefault="00234376" w:rsidP="008E03A7">
      <w:r w:rsidRPr="00537C3C">
        <w:lastRenderedPageBreak/>
        <w:t xml:space="preserve">Overall, liquid-based technologies could be expected to increase the number of colposcopies by 6770–10 788 annually (10%–17%), the number of biopsies by 3273–5154 (10%–16%), </w:t>
      </w:r>
      <w:r w:rsidR="00386582">
        <w:t xml:space="preserve">and </w:t>
      </w:r>
      <w:r w:rsidRPr="00537C3C">
        <w:t xml:space="preserve">the number of treatments for </w:t>
      </w:r>
      <w:r w:rsidRPr="00BB76D8">
        <w:t>CIN</w:t>
      </w:r>
      <w:r w:rsidRPr="00537C3C">
        <w:t xml:space="preserve"> 2/3 by 735–1751 (4%–10%)</w:t>
      </w:r>
      <w:r w:rsidR="00386582">
        <w:t xml:space="preserve">. </w:t>
      </w:r>
      <w:r w:rsidRPr="00537C3C">
        <w:t xml:space="preserve">This is in part because both manual and automated </w:t>
      </w:r>
      <w:r w:rsidRPr="00BB76D8">
        <w:t>LBC</w:t>
      </w:r>
      <w:r w:rsidRPr="00537C3C">
        <w:t xml:space="preserve"> are assumed to be more </w:t>
      </w:r>
      <w:r w:rsidRPr="00AC39E0">
        <w:t xml:space="preserve">sensitive than </w:t>
      </w:r>
      <w:r w:rsidRPr="00AC39E0">
        <w:rPr>
          <w:rFonts w:cs="Arial"/>
        </w:rPr>
        <w:t>CC</w:t>
      </w:r>
      <w:r w:rsidRPr="00AC39E0">
        <w:t>, and thus more true high-grade lesions will be detected (314–1086 additional cases). This will in turn result in a reduction in incident cancers (23–68 cases), and cancer deaths (6–19 deaths). Because survival from cervical cancer is relatively high, the predicted impact on cancer deaths is less than that on cancer incidence.</w:t>
      </w:r>
    </w:p>
    <w:p w:rsidR="00234376" w:rsidRPr="00537C3C" w:rsidRDefault="00234376" w:rsidP="008E03A7">
      <w:r w:rsidRPr="00AC39E0">
        <w:t>The impact of the new technologies on average LYS in the population is 0.0001–0.0004</w:t>
      </w:r>
      <w:r w:rsidR="00AC5ABD" w:rsidRPr="00AC39E0">
        <w:t xml:space="preserve"> LYS</w:t>
      </w:r>
      <w:r w:rsidRPr="00AC39E0">
        <w:t>, or approximately 1–3 h over a lifetime, when discounted at 5 per cent. Whether this outcome is considered to be an improvement in overall health outcomes depends on the trade-off between the benefit from a reduction in cancer incidence and the harms associated with increased investigations among the</w:t>
      </w:r>
      <w:r w:rsidRPr="00537C3C">
        <w:t xml:space="preserve"> women who are not destined to develop cancer (</w:t>
      </w:r>
      <w:r>
        <w:fldChar w:fldCharType="begin"/>
      </w:r>
      <w:r>
        <w:instrText xml:space="preserve"> REF _Ref215982240 \h  \* MERGEFORMAT </w:instrText>
      </w:r>
      <w:r>
        <w:fldChar w:fldCharType="separate"/>
      </w:r>
      <w:r w:rsidR="007D3DFF" w:rsidRPr="00537C3C">
        <w:t xml:space="preserve">Table </w:t>
      </w:r>
      <w:r w:rsidR="007D3DFF">
        <w:rPr>
          <w:noProof/>
        </w:rPr>
        <w:t>55</w:t>
      </w:r>
      <w:r>
        <w:fldChar w:fldCharType="end"/>
      </w:r>
      <w:r w:rsidRPr="00537C3C">
        <w:t xml:space="preserve">). This trade-off could be captured in an analysis incorporating quality-adjusted survival (QALYs). However, such an analysis has not been conducted, because of paucity of data to inform QALY weights, which are required for the sequence of health states and events modelled over the duration of the model. This issue is discussed further in the </w:t>
      </w:r>
      <w:r w:rsidRPr="00234376">
        <w:fldChar w:fldCharType="begin"/>
      </w:r>
      <w:r w:rsidRPr="00234376">
        <w:instrText xml:space="preserve"> REF _Ref213660432 </w:instrText>
      </w:r>
      <w:r w:rsidRPr="00BA595E">
        <w:instrText>\</w:instrText>
      </w:r>
      <w:r w:rsidRPr="00234376">
        <w:instrText xml:space="preserve">h  </w:instrText>
      </w:r>
      <w:r w:rsidRPr="00BA595E">
        <w:instrText>\</w:instrText>
      </w:r>
      <w:r w:rsidRPr="00234376">
        <w:instrText xml:space="preserve">* MERGEFORMAT </w:instrText>
      </w:r>
      <w:r w:rsidRPr="00234376">
        <w:fldChar w:fldCharType="separate"/>
      </w:r>
      <w:r w:rsidR="007D3DFF" w:rsidRPr="00537C3C">
        <w:t>Discussion</w:t>
      </w:r>
      <w:r w:rsidRPr="00234376">
        <w:fldChar w:fldCharType="end"/>
      </w:r>
      <w:r w:rsidRPr="00110B9C">
        <w:t xml:space="preserve"> </w:t>
      </w:r>
      <w:r w:rsidRPr="00537C3C">
        <w:t>under ‘</w:t>
      </w:r>
      <w:r w:rsidRPr="00234376">
        <w:fldChar w:fldCharType="begin"/>
      </w:r>
      <w:r w:rsidRPr="00234376">
        <w:instrText xml:space="preserve"> REF _Ref219605968 </w:instrText>
      </w:r>
      <w:r w:rsidRPr="00BA595E">
        <w:instrText>\</w:instrText>
      </w:r>
      <w:r w:rsidRPr="00234376">
        <w:instrText xml:space="preserve">h  </w:instrText>
      </w:r>
      <w:r w:rsidRPr="00BA595E">
        <w:instrText>\</w:instrText>
      </w:r>
      <w:r w:rsidRPr="00234376">
        <w:instrText xml:space="preserve">* MERGEFORMAT </w:instrText>
      </w:r>
      <w:r w:rsidRPr="00234376">
        <w:fldChar w:fldCharType="separate"/>
      </w:r>
      <w:r w:rsidR="007D3DFF" w:rsidRPr="00AC39E0">
        <w:t>Quality-of-life issues</w:t>
      </w:r>
      <w:r w:rsidRPr="00234376">
        <w:fldChar w:fldCharType="end"/>
      </w:r>
      <w:r w:rsidRPr="00110B9C">
        <w:t xml:space="preserve">’, </w:t>
      </w:r>
      <w:r w:rsidRPr="00537C3C">
        <w:t xml:space="preserve">on page </w:t>
      </w:r>
      <w:r w:rsidRPr="00537C3C">
        <w:fldChar w:fldCharType="begin"/>
      </w:r>
      <w:r w:rsidRPr="00537C3C">
        <w:instrText xml:space="preserve"> PAGEREF _Ref219605968 \h </w:instrText>
      </w:r>
      <w:r w:rsidRPr="00537C3C">
        <w:fldChar w:fldCharType="separate"/>
      </w:r>
      <w:r w:rsidR="007D3DFF">
        <w:rPr>
          <w:noProof/>
        </w:rPr>
        <w:t>103</w:t>
      </w:r>
      <w:r w:rsidRPr="00537C3C">
        <w:fldChar w:fldCharType="end"/>
      </w:r>
      <w:r w:rsidRPr="00537C3C">
        <w:t>.</w:t>
      </w:r>
    </w:p>
    <w:p w:rsidR="00234376" w:rsidRPr="00537C3C" w:rsidRDefault="00234376" w:rsidP="008E03A7">
      <w:r>
        <w:fldChar w:fldCharType="begin"/>
      </w:r>
      <w:r>
        <w:instrText xml:space="preserve"> REF _Ref215982240 \h  \* MERGEFORMAT </w:instrText>
      </w:r>
      <w:r>
        <w:fldChar w:fldCharType="separate"/>
      </w:r>
      <w:r w:rsidR="007D3DFF" w:rsidRPr="00537C3C">
        <w:t xml:space="preserve">Table </w:t>
      </w:r>
      <w:r w:rsidR="007D3DFF">
        <w:rPr>
          <w:noProof/>
        </w:rPr>
        <w:t>55</w:t>
      </w:r>
      <w:r>
        <w:fldChar w:fldCharType="end"/>
      </w:r>
      <w:r w:rsidRPr="00537C3C">
        <w:t xml:space="preserve"> summarises how process outcomes are related to averting cancers and deaths.</w:t>
      </w:r>
    </w:p>
    <w:p w:rsidR="00234376" w:rsidRPr="00537C3C" w:rsidRDefault="00234376" w:rsidP="008E03A7">
      <w:pPr>
        <w:pStyle w:val="Caption"/>
      </w:pPr>
      <w:bookmarkStart w:id="739" w:name="_Ref215982240"/>
      <w:bookmarkStart w:id="740" w:name="_Toc95971291"/>
      <w:r w:rsidRPr="00537C3C">
        <w:t xml:space="preserve">Table </w:t>
      </w:r>
      <w:fldSimple w:instr=" SEQ Table \* ARABIC ">
        <w:r w:rsidR="007D3DFF">
          <w:rPr>
            <w:noProof/>
          </w:rPr>
          <w:t>55</w:t>
        </w:r>
      </w:fldSimple>
      <w:bookmarkEnd w:id="739"/>
      <w:r w:rsidRPr="00537C3C">
        <w:tab/>
        <w:t>Additional interventions required to prevent one incident cancer case and one cancer death.</w:t>
      </w:r>
      <w:bookmarkEnd w:id="740"/>
    </w:p>
    <w:tbl>
      <w:tblPr>
        <w:tblW w:w="0" w:type="auto"/>
        <w:tblInd w:w="959" w:type="dxa"/>
        <w:tblLayout w:type="fixed"/>
        <w:tblLook w:val="01E0" w:firstRow="1" w:lastRow="1" w:firstColumn="1" w:lastColumn="1" w:noHBand="0" w:noVBand="0"/>
      </w:tblPr>
      <w:tblGrid>
        <w:gridCol w:w="2477"/>
        <w:gridCol w:w="867"/>
        <w:gridCol w:w="1397"/>
        <w:gridCol w:w="967"/>
        <w:gridCol w:w="1748"/>
      </w:tblGrid>
      <w:tr w:rsidR="00234376" w:rsidRPr="00537C3C">
        <w:tc>
          <w:tcPr>
            <w:tcW w:w="2477" w:type="dxa"/>
            <w:vMerge w:val="restart"/>
            <w:tcBorders>
              <w:top w:val="single" w:sz="4" w:space="0" w:color="auto"/>
            </w:tcBorders>
          </w:tcPr>
          <w:p w:rsidR="00234376" w:rsidRPr="00537C3C" w:rsidRDefault="00234376" w:rsidP="008E03A7">
            <w:pPr>
              <w:pStyle w:val="TableHeading0"/>
            </w:pPr>
            <w:r w:rsidRPr="00537C3C">
              <w:t>Preventing one additional:</w:t>
            </w:r>
          </w:p>
        </w:tc>
        <w:tc>
          <w:tcPr>
            <w:tcW w:w="4979" w:type="dxa"/>
            <w:gridSpan w:val="4"/>
            <w:tcBorders>
              <w:top w:val="single" w:sz="4" w:space="0" w:color="auto"/>
            </w:tcBorders>
          </w:tcPr>
          <w:p w:rsidR="00234376" w:rsidRPr="00234376" w:rsidRDefault="00234376" w:rsidP="00234376">
            <w:pPr>
              <w:pStyle w:val="TableText0"/>
              <w:jc w:val="center"/>
              <w:rPr>
                <w:b/>
                <w:i/>
              </w:rPr>
            </w:pPr>
            <w:r w:rsidRPr="001E6D1E">
              <w:t>Requires an additional:</w:t>
            </w:r>
          </w:p>
        </w:tc>
      </w:tr>
      <w:tr w:rsidR="000D7630" w:rsidRPr="00537C3C">
        <w:tc>
          <w:tcPr>
            <w:tcW w:w="2477" w:type="dxa"/>
            <w:vMerge/>
            <w:tcBorders>
              <w:bottom w:val="single" w:sz="4" w:space="0" w:color="auto"/>
            </w:tcBorders>
          </w:tcPr>
          <w:p w:rsidR="000D7630" w:rsidRPr="00537C3C" w:rsidRDefault="000D7630" w:rsidP="008E03A7">
            <w:pPr>
              <w:pStyle w:val="TableHeading0"/>
            </w:pPr>
          </w:p>
        </w:tc>
        <w:tc>
          <w:tcPr>
            <w:tcW w:w="867" w:type="dxa"/>
            <w:tcBorders>
              <w:bottom w:val="single" w:sz="4" w:space="0" w:color="auto"/>
            </w:tcBorders>
          </w:tcPr>
          <w:p w:rsidR="000D7630" w:rsidRPr="00537C3C" w:rsidRDefault="000D7630" w:rsidP="008E03A7">
            <w:pPr>
              <w:pStyle w:val="TableHeading0"/>
              <w:jc w:val="center"/>
            </w:pPr>
            <w:r w:rsidRPr="00537C3C">
              <w:t>Smears</w:t>
            </w:r>
          </w:p>
        </w:tc>
        <w:tc>
          <w:tcPr>
            <w:tcW w:w="1397" w:type="dxa"/>
            <w:tcBorders>
              <w:bottom w:val="single" w:sz="4" w:space="0" w:color="auto"/>
            </w:tcBorders>
          </w:tcPr>
          <w:p w:rsidR="000D7630" w:rsidRPr="00537C3C" w:rsidRDefault="000D7630" w:rsidP="008E03A7">
            <w:pPr>
              <w:pStyle w:val="TableHeading0"/>
              <w:jc w:val="center"/>
            </w:pPr>
            <w:r w:rsidRPr="00537C3C">
              <w:t>Colposcopies</w:t>
            </w:r>
          </w:p>
        </w:tc>
        <w:tc>
          <w:tcPr>
            <w:tcW w:w="967" w:type="dxa"/>
            <w:tcBorders>
              <w:bottom w:val="single" w:sz="4" w:space="0" w:color="auto"/>
            </w:tcBorders>
          </w:tcPr>
          <w:p w:rsidR="000D7630" w:rsidRPr="00537C3C" w:rsidRDefault="000D7630" w:rsidP="008E03A7">
            <w:pPr>
              <w:pStyle w:val="TableHeading0"/>
              <w:jc w:val="center"/>
            </w:pPr>
            <w:r w:rsidRPr="00537C3C">
              <w:t>Biopsies</w:t>
            </w:r>
          </w:p>
        </w:tc>
        <w:tc>
          <w:tcPr>
            <w:tcW w:w="1747" w:type="dxa"/>
            <w:tcBorders>
              <w:bottom w:val="single" w:sz="4" w:space="0" w:color="auto"/>
            </w:tcBorders>
          </w:tcPr>
          <w:p w:rsidR="000D7630" w:rsidRPr="00537C3C" w:rsidRDefault="000D7630" w:rsidP="008E03A7">
            <w:pPr>
              <w:pStyle w:val="TableHeading0"/>
              <w:jc w:val="center"/>
            </w:pPr>
            <w:r>
              <w:t xml:space="preserve">CIN2/3 </w:t>
            </w:r>
            <w:r w:rsidRPr="00537C3C">
              <w:t>treatments</w:t>
            </w:r>
          </w:p>
        </w:tc>
      </w:tr>
      <w:tr w:rsidR="000D7630" w:rsidRPr="00537C3C">
        <w:tc>
          <w:tcPr>
            <w:tcW w:w="2477" w:type="dxa"/>
            <w:tcBorders>
              <w:top w:val="single" w:sz="4" w:space="0" w:color="auto"/>
            </w:tcBorders>
          </w:tcPr>
          <w:p w:rsidR="000D7630" w:rsidRPr="00537C3C" w:rsidRDefault="000D7630" w:rsidP="008E03A7">
            <w:pPr>
              <w:pStyle w:val="TableText0"/>
              <w:rPr>
                <w:b/>
              </w:rPr>
            </w:pPr>
            <w:r w:rsidRPr="00537C3C">
              <w:rPr>
                <w:b/>
              </w:rPr>
              <w:t>—cancer case</w:t>
            </w:r>
          </w:p>
        </w:tc>
        <w:tc>
          <w:tcPr>
            <w:tcW w:w="867" w:type="dxa"/>
            <w:tcBorders>
              <w:top w:val="single" w:sz="4" w:space="0" w:color="auto"/>
            </w:tcBorders>
          </w:tcPr>
          <w:p w:rsidR="000D7630" w:rsidRPr="00537C3C" w:rsidRDefault="000D7630" w:rsidP="008E03A7">
            <w:pPr>
              <w:pStyle w:val="TableText0"/>
              <w:jc w:val="center"/>
            </w:pPr>
          </w:p>
        </w:tc>
        <w:tc>
          <w:tcPr>
            <w:tcW w:w="1397" w:type="dxa"/>
            <w:tcBorders>
              <w:top w:val="single" w:sz="4" w:space="0" w:color="auto"/>
            </w:tcBorders>
          </w:tcPr>
          <w:p w:rsidR="000D7630" w:rsidRPr="00537C3C" w:rsidRDefault="000D7630" w:rsidP="008E03A7">
            <w:pPr>
              <w:pStyle w:val="TableText0"/>
              <w:jc w:val="center"/>
            </w:pPr>
          </w:p>
        </w:tc>
        <w:tc>
          <w:tcPr>
            <w:tcW w:w="967" w:type="dxa"/>
            <w:tcBorders>
              <w:top w:val="single" w:sz="4" w:space="0" w:color="auto"/>
            </w:tcBorders>
          </w:tcPr>
          <w:p w:rsidR="000D7630" w:rsidRPr="00537C3C" w:rsidRDefault="000D7630" w:rsidP="008E03A7">
            <w:pPr>
              <w:pStyle w:val="TableText0"/>
              <w:jc w:val="center"/>
            </w:pPr>
          </w:p>
        </w:tc>
        <w:tc>
          <w:tcPr>
            <w:tcW w:w="1747" w:type="dxa"/>
            <w:tcBorders>
              <w:top w:val="single" w:sz="4" w:space="0" w:color="auto"/>
            </w:tcBorders>
          </w:tcPr>
          <w:p w:rsidR="000D7630" w:rsidRPr="00537C3C" w:rsidRDefault="000D7630" w:rsidP="008E03A7">
            <w:pPr>
              <w:pStyle w:val="TableText0"/>
              <w:jc w:val="center"/>
            </w:pPr>
          </w:p>
        </w:tc>
      </w:tr>
      <w:tr w:rsidR="000D7630" w:rsidRPr="00537C3C">
        <w:tc>
          <w:tcPr>
            <w:tcW w:w="2477" w:type="dxa"/>
          </w:tcPr>
          <w:p w:rsidR="000D7630" w:rsidRPr="00537C3C" w:rsidRDefault="000D7630" w:rsidP="008E03A7">
            <w:pPr>
              <w:pStyle w:val="TableText0"/>
              <w:ind w:left="460"/>
            </w:pPr>
            <w:r w:rsidRPr="00537C3C">
              <w:t xml:space="preserve">Automated </w:t>
            </w:r>
            <w:r w:rsidRPr="00BB76D8">
              <w:t>LBC</w:t>
            </w:r>
          </w:p>
        </w:tc>
        <w:tc>
          <w:tcPr>
            <w:tcW w:w="867" w:type="dxa"/>
          </w:tcPr>
          <w:p w:rsidR="000D7630" w:rsidRPr="00537C3C" w:rsidRDefault="000D7630" w:rsidP="008E03A7">
            <w:pPr>
              <w:pStyle w:val="TableText0"/>
              <w:jc w:val="center"/>
            </w:pPr>
            <w:r w:rsidRPr="00537C3C">
              <w:t>566</w:t>
            </w:r>
          </w:p>
        </w:tc>
        <w:tc>
          <w:tcPr>
            <w:tcW w:w="1397" w:type="dxa"/>
          </w:tcPr>
          <w:p w:rsidR="000D7630" w:rsidRPr="00537C3C" w:rsidRDefault="000D7630" w:rsidP="008E03A7">
            <w:pPr>
              <w:pStyle w:val="TableText0"/>
              <w:jc w:val="center"/>
            </w:pPr>
            <w:r w:rsidRPr="00537C3C">
              <w:t>159</w:t>
            </w:r>
          </w:p>
        </w:tc>
        <w:tc>
          <w:tcPr>
            <w:tcW w:w="967" w:type="dxa"/>
          </w:tcPr>
          <w:p w:rsidR="000D7630" w:rsidRPr="00537C3C" w:rsidRDefault="000D7630" w:rsidP="008E03A7">
            <w:pPr>
              <w:pStyle w:val="TableText0"/>
              <w:jc w:val="center"/>
            </w:pPr>
            <w:r w:rsidRPr="00537C3C">
              <w:t>76</w:t>
            </w:r>
          </w:p>
        </w:tc>
        <w:tc>
          <w:tcPr>
            <w:tcW w:w="1747" w:type="dxa"/>
          </w:tcPr>
          <w:p w:rsidR="000D7630" w:rsidRPr="00537C3C" w:rsidRDefault="000D7630" w:rsidP="008E03A7">
            <w:pPr>
              <w:pStyle w:val="TableText0"/>
              <w:jc w:val="center"/>
            </w:pPr>
            <w:r w:rsidRPr="00537C3C">
              <w:t>26</w:t>
            </w:r>
          </w:p>
        </w:tc>
      </w:tr>
      <w:tr w:rsidR="000D7630" w:rsidRPr="00537C3C">
        <w:tc>
          <w:tcPr>
            <w:tcW w:w="2477" w:type="dxa"/>
          </w:tcPr>
          <w:p w:rsidR="000D7630" w:rsidRPr="00537C3C" w:rsidRDefault="000D7630" w:rsidP="008E03A7">
            <w:pPr>
              <w:pStyle w:val="TableText0"/>
              <w:ind w:left="460"/>
            </w:pPr>
            <w:r w:rsidRPr="00537C3C">
              <w:t xml:space="preserve">Manual </w:t>
            </w:r>
            <w:r w:rsidRPr="00BB76D8">
              <w:t>LBC</w:t>
            </w:r>
          </w:p>
        </w:tc>
        <w:tc>
          <w:tcPr>
            <w:tcW w:w="867" w:type="dxa"/>
          </w:tcPr>
          <w:p w:rsidR="000D7630" w:rsidRPr="00537C3C" w:rsidRDefault="000D7630" w:rsidP="008E03A7">
            <w:pPr>
              <w:pStyle w:val="TableText0"/>
              <w:jc w:val="center"/>
            </w:pPr>
            <w:r w:rsidRPr="00537C3C">
              <w:t>990</w:t>
            </w:r>
          </w:p>
        </w:tc>
        <w:tc>
          <w:tcPr>
            <w:tcW w:w="1397" w:type="dxa"/>
          </w:tcPr>
          <w:p w:rsidR="000D7630" w:rsidRPr="00537C3C" w:rsidRDefault="000D7630" w:rsidP="008E03A7">
            <w:pPr>
              <w:pStyle w:val="TableText0"/>
              <w:jc w:val="center"/>
            </w:pPr>
            <w:r w:rsidRPr="00537C3C">
              <w:t>295</w:t>
            </w:r>
          </w:p>
        </w:tc>
        <w:tc>
          <w:tcPr>
            <w:tcW w:w="967" w:type="dxa"/>
          </w:tcPr>
          <w:p w:rsidR="000D7630" w:rsidRPr="00537C3C" w:rsidRDefault="000D7630" w:rsidP="008E03A7">
            <w:pPr>
              <w:pStyle w:val="TableText0"/>
              <w:jc w:val="center"/>
            </w:pPr>
            <w:r w:rsidRPr="00537C3C">
              <w:t>142</w:t>
            </w:r>
          </w:p>
        </w:tc>
        <w:tc>
          <w:tcPr>
            <w:tcW w:w="1747" w:type="dxa"/>
          </w:tcPr>
          <w:p w:rsidR="000D7630" w:rsidRPr="00537C3C" w:rsidRDefault="000D7630" w:rsidP="008E03A7">
            <w:pPr>
              <w:pStyle w:val="TableText0"/>
              <w:jc w:val="center"/>
            </w:pPr>
            <w:r w:rsidRPr="00537C3C">
              <w:t>32</w:t>
            </w:r>
          </w:p>
        </w:tc>
      </w:tr>
      <w:tr w:rsidR="000D7630" w:rsidRPr="00537C3C">
        <w:tc>
          <w:tcPr>
            <w:tcW w:w="2477" w:type="dxa"/>
          </w:tcPr>
          <w:p w:rsidR="000D7630" w:rsidRPr="00537C3C" w:rsidRDefault="000D7630" w:rsidP="008E03A7">
            <w:pPr>
              <w:pStyle w:val="TableText0"/>
              <w:rPr>
                <w:b/>
              </w:rPr>
            </w:pPr>
            <w:r w:rsidRPr="00537C3C">
              <w:rPr>
                <w:b/>
              </w:rPr>
              <w:t>—cancer death</w:t>
            </w:r>
          </w:p>
        </w:tc>
        <w:tc>
          <w:tcPr>
            <w:tcW w:w="867" w:type="dxa"/>
          </w:tcPr>
          <w:p w:rsidR="000D7630" w:rsidRPr="00537C3C" w:rsidRDefault="000D7630" w:rsidP="008E03A7">
            <w:pPr>
              <w:pStyle w:val="TableText0"/>
              <w:jc w:val="center"/>
            </w:pPr>
          </w:p>
        </w:tc>
        <w:tc>
          <w:tcPr>
            <w:tcW w:w="1397" w:type="dxa"/>
          </w:tcPr>
          <w:p w:rsidR="000D7630" w:rsidRPr="00537C3C" w:rsidRDefault="000D7630" w:rsidP="008E03A7">
            <w:pPr>
              <w:pStyle w:val="TableText0"/>
              <w:jc w:val="center"/>
            </w:pPr>
          </w:p>
        </w:tc>
        <w:tc>
          <w:tcPr>
            <w:tcW w:w="967" w:type="dxa"/>
          </w:tcPr>
          <w:p w:rsidR="000D7630" w:rsidRPr="00537C3C" w:rsidRDefault="000D7630" w:rsidP="008E03A7">
            <w:pPr>
              <w:pStyle w:val="TableText0"/>
              <w:jc w:val="center"/>
            </w:pPr>
          </w:p>
        </w:tc>
        <w:tc>
          <w:tcPr>
            <w:tcW w:w="1747" w:type="dxa"/>
          </w:tcPr>
          <w:p w:rsidR="000D7630" w:rsidRPr="00537C3C" w:rsidRDefault="000D7630" w:rsidP="008E03A7">
            <w:pPr>
              <w:pStyle w:val="TableText0"/>
              <w:jc w:val="center"/>
            </w:pPr>
          </w:p>
        </w:tc>
      </w:tr>
      <w:tr w:rsidR="000D7630" w:rsidRPr="00537C3C">
        <w:tc>
          <w:tcPr>
            <w:tcW w:w="2477" w:type="dxa"/>
          </w:tcPr>
          <w:p w:rsidR="000D7630" w:rsidRPr="00537C3C" w:rsidRDefault="000D7630" w:rsidP="008E03A7">
            <w:pPr>
              <w:pStyle w:val="TableText0"/>
              <w:ind w:left="460"/>
            </w:pPr>
            <w:r w:rsidRPr="00537C3C">
              <w:t xml:space="preserve">Automated </w:t>
            </w:r>
            <w:r w:rsidRPr="00BB76D8">
              <w:t>LBC</w:t>
            </w:r>
          </w:p>
        </w:tc>
        <w:tc>
          <w:tcPr>
            <w:tcW w:w="867" w:type="dxa"/>
          </w:tcPr>
          <w:p w:rsidR="000D7630" w:rsidRPr="00537C3C" w:rsidRDefault="000D7630" w:rsidP="008E03A7">
            <w:pPr>
              <w:pStyle w:val="TableText0"/>
              <w:jc w:val="center"/>
            </w:pPr>
            <w:r w:rsidRPr="00537C3C">
              <w:t>1982</w:t>
            </w:r>
          </w:p>
        </w:tc>
        <w:tc>
          <w:tcPr>
            <w:tcW w:w="1397" w:type="dxa"/>
          </w:tcPr>
          <w:p w:rsidR="000D7630" w:rsidRPr="00537C3C" w:rsidRDefault="000D7630" w:rsidP="008E03A7">
            <w:pPr>
              <w:pStyle w:val="TableText0"/>
              <w:jc w:val="center"/>
            </w:pPr>
            <w:r w:rsidRPr="00537C3C">
              <w:t>558</w:t>
            </w:r>
          </w:p>
        </w:tc>
        <w:tc>
          <w:tcPr>
            <w:tcW w:w="967" w:type="dxa"/>
          </w:tcPr>
          <w:p w:rsidR="000D7630" w:rsidRPr="00537C3C" w:rsidRDefault="000D7630" w:rsidP="008E03A7">
            <w:pPr>
              <w:pStyle w:val="TableText0"/>
              <w:jc w:val="center"/>
            </w:pPr>
            <w:r w:rsidRPr="00537C3C">
              <w:t>266</w:t>
            </w:r>
          </w:p>
        </w:tc>
        <w:tc>
          <w:tcPr>
            <w:tcW w:w="1747" w:type="dxa"/>
          </w:tcPr>
          <w:p w:rsidR="000D7630" w:rsidRPr="00537C3C" w:rsidRDefault="000D7630" w:rsidP="008E03A7">
            <w:pPr>
              <w:pStyle w:val="TableText0"/>
              <w:jc w:val="center"/>
            </w:pPr>
            <w:r w:rsidRPr="00537C3C">
              <w:t>91</w:t>
            </w:r>
          </w:p>
        </w:tc>
      </w:tr>
      <w:tr w:rsidR="000D7630" w:rsidRPr="00537C3C">
        <w:tc>
          <w:tcPr>
            <w:tcW w:w="2477" w:type="dxa"/>
            <w:tcBorders>
              <w:bottom w:val="single" w:sz="4" w:space="0" w:color="auto"/>
            </w:tcBorders>
          </w:tcPr>
          <w:p w:rsidR="000D7630" w:rsidRPr="00537C3C" w:rsidRDefault="000D7630" w:rsidP="008E03A7">
            <w:pPr>
              <w:pStyle w:val="TableText0"/>
              <w:ind w:left="460"/>
            </w:pPr>
            <w:r w:rsidRPr="00537C3C">
              <w:t xml:space="preserve">Manual </w:t>
            </w:r>
            <w:r w:rsidRPr="00BB76D8">
              <w:t>LBC</w:t>
            </w:r>
          </w:p>
        </w:tc>
        <w:tc>
          <w:tcPr>
            <w:tcW w:w="867" w:type="dxa"/>
            <w:tcBorders>
              <w:bottom w:val="single" w:sz="4" w:space="0" w:color="auto"/>
            </w:tcBorders>
          </w:tcPr>
          <w:p w:rsidR="000D7630" w:rsidRPr="00537C3C" w:rsidRDefault="000D7630" w:rsidP="008E03A7">
            <w:pPr>
              <w:pStyle w:val="TableText0"/>
              <w:jc w:val="center"/>
            </w:pPr>
            <w:r w:rsidRPr="00537C3C">
              <w:t>3534</w:t>
            </w:r>
          </w:p>
        </w:tc>
        <w:tc>
          <w:tcPr>
            <w:tcW w:w="1397" w:type="dxa"/>
            <w:tcBorders>
              <w:bottom w:val="single" w:sz="4" w:space="0" w:color="auto"/>
            </w:tcBorders>
          </w:tcPr>
          <w:p w:rsidR="000D7630" w:rsidRPr="00537C3C" w:rsidRDefault="000D7630" w:rsidP="008E03A7">
            <w:pPr>
              <w:pStyle w:val="TableText0"/>
              <w:jc w:val="center"/>
            </w:pPr>
            <w:r w:rsidRPr="00537C3C">
              <w:t>1051</w:t>
            </w:r>
          </w:p>
        </w:tc>
        <w:tc>
          <w:tcPr>
            <w:tcW w:w="967" w:type="dxa"/>
            <w:tcBorders>
              <w:bottom w:val="single" w:sz="4" w:space="0" w:color="auto"/>
            </w:tcBorders>
          </w:tcPr>
          <w:p w:rsidR="000D7630" w:rsidRPr="00537C3C" w:rsidRDefault="000D7630" w:rsidP="008E03A7">
            <w:pPr>
              <w:pStyle w:val="TableText0"/>
              <w:jc w:val="center"/>
            </w:pPr>
            <w:r w:rsidRPr="00537C3C">
              <w:t>508</w:t>
            </w:r>
          </w:p>
        </w:tc>
        <w:tc>
          <w:tcPr>
            <w:tcW w:w="1747" w:type="dxa"/>
            <w:tcBorders>
              <w:bottom w:val="single" w:sz="4" w:space="0" w:color="auto"/>
            </w:tcBorders>
          </w:tcPr>
          <w:p w:rsidR="000D7630" w:rsidRPr="00537C3C" w:rsidRDefault="000D7630" w:rsidP="008E03A7">
            <w:pPr>
              <w:pStyle w:val="TableText0"/>
              <w:jc w:val="center"/>
            </w:pPr>
            <w:r w:rsidRPr="00537C3C">
              <w:t>114</w:t>
            </w:r>
          </w:p>
        </w:tc>
      </w:tr>
    </w:tbl>
    <w:p w:rsidR="00234376" w:rsidRPr="00537C3C" w:rsidRDefault="00234376" w:rsidP="008E03A7"/>
    <w:p w:rsidR="00234376" w:rsidRPr="00537C3C" w:rsidRDefault="00234376" w:rsidP="008E03A7">
      <w:r w:rsidRPr="00537C3C">
        <w:t xml:space="preserve">It should be emphasised that these modelled outcomes are based on the most favourable assumptions for the new test characteristics, and in particular a higher than expected sensitivity for detecting high-grade lesions by automated </w:t>
      </w:r>
      <w:r w:rsidRPr="00BB76D8">
        <w:t>LBC</w:t>
      </w:r>
      <w:r w:rsidRPr="00537C3C">
        <w:t xml:space="preserve">. Thus, for automated </w:t>
      </w:r>
      <w:r w:rsidRPr="00BB76D8">
        <w:t>LBC</w:t>
      </w:r>
      <w:r w:rsidRPr="00537C3C">
        <w:t>, the impact on cancer incidence and deaths may be overestimated.</w:t>
      </w:r>
    </w:p>
    <w:p w:rsidR="00234376" w:rsidRPr="00537C3C" w:rsidRDefault="00234376" w:rsidP="008E03A7">
      <w:r w:rsidRPr="00537C3C">
        <w:t xml:space="preserve">The modelled analysis also predicts that if automated </w:t>
      </w:r>
      <w:r w:rsidRPr="00BB76D8">
        <w:t>LBC</w:t>
      </w:r>
      <w:r w:rsidRPr="00537C3C">
        <w:t xml:space="preserve"> were to be assessed in the context of the screening program already using manually read </w:t>
      </w:r>
      <w:r w:rsidRPr="00BB76D8">
        <w:t>LBC</w:t>
      </w:r>
      <w:r w:rsidRPr="00537C3C">
        <w:t xml:space="preserve"> at the lower reimbursement level ($2.40 incremental cost), then the further addition of automated reading would be associated with an additional $226 100 per </w:t>
      </w:r>
      <w:r w:rsidRPr="00537C3C">
        <w:rPr>
          <w:color w:val="000000"/>
        </w:rPr>
        <w:t>LYS</w:t>
      </w:r>
      <w:r w:rsidRPr="00537C3C">
        <w:t xml:space="preserve"> (</w:t>
      </w:r>
      <w:r>
        <w:fldChar w:fldCharType="begin"/>
      </w:r>
      <w:r>
        <w:instrText xml:space="preserve"> REF _Ref213640796 \h  \* MERGEFORMAT </w:instrText>
      </w:r>
      <w:r>
        <w:fldChar w:fldCharType="separate"/>
      </w:r>
      <w:r w:rsidR="007D3DFF" w:rsidRPr="00AC39E0">
        <w:t xml:space="preserve">Table </w:t>
      </w:r>
      <w:r w:rsidR="007D3DFF">
        <w:rPr>
          <w:noProof/>
        </w:rPr>
        <w:t>52</w:t>
      </w:r>
      <w:r>
        <w:fldChar w:fldCharType="end"/>
      </w:r>
      <w:r w:rsidRPr="00537C3C">
        <w:t xml:space="preserve">). This decrease in the cost-effectiveness of automated </w:t>
      </w:r>
      <w:r w:rsidRPr="00BB76D8">
        <w:t>LBC</w:t>
      </w:r>
      <w:r w:rsidRPr="00537C3C">
        <w:t xml:space="preserve"> when considered in relation to manually read </w:t>
      </w:r>
      <w:r w:rsidRPr="00BB76D8">
        <w:t>LBC</w:t>
      </w:r>
      <w:r w:rsidRPr="00537C3C">
        <w:t xml:space="preserve"> rather than in relation to current practice results from the fact that some of the benefits associated with automated </w:t>
      </w:r>
      <w:r w:rsidRPr="00BB76D8">
        <w:t>LBC</w:t>
      </w:r>
      <w:r w:rsidRPr="00537C3C">
        <w:t xml:space="preserve"> (such as a reduction in unsatisfactory smears) would already have been realised by the adoption of manual </w:t>
      </w:r>
      <w:r w:rsidRPr="00BB76D8">
        <w:t>LBC</w:t>
      </w:r>
      <w:r w:rsidRPr="00537C3C">
        <w:t xml:space="preserve">. In the analysis, automated </w:t>
      </w:r>
      <w:r w:rsidRPr="00BB76D8">
        <w:t>LBC</w:t>
      </w:r>
      <w:r w:rsidRPr="00537C3C">
        <w:t xml:space="preserve"> reading was assumed to be more accurate than manual </w:t>
      </w:r>
      <w:r w:rsidRPr="00BB76D8">
        <w:t>LBC</w:t>
      </w:r>
      <w:r w:rsidRPr="00537C3C">
        <w:t xml:space="preserve"> (both more sensitive and more specific), but in the cost-effectiveness assessment the improved test accuracy was calculated in relation to the increase in cost associated with automated </w:t>
      </w:r>
      <w:r w:rsidRPr="00BB76D8">
        <w:t>LBC</w:t>
      </w:r>
      <w:r w:rsidRPr="00537C3C">
        <w:t xml:space="preserve"> ($36, compared with $22 for the lowest cost associated with manual </w:t>
      </w:r>
      <w:r w:rsidRPr="00BB76D8">
        <w:lastRenderedPageBreak/>
        <w:t>LBC</w:t>
      </w:r>
      <w:r w:rsidRPr="00537C3C">
        <w:t xml:space="preserve">). Manual </w:t>
      </w:r>
      <w:r w:rsidRPr="00BB76D8">
        <w:t>LBC</w:t>
      </w:r>
      <w:r w:rsidRPr="00537C3C">
        <w:t xml:space="preserve"> at $10.90 incremental cost is less cost-effective than automated </w:t>
      </w:r>
      <w:r w:rsidRPr="00BB76D8">
        <w:t>LBC</w:t>
      </w:r>
      <w:r w:rsidRPr="00537C3C">
        <w:t xml:space="preserve"> using ThinPrep Imager, and it is always less cost-effective than manual </w:t>
      </w:r>
      <w:r w:rsidRPr="00BB76D8">
        <w:t>LBC</w:t>
      </w:r>
      <w:r w:rsidRPr="00537C3C">
        <w:t xml:space="preserve"> at a $2.40 incremental cost, as it is assumed to have the same test accuracy but a higher cost.</w:t>
      </w:r>
    </w:p>
    <w:p w:rsidR="00234376" w:rsidRPr="00AC39E0" w:rsidRDefault="00234376" w:rsidP="008E03A7">
      <w:r w:rsidRPr="00537C3C">
        <w:t xml:space="preserve">Although we found cost-effectiveness ratios in terms of cost per </w:t>
      </w:r>
      <w:smartTag w:uri="urn:schemas-microsoft-com:office:smarttags" w:element="place">
        <w:r w:rsidRPr="00537C3C">
          <w:rPr>
            <w:color w:val="000000"/>
          </w:rPr>
          <w:t>LYS</w:t>
        </w:r>
      </w:smartTag>
      <w:r w:rsidRPr="00537C3C">
        <w:t xml:space="preserve"> due to prevention of cervical cancer to be unfavourably high for both manual and automated reading of </w:t>
      </w:r>
      <w:r w:rsidRPr="00BB76D8">
        <w:t>LBC</w:t>
      </w:r>
      <w:r w:rsidRPr="00537C3C">
        <w:t xml:space="preserve">, liquid-based sampling has </w:t>
      </w:r>
      <w:r w:rsidRPr="00AC39E0">
        <w:t xml:space="preserve">other benefits which were not taken into account in the modelled analysis. These include the capacity to perform reflex testing for HPV, </w:t>
      </w:r>
      <w:r w:rsidRPr="00AC39E0">
        <w:rPr>
          <w:i/>
        </w:rPr>
        <w:t xml:space="preserve">Chlamydia trachomatis </w:t>
      </w:r>
      <w:r w:rsidRPr="00AC39E0">
        <w:t>or</w:t>
      </w:r>
      <w:r w:rsidRPr="00AC39E0">
        <w:rPr>
          <w:i/>
        </w:rPr>
        <w:t xml:space="preserve"> Neisseria gonorrhoeae</w:t>
      </w:r>
      <w:r w:rsidRPr="00AC39E0">
        <w:t xml:space="preserve"> from the same sample (see ‘</w:t>
      </w:r>
      <w:r w:rsidRPr="00AC39E0">
        <w:fldChar w:fldCharType="begin"/>
      </w:r>
      <w:r w:rsidRPr="00AC39E0">
        <w:instrText xml:space="preserve"> REF _Ref216085681 \h  \* MERGEFORMAT </w:instrText>
      </w:r>
      <w:r w:rsidRPr="00AC39E0">
        <w:fldChar w:fldCharType="separate"/>
      </w:r>
      <w:r w:rsidR="007D3DFF" w:rsidRPr="00537C3C">
        <w:rPr>
          <w:bCs/>
        </w:rPr>
        <w:t>Other relevant considerations</w:t>
      </w:r>
      <w:r w:rsidRPr="00AC39E0">
        <w:fldChar w:fldCharType="end"/>
      </w:r>
      <w:r w:rsidRPr="00AC39E0">
        <w:t xml:space="preserve">’, page </w:t>
      </w:r>
      <w:r w:rsidRPr="00AC39E0">
        <w:fldChar w:fldCharType="begin"/>
      </w:r>
      <w:r w:rsidRPr="00AC39E0">
        <w:instrText xml:space="preserve"> PAGEREF _Ref216085681 \h </w:instrText>
      </w:r>
      <w:r w:rsidRPr="00AC39E0">
        <w:fldChar w:fldCharType="separate"/>
      </w:r>
      <w:r w:rsidR="007D3DFF">
        <w:rPr>
          <w:noProof/>
        </w:rPr>
        <w:t>99</w:t>
      </w:r>
      <w:r w:rsidRPr="00AC39E0">
        <w:fldChar w:fldCharType="end"/>
      </w:r>
      <w:r w:rsidRPr="00AC39E0">
        <w:t>).</w:t>
      </w:r>
    </w:p>
    <w:p w:rsidR="00234376" w:rsidRPr="00AC39E0" w:rsidRDefault="00234376" w:rsidP="008E03A7">
      <w:pPr>
        <w:pStyle w:val="Heading5"/>
      </w:pPr>
      <w:r w:rsidRPr="00AC39E0">
        <w:t>Sensitivity analysis</w:t>
      </w:r>
    </w:p>
    <w:p w:rsidR="007D3DFF" w:rsidRDefault="00234376" w:rsidP="00234376">
      <w:r w:rsidRPr="00AC39E0">
        <w:t xml:space="preserve">Sensitivity analyses were performed to determine how robust the conclusions of the analysis were to various model assumptions. </w:t>
      </w:r>
      <w:r w:rsidRPr="00AC39E0">
        <w:fldChar w:fldCharType="begin"/>
      </w:r>
      <w:r w:rsidRPr="00AC39E0">
        <w:instrText xml:space="preserve"> REF _Ref208717835 \h  \* MERGEFORMAT </w:instrText>
      </w:r>
      <w:r w:rsidRPr="00AC39E0">
        <w:fldChar w:fldCharType="separate"/>
      </w:r>
      <w:r w:rsidR="007D3DFF" w:rsidRPr="00537C3C">
        <w:t xml:space="preserve">In </w:t>
      </w:r>
      <w:r w:rsidR="007D3DFF" w:rsidRPr="00537C3C">
        <w:rPr>
          <w:noProof/>
        </w:rPr>
        <w:t>this</w:t>
      </w:r>
      <w:r w:rsidR="007D3DFF" w:rsidRPr="00537C3C">
        <w:t xml:space="preserve"> analysis, the ICERs were most sensitive to assumptions concerning the cost of the new technology, the discount rate, the test characteristics, the recommended screening interval, and the likelihood that </w:t>
      </w:r>
      <w:r w:rsidR="007D3DFF" w:rsidRPr="00BB76D8">
        <w:t>CIN</w:t>
      </w:r>
      <w:r w:rsidR="007D3DFF" w:rsidRPr="00537C3C">
        <w:t xml:space="preserve"> 3 lesions will progress to cancer. The analysis found that assuming a more rapid progression from </w:t>
      </w:r>
      <w:r w:rsidR="007D3DFF" w:rsidRPr="00BB76D8">
        <w:t>CIN</w:t>
      </w:r>
      <w:r w:rsidR="007D3DFF" w:rsidRPr="00537C3C">
        <w:t xml:space="preserve"> 3 to cancer will tend to improve cost-effectiveness of more sensitive technologies. For similar reasons, a model which did not assume that some </w:t>
      </w:r>
      <w:r w:rsidR="007D3DFF" w:rsidRPr="00BB76D8">
        <w:t>CIN</w:t>
      </w:r>
      <w:r w:rsidR="007D3DFF" w:rsidRPr="00537C3C">
        <w:t xml:space="preserve"> 3 lesions regressed (which is not the case in the current analysis) would favour a more sensitive test. However, such an assumption would not be supported by the evidence.</w:t>
      </w:r>
    </w:p>
    <w:p w:rsidR="007D3DFF" w:rsidRPr="00537C3C" w:rsidRDefault="007D3DFF" w:rsidP="008E03A7">
      <w:r w:rsidRPr="00537C3C">
        <w:t xml:space="preserve">We also investigated the effect of varying the model assumptions of post-treatment natural history and the use of </w:t>
      </w:r>
      <w:r w:rsidRPr="00BB76D8">
        <w:t>HPV</w:t>
      </w:r>
      <w:r w:rsidRPr="00537C3C">
        <w:t xml:space="preserve"> as a test of cure. These were found to have a minimal impact on the calculated cost-effectiveness ratios of the new technologies (&lt;2%).</w:t>
      </w:r>
    </w:p>
    <w:p w:rsidR="00234376" w:rsidRPr="00537C3C" w:rsidRDefault="007D3DFF" w:rsidP="008E03A7">
      <w:r w:rsidRPr="00AC39E0">
        <w:t xml:space="preserve">Table </w:t>
      </w:r>
      <w:r>
        <w:rPr>
          <w:noProof/>
        </w:rPr>
        <w:t>56</w:t>
      </w:r>
      <w:r w:rsidR="00234376" w:rsidRPr="00AC39E0">
        <w:fldChar w:fldCharType="end"/>
      </w:r>
      <w:r w:rsidR="00234376" w:rsidRPr="00537C3C">
        <w:t xml:space="preserve"> summarises the range over which model parameters were varied for sensitivity analysis. For more information on the sources used for baseline values and ranges, see ‘</w:t>
      </w:r>
      <w:r w:rsidR="00234376" w:rsidRPr="00234376">
        <w:fldChar w:fldCharType="begin"/>
      </w:r>
      <w:r w:rsidR="00234376" w:rsidRPr="00234376">
        <w:instrText xml:space="preserve"> REF _Ref215911709 </w:instrText>
      </w:r>
      <w:r w:rsidR="00234376">
        <w:instrText>\</w:instrText>
      </w:r>
      <w:r w:rsidR="00234376" w:rsidRPr="00234376">
        <w:instrText xml:space="preserve">h  </w:instrText>
      </w:r>
      <w:r w:rsidR="00234376">
        <w:instrText>\</w:instrText>
      </w:r>
      <w:r w:rsidR="00234376" w:rsidRPr="00234376">
        <w:instrText xml:space="preserve">* MERGEFORMAT </w:instrText>
      </w:r>
      <w:r w:rsidR="00234376" w:rsidRPr="00234376">
        <w:fldChar w:fldCharType="separate"/>
      </w:r>
      <w:r w:rsidRPr="00537C3C">
        <w:t>Summary of data sources for the baseline evaluation model</w:t>
      </w:r>
      <w:r w:rsidR="00234376" w:rsidRPr="00234376">
        <w:fldChar w:fldCharType="end"/>
      </w:r>
      <w:r w:rsidR="00234376" w:rsidRPr="00537C3C">
        <w:t xml:space="preserve">’, page </w:t>
      </w:r>
      <w:r w:rsidR="00234376" w:rsidRPr="00537C3C">
        <w:fldChar w:fldCharType="begin"/>
      </w:r>
      <w:r w:rsidR="00234376" w:rsidRPr="00537C3C">
        <w:instrText xml:space="preserve"> PAGEREF _Ref215911709 \h </w:instrText>
      </w:r>
      <w:r w:rsidR="00234376" w:rsidRPr="00537C3C">
        <w:fldChar w:fldCharType="separate"/>
      </w:r>
      <w:r>
        <w:rPr>
          <w:noProof/>
        </w:rPr>
        <w:t>67</w:t>
      </w:r>
      <w:r w:rsidR="00234376" w:rsidRPr="00537C3C">
        <w:fldChar w:fldCharType="end"/>
      </w:r>
      <w:r w:rsidR="00234376" w:rsidRPr="00537C3C">
        <w:t xml:space="preserve">. The results of the sensitivity analysis are summarised in </w:t>
      </w:r>
      <w:r w:rsidR="00234376">
        <w:fldChar w:fldCharType="begin"/>
      </w:r>
      <w:r w:rsidR="00234376">
        <w:instrText xml:space="preserve"> REF _Ref213048004 \h  \* MERGEFORMAT </w:instrText>
      </w:r>
      <w:r w:rsidR="00234376">
        <w:fldChar w:fldCharType="separate"/>
      </w:r>
      <w:r w:rsidRPr="00537C3C">
        <w:t xml:space="preserve">Figure </w:t>
      </w:r>
      <w:r>
        <w:rPr>
          <w:noProof/>
        </w:rPr>
        <w:t>13</w:t>
      </w:r>
      <w:r w:rsidR="00234376">
        <w:fldChar w:fldCharType="end"/>
      </w:r>
      <w:r w:rsidR="00234376" w:rsidRPr="00537C3C">
        <w:t xml:space="preserve"> and </w:t>
      </w:r>
      <w:r w:rsidR="00234376">
        <w:fldChar w:fldCharType="begin"/>
      </w:r>
      <w:r w:rsidR="00234376">
        <w:instrText xml:space="preserve"> REF _Ref213048007 \h  \* MERGEFORMAT </w:instrText>
      </w:r>
      <w:r w:rsidR="00234376">
        <w:fldChar w:fldCharType="separate"/>
      </w:r>
      <w:r w:rsidRPr="00537C3C">
        <w:t xml:space="preserve">Figure </w:t>
      </w:r>
      <w:r>
        <w:rPr>
          <w:noProof/>
        </w:rPr>
        <w:t>14</w:t>
      </w:r>
      <w:r w:rsidR="00234376">
        <w:fldChar w:fldCharType="end"/>
      </w:r>
      <w:r w:rsidR="00234376" w:rsidRPr="00537C3C">
        <w:t>.</w:t>
      </w:r>
    </w:p>
    <w:p w:rsidR="00234376" w:rsidRDefault="00234376" w:rsidP="00234376">
      <w:bookmarkStart w:id="741" w:name="_Ref208717835"/>
      <w:bookmarkStart w:id="742" w:name="_Toc208728049"/>
      <w:r w:rsidRPr="00537C3C">
        <w:t xml:space="preserve">In this analysis, the ICERs were most sensitive to assumptions concerning the cost of the new technology, the discount rate, the test characteristics, the recommended screening interval, and the likelihood that </w:t>
      </w:r>
      <w:r w:rsidRPr="00BB76D8">
        <w:t>CIN</w:t>
      </w:r>
      <w:r w:rsidRPr="00537C3C">
        <w:t xml:space="preserve"> 3 lesions will progress to cancer. The analysis found that assuming a more rapid progression from </w:t>
      </w:r>
      <w:r w:rsidRPr="00BB76D8">
        <w:t>CIN</w:t>
      </w:r>
      <w:r w:rsidRPr="00537C3C">
        <w:t xml:space="preserve"> 3 to cancer will tend to improve cost-effectiveness of more sensitive technologies. For similar reasons, a model which did not assume that some </w:t>
      </w:r>
      <w:r w:rsidRPr="00BB76D8">
        <w:t>CIN</w:t>
      </w:r>
      <w:r w:rsidRPr="00537C3C">
        <w:t xml:space="preserve"> 3 lesions regressed (which is not the case in the current analysis) would favour a more sensitive test. However, such an assumption would not be supported by the evidence.</w:t>
      </w:r>
    </w:p>
    <w:p w:rsidR="00234376" w:rsidRPr="00537C3C" w:rsidRDefault="00234376" w:rsidP="008E03A7">
      <w:r w:rsidRPr="00537C3C">
        <w:t xml:space="preserve">We also investigated the effect of varying the model assumptions of post-treatment natural history and the use of </w:t>
      </w:r>
      <w:r w:rsidRPr="00BB76D8">
        <w:t>HPV</w:t>
      </w:r>
      <w:r w:rsidRPr="00537C3C">
        <w:t xml:space="preserve"> as a test of cure. These were found to have a minimal impact on the calculated cost-effectiveness ratios of the new technologies (&lt;2%).</w:t>
      </w:r>
    </w:p>
    <w:p w:rsidR="00234376" w:rsidRPr="00AC39E0" w:rsidRDefault="00234376" w:rsidP="008E03A7">
      <w:pPr>
        <w:pStyle w:val="Caption"/>
      </w:pPr>
      <w:bookmarkStart w:id="743" w:name="_Toc95971292"/>
      <w:r w:rsidRPr="00AC39E0">
        <w:lastRenderedPageBreak/>
        <w:t xml:space="preserve">Table </w:t>
      </w:r>
      <w:fldSimple w:instr=" SEQ Table \* ARABIC ">
        <w:r w:rsidR="007D3DFF">
          <w:rPr>
            <w:noProof/>
          </w:rPr>
          <w:t>56</w:t>
        </w:r>
      </w:fldSimple>
      <w:bookmarkEnd w:id="741"/>
      <w:r w:rsidRPr="00AC39E0">
        <w:tab/>
        <w:t>Summary of range of parameter values used for sensitivity analysis</w:t>
      </w:r>
      <w:bookmarkEnd w:id="742"/>
      <w:r w:rsidRPr="00AC39E0">
        <w:t>.</w:t>
      </w:r>
      <w:bookmarkEnd w:id="743"/>
    </w:p>
    <w:tbl>
      <w:tblPr>
        <w:tblW w:w="9355" w:type="dxa"/>
        <w:tblLook w:val="01E0" w:firstRow="1" w:lastRow="1" w:firstColumn="1" w:lastColumn="1" w:noHBand="0" w:noVBand="0"/>
      </w:tblPr>
      <w:tblGrid>
        <w:gridCol w:w="1645"/>
        <w:gridCol w:w="2607"/>
        <w:gridCol w:w="1923"/>
        <w:gridCol w:w="3180"/>
      </w:tblGrid>
      <w:tr w:rsidR="00234376" w:rsidRPr="00AC39E0">
        <w:tc>
          <w:tcPr>
            <w:tcW w:w="1645" w:type="dxa"/>
            <w:tcBorders>
              <w:top w:val="single" w:sz="4" w:space="0" w:color="auto"/>
              <w:bottom w:val="single" w:sz="4" w:space="0" w:color="auto"/>
            </w:tcBorders>
          </w:tcPr>
          <w:p w:rsidR="00234376" w:rsidRPr="00AC39E0" w:rsidRDefault="00234376" w:rsidP="008E03A7">
            <w:pPr>
              <w:pStyle w:val="TableHeading0"/>
              <w:spacing w:before="0" w:after="0"/>
              <w:rPr>
                <w:rFonts w:ascii="Arial Narrow" w:hAnsi="Arial Narrow"/>
                <w:bCs/>
                <w:sz w:val="20"/>
              </w:rPr>
            </w:pPr>
            <w:r w:rsidRPr="00AC39E0">
              <w:rPr>
                <w:rFonts w:ascii="Arial Narrow" w:hAnsi="Arial Narrow"/>
                <w:bCs/>
                <w:sz w:val="20"/>
              </w:rPr>
              <w:t>Model parameter</w:t>
            </w:r>
          </w:p>
        </w:tc>
        <w:tc>
          <w:tcPr>
            <w:tcW w:w="2607" w:type="dxa"/>
            <w:tcBorders>
              <w:top w:val="single" w:sz="4" w:space="0" w:color="auto"/>
              <w:bottom w:val="single" w:sz="4" w:space="0" w:color="auto"/>
            </w:tcBorders>
          </w:tcPr>
          <w:p w:rsidR="00234376" w:rsidRPr="00AC39E0" w:rsidRDefault="00234376" w:rsidP="008E03A7">
            <w:pPr>
              <w:pStyle w:val="TableHeading0"/>
              <w:spacing w:before="0" w:after="0"/>
              <w:rPr>
                <w:rFonts w:ascii="Arial Narrow" w:hAnsi="Arial Narrow"/>
                <w:bCs/>
                <w:sz w:val="20"/>
              </w:rPr>
            </w:pPr>
          </w:p>
        </w:tc>
        <w:tc>
          <w:tcPr>
            <w:tcW w:w="1923" w:type="dxa"/>
            <w:tcBorders>
              <w:top w:val="single" w:sz="4" w:space="0" w:color="auto"/>
              <w:bottom w:val="single" w:sz="4" w:space="0" w:color="auto"/>
            </w:tcBorders>
          </w:tcPr>
          <w:p w:rsidR="00234376" w:rsidRPr="00AC39E0" w:rsidRDefault="00234376" w:rsidP="008E03A7">
            <w:pPr>
              <w:pStyle w:val="TableHeading0"/>
              <w:spacing w:before="0" w:after="0"/>
              <w:rPr>
                <w:rFonts w:ascii="Arial Narrow" w:hAnsi="Arial Narrow"/>
                <w:bCs/>
                <w:sz w:val="20"/>
              </w:rPr>
            </w:pPr>
            <w:r w:rsidRPr="00AC39E0">
              <w:rPr>
                <w:rFonts w:ascii="Arial Narrow" w:hAnsi="Arial Narrow"/>
                <w:bCs/>
                <w:sz w:val="20"/>
              </w:rPr>
              <w:t xml:space="preserve">Baseline value </w:t>
            </w:r>
          </w:p>
        </w:tc>
        <w:tc>
          <w:tcPr>
            <w:tcW w:w="3180" w:type="dxa"/>
            <w:tcBorders>
              <w:top w:val="single" w:sz="4" w:space="0" w:color="auto"/>
              <w:bottom w:val="single" w:sz="4" w:space="0" w:color="auto"/>
            </w:tcBorders>
          </w:tcPr>
          <w:p w:rsidR="00234376" w:rsidRPr="00AC39E0" w:rsidRDefault="00234376" w:rsidP="008E03A7">
            <w:pPr>
              <w:pStyle w:val="TableHeading0"/>
              <w:spacing w:before="0" w:after="0"/>
              <w:jc w:val="center"/>
            </w:pPr>
            <w:r w:rsidRPr="00AC39E0">
              <w:rPr>
                <w:rFonts w:ascii="Arial Narrow" w:hAnsi="Arial Narrow"/>
                <w:bCs/>
                <w:sz w:val="20"/>
              </w:rPr>
              <w:t>Range used in sensitivity analysis</w:t>
            </w:r>
          </w:p>
        </w:tc>
      </w:tr>
      <w:tr w:rsidR="00234376" w:rsidRPr="00AC39E0">
        <w:tc>
          <w:tcPr>
            <w:tcW w:w="1645" w:type="dxa"/>
            <w:tcBorders>
              <w:top w:val="single" w:sz="4" w:space="0" w:color="auto"/>
            </w:tcBorders>
          </w:tcPr>
          <w:p w:rsidR="00234376" w:rsidRPr="00AC39E0" w:rsidRDefault="00234376" w:rsidP="008E03A7">
            <w:pPr>
              <w:pStyle w:val="TableHeading0"/>
              <w:spacing w:before="0" w:after="0"/>
              <w:rPr>
                <w:rFonts w:ascii="Arial Narrow" w:hAnsi="Arial Narrow"/>
                <w:bCs/>
                <w:sz w:val="20"/>
              </w:rPr>
            </w:pPr>
          </w:p>
        </w:tc>
        <w:tc>
          <w:tcPr>
            <w:tcW w:w="2607" w:type="dxa"/>
            <w:tcBorders>
              <w:top w:val="single" w:sz="4" w:space="0" w:color="auto"/>
            </w:tcBorders>
          </w:tcPr>
          <w:p w:rsidR="00234376" w:rsidRPr="00AC39E0" w:rsidRDefault="00234376" w:rsidP="008E03A7">
            <w:pPr>
              <w:pStyle w:val="TableHeading0"/>
              <w:spacing w:before="0" w:after="0"/>
              <w:rPr>
                <w:rFonts w:ascii="Arial Narrow" w:hAnsi="Arial Narrow"/>
                <w:bCs/>
                <w:sz w:val="20"/>
              </w:rPr>
            </w:pPr>
          </w:p>
        </w:tc>
        <w:tc>
          <w:tcPr>
            <w:tcW w:w="1923" w:type="dxa"/>
            <w:tcBorders>
              <w:top w:val="single" w:sz="4" w:space="0" w:color="auto"/>
            </w:tcBorders>
          </w:tcPr>
          <w:p w:rsidR="00234376" w:rsidRPr="00AC39E0" w:rsidRDefault="00234376" w:rsidP="008E03A7">
            <w:pPr>
              <w:pStyle w:val="TableHeading0"/>
              <w:spacing w:before="0" w:after="0"/>
              <w:rPr>
                <w:rFonts w:ascii="Arial Narrow" w:hAnsi="Arial Narrow"/>
                <w:bCs/>
                <w:sz w:val="20"/>
              </w:rPr>
            </w:pPr>
          </w:p>
        </w:tc>
        <w:tc>
          <w:tcPr>
            <w:tcW w:w="3180" w:type="dxa"/>
            <w:tcBorders>
              <w:top w:val="single" w:sz="4" w:space="0" w:color="auto"/>
            </w:tcBorders>
          </w:tcPr>
          <w:p w:rsidR="00234376" w:rsidRPr="00AC39E0" w:rsidRDefault="00234376" w:rsidP="008E03A7">
            <w:pPr>
              <w:pStyle w:val="TableHeading0"/>
              <w:spacing w:before="0" w:after="0"/>
              <w:jc w:val="center"/>
            </w:pPr>
          </w:p>
        </w:tc>
      </w:tr>
      <w:tr w:rsidR="00234376" w:rsidRPr="00AC39E0">
        <w:tc>
          <w:tcPr>
            <w:tcW w:w="4252" w:type="dxa"/>
            <w:gridSpan w:val="2"/>
          </w:tcPr>
          <w:p w:rsidR="00234376" w:rsidRPr="00AC39E0" w:rsidRDefault="00234376" w:rsidP="008E03A7">
            <w:pPr>
              <w:pStyle w:val="TableText0"/>
              <w:rPr>
                <w:rFonts w:ascii="Arial Narrow" w:hAnsi="Arial Narrow"/>
              </w:rPr>
            </w:pPr>
            <w:r w:rsidRPr="00AC39E0">
              <w:rPr>
                <w:rFonts w:ascii="Arial Narrow" w:hAnsi="Arial Narrow"/>
              </w:rPr>
              <w:t xml:space="preserve">Cytology unsatisfactory rates (see </w:t>
            </w:r>
            <w:r w:rsidRPr="00AC39E0">
              <w:rPr>
                <w:rFonts w:ascii="Arial Narrow" w:hAnsi="Arial Narrow"/>
              </w:rPr>
              <w:fldChar w:fldCharType="begin"/>
            </w:r>
            <w:r w:rsidRPr="00AC39E0">
              <w:rPr>
                <w:rFonts w:ascii="Arial Narrow" w:hAnsi="Arial Narrow"/>
              </w:rPr>
              <w:instrText xml:space="preserve"> REF _Ref205197735 \h  \* MERGEFORMAT </w:instrText>
            </w:r>
            <w:r w:rsidRPr="00AC39E0">
              <w:rPr>
                <w:rFonts w:ascii="Arial Narrow" w:hAnsi="Arial Narrow"/>
              </w:rPr>
            </w:r>
            <w:r w:rsidRPr="00AC39E0">
              <w:rPr>
                <w:rFonts w:ascii="Arial Narrow" w:hAnsi="Arial Narrow"/>
              </w:rPr>
              <w:fldChar w:fldCharType="separate"/>
            </w:r>
            <w:r w:rsidR="007D3DFF" w:rsidRPr="007D3DFF">
              <w:rPr>
                <w:rFonts w:ascii="Arial Narrow" w:hAnsi="Arial Narrow"/>
              </w:rPr>
              <w:t>Table 30</w:t>
            </w:r>
            <w:r w:rsidRPr="00AC39E0">
              <w:rPr>
                <w:rFonts w:ascii="Arial Narrow" w:hAnsi="Arial Narrow"/>
              </w:rPr>
              <w:fldChar w:fldCharType="end"/>
            </w:r>
            <w:r w:rsidRPr="00AC39E0">
              <w:rPr>
                <w:rFonts w:ascii="Arial Narrow" w:hAnsi="Arial Narrow"/>
              </w:rPr>
              <w:t>)</w:t>
            </w:r>
          </w:p>
        </w:tc>
        <w:tc>
          <w:tcPr>
            <w:tcW w:w="1923" w:type="dxa"/>
          </w:tcPr>
          <w:p w:rsidR="00234376" w:rsidRPr="00AC39E0" w:rsidRDefault="00234376" w:rsidP="008E03A7">
            <w:pPr>
              <w:pStyle w:val="TableText0"/>
              <w:jc w:val="center"/>
              <w:rPr>
                <w:rFonts w:ascii="Arial Narrow" w:hAnsi="Arial Narrow"/>
              </w:rPr>
            </w:pPr>
          </w:p>
        </w:tc>
        <w:tc>
          <w:tcPr>
            <w:tcW w:w="3180" w:type="dxa"/>
          </w:tcPr>
          <w:p w:rsidR="00234376" w:rsidRPr="00AC39E0" w:rsidRDefault="00234376" w:rsidP="008E03A7">
            <w:pPr>
              <w:pStyle w:val="TableText0"/>
              <w:jc w:val="center"/>
              <w:rPr>
                <w:rFonts w:ascii="Arial Narrow" w:hAnsi="Arial Narrow"/>
              </w:rPr>
            </w:pPr>
          </w:p>
        </w:tc>
      </w:tr>
      <w:tr w:rsidR="00234376" w:rsidRPr="00AC39E0">
        <w:tc>
          <w:tcPr>
            <w:tcW w:w="1645" w:type="dxa"/>
          </w:tcPr>
          <w:p w:rsidR="00234376" w:rsidRPr="00AC39E0" w:rsidRDefault="00234376" w:rsidP="008E03A7">
            <w:pPr>
              <w:pStyle w:val="TableText0"/>
              <w:ind w:left="567"/>
              <w:rPr>
                <w:rFonts w:ascii="Arial Narrow" w:hAnsi="Arial Narrow"/>
              </w:rPr>
            </w:pPr>
            <w:r w:rsidRPr="00AC39E0">
              <w:rPr>
                <w:rFonts w:ascii="Arial Narrow" w:hAnsi="Arial Narrow"/>
              </w:rPr>
              <w:t>Conventional</w:t>
            </w:r>
          </w:p>
        </w:tc>
        <w:tc>
          <w:tcPr>
            <w:tcW w:w="2607" w:type="dxa"/>
          </w:tcPr>
          <w:p w:rsidR="00234376" w:rsidRPr="00AC39E0" w:rsidRDefault="00234376" w:rsidP="008E03A7">
            <w:pPr>
              <w:pStyle w:val="TableText0"/>
              <w:rPr>
                <w:rFonts w:ascii="Arial Narrow" w:hAnsi="Arial Narrow"/>
              </w:rPr>
            </w:pP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2.2%</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 xml:space="preserve">0.5%–5% </w:t>
            </w:r>
            <w:r w:rsidRPr="00AC39E0">
              <w:rPr>
                <w:rFonts w:ascii="Arial Narrow" w:hAnsi="Arial Narrow"/>
                <w:vertAlign w:val="superscript"/>
              </w:rPr>
              <w:t>a</w:t>
            </w:r>
          </w:p>
        </w:tc>
      </w:tr>
      <w:tr w:rsidR="00234376" w:rsidRPr="00AC39E0">
        <w:tc>
          <w:tcPr>
            <w:tcW w:w="1645" w:type="dxa"/>
          </w:tcPr>
          <w:p w:rsidR="00234376" w:rsidRPr="00AC39E0" w:rsidRDefault="00234376" w:rsidP="008E03A7">
            <w:pPr>
              <w:pStyle w:val="TableText0"/>
              <w:ind w:left="567"/>
              <w:rPr>
                <w:rFonts w:ascii="Arial Narrow" w:hAnsi="Arial Narrow"/>
              </w:rPr>
            </w:pPr>
            <w:r w:rsidRPr="00AC39E0">
              <w:rPr>
                <w:rFonts w:ascii="Arial Narrow" w:hAnsi="Arial Narrow"/>
              </w:rPr>
              <w:t>LBC manual</w:t>
            </w:r>
          </w:p>
        </w:tc>
        <w:tc>
          <w:tcPr>
            <w:tcW w:w="2607" w:type="dxa"/>
          </w:tcPr>
          <w:p w:rsidR="00234376" w:rsidRPr="00AC39E0" w:rsidRDefault="00234376" w:rsidP="008E03A7">
            <w:pPr>
              <w:pStyle w:val="TableText0"/>
              <w:rPr>
                <w:rFonts w:ascii="Arial Narrow" w:hAnsi="Arial Narrow"/>
              </w:rPr>
            </w:pP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1.8%</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 xml:space="preserve">0.5%–2.57% </w:t>
            </w:r>
            <w:r w:rsidRPr="00AC39E0">
              <w:rPr>
                <w:rFonts w:ascii="Arial Narrow" w:hAnsi="Arial Narrow"/>
                <w:vertAlign w:val="superscript"/>
              </w:rPr>
              <w:t>a</w:t>
            </w:r>
          </w:p>
        </w:tc>
      </w:tr>
      <w:tr w:rsidR="00234376" w:rsidRPr="00AC39E0">
        <w:tc>
          <w:tcPr>
            <w:tcW w:w="4252" w:type="dxa"/>
            <w:gridSpan w:val="2"/>
          </w:tcPr>
          <w:p w:rsidR="00234376" w:rsidRPr="00AC39E0" w:rsidRDefault="00234376" w:rsidP="008E03A7">
            <w:pPr>
              <w:pStyle w:val="TableText0"/>
              <w:ind w:left="567"/>
              <w:rPr>
                <w:rFonts w:ascii="Arial Narrow" w:hAnsi="Arial Narrow"/>
              </w:rPr>
            </w:pPr>
            <w:r w:rsidRPr="00AC39E0">
              <w:rPr>
                <w:rFonts w:ascii="Arial Narrow" w:hAnsi="Arial Narrow"/>
              </w:rPr>
              <w:t>Automated LBC</w:t>
            </w: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1.8%</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 xml:space="preserve">0.5%–2% </w:t>
            </w:r>
            <w:r w:rsidRPr="00AC39E0">
              <w:rPr>
                <w:rFonts w:ascii="Arial Narrow" w:hAnsi="Arial Narrow"/>
                <w:vertAlign w:val="superscript"/>
              </w:rPr>
              <w:t>a</w:t>
            </w:r>
          </w:p>
        </w:tc>
      </w:tr>
      <w:tr w:rsidR="00234376" w:rsidRPr="00AC39E0">
        <w:tc>
          <w:tcPr>
            <w:tcW w:w="1645" w:type="dxa"/>
          </w:tcPr>
          <w:p w:rsidR="00234376" w:rsidRPr="00AC39E0" w:rsidRDefault="00234376" w:rsidP="008E03A7">
            <w:pPr>
              <w:pStyle w:val="TableText0"/>
              <w:ind w:left="567"/>
              <w:rPr>
                <w:rFonts w:ascii="Arial Narrow" w:hAnsi="Arial Narrow"/>
              </w:rPr>
            </w:pPr>
          </w:p>
        </w:tc>
        <w:tc>
          <w:tcPr>
            <w:tcW w:w="2607" w:type="dxa"/>
          </w:tcPr>
          <w:p w:rsidR="00234376" w:rsidRPr="00AC39E0" w:rsidRDefault="00234376" w:rsidP="008E03A7">
            <w:pPr>
              <w:pStyle w:val="TableText0"/>
              <w:rPr>
                <w:rFonts w:ascii="Arial Narrow" w:hAnsi="Arial Narrow"/>
              </w:rPr>
            </w:pPr>
          </w:p>
        </w:tc>
        <w:tc>
          <w:tcPr>
            <w:tcW w:w="1923" w:type="dxa"/>
          </w:tcPr>
          <w:p w:rsidR="00234376" w:rsidRPr="00AC39E0" w:rsidRDefault="00234376" w:rsidP="008E03A7">
            <w:pPr>
              <w:pStyle w:val="TableText0"/>
              <w:jc w:val="center"/>
              <w:rPr>
                <w:rFonts w:ascii="Arial Narrow" w:hAnsi="Arial Narrow"/>
              </w:rPr>
            </w:pPr>
          </w:p>
        </w:tc>
        <w:tc>
          <w:tcPr>
            <w:tcW w:w="3180" w:type="dxa"/>
          </w:tcPr>
          <w:p w:rsidR="00234376" w:rsidRPr="00AC39E0" w:rsidRDefault="00234376" w:rsidP="008E03A7">
            <w:pPr>
              <w:pStyle w:val="TableText0"/>
              <w:jc w:val="center"/>
              <w:rPr>
                <w:rFonts w:ascii="Arial Narrow" w:hAnsi="Arial Narrow"/>
              </w:rPr>
            </w:pPr>
          </w:p>
        </w:tc>
      </w:tr>
      <w:tr w:rsidR="00234376" w:rsidRPr="00AC3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4252" w:type="dxa"/>
            <w:gridSpan w:val="2"/>
            <w:tcBorders>
              <w:top w:val="nil"/>
              <w:left w:val="nil"/>
              <w:bottom w:val="nil"/>
              <w:right w:val="nil"/>
            </w:tcBorders>
          </w:tcPr>
          <w:p w:rsidR="00234376" w:rsidRPr="00AC39E0" w:rsidRDefault="00234376" w:rsidP="008E03A7">
            <w:pPr>
              <w:pStyle w:val="TableText0"/>
              <w:rPr>
                <w:rFonts w:ascii="Arial Narrow" w:hAnsi="Arial Narrow"/>
              </w:rPr>
            </w:pPr>
            <w:r w:rsidRPr="00AC39E0">
              <w:rPr>
                <w:rFonts w:ascii="Arial Narrow" w:hAnsi="Arial Narrow"/>
              </w:rPr>
              <w:t>Cytology test characteristics</w:t>
            </w:r>
          </w:p>
        </w:tc>
        <w:tc>
          <w:tcPr>
            <w:tcW w:w="5103" w:type="dxa"/>
            <w:gridSpan w:val="2"/>
            <w:tcBorders>
              <w:top w:val="nil"/>
              <w:left w:val="nil"/>
              <w:bottom w:val="nil"/>
              <w:right w:val="nil"/>
            </w:tcBorders>
          </w:tcPr>
          <w:p w:rsidR="00234376" w:rsidRPr="00AC39E0" w:rsidRDefault="00234376" w:rsidP="008E03A7">
            <w:pPr>
              <w:pStyle w:val="TableText0"/>
              <w:jc w:val="center"/>
              <w:rPr>
                <w:rFonts w:ascii="Arial Narrow" w:hAnsi="Arial Narrow"/>
              </w:rPr>
            </w:pPr>
            <w:r w:rsidRPr="00AC39E0">
              <w:rPr>
                <w:rFonts w:ascii="Arial Narrow" w:hAnsi="Arial Narrow"/>
              </w:rPr>
              <w:t xml:space="preserve">As described in </w:t>
            </w:r>
            <w:r w:rsidRPr="00AC39E0">
              <w:fldChar w:fldCharType="begin"/>
            </w:r>
            <w:r w:rsidRPr="00AC39E0">
              <w:instrText xml:space="preserve"> REF _Ref212433107 \h  \* MERGEFORMAT </w:instrText>
            </w:r>
            <w:r w:rsidRPr="00AC39E0">
              <w:fldChar w:fldCharType="separate"/>
            </w:r>
            <w:r w:rsidR="007D3DFF" w:rsidRPr="007D3DFF">
              <w:rPr>
                <w:rFonts w:ascii="Arial Narrow" w:hAnsi="Arial Narrow"/>
                <w:i/>
                <w:iCs/>
              </w:rPr>
              <w:t>Appendix K  Derivation of test probability matrices for cytology</w:t>
            </w:r>
            <w:r w:rsidRPr="00AC39E0">
              <w:fldChar w:fldCharType="end"/>
            </w:r>
            <w:r w:rsidRPr="00AC39E0">
              <w:rPr>
                <w:rFonts w:ascii="Arial Narrow" w:hAnsi="Arial Narrow"/>
              </w:rPr>
              <w:t xml:space="preserve"> (p </w:t>
            </w:r>
            <w:r w:rsidRPr="00AC39E0">
              <w:rPr>
                <w:rFonts w:ascii="Arial Narrow" w:hAnsi="Arial Narrow"/>
              </w:rPr>
              <w:fldChar w:fldCharType="begin"/>
            </w:r>
            <w:r w:rsidRPr="00AC39E0">
              <w:rPr>
                <w:rFonts w:ascii="Arial Narrow" w:hAnsi="Arial Narrow"/>
              </w:rPr>
              <w:instrText xml:space="preserve"> PAGEREF _Ref212433107 \h </w:instrText>
            </w:r>
            <w:r w:rsidRPr="00AC39E0">
              <w:rPr>
                <w:rFonts w:ascii="Arial Narrow" w:hAnsi="Arial Narrow"/>
              </w:rPr>
            </w:r>
            <w:r w:rsidRPr="00AC39E0">
              <w:rPr>
                <w:rFonts w:ascii="Arial Narrow" w:hAnsi="Arial Narrow"/>
              </w:rPr>
              <w:fldChar w:fldCharType="separate"/>
            </w:r>
            <w:r w:rsidR="007D3DFF">
              <w:rPr>
                <w:rFonts w:ascii="Arial Narrow" w:hAnsi="Arial Narrow"/>
                <w:noProof/>
              </w:rPr>
              <w:t>153</w:t>
            </w:r>
            <w:r w:rsidRPr="00AC39E0">
              <w:rPr>
                <w:rFonts w:ascii="Arial Narrow" w:hAnsi="Arial Narrow"/>
              </w:rPr>
              <w:fldChar w:fldCharType="end"/>
            </w:r>
            <w:r w:rsidRPr="00AC39E0">
              <w:rPr>
                <w:rFonts w:ascii="Arial Narrow" w:hAnsi="Arial Narrow"/>
              </w:rPr>
              <w:t>)</w:t>
            </w:r>
          </w:p>
        </w:tc>
      </w:tr>
      <w:tr w:rsidR="00234376" w:rsidRPr="00AC39E0">
        <w:tc>
          <w:tcPr>
            <w:tcW w:w="1645" w:type="dxa"/>
          </w:tcPr>
          <w:p w:rsidR="00234376" w:rsidRPr="00AC39E0" w:rsidRDefault="00234376" w:rsidP="008E03A7">
            <w:pPr>
              <w:pStyle w:val="TableText0"/>
              <w:ind w:left="567"/>
              <w:rPr>
                <w:rFonts w:ascii="Arial Narrow" w:hAnsi="Arial Narrow"/>
              </w:rPr>
            </w:pPr>
          </w:p>
        </w:tc>
        <w:tc>
          <w:tcPr>
            <w:tcW w:w="2607" w:type="dxa"/>
          </w:tcPr>
          <w:p w:rsidR="00234376" w:rsidRPr="00AC39E0" w:rsidRDefault="00234376" w:rsidP="008E03A7">
            <w:pPr>
              <w:pStyle w:val="TableText0"/>
              <w:rPr>
                <w:rFonts w:ascii="Arial Narrow" w:hAnsi="Arial Narrow"/>
              </w:rPr>
            </w:pPr>
          </w:p>
        </w:tc>
        <w:tc>
          <w:tcPr>
            <w:tcW w:w="1923" w:type="dxa"/>
          </w:tcPr>
          <w:p w:rsidR="00234376" w:rsidRPr="00AC39E0" w:rsidRDefault="00234376" w:rsidP="008E03A7">
            <w:pPr>
              <w:pStyle w:val="TableText0"/>
              <w:jc w:val="center"/>
              <w:rPr>
                <w:rFonts w:ascii="Arial Narrow" w:hAnsi="Arial Narrow"/>
              </w:rPr>
            </w:pPr>
          </w:p>
        </w:tc>
        <w:tc>
          <w:tcPr>
            <w:tcW w:w="3180" w:type="dxa"/>
          </w:tcPr>
          <w:p w:rsidR="00234376" w:rsidRPr="00AC39E0" w:rsidRDefault="00234376" w:rsidP="008E03A7">
            <w:pPr>
              <w:pStyle w:val="TableText0"/>
              <w:jc w:val="center"/>
              <w:rPr>
                <w:rFonts w:ascii="Arial Narrow" w:hAnsi="Arial Narrow"/>
              </w:rPr>
            </w:pPr>
          </w:p>
        </w:tc>
      </w:tr>
      <w:tr w:rsidR="00234376" w:rsidRPr="00AC39E0">
        <w:tblPrEx>
          <w:tblBorders>
            <w:top w:val="single" w:sz="4" w:space="0" w:color="auto"/>
            <w:bottom w:val="single" w:sz="4" w:space="0" w:color="auto"/>
            <w:insideH w:val="single" w:sz="4" w:space="0" w:color="auto"/>
          </w:tblBorders>
          <w:tblCellMar>
            <w:left w:w="57" w:type="dxa"/>
            <w:right w:w="57" w:type="dxa"/>
          </w:tblCellMar>
        </w:tblPrEx>
        <w:tc>
          <w:tcPr>
            <w:tcW w:w="9355" w:type="dxa"/>
            <w:gridSpan w:val="4"/>
            <w:tcBorders>
              <w:top w:val="nil"/>
              <w:bottom w:val="nil"/>
            </w:tcBorders>
          </w:tcPr>
          <w:p w:rsidR="00234376" w:rsidRPr="00AC39E0" w:rsidRDefault="00234376" w:rsidP="00234376">
            <w:pPr>
              <w:pStyle w:val="TableHeading0"/>
              <w:spacing w:before="0" w:after="0"/>
              <w:rPr>
                <w:b w:val="0"/>
              </w:rPr>
            </w:pPr>
            <w:r w:rsidRPr="00AC39E0">
              <w:rPr>
                <w:rFonts w:ascii="Arial Narrow" w:hAnsi="Arial Narrow"/>
                <w:b w:val="0"/>
              </w:rPr>
              <w:t>HC</w:t>
            </w:r>
            <w:r w:rsidR="00AC5ABD" w:rsidRPr="00AC39E0">
              <w:rPr>
                <w:rFonts w:ascii="Arial Narrow" w:hAnsi="Arial Narrow"/>
                <w:b w:val="0"/>
              </w:rPr>
              <w:t>-</w:t>
            </w:r>
            <w:r w:rsidRPr="00AC39E0">
              <w:rPr>
                <w:rFonts w:ascii="Arial Narrow" w:hAnsi="Arial Narrow"/>
                <w:b w:val="0"/>
              </w:rPr>
              <w:t xml:space="preserve">II positivity by model health state (when used as a test of cure) (see </w:t>
            </w:r>
            <w:r w:rsidRPr="00AC39E0">
              <w:rPr>
                <w:rFonts w:ascii="Arial Narrow" w:hAnsi="Arial Narrow"/>
                <w:b w:val="0"/>
              </w:rPr>
              <w:fldChar w:fldCharType="begin"/>
            </w:r>
            <w:r w:rsidRPr="00AC39E0">
              <w:rPr>
                <w:rFonts w:ascii="Arial Narrow" w:hAnsi="Arial Narrow"/>
                <w:b w:val="0"/>
              </w:rPr>
              <w:instrText xml:space="preserve"> REF _Ref213054388 \h  \* MERGEFORMAT </w:instrText>
            </w:r>
            <w:r w:rsidRPr="00AC39E0">
              <w:rPr>
                <w:rFonts w:ascii="Arial Narrow" w:hAnsi="Arial Narrow"/>
                <w:b w:val="0"/>
              </w:rPr>
            </w:r>
            <w:r w:rsidRPr="00AC39E0">
              <w:rPr>
                <w:rFonts w:ascii="Arial Narrow" w:hAnsi="Arial Narrow"/>
                <w:b w:val="0"/>
              </w:rPr>
              <w:fldChar w:fldCharType="separate"/>
            </w:r>
            <w:r w:rsidR="007D3DFF" w:rsidRPr="007D3DFF">
              <w:rPr>
                <w:rFonts w:ascii="Arial Narrow" w:hAnsi="Arial Narrow"/>
                <w:b w:val="0"/>
              </w:rPr>
              <w:t>Table 31</w:t>
            </w:r>
            <w:r w:rsidRPr="00AC39E0">
              <w:rPr>
                <w:rFonts w:ascii="Arial Narrow" w:hAnsi="Arial Narrow"/>
                <w:b w:val="0"/>
              </w:rPr>
              <w:fldChar w:fldCharType="end"/>
            </w:r>
            <w:r w:rsidRPr="00AC39E0">
              <w:rPr>
                <w:rFonts w:ascii="Arial Narrow" w:hAnsi="Arial Narrow"/>
                <w:b w:val="0"/>
              </w:rPr>
              <w:t>)</w:t>
            </w:r>
          </w:p>
        </w:tc>
      </w:tr>
      <w:tr w:rsidR="00234376" w:rsidRPr="00AC39E0">
        <w:tc>
          <w:tcPr>
            <w:tcW w:w="1645" w:type="dxa"/>
          </w:tcPr>
          <w:p w:rsidR="00234376" w:rsidRPr="00AC39E0" w:rsidRDefault="00234376" w:rsidP="008E03A7">
            <w:pPr>
              <w:pStyle w:val="TableText0"/>
              <w:ind w:left="567"/>
              <w:rPr>
                <w:rFonts w:ascii="Arial Narrow" w:hAnsi="Arial Narrow"/>
              </w:rPr>
            </w:pPr>
            <w:smartTag w:uri="urn:schemas-microsoft-com:office:smarttags" w:element="place">
              <w:smartTag w:uri="urn:schemas-microsoft-com:office:smarttags" w:element="City">
                <w:r w:rsidRPr="00AC39E0">
                  <w:rPr>
                    <w:rFonts w:ascii="Arial Narrow" w:hAnsi="Arial Narrow"/>
                  </w:rPr>
                  <w:t>Normal</w:t>
                </w:r>
              </w:smartTag>
            </w:smartTag>
          </w:p>
        </w:tc>
        <w:tc>
          <w:tcPr>
            <w:tcW w:w="2607" w:type="dxa"/>
          </w:tcPr>
          <w:p w:rsidR="00234376" w:rsidRPr="00AC39E0" w:rsidRDefault="00234376" w:rsidP="008E03A7">
            <w:pPr>
              <w:pStyle w:val="TableText0"/>
              <w:rPr>
                <w:rFonts w:ascii="Arial Narrow" w:hAnsi="Arial Narrow"/>
              </w:rPr>
            </w:pPr>
            <w:r w:rsidRPr="00AC39E0">
              <w:rPr>
                <w:rFonts w:ascii="Arial Narrow" w:hAnsi="Arial Narrow"/>
              </w:rPr>
              <w:t>(PCR –ve, normal cytology)</w:t>
            </w: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1.4%</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1.4%–4.2%</w:t>
            </w:r>
          </w:p>
        </w:tc>
      </w:tr>
      <w:tr w:rsidR="00234376" w:rsidRPr="00AC39E0">
        <w:tc>
          <w:tcPr>
            <w:tcW w:w="1645" w:type="dxa"/>
          </w:tcPr>
          <w:p w:rsidR="00234376" w:rsidRPr="00AC39E0" w:rsidRDefault="00234376" w:rsidP="008E03A7">
            <w:pPr>
              <w:pStyle w:val="TableText0"/>
              <w:ind w:left="567"/>
              <w:rPr>
                <w:rFonts w:ascii="Arial Narrow" w:hAnsi="Arial Narrow"/>
              </w:rPr>
            </w:pPr>
            <w:r w:rsidRPr="00AC39E0">
              <w:rPr>
                <w:rFonts w:ascii="Arial Narrow" w:hAnsi="Arial Narrow"/>
              </w:rPr>
              <w:t>HPV (no CIN)</w:t>
            </w:r>
          </w:p>
        </w:tc>
        <w:tc>
          <w:tcPr>
            <w:tcW w:w="2607" w:type="dxa"/>
          </w:tcPr>
          <w:p w:rsidR="00234376" w:rsidRPr="00AC39E0" w:rsidRDefault="00234376" w:rsidP="008E03A7">
            <w:pPr>
              <w:pStyle w:val="TableText0"/>
              <w:rPr>
                <w:rFonts w:ascii="Arial Narrow" w:hAnsi="Arial Narrow"/>
              </w:rPr>
            </w:pPr>
            <w:r w:rsidRPr="00AC39E0">
              <w:rPr>
                <w:rFonts w:ascii="Arial Narrow" w:hAnsi="Arial Narrow"/>
              </w:rPr>
              <w:t>(PCR +ve, normal cytology)</w:t>
            </w: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49.7%</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49.7%–92.5%</w:t>
            </w:r>
          </w:p>
        </w:tc>
      </w:tr>
      <w:tr w:rsidR="00234376" w:rsidRPr="00AC39E0">
        <w:tc>
          <w:tcPr>
            <w:tcW w:w="1645" w:type="dxa"/>
          </w:tcPr>
          <w:p w:rsidR="00234376" w:rsidRPr="00AC39E0" w:rsidRDefault="00234376" w:rsidP="008E03A7">
            <w:pPr>
              <w:pStyle w:val="TableText0"/>
              <w:ind w:left="567"/>
              <w:rPr>
                <w:rFonts w:ascii="Arial Narrow" w:hAnsi="Arial Narrow"/>
              </w:rPr>
            </w:pPr>
            <w:r w:rsidRPr="00AC39E0">
              <w:rPr>
                <w:rFonts w:ascii="Arial Narrow" w:hAnsi="Arial Narrow"/>
              </w:rPr>
              <w:t>CIN 1</w:t>
            </w:r>
          </w:p>
        </w:tc>
        <w:tc>
          <w:tcPr>
            <w:tcW w:w="2607" w:type="dxa"/>
          </w:tcPr>
          <w:p w:rsidR="00234376" w:rsidRPr="00AC39E0" w:rsidRDefault="00234376" w:rsidP="008E03A7">
            <w:pPr>
              <w:pStyle w:val="TableText0"/>
              <w:rPr>
                <w:rFonts w:ascii="Arial Narrow" w:hAnsi="Arial Narrow"/>
              </w:rPr>
            </w:pPr>
            <w:r w:rsidRPr="00AC39E0">
              <w:rPr>
                <w:rFonts w:ascii="Arial Narrow" w:hAnsi="Arial Narrow"/>
              </w:rPr>
              <w:t>(confirmed by histology or cytology if no histology)</w:t>
            </w: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84.2%</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69.4%–98.9%</w:t>
            </w:r>
          </w:p>
        </w:tc>
      </w:tr>
      <w:tr w:rsidR="00234376" w:rsidRPr="00AC39E0">
        <w:tc>
          <w:tcPr>
            <w:tcW w:w="1645" w:type="dxa"/>
          </w:tcPr>
          <w:p w:rsidR="00234376" w:rsidRPr="00AC39E0" w:rsidRDefault="00234376" w:rsidP="008E03A7">
            <w:pPr>
              <w:pStyle w:val="TableText0"/>
              <w:ind w:left="567"/>
              <w:rPr>
                <w:rFonts w:ascii="Arial Narrow" w:hAnsi="Arial Narrow"/>
              </w:rPr>
            </w:pPr>
            <w:r w:rsidRPr="00AC39E0">
              <w:rPr>
                <w:rFonts w:ascii="Arial Narrow" w:hAnsi="Arial Narrow"/>
              </w:rPr>
              <w:t>CIN 2</w:t>
            </w:r>
          </w:p>
        </w:tc>
        <w:tc>
          <w:tcPr>
            <w:tcW w:w="2607" w:type="dxa"/>
          </w:tcPr>
          <w:p w:rsidR="00234376" w:rsidRPr="00AC39E0" w:rsidRDefault="00234376" w:rsidP="008E03A7">
            <w:pPr>
              <w:pStyle w:val="TableText0"/>
              <w:rPr>
                <w:rFonts w:ascii="Arial Narrow" w:hAnsi="Arial Narrow"/>
              </w:rPr>
            </w:pPr>
            <w:r w:rsidRPr="00AC39E0">
              <w:rPr>
                <w:rFonts w:ascii="Arial Narrow" w:hAnsi="Arial Narrow"/>
              </w:rPr>
              <w:t>(confirmed by histology)</w:t>
            </w: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94.4%</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90.9%–97.9%</w:t>
            </w:r>
          </w:p>
        </w:tc>
      </w:tr>
      <w:tr w:rsidR="00234376" w:rsidRPr="00AC39E0">
        <w:tc>
          <w:tcPr>
            <w:tcW w:w="1645" w:type="dxa"/>
          </w:tcPr>
          <w:p w:rsidR="00234376" w:rsidRPr="00AC39E0" w:rsidRDefault="00234376" w:rsidP="008E03A7">
            <w:pPr>
              <w:pStyle w:val="TableText0"/>
              <w:ind w:left="567"/>
              <w:rPr>
                <w:rFonts w:ascii="Arial Narrow" w:hAnsi="Arial Narrow"/>
              </w:rPr>
            </w:pPr>
            <w:r w:rsidRPr="00AC39E0">
              <w:rPr>
                <w:rFonts w:ascii="Arial Narrow" w:hAnsi="Arial Narrow"/>
              </w:rPr>
              <w:t>CIN 3+</w:t>
            </w:r>
          </w:p>
        </w:tc>
        <w:tc>
          <w:tcPr>
            <w:tcW w:w="2607" w:type="dxa"/>
          </w:tcPr>
          <w:p w:rsidR="00234376" w:rsidRPr="00AC39E0" w:rsidRDefault="00234376" w:rsidP="008E03A7">
            <w:pPr>
              <w:pStyle w:val="TableText0"/>
              <w:rPr>
                <w:rFonts w:ascii="Arial Narrow" w:hAnsi="Arial Narrow"/>
              </w:rPr>
            </w:pPr>
            <w:r w:rsidRPr="00AC39E0">
              <w:rPr>
                <w:rFonts w:ascii="Arial Narrow" w:hAnsi="Arial Narrow"/>
              </w:rPr>
              <w:t>(confirmed by histology)</w:t>
            </w: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94.4%</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90.9%–97.9%</w:t>
            </w:r>
          </w:p>
        </w:tc>
      </w:tr>
      <w:tr w:rsidR="00234376" w:rsidRPr="00AC39E0">
        <w:tc>
          <w:tcPr>
            <w:tcW w:w="1645" w:type="dxa"/>
          </w:tcPr>
          <w:p w:rsidR="00234376" w:rsidRPr="00AC39E0" w:rsidRDefault="00234376" w:rsidP="008E03A7">
            <w:pPr>
              <w:pStyle w:val="TableText0"/>
              <w:rPr>
                <w:rFonts w:ascii="Arial Narrow" w:hAnsi="Arial Narrow"/>
              </w:rPr>
            </w:pPr>
          </w:p>
        </w:tc>
        <w:tc>
          <w:tcPr>
            <w:tcW w:w="2607" w:type="dxa"/>
          </w:tcPr>
          <w:p w:rsidR="00234376" w:rsidRPr="00AC39E0" w:rsidRDefault="00234376" w:rsidP="008E03A7">
            <w:pPr>
              <w:pStyle w:val="TableText0"/>
              <w:rPr>
                <w:rFonts w:ascii="Arial Narrow" w:hAnsi="Arial Narrow"/>
              </w:rPr>
            </w:pPr>
          </w:p>
        </w:tc>
        <w:tc>
          <w:tcPr>
            <w:tcW w:w="1923" w:type="dxa"/>
          </w:tcPr>
          <w:p w:rsidR="00234376" w:rsidRPr="00AC39E0" w:rsidRDefault="00234376" w:rsidP="008E03A7">
            <w:pPr>
              <w:pStyle w:val="TableText0"/>
              <w:rPr>
                <w:rFonts w:ascii="Arial Narrow" w:hAnsi="Arial Narrow"/>
              </w:rPr>
            </w:pPr>
          </w:p>
        </w:tc>
        <w:tc>
          <w:tcPr>
            <w:tcW w:w="3180" w:type="dxa"/>
          </w:tcPr>
          <w:p w:rsidR="00234376" w:rsidRPr="00AC39E0" w:rsidRDefault="00234376" w:rsidP="008E03A7">
            <w:pPr>
              <w:pStyle w:val="TableText0"/>
              <w:jc w:val="center"/>
              <w:rPr>
                <w:rFonts w:ascii="Arial Narrow" w:hAnsi="Arial Narrow"/>
              </w:rPr>
            </w:pPr>
          </w:p>
        </w:tc>
      </w:tr>
      <w:tr w:rsidR="00234376" w:rsidRPr="00AC39E0">
        <w:tc>
          <w:tcPr>
            <w:tcW w:w="4252" w:type="dxa"/>
            <w:gridSpan w:val="2"/>
          </w:tcPr>
          <w:p w:rsidR="00234376" w:rsidRPr="00AC39E0" w:rsidRDefault="00234376" w:rsidP="008E03A7">
            <w:pPr>
              <w:pStyle w:val="TableText0"/>
              <w:rPr>
                <w:rFonts w:ascii="Arial Narrow" w:hAnsi="Arial Narrow"/>
              </w:rPr>
            </w:pPr>
            <w:r w:rsidRPr="00AC39E0">
              <w:rPr>
                <w:rFonts w:ascii="Arial Narrow" w:hAnsi="Arial Narrow"/>
              </w:rPr>
              <w:t>Annual probability of progression from CIN 3 to invasive squamous cervical cancer (age-standardised)</w:t>
            </w: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1.3% (all ages)</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0.65%–2.6% (all ages)</w:t>
            </w:r>
          </w:p>
        </w:tc>
      </w:tr>
      <w:tr w:rsidR="00234376" w:rsidRPr="00AC39E0">
        <w:tc>
          <w:tcPr>
            <w:tcW w:w="4252" w:type="dxa"/>
            <w:gridSpan w:val="2"/>
          </w:tcPr>
          <w:p w:rsidR="00234376" w:rsidRPr="00AC39E0" w:rsidRDefault="00234376" w:rsidP="008E03A7">
            <w:pPr>
              <w:pStyle w:val="TableText0"/>
              <w:rPr>
                <w:rFonts w:ascii="Arial Narrow" w:hAnsi="Arial Narrow"/>
              </w:rPr>
            </w:pPr>
          </w:p>
        </w:tc>
        <w:tc>
          <w:tcPr>
            <w:tcW w:w="1923" w:type="dxa"/>
          </w:tcPr>
          <w:p w:rsidR="00234376" w:rsidRPr="00AC39E0" w:rsidRDefault="00234376" w:rsidP="008E03A7">
            <w:pPr>
              <w:pStyle w:val="TableText0"/>
              <w:jc w:val="center"/>
              <w:rPr>
                <w:rFonts w:ascii="Arial Narrow" w:hAnsi="Arial Narrow"/>
              </w:rPr>
            </w:pPr>
          </w:p>
        </w:tc>
        <w:tc>
          <w:tcPr>
            <w:tcW w:w="3180" w:type="dxa"/>
          </w:tcPr>
          <w:p w:rsidR="00234376" w:rsidRPr="00AC39E0" w:rsidRDefault="00234376" w:rsidP="008E03A7">
            <w:pPr>
              <w:pStyle w:val="TableText0"/>
              <w:jc w:val="center"/>
              <w:rPr>
                <w:rFonts w:ascii="Arial Narrow" w:hAnsi="Arial Narrow"/>
              </w:rPr>
            </w:pPr>
          </w:p>
        </w:tc>
      </w:tr>
      <w:tr w:rsidR="00234376" w:rsidRPr="00AC39E0">
        <w:tc>
          <w:tcPr>
            <w:tcW w:w="4252" w:type="dxa"/>
            <w:gridSpan w:val="2"/>
          </w:tcPr>
          <w:p w:rsidR="00234376" w:rsidRPr="00AC39E0" w:rsidRDefault="00234376" w:rsidP="008E03A7">
            <w:pPr>
              <w:pStyle w:val="TableText0"/>
              <w:rPr>
                <w:rFonts w:ascii="Arial Narrow" w:hAnsi="Arial Narrow"/>
              </w:rPr>
            </w:pPr>
            <w:r w:rsidRPr="00AC39E0">
              <w:rPr>
                <w:rFonts w:ascii="Arial Narrow" w:hAnsi="Arial Narrow"/>
              </w:rPr>
              <w:t>Manual LBC unit cost</w:t>
            </w:r>
          </w:p>
          <w:p w:rsidR="00234376" w:rsidRPr="00AC39E0" w:rsidRDefault="00234376" w:rsidP="008E03A7">
            <w:pPr>
              <w:pStyle w:val="TableText0"/>
              <w:ind w:left="567"/>
              <w:rPr>
                <w:rFonts w:ascii="Arial Narrow" w:hAnsi="Arial Narrow"/>
                <w:i/>
              </w:rPr>
            </w:pPr>
            <w:r w:rsidRPr="00AC39E0">
              <w:rPr>
                <w:rFonts w:ascii="Arial Narrow" w:hAnsi="Arial Narrow"/>
              </w:rPr>
              <w:t>(incremental cost compared with CC)</w:t>
            </w: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$22.00</w:t>
            </w:r>
          </w:p>
          <w:p w:rsidR="00234376" w:rsidRPr="00AC39E0" w:rsidRDefault="00234376" w:rsidP="008E03A7">
            <w:pPr>
              <w:pStyle w:val="TableText0"/>
              <w:jc w:val="center"/>
              <w:rPr>
                <w:rFonts w:ascii="Arial Narrow" w:hAnsi="Arial Narrow"/>
              </w:rPr>
            </w:pPr>
            <w:r w:rsidRPr="00AC39E0">
              <w:rPr>
                <w:rFonts w:ascii="Arial Narrow" w:hAnsi="Arial Narrow"/>
              </w:rPr>
              <w:t>($2.40)</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$19.60–$30.50</w:t>
            </w:r>
          </w:p>
          <w:p w:rsidR="00234376" w:rsidRPr="00AC39E0" w:rsidRDefault="00234376" w:rsidP="008E03A7">
            <w:pPr>
              <w:pStyle w:val="TableText0"/>
              <w:jc w:val="center"/>
              <w:rPr>
                <w:rFonts w:ascii="Arial Narrow" w:hAnsi="Arial Narrow"/>
              </w:rPr>
            </w:pPr>
            <w:r w:rsidRPr="00AC39E0">
              <w:rPr>
                <w:rFonts w:ascii="Arial Narrow" w:hAnsi="Arial Narrow"/>
              </w:rPr>
              <w:t>($0–$10.90)</w:t>
            </w:r>
          </w:p>
        </w:tc>
      </w:tr>
      <w:tr w:rsidR="00234376" w:rsidRPr="00AC39E0">
        <w:tc>
          <w:tcPr>
            <w:tcW w:w="4252" w:type="dxa"/>
            <w:gridSpan w:val="2"/>
          </w:tcPr>
          <w:p w:rsidR="00234376" w:rsidRPr="00AC39E0" w:rsidRDefault="00234376" w:rsidP="008E03A7">
            <w:pPr>
              <w:pStyle w:val="TableText0"/>
              <w:rPr>
                <w:rFonts w:ascii="Arial Narrow" w:hAnsi="Arial Narrow"/>
              </w:rPr>
            </w:pPr>
          </w:p>
        </w:tc>
        <w:tc>
          <w:tcPr>
            <w:tcW w:w="1923" w:type="dxa"/>
          </w:tcPr>
          <w:p w:rsidR="00234376" w:rsidRPr="00AC39E0" w:rsidRDefault="00234376" w:rsidP="008E03A7">
            <w:pPr>
              <w:pStyle w:val="TableText0"/>
              <w:jc w:val="center"/>
              <w:rPr>
                <w:rFonts w:ascii="Arial Narrow" w:hAnsi="Arial Narrow"/>
              </w:rPr>
            </w:pPr>
          </w:p>
        </w:tc>
        <w:tc>
          <w:tcPr>
            <w:tcW w:w="3180" w:type="dxa"/>
          </w:tcPr>
          <w:p w:rsidR="00234376" w:rsidRPr="00AC39E0" w:rsidRDefault="00234376" w:rsidP="008E03A7">
            <w:pPr>
              <w:pStyle w:val="TableText0"/>
              <w:jc w:val="center"/>
              <w:rPr>
                <w:rFonts w:ascii="Arial Narrow" w:hAnsi="Arial Narrow"/>
              </w:rPr>
            </w:pPr>
          </w:p>
        </w:tc>
      </w:tr>
      <w:tr w:rsidR="00234376" w:rsidRPr="00AC39E0">
        <w:tc>
          <w:tcPr>
            <w:tcW w:w="4252" w:type="dxa"/>
            <w:gridSpan w:val="2"/>
          </w:tcPr>
          <w:p w:rsidR="00234376" w:rsidRPr="00AC39E0" w:rsidRDefault="00234376" w:rsidP="008E03A7">
            <w:pPr>
              <w:pStyle w:val="TableText0"/>
              <w:rPr>
                <w:rFonts w:ascii="Arial Narrow" w:hAnsi="Arial Narrow"/>
              </w:rPr>
            </w:pPr>
            <w:r w:rsidRPr="00AC39E0">
              <w:rPr>
                <w:rFonts w:ascii="Arial Narrow" w:hAnsi="Arial Narrow"/>
              </w:rPr>
              <w:t>Automated LBC unit cost</w:t>
            </w:r>
          </w:p>
          <w:p w:rsidR="00234376" w:rsidRPr="00AC39E0" w:rsidRDefault="00234376" w:rsidP="008E03A7">
            <w:pPr>
              <w:pStyle w:val="TableText0"/>
              <w:ind w:left="567"/>
              <w:rPr>
                <w:rFonts w:ascii="Arial Narrow" w:hAnsi="Arial Narrow"/>
              </w:rPr>
            </w:pPr>
            <w:r w:rsidRPr="00AC39E0">
              <w:rPr>
                <w:rFonts w:ascii="Arial Narrow" w:hAnsi="Arial Narrow"/>
              </w:rPr>
              <w:t>(incremental cost compared with CC)</w:t>
            </w: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$36.00</w:t>
            </w:r>
          </w:p>
          <w:p w:rsidR="00234376" w:rsidRPr="00AC39E0" w:rsidRDefault="00234376" w:rsidP="008E03A7">
            <w:pPr>
              <w:pStyle w:val="TableText0"/>
              <w:jc w:val="center"/>
              <w:rPr>
                <w:rFonts w:ascii="Arial Narrow" w:hAnsi="Arial Narrow"/>
              </w:rPr>
            </w:pPr>
            <w:r w:rsidRPr="00AC39E0">
              <w:rPr>
                <w:rFonts w:ascii="Arial Narrow" w:hAnsi="Arial Narrow"/>
              </w:rPr>
              <w:t>($16.40)</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$19.60–$36.00</w:t>
            </w:r>
          </w:p>
          <w:p w:rsidR="00234376" w:rsidRPr="00AC39E0" w:rsidRDefault="00234376" w:rsidP="008E03A7">
            <w:pPr>
              <w:pStyle w:val="TableText0"/>
              <w:jc w:val="center"/>
              <w:rPr>
                <w:rFonts w:ascii="Arial Narrow" w:hAnsi="Arial Narrow"/>
              </w:rPr>
            </w:pPr>
            <w:r w:rsidRPr="00AC39E0">
              <w:rPr>
                <w:rFonts w:ascii="Arial Narrow" w:hAnsi="Arial Narrow"/>
              </w:rPr>
              <w:t>($0–$16.40)</w:t>
            </w:r>
          </w:p>
        </w:tc>
      </w:tr>
      <w:tr w:rsidR="00234376" w:rsidRPr="00AC39E0">
        <w:tc>
          <w:tcPr>
            <w:tcW w:w="4252" w:type="dxa"/>
            <w:gridSpan w:val="2"/>
          </w:tcPr>
          <w:p w:rsidR="00234376" w:rsidRPr="00AC39E0" w:rsidRDefault="00234376" w:rsidP="008E03A7">
            <w:pPr>
              <w:pStyle w:val="TableText0"/>
              <w:rPr>
                <w:rFonts w:ascii="Arial Narrow" w:hAnsi="Arial Narrow"/>
              </w:rPr>
            </w:pPr>
          </w:p>
        </w:tc>
        <w:tc>
          <w:tcPr>
            <w:tcW w:w="1923" w:type="dxa"/>
          </w:tcPr>
          <w:p w:rsidR="00234376" w:rsidRPr="00AC39E0" w:rsidRDefault="00234376" w:rsidP="008E03A7">
            <w:pPr>
              <w:pStyle w:val="TableText0"/>
              <w:jc w:val="center"/>
              <w:rPr>
                <w:rFonts w:ascii="Arial Narrow" w:hAnsi="Arial Narrow"/>
              </w:rPr>
            </w:pPr>
          </w:p>
        </w:tc>
        <w:tc>
          <w:tcPr>
            <w:tcW w:w="3180" w:type="dxa"/>
          </w:tcPr>
          <w:p w:rsidR="00234376" w:rsidRPr="00AC39E0" w:rsidRDefault="00234376" w:rsidP="008E03A7">
            <w:pPr>
              <w:pStyle w:val="TableText0"/>
              <w:jc w:val="center"/>
              <w:rPr>
                <w:rFonts w:ascii="Arial Narrow" w:hAnsi="Arial Narrow"/>
              </w:rPr>
            </w:pPr>
          </w:p>
        </w:tc>
      </w:tr>
      <w:tr w:rsidR="00234376" w:rsidRPr="00AC39E0">
        <w:tc>
          <w:tcPr>
            <w:tcW w:w="1645" w:type="dxa"/>
          </w:tcPr>
          <w:p w:rsidR="00234376" w:rsidRPr="00AC39E0" w:rsidRDefault="00234376" w:rsidP="008E03A7">
            <w:pPr>
              <w:pStyle w:val="TableText0"/>
              <w:rPr>
                <w:rFonts w:ascii="Arial Narrow" w:hAnsi="Arial Narrow"/>
              </w:rPr>
            </w:pPr>
            <w:r w:rsidRPr="00AC39E0">
              <w:rPr>
                <w:rFonts w:ascii="Arial Narrow" w:hAnsi="Arial Narrow"/>
              </w:rPr>
              <w:t>Discount rate</w:t>
            </w:r>
          </w:p>
        </w:tc>
        <w:tc>
          <w:tcPr>
            <w:tcW w:w="2607" w:type="dxa"/>
          </w:tcPr>
          <w:p w:rsidR="00234376" w:rsidRPr="00AC39E0" w:rsidRDefault="00234376" w:rsidP="008E03A7">
            <w:pPr>
              <w:pStyle w:val="TableText0"/>
              <w:rPr>
                <w:rFonts w:ascii="Arial Narrow" w:hAnsi="Arial Narrow"/>
              </w:rPr>
            </w:pP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5%</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0%–5%</w:t>
            </w:r>
          </w:p>
        </w:tc>
      </w:tr>
      <w:tr w:rsidR="00234376" w:rsidRPr="00AC39E0">
        <w:tc>
          <w:tcPr>
            <w:tcW w:w="4252" w:type="dxa"/>
            <w:gridSpan w:val="2"/>
          </w:tcPr>
          <w:p w:rsidR="00234376" w:rsidRPr="00AC39E0" w:rsidRDefault="00234376" w:rsidP="008E03A7">
            <w:pPr>
              <w:pStyle w:val="TableText0"/>
              <w:ind w:left="567"/>
              <w:rPr>
                <w:rFonts w:ascii="Arial Narrow" w:hAnsi="Arial Narrow"/>
              </w:rPr>
            </w:pPr>
          </w:p>
        </w:tc>
        <w:tc>
          <w:tcPr>
            <w:tcW w:w="1923" w:type="dxa"/>
          </w:tcPr>
          <w:p w:rsidR="00234376" w:rsidRPr="00AC39E0" w:rsidRDefault="00234376" w:rsidP="008E03A7">
            <w:pPr>
              <w:pStyle w:val="TableText0"/>
              <w:jc w:val="center"/>
              <w:rPr>
                <w:rFonts w:ascii="Arial Narrow" w:hAnsi="Arial Narrow"/>
              </w:rPr>
            </w:pPr>
          </w:p>
        </w:tc>
        <w:tc>
          <w:tcPr>
            <w:tcW w:w="3180" w:type="dxa"/>
          </w:tcPr>
          <w:p w:rsidR="00234376" w:rsidRPr="00AC39E0" w:rsidRDefault="00234376" w:rsidP="008E03A7">
            <w:pPr>
              <w:pStyle w:val="TableText0"/>
              <w:jc w:val="center"/>
              <w:rPr>
                <w:rFonts w:ascii="Arial Narrow" w:hAnsi="Arial Narrow"/>
              </w:rPr>
            </w:pPr>
          </w:p>
        </w:tc>
      </w:tr>
      <w:tr w:rsidR="00234376" w:rsidRPr="00AC39E0">
        <w:tc>
          <w:tcPr>
            <w:tcW w:w="4252" w:type="dxa"/>
            <w:gridSpan w:val="2"/>
          </w:tcPr>
          <w:p w:rsidR="00234376" w:rsidRPr="00AC39E0" w:rsidRDefault="00234376" w:rsidP="008E03A7">
            <w:pPr>
              <w:pStyle w:val="TableText0"/>
              <w:jc w:val="both"/>
              <w:rPr>
                <w:rFonts w:ascii="Arial Narrow" w:hAnsi="Arial Narrow"/>
              </w:rPr>
            </w:pPr>
            <w:r w:rsidRPr="00AC39E0">
              <w:rPr>
                <w:rFonts w:ascii="Arial Narrow" w:hAnsi="Arial Narrow"/>
              </w:rPr>
              <w:t>Recommended screening interval</w:t>
            </w: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Two-yearly recommendation—compliance informed by analysis of registry data</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Three-yearly recommendation—assumed compliance is informed by data from settings where 3-yearly screening is recommended</w:t>
            </w:r>
          </w:p>
        </w:tc>
      </w:tr>
      <w:tr w:rsidR="00234376" w:rsidRPr="00AC39E0">
        <w:tc>
          <w:tcPr>
            <w:tcW w:w="4252" w:type="dxa"/>
            <w:gridSpan w:val="2"/>
          </w:tcPr>
          <w:p w:rsidR="00234376" w:rsidRPr="00AC39E0" w:rsidRDefault="00234376" w:rsidP="008E03A7">
            <w:pPr>
              <w:pStyle w:val="TableText0"/>
              <w:ind w:left="567"/>
              <w:rPr>
                <w:rFonts w:ascii="Arial Narrow" w:hAnsi="Arial Narrow"/>
              </w:rPr>
            </w:pPr>
          </w:p>
        </w:tc>
        <w:tc>
          <w:tcPr>
            <w:tcW w:w="1923" w:type="dxa"/>
          </w:tcPr>
          <w:p w:rsidR="00234376" w:rsidRPr="00AC39E0" w:rsidRDefault="00234376" w:rsidP="008E03A7">
            <w:pPr>
              <w:pStyle w:val="TableText0"/>
              <w:jc w:val="center"/>
              <w:rPr>
                <w:rFonts w:ascii="Arial Narrow" w:hAnsi="Arial Narrow"/>
              </w:rPr>
            </w:pPr>
          </w:p>
        </w:tc>
        <w:tc>
          <w:tcPr>
            <w:tcW w:w="3180" w:type="dxa"/>
          </w:tcPr>
          <w:p w:rsidR="00234376" w:rsidRPr="00AC39E0" w:rsidRDefault="00234376" w:rsidP="008E03A7">
            <w:pPr>
              <w:pStyle w:val="TableText0"/>
              <w:jc w:val="center"/>
              <w:rPr>
                <w:rFonts w:ascii="Arial Narrow" w:hAnsi="Arial Narrow"/>
              </w:rPr>
            </w:pPr>
          </w:p>
        </w:tc>
      </w:tr>
      <w:tr w:rsidR="00234376" w:rsidRPr="00AC39E0">
        <w:tc>
          <w:tcPr>
            <w:tcW w:w="4252" w:type="dxa"/>
            <w:gridSpan w:val="2"/>
          </w:tcPr>
          <w:p w:rsidR="00234376" w:rsidRPr="00AC39E0" w:rsidRDefault="00234376" w:rsidP="008E03A7">
            <w:pPr>
              <w:pStyle w:val="TableText0"/>
              <w:rPr>
                <w:rFonts w:ascii="Arial Narrow" w:hAnsi="Arial Narrow"/>
              </w:rPr>
            </w:pPr>
            <w:r w:rsidRPr="00AC39E0">
              <w:rPr>
                <w:rFonts w:ascii="Arial Narrow" w:hAnsi="Arial Narrow"/>
              </w:rPr>
              <w:t>MBS reimbursement level</w:t>
            </w:r>
          </w:p>
        </w:tc>
        <w:tc>
          <w:tcPr>
            <w:tcW w:w="1923" w:type="dxa"/>
          </w:tcPr>
          <w:p w:rsidR="00234376" w:rsidRPr="00AC39E0" w:rsidRDefault="00234376" w:rsidP="008E03A7">
            <w:pPr>
              <w:pStyle w:val="TableText0"/>
              <w:jc w:val="center"/>
              <w:rPr>
                <w:rFonts w:ascii="Arial Narrow" w:hAnsi="Arial Narrow"/>
              </w:rPr>
            </w:pPr>
            <w:r w:rsidRPr="00AC39E0">
              <w:rPr>
                <w:rFonts w:ascii="Arial Narrow" w:hAnsi="Arial Narrow"/>
              </w:rPr>
              <w:t>100%</w:t>
            </w:r>
          </w:p>
        </w:tc>
        <w:tc>
          <w:tcPr>
            <w:tcW w:w="3180" w:type="dxa"/>
          </w:tcPr>
          <w:p w:rsidR="00234376" w:rsidRPr="00AC39E0" w:rsidRDefault="00234376" w:rsidP="008E03A7">
            <w:pPr>
              <w:pStyle w:val="TableText0"/>
              <w:jc w:val="center"/>
              <w:rPr>
                <w:rFonts w:ascii="Arial Narrow" w:hAnsi="Arial Narrow"/>
              </w:rPr>
            </w:pPr>
            <w:r w:rsidRPr="00AC39E0">
              <w:rPr>
                <w:rFonts w:ascii="Arial Narrow" w:hAnsi="Arial Narrow"/>
              </w:rPr>
              <w:t>85%</w:t>
            </w:r>
          </w:p>
        </w:tc>
      </w:tr>
      <w:tr w:rsidR="00234376" w:rsidRPr="00AC39E0">
        <w:tc>
          <w:tcPr>
            <w:tcW w:w="1645" w:type="dxa"/>
            <w:tcBorders>
              <w:bottom w:val="single" w:sz="4" w:space="0" w:color="auto"/>
            </w:tcBorders>
          </w:tcPr>
          <w:p w:rsidR="00234376" w:rsidRPr="00AC39E0" w:rsidRDefault="00234376" w:rsidP="008E03A7">
            <w:pPr>
              <w:pStyle w:val="TableText0"/>
              <w:rPr>
                <w:rFonts w:ascii="Arial Narrow" w:hAnsi="Arial Narrow"/>
              </w:rPr>
            </w:pPr>
          </w:p>
        </w:tc>
        <w:tc>
          <w:tcPr>
            <w:tcW w:w="2607" w:type="dxa"/>
            <w:tcBorders>
              <w:bottom w:val="single" w:sz="4" w:space="0" w:color="auto"/>
            </w:tcBorders>
          </w:tcPr>
          <w:p w:rsidR="00234376" w:rsidRPr="00AC39E0" w:rsidRDefault="00234376" w:rsidP="008E03A7">
            <w:pPr>
              <w:pStyle w:val="TableText0"/>
              <w:rPr>
                <w:rFonts w:ascii="Arial Narrow" w:hAnsi="Arial Narrow"/>
              </w:rPr>
            </w:pPr>
          </w:p>
        </w:tc>
        <w:tc>
          <w:tcPr>
            <w:tcW w:w="1923" w:type="dxa"/>
            <w:tcBorders>
              <w:bottom w:val="single" w:sz="4" w:space="0" w:color="auto"/>
            </w:tcBorders>
          </w:tcPr>
          <w:p w:rsidR="00234376" w:rsidRPr="00AC39E0" w:rsidRDefault="00234376" w:rsidP="008E03A7">
            <w:pPr>
              <w:pStyle w:val="TableText0"/>
              <w:rPr>
                <w:rFonts w:ascii="Arial Narrow" w:hAnsi="Arial Narrow"/>
              </w:rPr>
            </w:pPr>
          </w:p>
        </w:tc>
        <w:tc>
          <w:tcPr>
            <w:tcW w:w="3180" w:type="dxa"/>
            <w:tcBorders>
              <w:bottom w:val="single" w:sz="4" w:space="0" w:color="auto"/>
            </w:tcBorders>
          </w:tcPr>
          <w:p w:rsidR="00234376" w:rsidRPr="00AC39E0" w:rsidRDefault="00234376" w:rsidP="008E03A7">
            <w:pPr>
              <w:pStyle w:val="TableText0"/>
              <w:jc w:val="center"/>
              <w:rPr>
                <w:rFonts w:ascii="Arial Narrow" w:hAnsi="Arial Narrow"/>
              </w:rPr>
            </w:pPr>
          </w:p>
        </w:tc>
      </w:tr>
    </w:tbl>
    <w:p w:rsidR="00234376" w:rsidRPr="00AC39E0" w:rsidRDefault="00234376" w:rsidP="00234376">
      <w:pPr>
        <w:pStyle w:val="TableNotes"/>
        <w:spacing w:after="0"/>
        <w:rPr>
          <w:sz w:val="20"/>
        </w:rPr>
      </w:pPr>
      <w:r w:rsidRPr="00AC39E0">
        <w:rPr>
          <w:i/>
        </w:rPr>
        <w:t>Abbreviations:</w:t>
      </w:r>
      <w:r w:rsidRPr="00AC39E0">
        <w:t xml:space="preserve"> </w:t>
      </w:r>
      <w:r w:rsidRPr="00AC39E0">
        <w:rPr>
          <w:sz w:val="18"/>
        </w:rPr>
        <w:t>LBC = liquid-based cytology; HC</w:t>
      </w:r>
      <w:r w:rsidR="00AC5ABD" w:rsidRPr="00AC39E0">
        <w:rPr>
          <w:sz w:val="18"/>
        </w:rPr>
        <w:t>-</w:t>
      </w:r>
      <w:r w:rsidRPr="00AC39E0">
        <w:rPr>
          <w:sz w:val="18"/>
        </w:rPr>
        <w:t xml:space="preserve">II = Hybrid Capture II HPV test; PCR = polymerase chain reaction; CIN = cervical intraepithelial neoplasia; CC = </w:t>
      </w:r>
      <w:bookmarkStart w:id="744" w:name="OLE_LINK583"/>
      <w:bookmarkStart w:id="745" w:name="OLE_LINK584"/>
      <w:r w:rsidRPr="00AC39E0">
        <w:rPr>
          <w:sz w:val="18"/>
        </w:rPr>
        <w:t>conventional cytology</w:t>
      </w:r>
      <w:bookmarkEnd w:id="744"/>
      <w:bookmarkEnd w:id="745"/>
      <w:r w:rsidRPr="00AC39E0">
        <w:rPr>
          <w:sz w:val="18"/>
        </w:rPr>
        <w:t>.</w:t>
      </w:r>
    </w:p>
    <w:p w:rsidR="00234376" w:rsidRPr="00234376" w:rsidRDefault="00234376" w:rsidP="008E03A7">
      <w:pPr>
        <w:pStyle w:val="TableNotes"/>
        <w:spacing w:after="0"/>
        <w:ind w:left="709" w:firstLine="11"/>
        <w:rPr>
          <w:sz w:val="18"/>
        </w:rPr>
      </w:pPr>
      <w:r w:rsidRPr="00AC39E0">
        <w:rPr>
          <w:sz w:val="18"/>
          <w:vertAlign w:val="superscript"/>
        </w:rPr>
        <w:t>a</w:t>
      </w:r>
      <w:r w:rsidRPr="00AC39E0">
        <w:rPr>
          <w:sz w:val="18"/>
        </w:rPr>
        <w:t xml:space="preserve"> Within these ranges, the sensitivity analysis of the relative performance of the test technologies was constrained such that the unsatisfactory rate of conventional cytology was always ≥ the unsatisfactory rate of manual LBC or automated LBC.</w:t>
      </w:r>
    </w:p>
    <w:p w:rsidR="00234376" w:rsidRPr="00537C3C" w:rsidRDefault="00234376" w:rsidP="008E03A7">
      <w:pPr>
        <w:pStyle w:val="TableNotes"/>
        <w:spacing w:after="0"/>
        <w:ind w:left="709" w:firstLine="11"/>
        <w:rPr>
          <w:sz w:val="20"/>
        </w:rPr>
      </w:pPr>
    </w:p>
    <w:p w:rsidR="00234376" w:rsidRPr="00537C3C" w:rsidRDefault="00234376" w:rsidP="008E03A7">
      <w:pPr>
        <w:pStyle w:val="Caption"/>
        <w:ind w:left="709" w:firstLine="28"/>
        <w:rPr>
          <w:b w:val="0"/>
          <w:bCs w:val="0"/>
        </w:rPr>
      </w:pPr>
      <w:bookmarkStart w:id="746" w:name="_Ref213048004"/>
      <w:bookmarkStart w:id="747" w:name="_Toc231895854"/>
      <w:bookmarkStart w:id="748" w:name="_Toc222823910"/>
      <w:r w:rsidRPr="00537C3C">
        <w:lastRenderedPageBreak/>
        <w:t xml:space="preserve">Figure </w:t>
      </w:r>
      <w:fldSimple w:instr=" SEQ Figure \* ARABIC ">
        <w:r w:rsidR="007D3DFF">
          <w:rPr>
            <w:noProof/>
          </w:rPr>
          <w:t>13</w:t>
        </w:r>
      </w:fldSimple>
      <w:bookmarkEnd w:id="746"/>
      <w:r w:rsidRPr="00537C3C">
        <w:tab/>
      </w:r>
      <w:bookmarkStart w:id="749" w:name="OLE_LINK29"/>
      <w:bookmarkStart w:id="750" w:name="OLE_LINK30"/>
      <w:r w:rsidRPr="00537C3C">
        <w:t xml:space="preserve">Sensitivity analysis for cost-effectiveness ratios of automated </w:t>
      </w:r>
      <w:r w:rsidRPr="00BB76D8">
        <w:t>LBC</w:t>
      </w:r>
      <w:bookmarkEnd w:id="749"/>
      <w:bookmarkEnd w:id="750"/>
      <w:r w:rsidRPr="00537C3C">
        <w:t>.</w:t>
      </w:r>
      <w:bookmarkEnd w:id="747"/>
      <w:bookmarkEnd w:id="748"/>
    </w:p>
    <w:p w:rsidR="00234376" w:rsidRPr="00537C3C" w:rsidRDefault="006F242B" w:rsidP="008E03A7">
      <w:pPr>
        <w:pStyle w:val="Caption"/>
        <w:ind w:left="709" w:firstLine="28"/>
      </w:pPr>
      <w:r>
        <w:rPr>
          <w:noProof/>
        </w:rPr>
        <w:drawing>
          <wp:inline distT="0" distB="0" distL="0" distR="0" wp14:anchorId="04F41BC8" wp14:editId="23DA8314">
            <wp:extent cx="5347970" cy="4316730"/>
            <wp:effectExtent l="0" t="0" r="5080" b="7620"/>
            <wp:docPr id="29" name="Picture 29" title="Sensitivity analysis for cost-effectiveness ratios of automated L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7970" cy="4316730"/>
                    </a:xfrm>
                    <a:prstGeom prst="rect">
                      <a:avLst/>
                    </a:prstGeom>
                    <a:noFill/>
                    <a:ln>
                      <a:noFill/>
                    </a:ln>
                  </pic:spPr>
                </pic:pic>
              </a:graphicData>
            </a:graphic>
          </wp:inline>
        </w:drawing>
      </w:r>
    </w:p>
    <w:p w:rsidR="00234376" w:rsidRPr="00537C3C" w:rsidRDefault="00234376" w:rsidP="008E03A7">
      <w:pPr>
        <w:pStyle w:val="Caption"/>
        <w:rPr>
          <w:sz w:val="16"/>
          <w:szCs w:val="16"/>
        </w:rPr>
      </w:pPr>
      <w:r w:rsidRPr="00537C3C">
        <w:t>(</w:t>
      </w:r>
      <w:r w:rsidRPr="00BB76D8">
        <w:rPr>
          <w:sz w:val="16"/>
          <w:szCs w:val="16"/>
        </w:rPr>
        <w:t>MBS</w:t>
      </w:r>
      <w:r w:rsidRPr="00537C3C">
        <w:rPr>
          <w:sz w:val="16"/>
          <w:szCs w:val="16"/>
        </w:rPr>
        <w:t xml:space="preserve"> reimbursement level varied from 100% down to 85% in this analysis.)</w:t>
      </w:r>
    </w:p>
    <w:p w:rsidR="00234376" w:rsidRPr="00537C3C" w:rsidRDefault="00234376" w:rsidP="008E03A7">
      <w:pPr>
        <w:pStyle w:val="BodyText"/>
        <w:rPr>
          <w:vanish w:val="0"/>
          <w:lang w:eastAsia="en-AU"/>
        </w:rPr>
      </w:pPr>
    </w:p>
    <w:p w:rsidR="00234376" w:rsidRPr="00537C3C" w:rsidRDefault="00234376" w:rsidP="008E03A7">
      <w:pPr>
        <w:pStyle w:val="Caption"/>
        <w:rPr>
          <w:b w:val="0"/>
          <w:bCs w:val="0"/>
        </w:rPr>
      </w:pPr>
      <w:bookmarkStart w:id="751" w:name="_Ref213048007"/>
      <w:bookmarkStart w:id="752" w:name="_Toc231895855"/>
      <w:bookmarkStart w:id="753" w:name="_Toc222823911"/>
      <w:r w:rsidRPr="00537C3C">
        <w:lastRenderedPageBreak/>
        <w:t xml:space="preserve">Figure </w:t>
      </w:r>
      <w:fldSimple w:instr=" SEQ Figure \* ARABIC ">
        <w:r w:rsidR="007D3DFF">
          <w:rPr>
            <w:noProof/>
          </w:rPr>
          <w:t>14</w:t>
        </w:r>
      </w:fldSimple>
      <w:bookmarkEnd w:id="751"/>
      <w:r w:rsidRPr="00537C3C">
        <w:tab/>
        <w:t xml:space="preserve">Sensitivity analysis for cost-effectiveness ratios of manual </w:t>
      </w:r>
      <w:r w:rsidRPr="00BB76D8">
        <w:t>LBC</w:t>
      </w:r>
      <w:r w:rsidRPr="00537C3C">
        <w:t xml:space="preserve"> (assuming $2.40 incremental cost for </w:t>
      </w:r>
      <w:r w:rsidRPr="00BB76D8">
        <w:t>LBC</w:t>
      </w:r>
      <w:r w:rsidRPr="00537C3C">
        <w:t>).</w:t>
      </w:r>
      <w:bookmarkEnd w:id="752"/>
      <w:bookmarkEnd w:id="753"/>
    </w:p>
    <w:p w:rsidR="00234376" w:rsidRPr="00537C3C" w:rsidRDefault="006F242B" w:rsidP="008E03A7">
      <w:r>
        <w:rPr>
          <w:noProof/>
          <w:lang w:eastAsia="en-AU"/>
        </w:rPr>
        <w:drawing>
          <wp:inline distT="0" distB="0" distL="0" distR="0" wp14:anchorId="10E34B51" wp14:editId="7ACD2CFA">
            <wp:extent cx="4912360" cy="4795520"/>
            <wp:effectExtent l="0" t="0" r="2540" b="5080"/>
            <wp:docPr id="30" name="Picture 30" title="Sensitivity analysis for cost-effectiveness ratios of manual LBC (assuming $2.40 incremental cost for L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2360" cy="4795520"/>
                    </a:xfrm>
                    <a:prstGeom prst="rect">
                      <a:avLst/>
                    </a:prstGeom>
                    <a:noFill/>
                    <a:ln>
                      <a:noFill/>
                    </a:ln>
                  </pic:spPr>
                </pic:pic>
              </a:graphicData>
            </a:graphic>
          </wp:inline>
        </w:drawing>
      </w:r>
    </w:p>
    <w:p w:rsidR="00234376" w:rsidRPr="00537C3C" w:rsidRDefault="00234376" w:rsidP="008E03A7">
      <w:pPr>
        <w:pStyle w:val="Caption"/>
        <w:rPr>
          <w:sz w:val="16"/>
          <w:szCs w:val="16"/>
        </w:rPr>
      </w:pPr>
      <w:r w:rsidRPr="00537C3C">
        <w:t>(</w:t>
      </w:r>
      <w:r w:rsidRPr="00BB76D8">
        <w:rPr>
          <w:sz w:val="16"/>
          <w:szCs w:val="16"/>
        </w:rPr>
        <w:t>MBS</w:t>
      </w:r>
      <w:r w:rsidRPr="00537C3C">
        <w:rPr>
          <w:sz w:val="16"/>
          <w:szCs w:val="16"/>
        </w:rPr>
        <w:t xml:space="preserve"> reimbursement level varied from 100% down to 85% in this analysis.)</w:t>
      </w:r>
    </w:p>
    <w:p w:rsidR="00234376" w:rsidRDefault="00234376" w:rsidP="00234376">
      <w:pPr>
        <w:pStyle w:val="Heading3"/>
        <w:rPr>
          <w:b w:val="0"/>
          <w:bCs w:val="0"/>
        </w:rPr>
      </w:pPr>
      <w:r w:rsidRPr="00537C3C">
        <w:t>Financial implications</w:t>
      </w:r>
    </w:p>
    <w:p w:rsidR="00234376" w:rsidRPr="00537C3C" w:rsidRDefault="00234376" w:rsidP="008E03A7">
      <w:r w:rsidRPr="00537C3C">
        <w:t xml:space="preserve">The annual financial implications of the decision to publicly fund </w:t>
      </w:r>
      <w:r w:rsidRPr="00BB76D8">
        <w:t>LBC</w:t>
      </w:r>
      <w:r w:rsidRPr="00537C3C">
        <w:t xml:space="preserve"> with manual reading and automation-assisted screening are presented in </w:t>
      </w:r>
      <w:r>
        <w:fldChar w:fldCharType="begin"/>
      </w:r>
      <w:r>
        <w:instrText xml:space="preserve"> REF _Ref215973884 \h  \* MERGEFORMAT </w:instrText>
      </w:r>
      <w:r>
        <w:fldChar w:fldCharType="separate"/>
      </w:r>
      <w:r w:rsidR="007D3DFF" w:rsidRPr="00537C3C">
        <w:t xml:space="preserve">Table </w:t>
      </w:r>
      <w:r w:rsidR="007D3DFF">
        <w:rPr>
          <w:noProof/>
        </w:rPr>
        <w:t>57</w:t>
      </w:r>
      <w:r>
        <w:fldChar w:fldCharType="end"/>
      </w:r>
      <w:r w:rsidRPr="00537C3C">
        <w:t>.</w:t>
      </w:r>
    </w:p>
    <w:p w:rsidR="00234376" w:rsidRPr="00537C3C" w:rsidRDefault="00234376" w:rsidP="008E03A7">
      <w:pPr>
        <w:rPr>
          <w:snapToGrid w:val="0"/>
        </w:rPr>
      </w:pPr>
      <w:r w:rsidRPr="00537C3C">
        <w:t>Annual cytology costs to Medicare were calculated by using estimates of potential utilisation (</w:t>
      </w:r>
      <w:r>
        <w:fldChar w:fldCharType="begin"/>
      </w:r>
      <w:r>
        <w:instrText xml:space="preserve"> REF _Ref215908742 \h  \* MERGEFORMAT </w:instrText>
      </w:r>
      <w:r>
        <w:fldChar w:fldCharType="separate"/>
      </w:r>
      <w:r w:rsidR="007D3DFF" w:rsidRPr="00AC39E0">
        <w:t xml:space="preserve">Table </w:t>
      </w:r>
      <w:r w:rsidR="007D3DFF">
        <w:rPr>
          <w:noProof/>
        </w:rPr>
        <w:t>53</w:t>
      </w:r>
      <w:r>
        <w:fldChar w:fldCharType="end"/>
      </w:r>
      <w:r w:rsidRPr="00537C3C">
        <w:t xml:space="preserve"> and page </w:t>
      </w:r>
      <w:r w:rsidRPr="00537C3C">
        <w:fldChar w:fldCharType="begin"/>
      </w:r>
      <w:r w:rsidRPr="00537C3C">
        <w:instrText xml:space="preserve"> PAGEREF _Ref209605842 \h </w:instrText>
      </w:r>
      <w:r w:rsidRPr="00537C3C">
        <w:fldChar w:fldCharType="separate"/>
      </w:r>
      <w:r w:rsidR="007D3DFF">
        <w:rPr>
          <w:noProof/>
        </w:rPr>
        <w:t>9</w:t>
      </w:r>
      <w:r w:rsidRPr="00537C3C">
        <w:fldChar w:fldCharType="end"/>
      </w:r>
      <w:r w:rsidRPr="00537C3C">
        <w:t xml:space="preserve">), and the costs of each cytology technology (using a 100% </w:t>
      </w:r>
      <w:r w:rsidRPr="00BB76D8">
        <w:t>MBS</w:t>
      </w:r>
      <w:r w:rsidRPr="00537C3C">
        <w:t xml:space="preserve"> reimbursement level). </w:t>
      </w:r>
      <w:r w:rsidRPr="00537C3C">
        <w:rPr>
          <w:snapToGrid w:val="0"/>
        </w:rPr>
        <w:t xml:space="preserve">The potential utilisation of conventional cytology was estimated at 1 901 913 tests annually, assuming management according to the 2005 </w:t>
      </w:r>
      <w:r w:rsidRPr="00BB76D8">
        <w:rPr>
          <w:snapToGrid w:val="0"/>
        </w:rPr>
        <w:t>NHMRC</w:t>
      </w:r>
      <w:r w:rsidRPr="00537C3C">
        <w:rPr>
          <w:snapToGrid w:val="0"/>
        </w:rPr>
        <w:t xml:space="preserve"> guidelines and incorporating </w:t>
      </w:r>
      <w:r w:rsidRPr="00BB76D8">
        <w:rPr>
          <w:snapToGrid w:val="0"/>
        </w:rPr>
        <w:t>HPV</w:t>
      </w:r>
      <w:r w:rsidRPr="00537C3C">
        <w:rPr>
          <w:snapToGrid w:val="0"/>
        </w:rPr>
        <w:t xml:space="preserve"> testing as a test of cure. Current utilisation in </w:t>
      </w:r>
      <w:smartTag w:uri="urn:schemas-microsoft-com:office:smarttags" w:element="place">
        <w:smartTag w:uri="urn:schemas-microsoft-com:office:smarttags" w:element="country-region">
          <w:r w:rsidRPr="00537C3C">
            <w:rPr>
              <w:snapToGrid w:val="0"/>
            </w:rPr>
            <w:t>Australia</w:t>
          </w:r>
        </w:smartTag>
      </w:smartTag>
      <w:r w:rsidRPr="00537C3C">
        <w:rPr>
          <w:snapToGrid w:val="0"/>
        </w:rPr>
        <w:t xml:space="preserve"> is somewhat higher than this estimated value, at 2.1 million smears in 2007, which could in part be explained by transitional issues in the implementation of the 2005 </w:t>
      </w:r>
      <w:r w:rsidRPr="00BB76D8">
        <w:rPr>
          <w:snapToGrid w:val="0"/>
        </w:rPr>
        <w:t>NHMRC</w:t>
      </w:r>
      <w:r w:rsidRPr="00537C3C">
        <w:rPr>
          <w:snapToGrid w:val="0"/>
        </w:rPr>
        <w:t xml:space="preserve"> Guidelines and in post-treatment management with </w:t>
      </w:r>
      <w:r w:rsidRPr="00BB76D8">
        <w:rPr>
          <w:snapToGrid w:val="0"/>
        </w:rPr>
        <w:t>HPV</w:t>
      </w:r>
      <w:r w:rsidRPr="00537C3C">
        <w:rPr>
          <w:snapToGrid w:val="0"/>
        </w:rPr>
        <w:t xml:space="preserve"> test-of-cure.</w:t>
      </w:r>
    </w:p>
    <w:p w:rsidR="00234376" w:rsidRPr="00537C3C" w:rsidRDefault="00234376" w:rsidP="008E03A7">
      <w:pPr>
        <w:rPr>
          <w:snapToGrid w:val="0"/>
        </w:rPr>
      </w:pPr>
      <w:r>
        <w:fldChar w:fldCharType="begin"/>
      </w:r>
      <w:r>
        <w:instrText xml:space="preserve"> REF _Ref215973884 \h  \* MERGEFORMAT </w:instrText>
      </w:r>
      <w:r>
        <w:fldChar w:fldCharType="separate"/>
      </w:r>
      <w:r w:rsidR="007D3DFF" w:rsidRPr="00537C3C">
        <w:t xml:space="preserve">Table </w:t>
      </w:r>
      <w:r w:rsidR="007D3DFF">
        <w:rPr>
          <w:noProof/>
        </w:rPr>
        <w:t>57</w:t>
      </w:r>
      <w:r>
        <w:fldChar w:fldCharType="end"/>
      </w:r>
      <w:r w:rsidRPr="00537C3C">
        <w:rPr>
          <w:snapToGrid w:val="0"/>
        </w:rPr>
        <w:t xml:space="preserve"> summarises the estimated utilisation of manual or automated </w:t>
      </w:r>
      <w:r w:rsidRPr="00BB76D8">
        <w:rPr>
          <w:snapToGrid w:val="0"/>
        </w:rPr>
        <w:t>LBC</w:t>
      </w:r>
      <w:r w:rsidRPr="00537C3C">
        <w:rPr>
          <w:snapToGrid w:val="0"/>
        </w:rPr>
        <w:t xml:space="preserve"> should these technologies be publicly funded. Their use is expected to reduce the unsatisfactory rate to 1.8 per cent, thus reducing recalls for primary screening. Use of manual </w:t>
      </w:r>
      <w:r w:rsidRPr="00BB76D8">
        <w:rPr>
          <w:snapToGrid w:val="0"/>
        </w:rPr>
        <w:t>LBC</w:t>
      </w:r>
      <w:r w:rsidRPr="00537C3C">
        <w:rPr>
          <w:snapToGrid w:val="0"/>
        </w:rPr>
        <w:t xml:space="preserve"> is expected to increase the number of low-grade positive test results by 0.9 per cent, and use of automated </w:t>
      </w:r>
      <w:r w:rsidRPr="00BB76D8">
        <w:rPr>
          <w:snapToGrid w:val="0"/>
        </w:rPr>
        <w:t>LBC</w:t>
      </w:r>
      <w:r w:rsidRPr="00537C3C">
        <w:rPr>
          <w:snapToGrid w:val="0"/>
        </w:rPr>
        <w:t xml:space="preserve"> is expected to increase it by 1.24 per cent, increasing follow-up </w:t>
      </w:r>
      <w:r w:rsidRPr="00537C3C">
        <w:rPr>
          <w:snapToGrid w:val="0"/>
        </w:rPr>
        <w:lastRenderedPageBreak/>
        <w:t xml:space="preserve">testing and management. Both manual and automated </w:t>
      </w:r>
      <w:r w:rsidRPr="00BB76D8">
        <w:rPr>
          <w:snapToGrid w:val="0"/>
        </w:rPr>
        <w:t>LBC</w:t>
      </w:r>
      <w:r w:rsidRPr="00537C3C">
        <w:rPr>
          <w:snapToGrid w:val="0"/>
        </w:rPr>
        <w:t xml:space="preserve"> are expected to result in a net increase in the number of Pap smears. Modelling predicts that the reduction in repeat tests following unsatisfactory samples would be countered by an increase in the number of satisfactory smear tests overall.</w:t>
      </w:r>
    </w:p>
    <w:p w:rsidR="00234376" w:rsidRPr="00537C3C" w:rsidRDefault="00234376" w:rsidP="008E03A7">
      <w:r w:rsidRPr="00537C3C">
        <w:t xml:space="preserve">The costs of sample collection (i.e. consultation costs) will remain the same, irrespective of the cytological preparation or reading method used. Therefore, the incremental cost per patient of automated </w:t>
      </w:r>
      <w:r w:rsidRPr="00BB76D8">
        <w:t>LBC</w:t>
      </w:r>
      <w:r w:rsidRPr="00537C3C">
        <w:t xml:space="preserve"> is $16.40 ($36.00 less the current $19.60), and for </w:t>
      </w:r>
      <w:r w:rsidRPr="00BB76D8">
        <w:t>LBC</w:t>
      </w:r>
      <w:r w:rsidRPr="00537C3C">
        <w:t xml:space="preserve"> with manual reading is $2.40 to $10.90 (based on Applicant-requested reimbursements).</w:t>
      </w:r>
    </w:p>
    <w:p w:rsidR="00234376" w:rsidRPr="00537C3C" w:rsidRDefault="00234376" w:rsidP="008E03A7">
      <w:r w:rsidRPr="00537C3C">
        <w:t xml:space="preserve">Automated reading of </w:t>
      </w:r>
      <w:r w:rsidRPr="00BB76D8">
        <w:t>LBC</w:t>
      </w:r>
      <w:r w:rsidRPr="00537C3C">
        <w:t xml:space="preserve"> slides is likely to result in increased efficiency via faster throughput of cytology slides. This increased efficiency would not, however, have an impact on the cost-effectiveness ratio of the technology unless it were reflected in the reimbursement level of the test.</w:t>
      </w:r>
    </w:p>
    <w:p w:rsidR="00234376" w:rsidRPr="00537C3C" w:rsidRDefault="00234376" w:rsidP="008E03A7">
      <w:pPr>
        <w:rPr>
          <w:snapToGrid w:val="0"/>
        </w:rPr>
      </w:pPr>
      <w:r w:rsidRPr="00537C3C">
        <w:t>The net financial impact to the Australian health care system was calculated on the bas</w:t>
      </w:r>
      <w:r w:rsidRPr="00537C3C" w:rsidDel="00110B9C">
        <w:t>is</w:t>
      </w:r>
      <w:r w:rsidRPr="00537C3C">
        <w:t xml:space="preserve"> o</w:t>
      </w:r>
      <w:r w:rsidRPr="00537C3C" w:rsidDel="00110B9C">
        <w:t>f</w:t>
      </w:r>
      <w:r w:rsidRPr="00537C3C">
        <w:t xml:space="preserve"> the modelled incremental lifetime costs. For this calculation, no discounting was applied, and the modelled costs for each age group were multiplied by the number of women in </w:t>
      </w:r>
      <w:smartTag w:uri="urn:schemas-microsoft-com:office:smarttags" w:element="place">
        <w:smartTag w:uri="urn:schemas-microsoft-com:office:smarttags" w:element="country-region">
          <w:r w:rsidRPr="00537C3C">
            <w:t>Australia</w:t>
          </w:r>
        </w:smartTag>
      </w:smartTag>
      <w:r w:rsidRPr="00537C3C">
        <w:t xml:space="preserve"> of that age in 2007. Screening participation by age was incorporated into the model, and so is already accounted for in the age-specific costs. Total ‘societal’ costs (using 100% </w:t>
      </w:r>
      <w:r w:rsidRPr="00BB76D8">
        <w:t>MBS</w:t>
      </w:r>
      <w:r w:rsidRPr="00537C3C">
        <w:t xml:space="preserve"> reimbursement level) and the net impact on health care expenditure were considered. The final estimated cost includes all pathology, treatment, and consultation fees, but does not include screening program overheads. The estimates do not consider possible future population growth, changes in population age distribution, or </w:t>
      </w:r>
      <w:r w:rsidRPr="00537C3C">
        <w:rPr>
          <w:snapToGrid w:val="0"/>
        </w:rPr>
        <w:t>further changes to the current Australian screening guidelines.</w:t>
      </w:r>
    </w:p>
    <w:p w:rsidR="00234376" w:rsidRPr="00537C3C" w:rsidRDefault="00234376" w:rsidP="008E03A7">
      <w:r w:rsidRPr="00537C3C">
        <w:t xml:space="preserve">By the above method, the total cost of screening and management under current practice was estimated as approximately $166 million. If new technologies were introduced, the net annual costs were estimated as $173.4 million for manual </w:t>
      </w:r>
      <w:r w:rsidRPr="00BB76D8">
        <w:t>LBC</w:t>
      </w:r>
      <w:r w:rsidRPr="00537C3C">
        <w:t xml:space="preserve"> at the $2.40 incremental price, $189.7 million for manual </w:t>
      </w:r>
      <w:r w:rsidRPr="00BB76D8">
        <w:t>LBC</w:t>
      </w:r>
      <w:r w:rsidRPr="00537C3C">
        <w:t xml:space="preserve"> at the $10.90 incremental price, and $203.5 million for automated </w:t>
      </w:r>
      <w:r w:rsidRPr="00BB76D8">
        <w:t>LBC</w:t>
      </w:r>
      <w:r w:rsidRPr="00537C3C">
        <w:t>. These represent cost increases of $7.3 million, $37.4 million, and $23.6 million each year, respectively, or increases of between 4.5 and 22.5 per cent.</w:t>
      </w:r>
    </w:p>
    <w:p w:rsidR="00234376" w:rsidRPr="00537C3C" w:rsidRDefault="00234376" w:rsidP="008E03A7">
      <w:r w:rsidRPr="00537C3C">
        <w:t>It should be borne in mind that should the new technologies be introduced, it is likely that some tests would continue to be performed using conventional cytology, at least in a transition phase, and therefore the actual annual financial impact may be lower than the above estimates.</w:t>
      </w:r>
    </w:p>
    <w:p w:rsidR="00234376" w:rsidRPr="00537C3C" w:rsidRDefault="00234376" w:rsidP="008E03A7">
      <w:pPr>
        <w:pStyle w:val="TableNotes"/>
        <w:sectPr w:rsidR="00234376" w:rsidRPr="00537C3C" w:rsidSect="008E03A7">
          <w:pgSz w:w="11906" w:h="16838"/>
          <w:pgMar w:top="1440" w:right="1440" w:bottom="1440" w:left="1440" w:header="720" w:footer="720" w:gutter="0"/>
          <w:paperSrc w:first="2" w:other="2"/>
          <w:cols w:space="720"/>
        </w:sectPr>
      </w:pPr>
    </w:p>
    <w:p w:rsidR="00234376" w:rsidRPr="00537C3C" w:rsidRDefault="00234376" w:rsidP="008E03A7">
      <w:pPr>
        <w:pStyle w:val="Caption"/>
      </w:pPr>
      <w:bookmarkStart w:id="754" w:name="_Ref215973884"/>
      <w:bookmarkStart w:id="755" w:name="_Toc95971293"/>
      <w:r w:rsidRPr="00537C3C">
        <w:lastRenderedPageBreak/>
        <w:t xml:space="preserve">Table </w:t>
      </w:r>
      <w:fldSimple w:instr=" SEQ Table \* ARABIC ">
        <w:r w:rsidR="007D3DFF">
          <w:rPr>
            <w:noProof/>
          </w:rPr>
          <w:t>57</w:t>
        </w:r>
      </w:fldSimple>
      <w:bookmarkEnd w:id="754"/>
      <w:r w:rsidRPr="00537C3C">
        <w:tab/>
        <w:t>Financial implications of current and new test technologies—annual utilisation and costs.</w:t>
      </w:r>
      <w:bookmarkEnd w:id="755"/>
    </w:p>
    <w:tbl>
      <w:tblPr>
        <w:tblW w:w="13106" w:type="dxa"/>
        <w:tblInd w:w="720" w:type="dxa"/>
        <w:tblLook w:val="01E0" w:firstRow="1" w:lastRow="1" w:firstColumn="1" w:lastColumn="1" w:noHBand="0" w:noVBand="0"/>
      </w:tblPr>
      <w:tblGrid>
        <w:gridCol w:w="2388"/>
        <w:gridCol w:w="1701"/>
        <w:gridCol w:w="1674"/>
        <w:gridCol w:w="1836"/>
        <w:gridCol w:w="1835"/>
        <w:gridCol w:w="1836"/>
        <w:gridCol w:w="1836"/>
      </w:tblGrid>
      <w:tr w:rsidR="00234376" w:rsidRPr="00537C3C">
        <w:tc>
          <w:tcPr>
            <w:tcW w:w="2388" w:type="dxa"/>
            <w:tcBorders>
              <w:top w:val="single" w:sz="4" w:space="0" w:color="auto"/>
            </w:tcBorders>
            <w:vAlign w:val="center"/>
          </w:tcPr>
          <w:p w:rsidR="00234376" w:rsidRPr="00537C3C" w:rsidRDefault="00234376" w:rsidP="008E03A7">
            <w:pPr>
              <w:pStyle w:val="TableHeading0"/>
            </w:pPr>
            <w:r w:rsidRPr="00537C3C">
              <w:t>Strategy</w:t>
            </w:r>
          </w:p>
        </w:tc>
        <w:tc>
          <w:tcPr>
            <w:tcW w:w="3375" w:type="dxa"/>
            <w:gridSpan w:val="2"/>
            <w:tcBorders>
              <w:top w:val="single" w:sz="4" w:space="0" w:color="auto"/>
              <w:bottom w:val="single" w:sz="4" w:space="0" w:color="auto"/>
            </w:tcBorders>
          </w:tcPr>
          <w:p w:rsidR="00234376" w:rsidRPr="00537C3C" w:rsidRDefault="00234376" w:rsidP="008E03A7">
            <w:pPr>
              <w:pStyle w:val="TableHeading0"/>
              <w:jc w:val="center"/>
            </w:pPr>
            <w:r w:rsidRPr="00537C3C">
              <w:t>Annual cytology utilisation</w:t>
            </w:r>
          </w:p>
          <w:p w:rsidR="00234376" w:rsidRPr="00537C3C" w:rsidRDefault="00234376" w:rsidP="008E03A7">
            <w:pPr>
              <w:pStyle w:val="TableHeading0"/>
              <w:jc w:val="center"/>
            </w:pPr>
          </w:p>
        </w:tc>
        <w:tc>
          <w:tcPr>
            <w:tcW w:w="3671" w:type="dxa"/>
            <w:gridSpan w:val="2"/>
            <w:tcBorders>
              <w:top w:val="single" w:sz="4" w:space="0" w:color="auto"/>
              <w:bottom w:val="single" w:sz="4" w:space="0" w:color="auto"/>
            </w:tcBorders>
          </w:tcPr>
          <w:p w:rsidR="00234376" w:rsidRPr="00537C3C" w:rsidRDefault="00234376" w:rsidP="008E03A7">
            <w:pPr>
              <w:pStyle w:val="TableHeading0"/>
              <w:jc w:val="center"/>
            </w:pPr>
            <w:r w:rsidRPr="00537C3C">
              <w:t xml:space="preserve">Annual </w:t>
            </w:r>
            <w:r w:rsidRPr="00BB76D8">
              <w:t>MBS</w:t>
            </w:r>
            <w:r w:rsidRPr="00537C3C">
              <w:t xml:space="preserve"> cytology costs </w:t>
            </w:r>
            <w:r w:rsidRPr="00234376">
              <w:rPr>
                <w:vertAlign w:val="superscript"/>
              </w:rPr>
              <w:t>a</w:t>
            </w:r>
          </w:p>
        </w:tc>
        <w:tc>
          <w:tcPr>
            <w:tcW w:w="3672" w:type="dxa"/>
            <w:gridSpan w:val="2"/>
            <w:tcBorders>
              <w:top w:val="single" w:sz="4" w:space="0" w:color="auto"/>
              <w:bottom w:val="single" w:sz="4" w:space="0" w:color="auto"/>
            </w:tcBorders>
          </w:tcPr>
          <w:p w:rsidR="00234376" w:rsidRPr="00537C3C" w:rsidRDefault="00234376" w:rsidP="008E03A7">
            <w:pPr>
              <w:pStyle w:val="TableHeading0"/>
              <w:jc w:val="center"/>
            </w:pPr>
            <w:r w:rsidRPr="00537C3C">
              <w:t xml:space="preserve">Annual cost to health system </w:t>
            </w:r>
            <w:r w:rsidRPr="00234376">
              <w:rPr>
                <w:vertAlign w:val="superscript"/>
              </w:rPr>
              <w:t>a</w:t>
            </w:r>
          </w:p>
        </w:tc>
      </w:tr>
      <w:tr w:rsidR="00234376" w:rsidRPr="00537C3C">
        <w:tc>
          <w:tcPr>
            <w:tcW w:w="2388" w:type="dxa"/>
            <w:tcBorders>
              <w:bottom w:val="single" w:sz="4" w:space="0" w:color="auto"/>
            </w:tcBorders>
          </w:tcPr>
          <w:p w:rsidR="00234376" w:rsidRPr="00537C3C" w:rsidRDefault="00234376" w:rsidP="008E03A7">
            <w:pPr>
              <w:pStyle w:val="TableHeading0"/>
            </w:pPr>
          </w:p>
        </w:tc>
        <w:tc>
          <w:tcPr>
            <w:tcW w:w="1701" w:type="dxa"/>
            <w:tcBorders>
              <w:top w:val="single" w:sz="4" w:space="0" w:color="auto"/>
              <w:bottom w:val="single" w:sz="4" w:space="0" w:color="auto"/>
            </w:tcBorders>
          </w:tcPr>
          <w:p w:rsidR="00234376" w:rsidRPr="00537C3C" w:rsidRDefault="00234376" w:rsidP="008E03A7">
            <w:pPr>
              <w:pStyle w:val="TableHeading0"/>
              <w:jc w:val="center"/>
            </w:pPr>
            <w:r w:rsidRPr="00537C3C">
              <w:t>Total</w:t>
            </w:r>
          </w:p>
        </w:tc>
        <w:tc>
          <w:tcPr>
            <w:tcW w:w="1674" w:type="dxa"/>
            <w:tcBorders>
              <w:top w:val="single" w:sz="4" w:space="0" w:color="auto"/>
              <w:bottom w:val="single" w:sz="4" w:space="0" w:color="auto"/>
            </w:tcBorders>
          </w:tcPr>
          <w:p w:rsidR="00234376" w:rsidRPr="00537C3C" w:rsidRDefault="00234376" w:rsidP="008E03A7">
            <w:pPr>
              <w:pStyle w:val="TableHeading0"/>
              <w:jc w:val="center"/>
            </w:pPr>
            <w:r w:rsidRPr="00537C3C">
              <w:t>Incremental</w:t>
            </w:r>
          </w:p>
        </w:tc>
        <w:tc>
          <w:tcPr>
            <w:tcW w:w="1836" w:type="dxa"/>
            <w:tcBorders>
              <w:top w:val="single" w:sz="4" w:space="0" w:color="auto"/>
              <w:bottom w:val="single" w:sz="4" w:space="0" w:color="auto"/>
            </w:tcBorders>
            <w:vAlign w:val="center"/>
          </w:tcPr>
          <w:p w:rsidR="00234376" w:rsidRPr="00537C3C" w:rsidRDefault="00234376" w:rsidP="008E03A7">
            <w:pPr>
              <w:pStyle w:val="TableHeading0"/>
              <w:jc w:val="center"/>
            </w:pPr>
            <w:r w:rsidRPr="00537C3C">
              <w:t>Total</w:t>
            </w:r>
          </w:p>
          <w:p w:rsidR="00234376" w:rsidRPr="00537C3C" w:rsidRDefault="00234376" w:rsidP="008E03A7">
            <w:pPr>
              <w:pStyle w:val="TableText0"/>
              <w:jc w:val="center"/>
              <w:rPr>
                <w:b/>
              </w:rPr>
            </w:pPr>
            <w:r w:rsidRPr="00537C3C">
              <w:rPr>
                <w:b/>
              </w:rPr>
              <w:t>($ million)</w:t>
            </w:r>
          </w:p>
        </w:tc>
        <w:tc>
          <w:tcPr>
            <w:tcW w:w="1835" w:type="dxa"/>
            <w:tcBorders>
              <w:top w:val="single" w:sz="4" w:space="0" w:color="auto"/>
              <w:bottom w:val="single" w:sz="4" w:space="0" w:color="auto"/>
            </w:tcBorders>
            <w:vAlign w:val="center"/>
          </w:tcPr>
          <w:p w:rsidR="00234376" w:rsidRPr="00537C3C" w:rsidRDefault="00234376" w:rsidP="008E03A7">
            <w:pPr>
              <w:pStyle w:val="TableHeading0"/>
              <w:jc w:val="center"/>
            </w:pPr>
            <w:r w:rsidRPr="00537C3C">
              <w:t>Incremental</w:t>
            </w:r>
          </w:p>
          <w:p w:rsidR="00234376" w:rsidRPr="00537C3C" w:rsidRDefault="00234376" w:rsidP="008E03A7">
            <w:pPr>
              <w:pStyle w:val="TableHeading0"/>
              <w:jc w:val="center"/>
            </w:pPr>
            <w:r w:rsidRPr="00537C3C">
              <w:t>($ million)</w:t>
            </w:r>
          </w:p>
        </w:tc>
        <w:tc>
          <w:tcPr>
            <w:tcW w:w="1836" w:type="dxa"/>
            <w:tcBorders>
              <w:top w:val="single" w:sz="4" w:space="0" w:color="auto"/>
              <w:bottom w:val="single" w:sz="4" w:space="0" w:color="auto"/>
            </w:tcBorders>
            <w:vAlign w:val="center"/>
          </w:tcPr>
          <w:p w:rsidR="00234376" w:rsidRPr="00537C3C" w:rsidRDefault="00234376" w:rsidP="008E03A7">
            <w:pPr>
              <w:pStyle w:val="TableHeading0"/>
              <w:jc w:val="center"/>
            </w:pPr>
            <w:r w:rsidRPr="00537C3C">
              <w:t>Total</w:t>
            </w:r>
          </w:p>
          <w:p w:rsidR="00234376" w:rsidRPr="00537C3C" w:rsidRDefault="00234376" w:rsidP="008E03A7">
            <w:pPr>
              <w:pStyle w:val="TableText0"/>
              <w:jc w:val="center"/>
              <w:rPr>
                <w:b/>
              </w:rPr>
            </w:pPr>
            <w:r w:rsidRPr="00537C3C">
              <w:rPr>
                <w:b/>
              </w:rPr>
              <w:t>($ million)</w:t>
            </w:r>
          </w:p>
        </w:tc>
        <w:tc>
          <w:tcPr>
            <w:tcW w:w="1836" w:type="dxa"/>
            <w:tcBorders>
              <w:top w:val="single" w:sz="4" w:space="0" w:color="auto"/>
              <w:bottom w:val="single" w:sz="4" w:space="0" w:color="auto"/>
            </w:tcBorders>
          </w:tcPr>
          <w:p w:rsidR="00234376" w:rsidRPr="00537C3C" w:rsidRDefault="00234376" w:rsidP="008E03A7">
            <w:pPr>
              <w:pStyle w:val="TableHeading0"/>
              <w:jc w:val="center"/>
            </w:pPr>
            <w:r w:rsidRPr="00537C3C">
              <w:t>Incremental</w:t>
            </w:r>
          </w:p>
          <w:p w:rsidR="00234376" w:rsidRPr="00537C3C" w:rsidRDefault="00234376" w:rsidP="008E03A7">
            <w:pPr>
              <w:pStyle w:val="TableHeading0"/>
              <w:jc w:val="center"/>
            </w:pPr>
            <w:r w:rsidRPr="00537C3C">
              <w:t>($ million)</w:t>
            </w:r>
          </w:p>
        </w:tc>
      </w:tr>
      <w:tr w:rsidR="00234376" w:rsidRPr="00537C3C">
        <w:tc>
          <w:tcPr>
            <w:tcW w:w="2388" w:type="dxa"/>
            <w:tcBorders>
              <w:top w:val="single" w:sz="4" w:space="0" w:color="auto"/>
            </w:tcBorders>
            <w:vAlign w:val="center"/>
          </w:tcPr>
          <w:p w:rsidR="00234376" w:rsidRPr="00537C3C" w:rsidRDefault="00234376" w:rsidP="008E03A7">
            <w:pPr>
              <w:pStyle w:val="TableText0"/>
            </w:pPr>
            <w:r w:rsidRPr="00537C3C">
              <w:t>Current practice (</w:t>
            </w:r>
            <w:r w:rsidRPr="00537C3C">
              <w:rPr>
                <w:rFonts w:cs="Arial"/>
              </w:rPr>
              <w:t>CC</w:t>
            </w:r>
            <w:r w:rsidRPr="00537C3C">
              <w:t>)</w:t>
            </w:r>
          </w:p>
          <w:p w:rsidR="00234376" w:rsidRPr="00537C3C" w:rsidRDefault="00234376" w:rsidP="008E03A7">
            <w:pPr>
              <w:pStyle w:val="TableText0"/>
            </w:pPr>
          </w:p>
        </w:tc>
        <w:tc>
          <w:tcPr>
            <w:tcW w:w="1701" w:type="dxa"/>
            <w:tcBorders>
              <w:top w:val="single" w:sz="4" w:space="0" w:color="auto"/>
            </w:tcBorders>
            <w:vAlign w:val="center"/>
          </w:tcPr>
          <w:p w:rsidR="00234376" w:rsidRPr="00537C3C" w:rsidRDefault="00234376" w:rsidP="008E03A7">
            <w:pPr>
              <w:pStyle w:val="TableText0"/>
              <w:jc w:val="center"/>
            </w:pPr>
            <w:r w:rsidRPr="00537C3C">
              <w:t>1 901 913</w:t>
            </w:r>
          </w:p>
        </w:tc>
        <w:tc>
          <w:tcPr>
            <w:tcW w:w="1674" w:type="dxa"/>
            <w:tcBorders>
              <w:top w:val="single" w:sz="4" w:space="0" w:color="auto"/>
            </w:tcBorders>
            <w:vAlign w:val="center"/>
          </w:tcPr>
          <w:p w:rsidR="00234376" w:rsidRPr="00537C3C" w:rsidRDefault="00234376" w:rsidP="008E03A7">
            <w:pPr>
              <w:pStyle w:val="TableText0"/>
              <w:jc w:val="center"/>
            </w:pPr>
            <w:r w:rsidRPr="00537C3C">
              <w:t>–</w:t>
            </w:r>
          </w:p>
        </w:tc>
        <w:tc>
          <w:tcPr>
            <w:tcW w:w="1836" w:type="dxa"/>
            <w:tcBorders>
              <w:top w:val="single" w:sz="4" w:space="0" w:color="auto"/>
            </w:tcBorders>
            <w:vAlign w:val="center"/>
          </w:tcPr>
          <w:p w:rsidR="00234376" w:rsidRPr="00537C3C" w:rsidRDefault="00234376" w:rsidP="008E03A7">
            <w:pPr>
              <w:pStyle w:val="TableText0"/>
              <w:jc w:val="center"/>
            </w:pPr>
            <w:r w:rsidRPr="00537C3C">
              <w:t>37.3</w:t>
            </w:r>
          </w:p>
        </w:tc>
        <w:tc>
          <w:tcPr>
            <w:tcW w:w="1835" w:type="dxa"/>
            <w:tcBorders>
              <w:top w:val="single" w:sz="4" w:space="0" w:color="auto"/>
            </w:tcBorders>
            <w:vAlign w:val="center"/>
          </w:tcPr>
          <w:p w:rsidR="00234376" w:rsidRPr="00537C3C" w:rsidRDefault="00234376" w:rsidP="008E03A7">
            <w:pPr>
              <w:pStyle w:val="TableText0"/>
              <w:jc w:val="center"/>
            </w:pPr>
            <w:r w:rsidRPr="00537C3C">
              <w:t>–</w:t>
            </w:r>
          </w:p>
        </w:tc>
        <w:tc>
          <w:tcPr>
            <w:tcW w:w="1836" w:type="dxa"/>
            <w:tcBorders>
              <w:top w:val="single" w:sz="4" w:space="0" w:color="auto"/>
            </w:tcBorders>
            <w:vAlign w:val="center"/>
          </w:tcPr>
          <w:p w:rsidR="00234376" w:rsidRPr="00537C3C" w:rsidRDefault="00234376" w:rsidP="008E03A7">
            <w:pPr>
              <w:pStyle w:val="TableText0"/>
              <w:jc w:val="center"/>
            </w:pPr>
            <w:r w:rsidRPr="00537C3C">
              <w:t>166.1</w:t>
            </w:r>
          </w:p>
        </w:tc>
        <w:tc>
          <w:tcPr>
            <w:tcW w:w="1836" w:type="dxa"/>
            <w:tcBorders>
              <w:top w:val="single" w:sz="4" w:space="0" w:color="auto"/>
            </w:tcBorders>
            <w:vAlign w:val="center"/>
          </w:tcPr>
          <w:p w:rsidR="00234376" w:rsidRPr="00537C3C" w:rsidRDefault="00234376" w:rsidP="008E03A7">
            <w:pPr>
              <w:pStyle w:val="TableText0"/>
              <w:jc w:val="center"/>
            </w:pPr>
            <w:r w:rsidRPr="00537C3C">
              <w:t>–</w:t>
            </w:r>
          </w:p>
        </w:tc>
      </w:tr>
      <w:tr w:rsidR="00234376" w:rsidRPr="00537C3C">
        <w:tc>
          <w:tcPr>
            <w:tcW w:w="2388" w:type="dxa"/>
            <w:vAlign w:val="center"/>
          </w:tcPr>
          <w:p w:rsidR="00234376" w:rsidRPr="00537C3C" w:rsidRDefault="00234376" w:rsidP="008E03A7">
            <w:pPr>
              <w:pStyle w:val="TableText0"/>
            </w:pPr>
            <w:r w:rsidRPr="00537C3C">
              <w:t xml:space="preserve">Manual </w:t>
            </w:r>
            <w:r w:rsidRPr="00BB76D8">
              <w:t>LBC</w:t>
            </w:r>
          </w:p>
          <w:p w:rsidR="00234376" w:rsidRPr="00537C3C" w:rsidRDefault="00234376" w:rsidP="008E03A7">
            <w:pPr>
              <w:pStyle w:val="TableText0"/>
            </w:pPr>
            <w:r w:rsidRPr="00537C3C">
              <w:t>($2.40 incremental cost)</w:t>
            </w:r>
          </w:p>
          <w:p w:rsidR="00234376" w:rsidRPr="00537C3C" w:rsidRDefault="00234376" w:rsidP="008E03A7">
            <w:pPr>
              <w:pStyle w:val="TableText0"/>
            </w:pPr>
          </w:p>
        </w:tc>
        <w:tc>
          <w:tcPr>
            <w:tcW w:w="1701" w:type="dxa"/>
            <w:vAlign w:val="center"/>
          </w:tcPr>
          <w:p w:rsidR="00234376" w:rsidRPr="00537C3C" w:rsidRDefault="00234376" w:rsidP="008E03A7">
            <w:pPr>
              <w:pStyle w:val="TableText0"/>
              <w:jc w:val="center"/>
            </w:pPr>
            <w:r w:rsidRPr="00537C3C">
              <w:t>1 924 675</w:t>
            </w:r>
          </w:p>
        </w:tc>
        <w:tc>
          <w:tcPr>
            <w:tcW w:w="1674" w:type="dxa"/>
            <w:vAlign w:val="center"/>
          </w:tcPr>
          <w:p w:rsidR="00234376" w:rsidRPr="00537C3C" w:rsidRDefault="00234376" w:rsidP="008E03A7">
            <w:pPr>
              <w:pStyle w:val="TableText0"/>
              <w:jc w:val="center"/>
            </w:pPr>
            <w:r w:rsidRPr="00537C3C">
              <w:t>22 763</w:t>
            </w:r>
          </w:p>
        </w:tc>
        <w:tc>
          <w:tcPr>
            <w:tcW w:w="1836" w:type="dxa"/>
            <w:vAlign w:val="center"/>
          </w:tcPr>
          <w:p w:rsidR="00234376" w:rsidRPr="00537C3C" w:rsidRDefault="00234376" w:rsidP="008E03A7">
            <w:pPr>
              <w:pStyle w:val="TableText0"/>
              <w:jc w:val="center"/>
            </w:pPr>
            <w:r w:rsidRPr="00537C3C">
              <w:t>42.3</w:t>
            </w:r>
          </w:p>
        </w:tc>
        <w:tc>
          <w:tcPr>
            <w:tcW w:w="1835" w:type="dxa"/>
            <w:vAlign w:val="center"/>
          </w:tcPr>
          <w:p w:rsidR="00234376" w:rsidRPr="00537C3C" w:rsidRDefault="00234376" w:rsidP="008E03A7">
            <w:pPr>
              <w:pStyle w:val="TableText0"/>
              <w:jc w:val="center"/>
            </w:pPr>
            <w:r w:rsidRPr="00537C3C">
              <w:t>5.1</w:t>
            </w:r>
          </w:p>
        </w:tc>
        <w:tc>
          <w:tcPr>
            <w:tcW w:w="1836" w:type="dxa"/>
            <w:vAlign w:val="center"/>
          </w:tcPr>
          <w:p w:rsidR="00234376" w:rsidRPr="00537C3C" w:rsidRDefault="00234376" w:rsidP="008E03A7">
            <w:pPr>
              <w:pStyle w:val="TableText0"/>
              <w:jc w:val="center"/>
            </w:pPr>
            <w:r w:rsidRPr="00537C3C">
              <w:t>173.4</w:t>
            </w:r>
          </w:p>
        </w:tc>
        <w:tc>
          <w:tcPr>
            <w:tcW w:w="1836" w:type="dxa"/>
            <w:vAlign w:val="center"/>
          </w:tcPr>
          <w:p w:rsidR="00234376" w:rsidRPr="00537C3C" w:rsidRDefault="00234376" w:rsidP="008E03A7">
            <w:pPr>
              <w:pStyle w:val="TableText0"/>
              <w:jc w:val="center"/>
            </w:pPr>
            <w:r w:rsidRPr="00537C3C">
              <w:t>7.3</w:t>
            </w:r>
          </w:p>
        </w:tc>
      </w:tr>
      <w:tr w:rsidR="00234376" w:rsidRPr="00537C3C">
        <w:tc>
          <w:tcPr>
            <w:tcW w:w="2388" w:type="dxa"/>
            <w:vAlign w:val="center"/>
          </w:tcPr>
          <w:p w:rsidR="00234376" w:rsidRPr="00537C3C" w:rsidRDefault="00234376" w:rsidP="008E03A7">
            <w:pPr>
              <w:pStyle w:val="TableText0"/>
            </w:pPr>
            <w:r w:rsidRPr="00537C3C">
              <w:t xml:space="preserve">Automated </w:t>
            </w:r>
            <w:r w:rsidRPr="00BB76D8">
              <w:t>LBC</w:t>
            </w:r>
          </w:p>
          <w:p w:rsidR="00234376" w:rsidRPr="00537C3C" w:rsidRDefault="00234376" w:rsidP="008E03A7">
            <w:pPr>
              <w:pStyle w:val="TableText0"/>
            </w:pPr>
          </w:p>
        </w:tc>
        <w:tc>
          <w:tcPr>
            <w:tcW w:w="1701" w:type="dxa"/>
            <w:vAlign w:val="center"/>
          </w:tcPr>
          <w:p w:rsidR="00234376" w:rsidRPr="00537C3C" w:rsidRDefault="00234376" w:rsidP="008E03A7">
            <w:pPr>
              <w:pStyle w:val="TableText0"/>
              <w:jc w:val="center"/>
            </w:pPr>
            <w:r w:rsidRPr="00537C3C">
              <w:t>1 940 259</w:t>
            </w:r>
          </w:p>
        </w:tc>
        <w:tc>
          <w:tcPr>
            <w:tcW w:w="1674" w:type="dxa"/>
            <w:vAlign w:val="center"/>
          </w:tcPr>
          <w:p w:rsidR="00234376" w:rsidRPr="00537C3C" w:rsidRDefault="00234376" w:rsidP="008E03A7">
            <w:pPr>
              <w:pStyle w:val="TableText0"/>
              <w:jc w:val="center"/>
            </w:pPr>
            <w:r w:rsidRPr="00537C3C">
              <w:t>38 346</w:t>
            </w:r>
          </w:p>
        </w:tc>
        <w:tc>
          <w:tcPr>
            <w:tcW w:w="1836" w:type="dxa"/>
            <w:vAlign w:val="center"/>
          </w:tcPr>
          <w:p w:rsidR="00234376" w:rsidRPr="00537C3C" w:rsidRDefault="00234376" w:rsidP="008E03A7">
            <w:pPr>
              <w:pStyle w:val="TableText0"/>
              <w:jc w:val="center"/>
            </w:pPr>
            <w:r w:rsidRPr="00537C3C">
              <w:t>69.8</w:t>
            </w:r>
          </w:p>
        </w:tc>
        <w:tc>
          <w:tcPr>
            <w:tcW w:w="1835" w:type="dxa"/>
            <w:vAlign w:val="center"/>
          </w:tcPr>
          <w:p w:rsidR="00234376" w:rsidRPr="00537C3C" w:rsidRDefault="00234376" w:rsidP="008E03A7">
            <w:pPr>
              <w:pStyle w:val="TableText0"/>
              <w:jc w:val="center"/>
            </w:pPr>
            <w:r w:rsidRPr="00537C3C">
              <w:t>32.6</w:t>
            </w:r>
          </w:p>
        </w:tc>
        <w:tc>
          <w:tcPr>
            <w:tcW w:w="1836" w:type="dxa"/>
            <w:vAlign w:val="center"/>
          </w:tcPr>
          <w:p w:rsidR="00234376" w:rsidRPr="00537C3C" w:rsidRDefault="00234376" w:rsidP="008E03A7">
            <w:pPr>
              <w:pStyle w:val="TableText0"/>
              <w:jc w:val="center"/>
            </w:pPr>
            <w:r w:rsidRPr="00537C3C">
              <w:t>203.5</w:t>
            </w:r>
          </w:p>
        </w:tc>
        <w:tc>
          <w:tcPr>
            <w:tcW w:w="1836" w:type="dxa"/>
            <w:vAlign w:val="center"/>
          </w:tcPr>
          <w:p w:rsidR="00234376" w:rsidRPr="00537C3C" w:rsidRDefault="00234376" w:rsidP="008E03A7">
            <w:pPr>
              <w:pStyle w:val="TableText0"/>
              <w:jc w:val="center"/>
            </w:pPr>
            <w:r w:rsidRPr="00537C3C">
              <w:t>37.4</w:t>
            </w:r>
          </w:p>
        </w:tc>
      </w:tr>
      <w:tr w:rsidR="00234376" w:rsidRPr="00537C3C">
        <w:tc>
          <w:tcPr>
            <w:tcW w:w="2388" w:type="dxa"/>
            <w:tcBorders>
              <w:bottom w:val="single" w:sz="4" w:space="0" w:color="auto"/>
            </w:tcBorders>
            <w:vAlign w:val="center"/>
          </w:tcPr>
          <w:p w:rsidR="00234376" w:rsidRPr="00537C3C" w:rsidRDefault="00234376" w:rsidP="008E03A7">
            <w:pPr>
              <w:pStyle w:val="TableText0"/>
            </w:pPr>
            <w:r w:rsidRPr="00537C3C">
              <w:t xml:space="preserve">Manual </w:t>
            </w:r>
            <w:r w:rsidRPr="00BB76D8">
              <w:t>LBC</w:t>
            </w:r>
          </w:p>
          <w:p w:rsidR="00234376" w:rsidRPr="00537C3C" w:rsidRDefault="00234376" w:rsidP="008E03A7">
            <w:pPr>
              <w:pStyle w:val="TableText0"/>
            </w:pPr>
            <w:r w:rsidRPr="00537C3C">
              <w:t>($10.90 incremental cost)</w:t>
            </w:r>
          </w:p>
          <w:p w:rsidR="00234376" w:rsidRPr="00537C3C" w:rsidRDefault="00234376" w:rsidP="008E03A7">
            <w:pPr>
              <w:pStyle w:val="TableText0"/>
            </w:pPr>
          </w:p>
        </w:tc>
        <w:tc>
          <w:tcPr>
            <w:tcW w:w="1701" w:type="dxa"/>
            <w:tcBorders>
              <w:bottom w:val="single" w:sz="4" w:space="0" w:color="auto"/>
            </w:tcBorders>
            <w:vAlign w:val="center"/>
          </w:tcPr>
          <w:p w:rsidR="00234376" w:rsidRPr="00537C3C" w:rsidRDefault="00234376" w:rsidP="008E03A7">
            <w:pPr>
              <w:pStyle w:val="TableText0"/>
              <w:jc w:val="center"/>
            </w:pPr>
            <w:r w:rsidRPr="00537C3C">
              <w:t>1 924 675</w:t>
            </w:r>
          </w:p>
        </w:tc>
        <w:tc>
          <w:tcPr>
            <w:tcW w:w="1674" w:type="dxa"/>
            <w:tcBorders>
              <w:bottom w:val="single" w:sz="4" w:space="0" w:color="auto"/>
            </w:tcBorders>
            <w:vAlign w:val="center"/>
          </w:tcPr>
          <w:p w:rsidR="00234376" w:rsidRPr="00537C3C" w:rsidRDefault="00234376" w:rsidP="008E03A7">
            <w:pPr>
              <w:pStyle w:val="TableText0"/>
              <w:jc w:val="center"/>
            </w:pPr>
            <w:r w:rsidRPr="00537C3C">
              <w:t>22 763</w:t>
            </w:r>
          </w:p>
        </w:tc>
        <w:tc>
          <w:tcPr>
            <w:tcW w:w="1836" w:type="dxa"/>
            <w:tcBorders>
              <w:bottom w:val="single" w:sz="4" w:space="0" w:color="auto"/>
            </w:tcBorders>
            <w:vAlign w:val="center"/>
          </w:tcPr>
          <w:p w:rsidR="00234376" w:rsidRPr="00537C3C" w:rsidRDefault="00234376" w:rsidP="008E03A7">
            <w:pPr>
              <w:pStyle w:val="TableText0"/>
              <w:jc w:val="center"/>
            </w:pPr>
            <w:r w:rsidRPr="00537C3C">
              <w:t>58.7</w:t>
            </w:r>
          </w:p>
        </w:tc>
        <w:tc>
          <w:tcPr>
            <w:tcW w:w="1835" w:type="dxa"/>
            <w:tcBorders>
              <w:bottom w:val="single" w:sz="4" w:space="0" w:color="auto"/>
            </w:tcBorders>
            <w:vAlign w:val="center"/>
          </w:tcPr>
          <w:p w:rsidR="00234376" w:rsidRPr="00537C3C" w:rsidRDefault="00234376" w:rsidP="008E03A7">
            <w:pPr>
              <w:pStyle w:val="TableText0"/>
              <w:jc w:val="center"/>
            </w:pPr>
            <w:r w:rsidRPr="00537C3C">
              <w:t>21.4</w:t>
            </w:r>
          </w:p>
        </w:tc>
        <w:tc>
          <w:tcPr>
            <w:tcW w:w="1836" w:type="dxa"/>
            <w:tcBorders>
              <w:bottom w:val="single" w:sz="4" w:space="0" w:color="auto"/>
            </w:tcBorders>
            <w:vAlign w:val="center"/>
          </w:tcPr>
          <w:p w:rsidR="00234376" w:rsidRPr="00537C3C" w:rsidRDefault="00234376" w:rsidP="008E03A7">
            <w:pPr>
              <w:pStyle w:val="TableText0"/>
              <w:jc w:val="center"/>
            </w:pPr>
            <w:r w:rsidRPr="00537C3C">
              <w:t>189.7</w:t>
            </w:r>
          </w:p>
        </w:tc>
        <w:tc>
          <w:tcPr>
            <w:tcW w:w="1836" w:type="dxa"/>
            <w:tcBorders>
              <w:bottom w:val="single" w:sz="4" w:space="0" w:color="auto"/>
            </w:tcBorders>
            <w:vAlign w:val="center"/>
          </w:tcPr>
          <w:p w:rsidR="00234376" w:rsidRPr="00537C3C" w:rsidRDefault="00234376" w:rsidP="008E03A7">
            <w:pPr>
              <w:pStyle w:val="TableText0"/>
              <w:jc w:val="center"/>
            </w:pPr>
            <w:r w:rsidRPr="00537C3C">
              <w:t>23.6</w:t>
            </w:r>
          </w:p>
        </w:tc>
      </w:tr>
    </w:tbl>
    <w:p w:rsidR="00234376" w:rsidRPr="00537C3C" w:rsidRDefault="00234376" w:rsidP="008E03A7">
      <w:pPr>
        <w:pStyle w:val="TableNotes"/>
      </w:pPr>
      <w:r w:rsidRPr="00234376">
        <w:rPr>
          <w:vertAlign w:val="superscript"/>
        </w:rPr>
        <w:t>a</w:t>
      </w:r>
      <w:r w:rsidRPr="00537C3C">
        <w:t xml:space="preserve"> 100% Medicare reimbursement level.</w:t>
      </w:r>
    </w:p>
    <w:p w:rsidR="00234376" w:rsidRPr="00537C3C" w:rsidRDefault="00234376" w:rsidP="008E03A7">
      <w:pPr>
        <w:pStyle w:val="TableNamea"/>
        <w:sectPr w:rsidR="00234376" w:rsidRPr="00537C3C" w:rsidSect="008E03A7">
          <w:pgSz w:w="16838" w:h="11906" w:orient="landscape"/>
          <w:pgMar w:top="1440" w:right="1440" w:bottom="1440" w:left="1440" w:header="720" w:footer="720" w:gutter="0"/>
          <w:paperSrc w:first="15" w:other="15"/>
          <w:cols w:space="720"/>
        </w:sectPr>
      </w:pPr>
    </w:p>
    <w:p w:rsidR="00234376" w:rsidRPr="00537C3C" w:rsidRDefault="00234376" w:rsidP="008E03A7">
      <w:pPr>
        <w:pStyle w:val="Heading2"/>
        <w:ind w:left="0"/>
        <w:rPr>
          <w:bCs/>
        </w:rPr>
      </w:pPr>
      <w:bookmarkStart w:id="756" w:name="_Ref216085681"/>
      <w:bookmarkStart w:id="757" w:name="_Toc95971091"/>
      <w:bookmarkStart w:id="758" w:name="_Toc241658190"/>
      <w:r w:rsidRPr="00537C3C">
        <w:rPr>
          <w:bCs/>
        </w:rPr>
        <w:lastRenderedPageBreak/>
        <w:t>Other relevant considerations</w:t>
      </w:r>
      <w:bookmarkEnd w:id="756"/>
      <w:bookmarkEnd w:id="757"/>
      <w:bookmarkEnd w:id="758"/>
    </w:p>
    <w:p w:rsidR="00234376" w:rsidRDefault="00234376" w:rsidP="00234376">
      <w:pPr>
        <w:pStyle w:val="Heading3"/>
        <w:rPr>
          <w:b w:val="0"/>
          <w:bCs w:val="0"/>
        </w:rPr>
      </w:pPr>
      <w:r w:rsidRPr="00537C3C">
        <w:t>Adjunctive pathogen testing</w:t>
      </w:r>
    </w:p>
    <w:p w:rsidR="00234376" w:rsidRPr="00537C3C" w:rsidRDefault="00234376" w:rsidP="008E03A7">
      <w:r w:rsidRPr="00537C3C">
        <w:t xml:space="preserve">The collection of cervical cytology samples into an </w:t>
      </w:r>
      <w:r w:rsidRPr="00BB76D8">
        <w:t>LBC</w:t>
      </w:r>
      <w:r w:rsidRPr="00537C3C">
        <w:t xml:space="preserve"> medium provides the opportunity for reflex testing of a range of pathogens, in addition to any impact on detecting CIN or compatibility with automated screening technologies. If a cytology sample is collected into an </w:t>
      </w:r>
      <w:r w:rsidRPr="00BB76D8">
        <w:t>LBC</w:t>
      </w:r>
      <w:r w:rsidRPr="00537C3C">
        <w:t xml:space="preserve"> medium, testing can be conducted for </w:t>
      </w:r>
      <w:r w:rsidRPr="00BB76D8">
        <w:t>HPV</w:t>
      </w:r>
      <w:r w:rsidRPr="00537C3C">
        <w:t xml:space="preserve">, </w:t>
      </w:r>
      <w:r w:rsidRPr="00537C3C">
        <w:rPr>
          <w:i/>
        </w:rPr>
        <w:t xml:space="preserve">Chlamydia trachomatis </w:t>
      </w:r>
      <w:r w:rsidRPr="00537C3C">
        <w:t>or</w:t>
      </w:r>
      <w:r w:rsidRPr="00537C3C">
        <w:rPr>
          <w:i/>
        </w:rPr>
        <w:t xml:space="preserve"> Neisseria gonorrhoeae</w:t>
      </w:r>
      <w:r w:rsidRPr="00537C3C">
        <w:t>.</w:t>
      </w:r>
    </w:p>
    <w:p w:rsidR="00234376" w:rsidRDefault="00234376" w:rsidP="00234376">
      <w:pPr>
        <w:pStyle w:val="Heading3"/>
        <w:rPr>
          <w:b w:val="0"/>
          <w:bCs w:val="0"/>
        </w:rPr>
      </w:pPr>
      <w:r w:rsidRPr="00537C3C">
        <w:t>Workforce implications</w:t>
      </w:r>
    </w:p>
    <w:p w:rsidR="00234376" w:rsidRPr="00537C3C" w:rsidRDefault="00234376" w:rsidP="008E03A7">
      <w:r w:rsidRPr="00537C3C">
        <w:t xml:space="preserve">Other factors that may play a role in the consideration of funding automated </w:t>
      </w:r>
      <w:r w:rsidRPr="00BB76D8">
        <w:t>LBC</w:t>
      </w:r>
      <w:r w:rsidRPr="00537C3C">
        <w:t xml:space="preserve"> technology are the implications for the workforce involved in cervical cancer screening.</w:t>
      </w:r>
    </w:p>
    <w:p w:rsidR="00234376" w:rsidRPr="00537C3C" w:rsidRDefault="00234376" w:rsidP="008E03A7">
      <w:r w:rsidRPr="00537C3C">
        <w:t xml:space="preserve">There is an increasing shortage of trained cytotechnologists in </w:t>
      </w:r>
      <w:smartTag w:uri="urn:schemas-microsoft-com:office:smarttags" w:element="place">
        <w:smartTag w:uri="urn:schemas-microsoft-com:office:smarttags" w:element="country-region">
          <w:r w:rsidRPr="00537C3C">
            <w:t>Australia</w:t>
          </w:r>
        </w:smartTag>
      </w:smartTag>
      <w:r w:rsidRPr="00537C3C">
        <w:t xml:space="preserve"> (Advisory Panel expert opinion). The job satisfaction of cytotechnologists has also been reported to be low </w:t>
      </w:r>
      <w:r w:rsidRPr="00537C3C">
        <w:fldChar w:fldCharType="begin"/>
      </w:r>
      <w:r w:rsidRPr="00537C3C">
        <w:instrText xml:space="preserve"> ADDIN REFMGR.CITE &lt;Refman&gt;&lt;Cite&gt;&lt;Author&gt;Dowie&lt;/Author&gt;&lt;Year&gt;2006&lt;/Year&gt;&lt;RecNum&gt;3360&lt;/RecNum&gt;&lt;IDText&gt;Assessing the wellbeing of cytoscreeners: experience in two NHS cytology laboratories&lt;/IDText&gt;&lt;MDL Ref_Type="Journal"&gt;&lt;Ref_Type&gt;Journal&lt;/Ref_Type&gt;&lt;Ref_ID&gt;3360&lt;/Ref_ID&gt;&lt;Title_Primary&gt;Assessing the wellbeing of cytoscreeners: experience in two NHS cytology laboratories&lt;/Title_Primary&gt;&lt;Authors_Primary&gt;Dowie,R.&lt;/Authors_Primary&gt;&lt;Authors_Primary&gt;Stoykova,B.&lt;/Authors_Primary&gt;&lt;Authors_Primary&gt;Desai,M.&lt;/Authors_Primary&gt;&lt;Date_Primary&gt;2006/12&lt;/Date_Primary&gt;&lt;Keywords&gt;Aged&lt;/Keywords&gt;&lt;Keywords&gt;economics&lt;/Keywords&gt;&lt;Keywords&gt;England&lt;/Keywords&gt;&lt;Keywords&gt;Female&lt;/Keywords&gt;&lt;Keywords&gt;Great Britain&lt;/Keywords&gt;&lt;Keywords&gt;Humans&lt;/Keywords&gt;&lt;Keywords&gt;Job Satisfaction&lt;/Keywords&gt;&lt;Keywords&gt;Laboratory Personnel&lt;/Keywords&gt;&lt;Keywords&gt;methods&lt;/Keywords&gt;&lt;Keywords&gt;National Health Programs&lt;/Keywords&gt;&lt;Keywords&gt;psychology&lt;/Keywords&gt;&lt;Keywords&gt;standards&lt;/Keywords&gt;&lt;Keywords&gt;Technology,Medical&lt;/Keywords&gt;&lt;Keywords&gt;Vaginal Smears&lt;/Keywords&gt;&lt;Reprint&gt;Not in File&lt;/Reprint&gt;&lt;Start_Page&gt;366&lt;/Start_Page&gt;&lt;End_Page&gt;373&lt;/End_Page&gt;&lt;Periodical&gt;Cytopathology.&lt;/Periodical&gt;&lt;Volume&gt;17&lt;/Volume&gt;&lt;Issue&gt;6&lt;/Issue&gt;&lt;ZZ_JournalStdAbbrev&gt;&lt;f name="System"&gt;Cytopathology.&lt;/f&gt;&lt;/ZZ_JournalStdAbbrev&gt;&lt;ZZ_WorkformID&gt;1&lt;/ZZ_WorkformID&gt;&lt;/MDL&gt;&lt;/Cite&gt;&lt;/Refman&gt;</w:instrText>
      </w:r>
      <w:r w:rsidRPr="00537C3C">
        <w:fldChar w:fldCharType="separate"/>
      </w:r>
      <w:r w:rsidRPr="00537C3C">
        <w:t>(Dowie et al. 2006b)</w:t>
      </w:r>
      <w:r w:rsidRPr="00537C3C">
        <w:fldChar w:fldCharType="end"/>
      </w:r>
      <w:r w:rsidRPr="00537C3C">
        <w:t xml:space="preserve">. Technologies which decrease cytology slide screening time and increase productivity may aid in addressing workforce shortages by decreasing staff requirements </w:t>
      </w:r>
      <w:r w:rsidRPr="00537C3C">
        <w:fldChar w:fldCharType="begin"/>
      </w:r>
      <w:r w:rsidRPr="00537C3C">
        <w:instrText xml:space="preserve"> ADDIN REFMGR.CITE &lt;Refman&gt;&lt;Cite&gt;&lt;Author&gt;Australian Health Technology Advisory Committee&lt;/Author&gt;&lt;Year&gt;1998&lt;/Year&gt;&lt;RecNum&gt;16&lt;/RecNum&gt;&lt;IDText&gt;Review of automated and semi-automated cervical screening devices&lt;/IDText&gt;&lt;MDL Ref_Type="Report"&gt;&lt;Ref_Type&gt;Report&lt;/Ref_Type&gt;&lt;Ref_ID&gt;16&lt;/Ref_ID&gt;&lt;Title_Primary&gt;Review of automated and semi-automated cervical screening devices&lt;/Title_Primary&gt;&lt;Authors_Primary&gt;Australian Health Technology Advisory Committee&lt;/Authors_Primary&gt;&lt;Date_Primary&gt;1998&lt;/Date_Primary&gt;&lt;Keywords&gt;Diagnosis,omputer Assisted .istrumentation&lt;/Keywords&gt;&lt;Keywords&gt;Euipment Design&lt;/Keywords&gt;&lt;Keywords&gt;Female .checkword&lt;/Keywords&gt;&lt;Keywords&gt;Image Processing,Computer-Assisted .instrumentation&lt;/Keywords&gt;&lt;Keywords&gt;Mass Screening .instrumentation&lt;/Keywords&gt;&lt;Keywords&gt;Vaginal Smears .instrumentation&lt;/Keywords&gt;&lt;Reprint&gt;Not in File&lt;/Reprint&gt;&lt;Pub_Place&gt;Canberra&lt;/Pub_Place&gt;&lt;Publisher&gt;Commonwealth of Australia&lt;/Publisher&gt;&lt;Date_Secondary&gt;2008/8/27&lt;/Date_Secondary&gt;&lt;Web_URL_Link1&gt;&lt;u&gt;http://www.csp.nsw.gov.au/downloads/review_automated_sem.pdf&lt;/u&gt;&lt;/Web_URL_Link1&gt;&lt;ZZ_WorkformID&gt;24&lt;/ZZ_WorkformID&gt;&lt;/MDL&gt;&lt;/Cite&gt;&lt;/Refman&gt;</w:instrText>
      </w:r>
      <w:r w:rsidRPr="00537C3C">
        <w:fldChar w:fldCharType="separate"/>
      </w:r>
      <w:r w:rsidRPr="00537C3C">
        <w:t>(Australian Health Technology Advisory Committee 1998)</w:t>
      </w:r>
      <w:r w:rsidRPr="00537C3C">
        <w:fldChar w:fldCharType="end"/>
      </w:r>
      <w:r w:rsidRPr="00537C3C">
        <w:t xml:space="preserve">. The included studies demonstrated a significant decrease in slide reading time with automated </w:t>
      </w:r>
      <w:r w:rsidRPr="00BB76D8">
        <w:t>LBC</w:t>
      </w:r>
      <w:r w:rsidRPr="00537C3C">
        <w:t xml:space="preserve"> compared to manual reading of conventional slides. This review did not address a comparison of slide reading times for manual reading of conventional slides versus manual reading of </w:t>
      </w:r>
      <w:r w:rsidRPr="00BB76D8">
        <w:t>LBC</w:t>
      </w:r>
      <w:r w:rsidRPr="00537C3C">
        <w:t xml:space="preserve"> slides, however any advantage gained with this technology may be relatively minor </w:t>
      </w:r>
      <w:r w:rsidRPr="00537C3C">
        <w:fldChar w:fldCharType="begin"/>
      </w:r>
      <w:r w:rsidRPr="00537C3C">
        <w:instrText xml:space="preserve"> ADDIN REFMGR.CITE &lt;Refman&gt;&lt;Cite&gt;&lt;Author&gt;Dowie&lt;/Author&gt;&lt;Year&gt;2006&lt;/Year&gt;&lt;RecNum&gt;3359&lt;/RecNum&gt;&lt;IDText&gt;Liquid-based cytology can improve efficiency of cervical smear readers: evidence from timing surveys in two NHS cytology laboratories&lt;/IDText&gt;&lt;MDL Ref_Type="Journal"&gt;&lt;Ref_Type&gt;Journal&lt;/Ref_Type&gt;&lt;Ref_ID&gt;3359&lt;/Ref_ID&gt;&lt;Title_Primary&gt;Liquid-based cytology can improve efficiency of cervical smear readers: evidence from timing surveys in two NHS cytology laboratories&lt;/Title_Primary&gt;&lt;Authors_Primary&gt;Dowie,R.&lt;/Authors_Primary&gt;&lt;Authors_Primary&gt;Stoykova,B.&lt;/Authors_Primary&gt;&lt;Authors_Primary&gt;Crawford,D.&lt;/Authors_Primary&gt;&lt;Authors_Primary&gt;Desai,M.&lt;/Authors_Primary&gt;&lt;Authors_Primary&gt;Mather,J.&lt;/Authors_Primary&gt;&lt;Authors_Primary&gt;Morgan,K.&lt;/Authors_Primary&gt;&lt;Authors_Primary&gt;Shirt,M.&lt;/Authors_Primary&gt;&lt;Date_Primary&gt;2006/4&lt;/Date_Primary&gt;&lt;Keywords&gt;diagnosis&lt;/Keywords&gt;&lt;Keywords&gt;economics&lt;/Keywords&gt;&lt;Keywords&gt;Efficiency&lt;/Keywords&gt;&lt;Keywords&gt;England&lt;/Keywords&gt;&lt;Keywords&gt;Female&lt;/Keywords&gt;&lt;Keywords&gt;Humans&lt;/Keywords&gt;&lt;Keywords&gt;methods&lt;/Keywords&gt;&lt;Keywords&gt;Predictive Value of Tests&lt;/Keywords&gt;&lt;Keywords&gt;Sensitivity and Specificity&lt;/Keywords&gt;&lt;Keywords&gt;Time&lt;/Keywords&gt;&lt;Keywords&gt;Uterine Cervical Diseases&lt;/Keywords&gt;&lt;Keywords&gt;Vaginal Smears&lt;/Keywords&gt;&lt;Keywords&gt;Wales&lt;/Keywords&gt;&lt;Reprint&gt;Not in File&lt;/Reprint&gt;&lt;Start_Page&gt;65&lt;/Start_Page&gt;&lt;End_Page&gt;72&lt;/End_Page&gt;&lt;Periodical&gt;Cytopathology.&lt;/Periodical&gt;&lt;Volume&gt;17&lt;/Volume&gt;&lt;Issue&gt;2&lt;/Issue&gt;&lt;ZZ_JournalStdAbbrev&gt;&lt;f name="System"&gt;Cytopathology.&lt;/f&gt;&lt;/ZZ_JournalStdAbbrev&gt;&lt;ZZ_WorkformID&gt;1&lt;/ZZ_WorkformID&gt;&lt;/MDL&gt;&lt;/Cite&gt;&lt;/Refman&gt;</w:instrText>
      </w:r>
      <w:r w:rsidRPr="00537C3C">
        <w:fldChar w:fldCharType="separate"/>
      </w:r>
      <w:r w:rsidRPr="00537C3C">
        <w:t>(Dowie et al. 2006a)</w:t>
      </w:r>
      <w:r w:rsidRPr="00537C3C">
        <w:fldChar w:fldCharType="end"/>
      </w:r>
      <w:r w:rsidRPr="00537C3C">
        <w:t>.</w:t>
      </w:r>
    </w:p>
    <w:p w:rsidR="00234376" w:rsidRPr="00537C3C" w:rsidRDefault="00234376" w:rsidP="008E03A7">
      <w:r w:rsidRPr="00537C3C">
        <w:t xml:space="preserve">In the near future, the introduction of the </w:t>
      </w:r>
      <w:r w:rsidRPr="00BB76D8">
        <w:t>HPV</w:t>
      </w:r>
      <w:r w:rsidRPr="00537C3C">
        <w:t xml:space="preserve"> vaccine in Australia will lead to a decrease in the prevalence of </w:t>
      </w:r>
      <w:r w:rsidRPr="00BB76D8">
        <w:t>HPV</w:t>
      </w:r>
      <w:r w:rsidRPr="00537C3C">
        <w:t xml:space="preserve"> and pre-cancerous cytological abnormalities and may also alter the distribution of cytological abnormalities </w:t>
      </w:r>
      <w:r w:rsidRPr="00537C3C">
        <w:fldChar w:fldCharType="begin"/>
      </w:r>
      <w:r w:rsidRPr="00537C3C">
        <w:instrText xml:space="preserve"> ADDIN REFMGR.CITE &lt;Refman&gt;&lt;Cite&gt;&lt;Author&gt;Schiffman&lt;/Author&gt;&lt;Year&gt;2007&lt;/Year&gt;&lt;RecNum&gt;2854&lt;/RecNum&gt;&lt;IDText&gt;Integration of human papillomavirus vaccination, cytology, and human papillomavirus testing&lt;/IDText&gt;&lt;MDL Ref_Type="Journal"&gt;&lt;Ref_Type&gt;Journal&lt;/Ref_Type&gt;&lt;Ref_ID&gt;2854&lt;/Ref_ID&gt;&lt;Title_Primary&gt;Integration of human papillomavirus vaccination, cytology, and human papillomavirus testing&lt;/Title_Primary&gt;&lt;Authors_Primary&gt;Schiffman,M.&lt;/Authors_Primary&gt;&lt;Date_Primary&gt;2007&lt;/Date_Primary&gt;&lt;Keywords&gt;control&lt;/Keywords&gt;&lt;Keywords&gt;Cytodiagnosis&lt;/Keywords&gt;&lt;Keywords&gt;diagnosis&lt;/Keywords&gt;&lt;Keywords&gt;economics&lt;/Keywords&gt;&lt;Keywords&gt;Female&lt;/Keywords&gt;&lt;Keywords&gt;Human papillomavirus 16&lt;/Keywords&gt;&lt;Keywords&gt;Human papillomavirus 18&lt;/Keywords&gt;&lt;Keywords&gt;Humans&lt;/Keywords&gt;&lt;Keywords&gt;immunology&lt;/Keywords&gt;&lt;Keywords&gt;Mass Screening&lt;/Keywords&gt;&lt;Keywords&gt;methods&lt;/Keywords&gt;&lt;Keywords&gt;Papillomavirus Infections&lt;/Keywords&gt;&lt;Keywords&gt;Papillomavirus Vaccines&lt;/Keywords&gt;&lt;Keywords&gt;prevention &amp;amp;amp&lt;/Keywords&gt;&lt;Keywords&gt;therapeutic use&lt;/Keywords&gt;&lt;Keywords&gt;trends&lt;/Keywords&gt;&lt;Keywords&gt;Uterine Cervical Neoplasms&lt;/Keywords&gt;&lt;Keywords&gt;Vaccination&lt;/Keywords&gt;&lt;Keywords&gt;virology&lt;/Keywords&gt;&lt;Reprint&gt;Not in File&lt;/Reprint&gt;&lt;Start_Page&gt;145&lt;/Start_Page&gt;&lt;End_Page&gt;153&lt;/End_Page&gt;&lt;Periodical&gt;Cancer.&lt;/Periodical&gt;&lt;Volume&gt;111&lt;/Volume&gt;&lt;Issue&gt;3&lt;/Issue&gt;&lt;ZZ_JournalStdAbbrev&gt;&lt;f name="System"&gt;Cancer.&lt;/f&gt;&lt;/ZZ_JournalStdAbbrev&gt;&lt;ZZ_WorkformID&gt;1&lt;/ZZ_WorkformID&gt;&lt;/MDL&gt;&lt;/Cite&gt;&lt;/Refman&gt;</w:instrText>
      </w:r>
      <w:r w:rsidRPr="00537C3C">
        <w:fldChar w:fldCharType="separate"/>
      </w:r>
      <w:r w:rsidRPr="00537C3C">
        <w:t>(Schiffman 2007)</w:t>
      </w:r>
      <w:r w:rsidRPr="00537C3C">
        <w:fldChar w:fldCharType="end"/>
      </w:r>
      <w:r w:rsidRPr="00537C3C">
        <w:t>, increasing technical difficulties for cytotechnologists manually screening slides even further.</w:t>
      </w:r>
    </w:p>
    <w:p w:rsidR="00234376" w:rsidRPr="00537C3C" w:rsidRDefault="00234376" w:rsidP="008E03A7">
      <w:pPr>
        <w:pStyle w:val="Heading1"/>
        <w:ind w:left="-142"/>
      </w:pPr>
      <w:bookmarkStart w:id="759" w:name="_Ref213660432"/>
      <w:bookmarkStart w:id="760" w:name="_Toc95971092"/>
      <w:bookmarkStart w:id="761" w:name="_Toc241658191"/>
      <w:r w:rsidRPr="00537C3C">
        <w:lastRenderedPageBreak/>
        <w:t>Discussion</w:t>
      </w:r>
      <w:bookmarkEnd w:id="759"/>
      <w:bookmarkEnd w:id="760"/>
      <w:bookmarkEnd w:id="761"/>
    </w:p>
    <w:p w:rsidR="00234376" w:rsidRPr="00537C3C" w:rsidRDefault="00234376" w:rsidP="008E03A7">
      <w:pPr>
        <w:pStyle w:val="Heading2"/>
      </w:pPr>
      <w:bookmarkStart w:id="762" w:name="_Toc219865802"/>
      <w:bookmarkStart w:id="763" w:name="_Toc219866010"/>
      <w:bookmarkStart w:id="764" w:name="_Toc219880650"/>
      <w:bookmarkStart w:id="765" w:name="_Toc220144564"/>
      <w:bookmarkStart w:id="766" w:name="_Toc95971093"/>
      <w:bookmarkStart w:id="767" w:name="_Toc241658192"/>
      <w:r w:rsidRPr="00BB76D8">
        <w:t>LBC</w:t>
      </w:r>
      <w:bookmarkEnd w:id="762"/>
      <w:bookmarkEnd w:id="763"/>
      <w:bookmarkEnd w:id="764"/>
      <w:bookmarkEnd w:id="765"/>
      <w:bookmarkEnd w:id="766"/>
      <w:bookmarkEnd w:id="767"/>
    </w:p>
    <w:p w:rsidR="00234376" w:rsidRPr="00537C3C" w:rsidRDefault="00234376" w:rsidP="008E03A7">
      <w:r w:rsidRPr="00537C3C">
        <w:t xml:space="preserve">Data from two systematic reviews designed to compare the performance of </w:t>
      </w:r>
      <w:r w:rsidRPr="00BB76D8">
        <w:t>LBC</w:t>
      </w:r>
      <w:r w:rsidRPr="00537C3C">
        <w:t xml:space="preserve"> to conventional cytology have indicated in subgroup analyses that there may be variations in accuracy and unsatisfactory rates according to proprietary name.</w:t>
      </w:r>
    </w:p>
    <w:p w:rsidR="00234376" w:rsidRPr="00537C3C" w:rsidRDefault="00234376" w:rsidP="008E03A7">
      <w:r w:rsidRPr="00537C3C">
        <w:t xml:space="preserve">A recent, high-quality systematic review </w:t>
      </w:r>
      <w:r w:rsidRPr="00537C3C">
        <w:fldChar w:fldCharType="begin"/>
      </w:r>
      <w:r w:rsidRPr="00537C3C">
        <w:instrText xml:space="preserve"> ADDIN REFMGR.CITE &lt;Refman&gt;&lt;Cite&gt;&lt;Author&gt;Arbyn&lt;/Author&gt;&lt;Year&gt;2008&lt;/Year&gt;&lt;RecNum&gt;5&lt;/RecNum&gt;&lt;IDText&gt;Liquid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537C3C">
        <w:fldChar w:fldCharType="separate"/>
      </w:r>
      <w:r w:rsidRPr="00537C3C">
        <w:t>(Arbyn et al. 2008)</w:t>
      </w:r>
      <w:r w:rsidRPr="00537C3C">
        <w:fldChar w:fldCharType="end"/>
      </w:r>
      <w:r w:rsidRPr="00537C3C">
        <w:t xml:space="preserve"> did not demonstrate a statistically significant difference in sensitivity to detect </w:t>
      </w:r>
      <w:r w:rsidRPr="00BB76D8">
        <w:t>CIN</w:t>
      </w:r>
      <w:r w:rsidRPr="00537C3C">
        <w:t xml:space="preserve"> 2+ for </w:t>
      </w:r>
      <w:r w:rsidRPr="00BB76D8">
        <w:t>LBC</w:t>
      </w:r>
      <w:r w:rsidRPr="00537C3C">
        <w:t xml:space="preserve"> preparation methods compared to conventional Pap cytology (</w:t>
      </w:r>
      <w:r w:rsidRPr="00BB76D8">
        <w:t>HSIL</w:t>
      </w:r>
      <w:r w:rsidRPr="00537C3C">
        <w:t xml:space="preserve"> threshold, </w:t>
      </w:r>
      <w:r w:rsidRPr="00BB76D8">
        <w:t>LBC</w:t>
      </w:r>
      <w:r w:rsidR="00B12E00">
        <w:t>:</w:t>
      </w:r>
      <w:r w:rsidRPr="00537C3C">
        <w:t xml:space="preserve">conventional sensitivity ratio 1.05, 95% </w:t>
      </w:r>
      <w:r w:rsidRPr="00BB76D8">
        <w:t>CI</w:t>
      </w:r>
      <w:r w:rsidRPr="00537C3C">
        <w:t xml:space="preserve"> 0.95–1.16). This conclusion did not vary if only studies conducted in a screening population, or of paired design were considered. This review reported </w:t>
      </w:r>
      <w:r w:rsidRPr="00BB76D8">
        <w:t>LBC</w:t>
      </w:r>
      <w:r w:rsidRPr="00537C3C">
        <w:t xml:space="preserve"> was less specific than conventional cytology at a test threshold of </w:t>
      </w:r>
      <w:r w:rsidRPr="00BB76D8">
        <w:t>pLSIL</w:t>
      </w:r>
      <w:r w:rsidRPr="00537C3C">
        <w:t xml:space="preserve"> (</w:t>
      </w:r>
      <w:r w:rsidRPr="00BB76D8">
        <w:t>ASCUS</w:t>
      </w:r>
      <w:r w:rsidRPr="00537C3C">
        <w:t xml:space="preserve">+, </w:t>
      </w:r>
      <w:r w:rsidRPr="00BB76D8">
        <w:t>LBC</w:t>
      </w:r>
      <w:r w:rsidRPr="00537C3C">
        <w:t xml:space="preserve">:conventional specificity ratio 0.91, 95% </w:t>
      </w:r>
      <w:r w:rsidRPr="00BB76D8">
        <w:t>CI</w:t>
      </w:r>
      <w:r w:rsidRPr="00537C3C">
        <w:t xml:space="preserve"> 0.84–0.98). Study design and proprietary name of the </w:t>
      </w:r>
      <w:r w:rsidRPr="00BB76D8">
        <w:t>LBC</w:t>
      </w:r>
      <w:r w:rsidRPr="00537C3C">
        <w:t xml:space="preserve"> technology contributed to study heterogeneity for specificity only. A separate </w:t>
      </w:r>
      <w:r w:rsidRPr="00BB76D8">
        <w:t>HTA</w:t>
      </w:r>
      <w:r w:rsidRPr="00537C3C">
        <w:t xml:space="preserve"> and meta-analysis demonstrated that </w:t>
      </w:r>
      <w:r w:rsidRPr="00BB76D8">
        <w:t>LBC</w:t>
      </w:r>
      <w:r w:rsidRPr="00537C3C">
        <w:t xml:space="preserve"> classified significantly more slides as </w:t>
      </w:r>
      <w:r w:rsidRPr="00BB76D8">
        <w:t>LSIL</w:t>
      </w:r>
      <w:r w:rsidRPr="00537C3C">
        <w:t xml:space="preserve">+ than conventional cytology, but classification of slides as </w:t>
      </w:r>
      <w:r w:rsidRPr="00BB76D8">
        <w:t>HSIL</w:t>
      </w:r>
      <w:r w:rsidRPr="00537C3C">
        <w:t xml:space="preserve">+ did not significantly differ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w:t>
      </w:r>
    </w:p>
    <w:p w:rsidR="00234376" w:rsidRPr="00537C3C" w:rsidRDefault="00234376" w:rsidP="008E03A7">
      <w:r w:rsidRPr="00537C3C">
        <w:t xml:space="preserve">This recent </w:t>
      </w:r>
      <w:r w:rsidRPr="00BB76D8">
        <w:t>HTA</w:t>
      </w:r>
      <w:r w:rsidRPr="00537C3C">
        <w:t xml:space="preserve"> report from </w:t>
      </w:r>
      <w:r w:rsidRPr="00BB76D8">
        <w:t>CADTH</w:t>
      </w:r>
      <w:r w:rsidRPr="00537C3C">
        <w:t xml:space="preserve"> concluded that </w:t>
      </w:r>
      <w:r w:rsidRPr="00BB76D8">
        <w:t>LBC</w:t>
      </w:r>
      <w:r w:rsidRPr="00537C3C">
        <w:t xml:space="preserve"> may have a lower unsatisfactory rate than conventional cytology, but that the estimate of difference varied between studies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 xml:space="preserve">. Possible reasons for the variations include differences in reporting terminology and screening practices. An earlier systematic review by Davey et al. </w:t>
      </w:r>
      <w:r w:rsidRPr="00537C3C">
        <w:fldChar w:fldCharType="begin"/>
      </w:r>
      <w:r w:rsidRPr="00537C3C">
        <w:instrText xml:space="preserve"> ADDIN REFMGR.CITE &lt;Refman&gt;&lt;Cite ExcludeAuth="1"&gt;&lt;Author&gt;Davey&lt;/Author&gt;&lt;Year&gt;2006&lt;/Year&gt;&lt;RecNum&gt;268&lt;/RecNum&gt;&lt;IDText&gt;Effect of study design and quality on unsatisfactory rates, cytology classifications, and accuracy in liquid-based versus conventional cervical cytology: A systematic review&lt;/IDText&gt;&lt;MDL Ref_Type="Journal"&gt;&lt;Ref_Type&gt;Journal&lt;/Ref_Type&gt;&lt;Ref_ID&gt;268&lt;/Ref_ID&gt;&lt;Title_Primary&gt;Effect of study design and quality on unsatisfactory rates, cytology classifications, and accuracy in liquid-based versus conventional cervical cytology: A systematic review&lt;/Title_Primary&gt;&lt;Authors_Primary&gt;Davey,E.&lt;/Authors_Primary&gt;&lt;Authors_Primary&gt;Barratt,A.&lt;/Authors_Primary&gt;&lt;Authors_Primary&gt;Irwig,L.&lt;/Authors_Primary&gt;&lt;Authors_Primary&gt;Chan,S.F.&lt;/Authors_Primary&gt;&lt;Authors_Primary&gt;Macaskill,P.&lt;/Authors_Primary&gt;&lt;Authors_Primary&gt;Mannes,P.&lt;/Authors_Primary&gt;&lt;Authors_Primary&gt;Saville,A.M.&lt;/Authors_Primary&gt;&lt;Date_Primary&gt;2006&lt;/Date_Primary&gt;&lt;Keywords&gt;cancer screening&lt;/Keywords&gt;&lt;Keywords&gt;comparative study&lt;/Keywords&gt;&lt;Keywords&gt;cytodiagnosis&lt;/Keywords&gt;&lt;Keywords&gt;cytology&lt;/Keywords&gt;&lt;Keywords&gt;cytopathology&lt;/Keywords&gt;&lt;Keywords&gt;diagnostic accuracy&lt;/Keywords&gt;&lt;Keywords&gt;human&lt;/Keywords&gt;&lt;Keywords&gt;liquid based cytology&lt;/Keywords&gt;&lt;Keywords&gt;methodology&lt;/Keywords&gt;&lt;Keywords&gt;Papanicolaou test&lt;/Keywords&gt;&lt;Keywords&gt;priority journal&lt;/Keywords&gt;&lt;Keywords&gt;review&lt;/Keywords&gt;&lt;Keywords&gt;sensitivity and specificity&lt;/Keywords&gt;&lt;Keywords&gt;squamous epithelium&lt;/Keywords&gt;&lt;Keywords&gt;systematic review&lt;/Keywords&gt;&lt;Keywords&gt;uterine cervix cytology&lt;/Keywords&gt;&lt;Reprint&gt;Not in File&lt;/Reprint&gt;&lt;Start_Page&gt;122&lt;/Start_Page&gt;&lt;End_Page&gt;132&lt;/End_Page&gt;&lt;Periodical&gt;Lancet&lt;/Periodical&gt;&lt;Volume&gt;367&lt;/Volume&gt;&lt;Issue&gt;9505&lt;/Issue&gt;&lt;ISSN_ISBN&gt;0140-6736&lt;/ISSN_ISBN&gt;&lt;Address&gt;Davey, E., Screening and Test Evaluation Program, School of Public Health, University of Sydney, NSW 2006, Australia&lt;/Address&gt;&lt;ZZ_JournalFull&gt;&lt;f name="System"&gt;Lancet&lt;/f&gt;&lt;/ZZ_JournalFull&gt;&lt;ZZ_WorkformID&gt;1&lt;/ZZ_WorkformID&gt;&lt;/MDL&gt;&lt;/Cite&gt;&lt;/Refman&gt;</w:instrText>
      </w:r>
      <w:r w:rsidRPr="00537C3C">
        <w:fldChar w:fldCharType="separate"/>
      </w:r>
      <w:r w:rsidRPr="00537C3C">
        <w:t>(2006)</w:t>
      </w:r>
      <w:r w:rsidRPr="00537C3C">
        <w:fldChar w:fldCharType="end"/>
      </w:r>
      <w:r w:rsidRPr="00537C3C">
        <w:t xml:space="preserve"> found no difference in the unsatisfactory rate between </w:t>
      </w:r>
      <w:r w:rsidRPr="00BB76D8">
        <w:t>LBC</w:t>
      </w:r>
      <w:r w:rsidRPr="00537C3C">
        <w:t xml:space="preserve"> and conventional cytology in a meta-analysis of 48 datasets. A summary of findings in this systematic review is provided in </w:t>
      </w:r>
      <w:r>
        <w:fldChar w:fldCharType="begin"/>
      </w:r>
      <w:r>
        <w:instrText xml:space="preserve"> REF _Ref208903358 \h  \* MERGEFORMAT </w:instrText>
      </w:r>
      <w:r>
        <w:fldChar w:fldCharType="separate"/>
      </w:r>
      <w:r w:rsidR="007D3DFF" w:rsidRPr="00537C3C">
        <w:t xml:space="preserve">Appendix </w:t>
      </w:r>
      <w:r w:rsidR="007D3DFF">
        <w:rPr>
          <w:noProof/>
        </w:rPr>
        <w:t>I</w:t>
      </w:r>
      <w:r>
        <w:fldChar w:fldCharType="end"/>
      </w:r>
      <w:r w:rsidRPr="00537C3C">
        <w:t xml:space="preserve">. This review stimulated debate in the literature as some prominent individual studies had indicated a decrease in the unsatisfactory rate with the use of </w:t>
      </w:r>
      <w:r w:rsidRPr="00BB76D8">
        <w:t>LBC</w:t>
      </w:r>
      <w:r w:rsidRPr="00537C3C">
        <w:t xml:space="preserve">. In particular, the experience of introducing </w:t>
      </w:r>
      <w:r w:rsidRPr="00BB76D8">
        <w:t>LBC</w:t>
      </w:r>
      <w:r w:rsidRPr="00537C3C">
        <w:t xml:space="preserve"> into the cervical cancer screening program in the United Kingdom reduced unsatisfactory rates from 9.1 per cent with conventional Pap slides to an average of 1.6 per cent with </w:t>
      </w:r>
      <w:r w:rsidRPr="00BB76D8">
        <w:t>LBC</w:t>
      </w:r>
      <w:r w:rsidRPr="00537C3C">
        <w:t xml:space="preserve"> </w:t>
      </w:r>
      <w:r w:rsidRPr="00537C3C">
        <w:fldChar w:fldCharType="begin"/>
      </w:r>
      <w:r w:rsidRPr="00537C3C">
        <w:instrText xml:space="preserve"> ADDIN REFMGR.CITE &lt;Refman&gt;&lt;Cite&gt;&lt;Author&gt;National Institute for Clinical Excellence&lt;/Author&gt;&lt;Year&gt;2003&lt;/Year&gt;&lt;RecNum&gt;9&lt;/RecNum&gt;&lt;IDText&gt;Guidance on the use of liquid-based cytology for cervical screening&lt;/IDText&gt;&lt;Prefix&gt;87% reduction, p &amp;lt; 0.0001; &lt;/Prefix&gt;&lt;MDL Ref_Type="Report"&gt;&lt;Ref_Type&gt;Report&lt;/Ref_Type&gt;&lt;Ref_ID&gt;9&lt;/Ref_ID&gt;&lt;Title_Primary&gt;Guidance on the use of liquid-based cytology for cervical screening&lt;/Title_Primary&gt;&lt;Authors_Primary&gt;National Institute for Clinical Excellence&lt;/Authors_Primary&gt;&lt;Date_Primary&gt;2003/10&lt;/Date_Primary&gt;&lt;Keywords&gt;Mass Screening&lt;/Keywords&gt;&lt;Keywords&gt;Uterine Cervical Neoplasms .prevention &amp;amp; control&lt;/Keywords&gt;&lt;Keywords&gt;Vaginal Smears&lt;/Keywords&gt;&lt;Reprint&gt;In File&lt;/Reprint&gt;&lt;Volume&gt;Technology Appraisal 69&lt;/Volume&gt;&lt;Pub_Place&gt;London, UK&lt;/Pub_Place&gt;&lt;Publisher&gt;National Institute for Clinical Excellence, NHS&lt;/Publisher&gt;&lt;User_Def_1&gt;Includes LBC pilot study results&lt;/User_Def_1&gt;&lt;Date_Secondary&gt;2007/11/9&lt;/Date_Secondary&gt;&lt;ZZ_WorkformID&gt;24&lt;/ZZ_WorkformID&gt;&lt;/MDL&gt;&lt;/Cite&gt;&lt;Cite&gt;&lt;Author&gt;Moss&lt;/Author&gt;&lt;Year&gt;2004&lt;/Year&gt;&lt;RecNum&gt;317&lt;/RecNum&gt;&lt;IDText&gt;Evaluation of HPV/LBC cervical cancer screening studies&lt;/IDText&gt;&lt;MDL Ref_Type="Electronic Citation"&gt;&lt;Ref_Type&gt;Electronic Citation&lt;/Ref_Type&gt;&lt;Ref_ID&gt;317&lt;/Ref_ID&gt;&lt;Title_Primary&gt;Evaluation of HPV/LBC cervical cancer screening studies&lt;/Title_Primary&gt;&lt;Authors_Primary&gt;Moss,S.M.&lt;/Authors_Primary&gt;&lt;Authors_Primary&gt;Gary,Y.&lt;/Authors_Primary&gt;&lt;Authors_Primary&gt;Marteau,T.&lt;/Authors_Primary&gt;&lt;Authors_Primary&gt;Legood,R.&lt;/Authors_Primary&gt;&lt;Authors_Primary&gt;Henstock,E.&lt;/Authors_Primary&gt;&lt;Authors_Primary&gt;Maissi,E.&lt;/Authors_Primary&gt;&lt;Date_Primary&gt;2004&lt;/Date_Primary&gt;&lt;Reprint&gt;In File&lt;/Reprint&gt;&lt;Periodical&gt;NHS&lt;/Periodical&gt;&lt;Publisher&gt;NHS Cancer Screening Programmes, Sheffield, UK&lt;/Publisher&gt;&lt;Date_Secondary&gt;7 AD/10/19&lt;/Date_Secondary&gt;&lt;Web_URL&gt;&lt;u&gt;http://www.cancerscreening.nhs.uk/cervical/lbc.html#wales&lt;/u&gt;&lt;/Web_URL&gt;&lt;Web_URL_Link1&gt;&lt;u&gt;http://www.cancerscreening.nhs.uk/cervical/evaluation-hpv-2006feb.pdf&lt;/u&gt;&lt;/Web_URL_Link1&gt;&lt;ZZ_JournalFull&gt;&lt;f name="System"&gt;NHS&lt;/f&gt;&lt;/ZZ_JournalFull&gt;&lt;ZZ_WorkformID&gt;34&lt;/ZZ_WorkformID&gt;&lt;/MDL&gt;&lt;/Cite&gt;&lt;/Refman&gt;</w:instrText>
      </w:r>
      <w:r w:rsidRPr="00537C3C">
        <w:fldChar w:fldCharType="separate"/>
      </w:r>
      <w:r w:rsidRPr="00537C3C">
        <w:t xml:space="preserve">(Moss et al. 2004; 87% reduction, </w:t>
      </w:r>
      <w:r w:rsidRPr="00234376">
        <w:rPr>
          <w:i/>
        </w:rPr>
        <w:t>P</w:t>
      </w:r>
      <w:r w:rsidRPr="00537C3C">
        <w:t xml:space="preserve"> &lt; 0.0001; National Institute for Clinical Excellence 2003)</w:t>
      </w:r>
      <w:r w:rsidRPr="00537C3C">
        <w:fldChar w:fldCharType="end"/>
      </w:r>
      <w:r w:rsidRPr="00537C3C">
        <w:t xml:space="preserve">. However, this reduction </w:t>
      </w:r>
      <w:r w:rsidRPr="00537C3C" w:rsidDel="00110B9C">
        <w:t>came</w:t>
      </w:r>
      <w:r w:rsidRPr="00537C3C">
        <w:t xml:space="preserve"> from a base rate of unsatisfactory conventional smears that is much higher than that seen in the Australian screening program (9.1% </w:t>
      </w:r>
      <w:smartTag w:uri="urn:schemas-microsoft-com:office:smarttags" w:element="country-region">
        <w:r w:rsidRPr="00537C3C">
          <w:t>UK</w:t>
        </w:r>
      </w:smartTag>
      <w:r w:rsidRPr="00537C3C">
        <w:t xml:space="preserve"> vs 2.1%–2.3% </w:t>
      </w:r>
      <w:r w:rsidRPr="00537C3C">
        <w:rPr>
          <w:rStyle w:val="FootnoteReference"/>
        </w:rPr>
        <w:footnoteReference w:id="1"/>
      </w:r>
      <w:r w:rsidRPr="00537C3C">
        <w:t xml:space="preserve"> </w:t>
      </w:r>
      <w:smartTag w:uri="urn:schemas-microsoft-com:office:smarttags" w:element="place">
        <w:smartTag w:uri="urn:schemas-microsoft-com:office:smarttags" w:element="country-region">
          <w:r w:rsidRPr="00537C3C">
            <w:t>Australia</w:t>
          </w:r>
        </w:smartTag>
      </w:smartTag>
      <w:r w:rsidRPr="00537C3C">
        <w:t xml:space="preserve">). Davey et al. (2006) concluded that large randomised trials are needed to assess the comparative performance of </w:t>
      </w:r>
      <w:r w:rsidRPr="00BB76D8">
        <w:t>LBC</w:t>
      </w:r>
      <w:r w:rsidRPr="00537C3C">
        <w:t xml:space="preserve"> and conventional cytology.</w:t>
      </w:r>
    </w:p>
    <w:p w:rsidR="00234376" w:rsidRPr="00537C3C" w:rsidRDefault="00234376" w:rsidP="008E03A7">
      <w:r w:rsidRPr="00537C3C">
        <w:t xml:space="preserve">A recent large </w:t>
      </w:r>
      <w:r w:rsidRPr="00BB76D8">
        <w:t>RCT</w:t>
      </w:r>
      <w:r w:rsidRPr="00537C3C">
        <w:t xml:space="preserve"> of 45, 174 women reported a decrease in the unsatisfactory rate for </w:t>
      </w:r>
      <w:r w:rsidRPr="00BB76D8">
        <w:t>LBC</w:t>
      </w:r>
      <w:r w:rsidRPr="00537C3C">
        <w:t xml:space="preserve"> (ThinPrep) versus conventionally prepared slides (2.6% </w:t>
      </w:r>
      <w:r w:rsidRPr="00BB76D8">
        <w:t>LBC</w:t>
      </w:r>
      <w:r w:rsidRPr="00537C3C">
        <w:t xml:space="preserve"> vs 4.1% conventional, relative frequency 0.62, 95% </w:t>
      </w:r>
      <w:r w:rsidRPr="00BB76D8">
        <w:t>CI</w:t>
      </w:r>
      <w:r w:rsidRPr="00537C3C">
        <w:t xml:space="preserve"> 0.56–0.69). The unsatisfactory rate in the conventional arm of this Italian study (4.1%) was higher than that seen in the Australian screening program (2.1% </w:t>
      </w:r>
      <w:r w:rsidRPr="00537C3C">
        <w:rPr>
          <w:vertAlign w:val="superscript"/>
        </w:rPr>
        <w:t>1</w:t>
      </w:r>
      <w:r w:rsidRPr="00537C3C">
        <w:t xml:space="preserve">), but more similar to Australian rates than were the </w:t>
      </w:r>
      <w:smartTag w:uri="urn:schemas-microsoft-com:office:smarttags" w:element="place">
        <w:smartTag w:uri="urn:schemas-microsoft-com:office:smarttags" w:element="country-region">
          <w:r w:rsidRPr="00537C3C">
            <w:t>UK</w:t>
          </w:r>
        </w:smartTag>
      </w:smartTag>
      <w:r w:rsidRPr="00537C3C">
        <w:t xml:space="preserve"> rates.</w:t>
      </w:r>
    </w:p>
    <w:p w:rsidR="00234376" w:rsidRPr="00537C3C" w:rsidRDefault="00234376" w:rsidP="008E03A7">
      <w:r w:rsidRPr="00537C3C">
        <w:lastRenderedPageBreak/>
        <w:t xml:space="preserve">A modelled analysis of cervical cancer screening, diagnosis and treatment is necessary to explore the potential benefits and trade-offs of using </w:t>
      </w:r>
      <w:r w:rsidRPr="00BB76D8">
        <w:t>LBC</w:t>
      </w:r>
      <w:r w:rsidRPr="00537C3C">
        <w:t xml:space="preserve"> with manual slide reading instead of conventional cytology.</w:t>
      </w:r>
    </w:p>
    <w:p w:rsidR="00234376" w:rsidRPr="00537C3C" w:rsidRDefault="00234376" w:rsidP="008E03A7">
      <w:r w:rsidRPr="00537C3C">
        <w:t xml:space="preserve">Modelled analysis estimated that the replacement of conventional cytology in </w:t>
      </w:r>
      <w:smartTag w:uri="urn:schemas-microsoft-com:office:smarttags" w:element="place">
        <w:smartTag w:uri="urn:schemas-microsoft-com:office:smarttags" w:element="country-region">
          <w:r w:rsidRPr="00537C3C">
            <w:t>Australia</w:t>
          </w:r>
        </w:smartTag>
      </w:smartTag>
      <w:r w:rsidRPr="00537C3C">
        <w:t xml:space="preserve"> with manual </w:t>
      </w:r>
      <w:r w:rsidRPr="00BB76D8">
        <w:t>LBC</w:t>
      </w:r>
      <w:r w:rsidRPr="00537C3C">
        <w:t xml:space="preserve"> would result in 23 fewer cancer cases, and 6 fewer cancer deaths. It also predicted, however, that </w:t>
      </w:r>
      <w:r w:rsidRPr="00BB76D8">
        <w:t>LBC</w:t>
      </w:r>
      <w:r w:rsidRPr="00537C3C">
        <w:t xml:space="preserve"> would substantially increase investigations and treatments. It estimated an additional 22 763 smears, 6770 colposcopies, 3273 biopsies, </w:t>
      </w:r>
      <w:r w:rsidR="000D7630">
        <w:t xml:space="preserve">and </w:t>
      </w:r>
      <w:r w:rsidRPr="00537C3C">
        <w:t xml:space="preserve">735 treatments for </w:t>
      </w:r>
      <w:r w:rsidRPr="00BB76D8">
        <w:t>CIN</w:t>
      </w:r>
      <w:r w:rsidRPr="00537C3C">
        <w:t xml:space="preserve"> 2/3. This analysis was based upon favourable assumptions about test specificity. Whether this outcome is considered as an improvement in overall health outcomes is dependent upon the trade-off between the benefit from a reduction in cancer incidence and the harms associated with increased investigations for the women </w:t>
      </w:r>
      <w:r w:rsidR="00C31CF7">
        <w:t>who</w:t>
      </w:r>
      <w:r w:rsidRPr="00537C3C">
        <w:t xml:space="preserve"> are not destined to develop cervical cancer.</w:t>
      </w:r>
    </w:p>
    <w:p w:rsidR="00234376" w:rsidRPr="00537C3C" w:rsidRDefault="00234376" w:rsidP="008E03A7">
      <w:pPr>
        <w:pStyle w:val="Heading2"/>
      </w:pPr>
      <w:bookmarkStart w:id="768" w:name="_Toc219865803"/>
      <w:bookmarkStart w:id="769" w:name="_Toc219866011"/>
      <w:bookmarkStart w:id="770" w:name="_Toc219880651"/>
      <w:bookmarkStart w:id="771" w:name="_Toc220144565"/>
      <w:bookmarkStart w:id="772" w:name="_Toc95971094"/>
      <w:bookmarkStart w:id="773" w:name="_Toc241658193"/>
      <w:r w:rsidRPr="00537C3C">
        <w:t xml:space="preserve">Automated </w:t>
      </w:r>
      <w:r w:rsidRPr="00BB76D8">
        <w:t>LBC</w:t>
      </w:r>
      <w:bookmarkEnd w:id="768"/>
      <w:bookmarkEnd w:id="769"/>
      <w:bookmarkEnd w:id="770"/>
      <w:bookmarkEnd w:id="771"/>
      <w:bookmarkEnd w:id="772"/>
      <w:bookmarkEnd w:id="773"/>
    </w:p>
    <w:p w:rsidR="00234376" w:rsidRPr="00537C3C" w:rsidRDefault="00234376" w:rsidP="008E03A7">
      <w:r w:rsidRPr="00537C3C">
        <w:t xml:space="preserve">No eligible studies addressing the primary review question of the comparative accuracy of the FocalPoint system for reading </w:t>
      </w:r>
      <w:r w:rsidRPr="00BB76D8">
        <w:t>LBC</w:t>
      </w:r>
      <w:r w:rsidRPr="00537C3C">
        <w:t xml:space="preserve"> slides compared to manual reading of conventional slides were identified.</w:t>
      </w:r>
    </w:p>
    <w:p w:rsidR="00234376" w:rsidRPr="00537C3C" w:rsidRDefault="00234376" w:rsidP="008E03A7">
      <w:r w:rsidRPr="00537C3C">
        <w:t xml:space="preserve">Two studies of AutoPap addressed secondary review questions. A single fair-quality study providing level </w:t>
      </w:r>
      <w:r w:rsidRPr="00BB76D8">
        <w:t>III</w:t>
      </w:r>
      <w:r w:rsidRPr="00537C3C">
        <w:t xml:space="preserve">-2 evidence of accuracy comparing AutoPap-assisted reading of conventional slides with manual reading of conventional slides did not provide any evidence of an advantage, disadvantage or equivalence. Similarly, a study of highly limited applicability comparing the AutoPap system to manual reading of </w:t>
      </w:r>
      <w:r w:rsidRPr="00BB76D8">
        <w:t>LBC</w:t>
      </w:r>
      <w:r w:rsidRPr="00537C3C">
        <w:t xml:space="preserve"> did not provide any evidence of an advantage, disadvantage or equivalence.</w:t>
      </w:r>
    </w:p>
    <w:p w:rsidR="00234376" w:rsidRPr="00537C3C" w:rsidRDefault="00234376" w:rsidP="008E03A7">
      <w:r w:rsidRPr="00537C3C">
        <w:t xml:space="preserve">Two studies found that automation-assisted reading of </w:t>
      </w:r>
      <w:r w:rsidRPr="00BB76D8">
        <w:t>LBC</w:t>
      </w:r>
      <w:r w:rsidRPr="00537C3C">
        <w:t xml:space="preserve"> slides with the ThinPrep Imager system was associated with a significant decrease in slide reading time and a significant increase in the number of slides classified with an abnormality compared to conventional cytology. One study indicated that the number of slides classified as unsatisfactory was also significantly decreased with the ThinPrep Imager system</w:t>
      </w:r>
    </w:p>
    <w:p w:rsidR="00234376" w:rsidRPr="00537C3C" w:rsidRDefault="00234376" w:rsidP="008E03A7">
      <w:r w:rsidRPr="00537C3C">
        <w:t xml:space="preserve">A summary of </w:t>
      </w:r>
      <w:r w:rsidR="003A3624">
        <w:t>t</w:t>
      </w:r>
      <w:r w:rsidRPr="00537C3C">
        <w:t xml:space="preserve">he body of evidence for the comparative accuracy of the ThinPrep Imager with conventional cytology is shown in </w:t>
      </w:r>
      <w:r>
        <w:fldChar w:fldCharType="begin"/>
      </w:r>
      <w:r>
        <w:instrText xml:space="preserve"> REF _Ref216019512 \h  \* MERGEFORMAT </w:instrText>
      </w:r>
      <w:r>
        <w:fldChar w:fldCharType="separate"/>
      </w:r>
      <w:r w:rsidR="007D3DFF" w:rsidRPr="00537C3C">
        <w:t xml:space="preserve">Table </w:t>
      </w:r>
      <w:r w:rsidR="007D3DFF">
        <w:rPr>
          <w:noProof/>
        </w:rPr>
        <w:t>58</w:t>
      </w:r>
      <w:r>
        <w:fldChar w:fldCharType="end"/>
      </w:r>
      <w:r w:rsidRPr="00537C3C">
        <w:t xml:space="preserve">. One fair-quality study providing level </w:t>
      </w:r>
      <w:r w:rsidRPr="00BB76D8">
        <w:t>III</w:t>
      </w:r>
      <w:r w:rsidRPr="00537C3C">
        <w:t xml:space="preserve">-2 evidence of accuracy indicated that automation-assisted reading of </w:t>
      </w:r>
      <w:r w:rsidRPr="00BB76D8">
        <w:t>LBC</w:t>
      </w:r>
      <w:r w:rsidRPr="00537C3C">
        <w:t xml:space="preserve"> slides with the ThinPrep Imager system detected significantly more high-grade lesions than manual reading of conventional cytology </w:t>
      </w:r>
      <w:r w:rsidRPr="00537C3C">
        <w:fldChar w:fldCharType="begin"/>
      </w:r>
      <w:r w:rsidRPr="00537C3C">
        <w:instrText xml:space="preserve"> ADDIN REFMGR.CITE &lt;Refman&gt;&lt;Cite&gt;&lt;Author&gt;Davey&lt;/Author&gt;&lt;Year&gt;2007&lt;/Year&gt;&lt;RecNum&gt;65&lt;/RecNum&gt;&lt;IDText&gt;Accuracy of reading liquid based cytology slides using the ThinPrep Imager compared with conventional cytology: Prospective study&lt;/IDText&gt;&lt;MDL Ref_Type="Journal"&gt;&lt;Ref_Type&gt;Journal&lt;/Ref_Type&gt;&lt;Ref_ID&gt;65&lt;/Ref_ID&gt;&lt;Title_Primary&gt;Accuracy of reading liquid based cytology slides using the ThinPrep Imager compared with conventional cytology: Prospective study&lt;/Title_Primary&gt;&lt;Authors_Primary&gt;Davey,E.&lt;/Authors_Primary&gt;&lt;Authors_Primary&gt;D&amp;apos;Assuncao,J.&lt;/Authors_Primary&gt;&lt;Authors_Primary&gt;Irwig,L.&lt;/Authors_Primary&gt;&lt;Authors_Primary&gt;Macaskill,P.&lt;/Authors_Primary&gt;&lt;Authors_Primary&gt;Chan,S.F.&lt;/Authors_Primary&gt;&lt;Authors_Primary&gt;Richards,A.&lt;/Authors_Primary&gt;&lt;Authors_Primary&gt;Farnsworth,A.&lt;/Authors_Primary&gt;&lt;Date_Primary&gt;2007&lt;/Date_Primary&gt;&lt;Keywords&gt;adult&lt;/Keywords&gt;&lt;Keywords&gt;article&lt;/Keywords&gt;&lt;Keywords&gt;Australia&lt;/Keywords&gt;&lt;Keywords&gt;cancer screening&lt;/Keywords&gt;&lt;Keywords&gt;clinical laboratory&lt;/Keywords&gt;&lt;Keywords&gt;diagnostic accuracy&lt;/Keywords&gt;&lt;Keywords&gt;female&lt;/Keywords&gt;&lt;Keywords&gt;human&lt;/Keywords&gt;&lt;Keywords&gt;human cell&lt;/Keywords&gt;&lt;Keywords&gt;intermethod comparison&lt;/Keywords&gt;&lt;Keywords&gt;liquid based cytology&lt;/Keywords&gt;&lt;Keywords&gt;major clinical study&lt;/Keywords&gt;&lt;Keywords&gt;Papanicolaou test&lt;/Keywords&gt;&lt;Keywords&gt;priority journal&lt;/Keywords&gt;&lt;Keywords&gt;ThinPrep&lt;/Keywords&gt;&lt;Keywords&gt;uterine cervix biopsy&lt;/Keywords&gt;&lt;Keywords&gt;uterine cervix cancer&lt;/Keywords&gt;&lt;Keywords&gt;uterine cervix carcinoma in situ&lt;/Keywords&gt;&lt;Keywords&gt;uterine cervix cytology&lt;/Keywords&gt;&lt;Reprint&gt;In File&lt;/Reprint&gt;&lt;Start_Page&gt;31&lt;/Start_Page&gt;&lt;End_Page&gt;35&lt;/End_Page&gt;&lt;Periodical&gt;British Medical Journal&lt;/Periodical&gt;&lt;Volume&gt;335&lt;/Volume&gt;&lt;Issue&gt;7609&lt;/Issue&gt;&lt;ISSN_ISBN&gt;0959-8146&lt;/ISSN_ISBN&gt;&lt;Address&gt;Davey, E., Screening and Test Evaluation Program, School of Public Health, University of Sydney, Sydney, NSW 2006, Australia&lt;/Address&gt;&lt;ZZ_JournalFull&gt;&lt;f name="System"&gt;British Medical Journal&lt;/f&gt;&lt;/ZZ_JournalFull&gt;&lt;ZZ_JournalStdAbbrev&gt;&lt;f name="System"&gt;Br.Med.J.&lt;/f&gt;&lt;/ZZ_JournalStdAbbrev&gt;&lt;ZZ_WorkformID&gt;1&lt;/ZZ_WorkformID&gt;&lt;/MDL&gt;&lt;/Cite&gt;&lt;/Refman&gt;</w:instrText>
      </w:r>
      <w:r w:rsidRPr="00537C3C">
        <w:fldChar w:fldCharType="separate"/>
      </w:r>
      <w:r w:rsidRPr="00537C3C">
        <w:t>(Davey et al. 2007a)</w:t>
      </w:r>
      <w:r w:rsidRPr="00537C3C">
        <w:fldChar w:fldCharType="end"/>
      </w:r>
      <w:r w:rsidRPr="00537C3C">
        <w:t>. This was associated with an increase in the number of women classified as having low-grade lesions on cytology.</w:t>
      </w:r>
    </w:p>
    <w:p w:rsidR="00234376" w:rsidRPr="00537C3C" w:rsidRDefault="00234376" w:rsidP="008E03A7">
      <w:r w:rsidRPr="00537C3C">
        <w:t>A second fair-quality study indicated a non-significant trend toward an increase in the number of true positive cases detected by the ThinPrep Imager system compared to conventional cytology (Roberts et al. 2007). This study is considered to provide less robust evidence than the Davey et al. (2007</w:t>
      </w:r>
      <w:r w:rsidR="009C7C2E">
        <w:t>a)</w:t>
      </w:r>
      <w:r w:rsidRPr="00537C3C">
        <w:t xml:space="preserve"> study as there is a possibility of verification bias. The number of discordant positive slides verified with each technology is not reported. The findings of this study are difficult to interpret given that the head-to-head direct comparison of conventional cytology, automation-assisted reading of </w:t>
      </w:r>
      <w:r w:rsidRPr="00BB76D8">
        <w:t>LBC</w:t>
      </w:r>
      <w:r w:rsidRPr="00537C3C">
        <w:t xml:space="preserve"> and manual reading of </w:t>
      </w:r>
      <w:r w:rsidRPr="00BB76D8">
        <w:t>LBC</w:t>
      </w:r>
      <w:r w:rsidRPr="00537C3C">
        <w:t xml:space="preserve"> indicated a significant advantage of manual </w:t>
      </w:r>
      <w:r w:rsidRPr="00BB76D8">
        <w:t>LBC</w:t>
      </w:r>
      <w:r w:rsidRPr="00537C3C">
        <w:t xml:space="preserve"> but not automation-assisted </w:t>
      </w:r>
      <w:r w:rsidRPr="00BB76D8">
        <w:t>LBC</w:t>
      </w:r>
      <w:r w:rsidRPr="00537C3C">
        <w:t xml:space="preserve"> over that of manual reading of conventional cytology.</w:t>
      </w:r>
    </w:p>
    <w:p w:rsidR="00234376" w:rsidRPr="00537C3C" w:rsidRDefault="00234376" w:rsidP="008E03A7">
      <w:r w:rsidRPr="00537C3C">
        <w:t xml:space="preserve">There was inconsistency between the numbers of false positive biopsy results at a </w:t>
      </w:r>
      <w:r w:rsidRPr="00BB76D8">
        <w:t>pHSIL</w:t>
      </w:r>
      <w:r w:rsidRPr="00537C3C">
        <w:t xml:space="preserve"> test threshold in the two studies comparing the ThinPrep Imager system to conventional </w:t>
      </w:r>
      <w:r w:rsidRPr="00537C3C">
        <w:lastRenderedPageBreak/>
        <w:t>cytology. There was no significant difference in the study by Davey et al. (2007</w:t>
      </w:r>
      <w:r w:rsidR="009C7C2E">
        <w:t>a</w:t>
      </w:r>
      <w:r w:rsidRPr="00537C3C">
        <w:t>), but there were significantly more false positive findings with the ThinPrep Imager system in Roberts et al. (2007).</w:t>
      </w:r>
    </w:p>
    <w:p w:rsidR="00234376" w:rsidRPr="00537C3C" w:rsidRDefault="00234376" w:rsidP="008E03A7">
      <w:pPr>
        <w:pStyle w:val="TableNamea"/>
      </w:pPr>
      <w:bookmarkStart w:id="774" w:name="_Ref216019512"/>
      <w:bookmarkStart w:id="775" w:name="_Toc95971294"/>
      <w:r w:rsidRPr="00537C3C">
        <w:t xml:space="preserve">Table </w:t>
      </w:r>
      <w:fldSimple w:instr=" SEQ Table \* ARABIC ">
        <w:r w:rsidR="007D3DFF">
          <w:rPr>
            <w:noProof/>
          </w:rPr>
          <w:t>58</w:t>
        </w:r>
      </w:fldSimple>
      <w:bookmarkEnd w:id="774"/>
      <w:r w:rsidRPr="00537C3C">
        <w:tab/>
        <w:t>Body-of-evidence matrix for accuracy of ThinPrep Imager vs conventional cytology.</w:t>
      </w:r>
      <w:bookmarkEnd w:id="77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1705"/>
      </w:tblGrid>
      <w:tr w:rsidR="00234376" w:rsidRPr="00537C3C">
        <w:tc>
          <w:tcPr>
            <w:tcW w:w="1704" w:type="dxa"/>
          </w:tcPr>
          <w:p w:rsidR="00234376" w:rsidRPr="00537C3C" w:rsidRDefault="00234376" w:rsidP="008E03A7">
            <w:pPr>
              <w:pStyle w:val="TableHeading0"/>
            </w:pPr>
            <w:r w:rsidRPr="00537C3C">
              <w:t>Component</w:t>
            </w:r>
          </w:p>
        </w:tc>
        <w:tc>
          <w:tcPr>
            <w:tcW w:w="1704" w:type="dxa"/>
          </w:tcPr>
          <w:p w:rsidR="00234376" w:rsidRPr="00537C3C" w:rsidRDefault="00234376" w:rsidP="008E03A7">
            <w:pPr>
              <w:pStyle w:val="TableHeading0"/>
              <w:jc w:val="center"/>
            </w:pPr>
            <w:r w:rsidRPr="00537C3C">
              <w:t>A</w:t>
            </w:r>
          </w:p>
          <w:p w:rsidR="00234376" w:rsidRPr="00537C3C" w:rsidRDefault="00234376" w:rsidP="008E03A7">
            <w:pPr>
              <w:pStyle w:val="TableHeading0"/>
              <w:jc w:val="center"/>
            </w:pPr>
            <w:r w:rsidRPr="00537C3C">
              <w:t>Excellent</w:t>
            </w:r>
          </w:p>
        </w:tc>
        <w:tc>
          <w:tcPr>
            <w:tcW w:w="1704" w:type="dxa"/>
          </w:tcPr>
          <w:p w:rsidR="00234376" w:rsidRPr="00537C3C" w:rsidRDefault="00234376" w:rsidP="008E03A7">
            <w:pPr>
              <w:pStyle w:val="TableHeading0"/>
              <w:jc w:val="center"/>
            </w:pPr>
            <w:r w:rsidRPr="00537C3C">
              <w:t>B</w:t>
            </w:r>
          </w:p>
          <w:p w:rsidR="00234376" w:rsidRPr="00537C3C" w:rsidRDefault="00234376" w:rsidP="008E03A7">
            <w:pPr>
              <w:pStyle w:val="TableHeading0"/>
              <w:jc w:val="center"/>
            </w:pPr>
            <w:r w:rsidRPr="00537C3C">
              <w:t>Good</w:t>
            </w:r>
          </w:p>
        </w:tc>
        <w:tc>
          <w:tcPr>
            <w:tcW w:w="1705" w:type="dxa"/>
          </w:tcPr>
          <w:p w:rsidR="00234376" w:rsidRPr="00537C3C" w:rsidRDefault="00234376" w:rsidP="008E03A7">
            <w:pPr>
              <w:pStyle w:val="TableHeading0"/>
              <w:jc w:val="center"/>
            </w:pPr>
            <w:r w:rsidRPr="00537C3C">
              <w:t>C</w:t>
            </w:r>
          </w:p>
          <w:p w:rsidR="00234376" w:rsidRPr="00537C3C" w:rsidRDefault="00234376" w:rsidP="008E03A7">
            <w:pPr>
              <w:pStyle w:val="TableHeading0"/>
              <w:jc w:val="center"/>
            </w:pPr>
            <w:r w:rsidRPr="00537C3C">
              <w:t>Satisfactory</w:t>
            </w:r>
          </w:p>
        </w:tc>
        <w:tc>
          <w:tcPr>
            <w:tcW w:w="1705" w:type="dxa"/>
          </w:tcPr>
          <w:p w:rsidR="00234376" w:rsidRPr="00537C3C" w:rsidRDefault="00234376" w:rsidP="008E03A7">
            <w:pPr>
              <w:pStyle w:val="TableHeading0"/>
              <w:jc w:val="center"/>
            </w:pPr>
            <w:r w:rsidRPr="00537C3C">
              <w:t>D</w:t>
            </w:r>
          </w:p>
          <w:p w:rsidR="00234376" w:rsidRPr="00537C3C" w:rsidRDefault="00234376" w:rsidP="008E03A7">
            <w:pPr>
              <w:pStyle w:val="TableHeading0"/>
              <w:jc w:val="center"/>
            </w:pPr>
            <w:r w:rsidRPr="00537C3C">
              <w:t>Poor</w:t>
            </w:r>
          </w:p>
        </w:tc>
      </w:tr>
      <w:tr w:rsidR="00234376" w:rsidRPr="00537C3C">
        <w:tc>
          <w:tcPr>
            <w:tcW w:w="1704" w:type="dxa"/>
          </w:tcPr>
          <w:p w:rsidR="00234376" w:rsidRPr="00537C3C" w:rsidRDefault="00234376" w:rsidP="008E03A7">
            <w:pPr>
              <w:pStyle w:val="TableHeading0"/>
            </w:pPr>
            <w:r w:rsidRPr="00537C3C">
              <w:t>Evidence base</w:t>
            </w:r>
          </w:p>
        </w:tc>
        <w:tc>
          <w:tcPr>
            <w:tcW w:w="1704" w:type="dxa"/>
          </w:tcPr>
          <w:p w:rsidR="00234376" w:rsidRPr="00537C3C" w:rsidRDefault="00234376" w:rsidP="008E03A7">
            <w:pPr>
              <w:pStyle w:val="TableText0"/>
              <w:rPr>
                <w:rFonts w:ascii="Arial Narrow" w:hAnsi="Arial Narrow"/>
              </w:rPr>
            </w:pPr>
          </w:p>
        </w:tc>
        <w:tc>
          <w:tcPr>
            <w:tcW w:w="1704" w:type="dxa"/>
          </w:tcPr>
          <w:p w:rsidR="00234376" w:rsidRPr="00537C3C" w:rsidRDefault="00234376" w:rsidP="008E03A7">
            <w:pPr>
              <w:pStyle w:val="TableText0"/>
              <w:rPr>
                <w:rFonts w:ascii="Arial Narrow" w:hAnsi="Arial Narrow"/>
              </w:rPr>
            </w:pPr>
          </w:p>
        </w:tc>
        <w:tc>
          <w:tcPr>
            <w:tcW w:w="1705" w:type="dxa"/>
          </w:tcPr>
          <w:p w:rsidR="00234376" w:rsidRPr="00537C3C" w:rsidRDefault="00234376" w:rsidP="008E03A7">
            <w:pPr>
              <w:pStyle w:val="TableText0"/>
              <w:rPr>
                <w:rFonts w:ascii="Arial Narrow" w:hAnsi="Arial Narrow"/>
              </w:rPr>
            </w:pPr>
          </w:p>
        </w:tc>
        <w:tc>
          <w:tcPr>
            <w:tcW w:w="1705" w:type="dxa"/>
          </w:tcPr>
          <w:p w:rsidR="00234376" w:rsidRPr="00537C3C" w:rsidRDefault="00234376" w:rsidP="008E03A7">
            <w:pPr>
              <w:pStyle w:val="TableText0"/>
              <w:rPr>
                <w:rFonts w:ascii="Arial Narrow" w:hAnsi="Arial Narrow"/>
              </w:rPr>
            </w:pPr>
            <w:r w:rsidRPr="00537C3C">
              <w:rPr>
                <w:rFonts w:ascii="Arial Narrow" w:hAnsi="Arial Narrow"/>
              </w:rPr>
              <w:t xml:space="preserve">2 level </w:t>
            </w:r>
            <w:r w:rsidRPr="00BB76D8">
              <w:rPr>
                <w:rFonts w:ascii="Arial Narrow" w:hAnsi="Arial Narrow"/>
              </w:rPr>
              <w:t>III</w:t>
            </w:r>
            <w:r w:rsidRPr="00537C3C">
              <w:rPr>
                <w:rFonts w:ascii="Arial Narrow" w:hAnsi="Arial Narrow"/>
              </w:rPr>
              <w:t xml:space="preserve"> studies with some risk of bias</w:t>
            </w:r>
          </w:p>
        </w:tc>
      </w:tr>
      <w:tr w:rsidR="00234376" w:rsidRPr="00537C3C">
        <w:tc>
          <w:tcPr>
            <w:tcW w:w="1704" w:type="dxa"/>
          </w:tcPr>
          <w:p w:rsidR="00234376" w:rsidRPr="00537C3C" w:rsidRDefault="00234376" w:rsidP="008E03A7">
            <w:pPr>
              <w:pStyle w:val="TableHeading0"/>
            </w:pPr>
            <w:r w:rsidRPr="00537C3C">
              <w:t>Consistency</w:t>
            </w:r>
          </w:p>
        </w:tc>
        <w:tc>
          <w:tcPr>
            <w:tcW w:w="1704" w:type="dxa"/>
          </w:tcPr>
          <w:p w:rsidR="00234376" w:rsidRPr="00537C3C" w:rsidRDefault="00234376" w:rsidP="008E03A7">
            <w:pPr>
              <w:pStyle w:val="TableText0"/>
              <w:rPr>
                <w:rFonts w:ascii="Arial Narrow" w:hAnsi="Arial Narrow"/>
              </w:rPr>
            </w:pPr>
          </w:p>
        </w:tc>
        <w:tc>
          <w:tcPr>
            <w:tcW w:w="1704" w:type="dxa"/>
          </w:tcPr>
          <w:p w:rsidR="00234376" w:rsidRPr="00537C3C" w:rsidRDefault="00234376" w:rsidP="008E03A7">
            <w:pPr>
              <w:pStyle w:val="TableText0"/>
              <w:rPr>
                <w:rFonts w:ascii="Arial Narrow" w:hAnsi="Arial Narrow"/>
              </w:rPr>
            </w:pPr>
          </w:p>
        </w:tc>
        <w:tc>
          <w:tcPr>
            <w:tcW w:w="1705" w:type="dxa"/>
          </w:tcPr>
          <w:p w:rsidR="00234376" w:rsidRPr="00537C3C" w:rsidRDefault="00234376" w:rsidP="008E03A7">
            <w:pPr>
              <w:pStyle w:val="TableText0"/>
              <w:rPr>
                <w:rFonts w:ascii="Arial Narrow" w:hAnsi="Arial Narrow"/>
              </w:rPr>
            </w:pPr>
            <w:r w:rsidRPr="00537C3C">
              <w:rPr>
                <w:rFonts w:ascii="Arial Narrow" w:hAnsi="Arial Narrow"/>
              </w:rPr>
              <w:t xml:space="preserve">Some inconsistency reflecting genuine uncertainty around clinical question—detection of </w:t>
            </w:r>
            <w:r w:rsidRPr="00BB76D8">
              <w:rPr>
                <w:rFonts w:ascii="Arial Narrow" w:hAnsi="Arial Narrow"/>
              </w:rPr>
              <w:t>CIN</w:t>
            </w:r>
            <w:r w:rsidRPr="00537C3C">
              <w:rPr>
                <w:rFonts w:ascii="Arial Narrow" w:hAnsi="Arial Narrow"/>
              </w:rPr>
              <w:t xml:space="preserve"> 2+</w:t>
            </w:r>
          </w:p>
        </w:tc>
        <w:tc>
          <w:tcPr>
            <w:tcW w:w="1705" w:type="dxa"/>
          </w:tcPr>
          <w:p w:rsidR="00234376" w:rsidRPr="00537C3C" w:rsidRDefault="00234376" w:rsidP="008E03A7">
            <w:pPr>
              <w:pStyle w:val="TableText0"/>
              <w:rPr>
                <w:rFonts w:ascii="Arial Narrow" w:hAnsi="Arial Narrow"/>
              </w:rPr>
            </w:pPr>
            <w:r w:rsidRPr="00537C3C">
              <w:rPr>
                <w:rFonts w:ascii="Arial Narrow" w:hAnsi="Arial Narrow"/>
              </w:rPr>
              <w:t>Evidence is inconsistent—FP cases</w:t>
            </w:r>
          </w:p>
        </w:tc>
      </w:tr>
      <w:tr w:rsidR="00234376" w:rsidRPr="00537C3C">
        <w:tc>
          <w:tcPr>
            <w:tcW w:w="1704" w:type="dxa"/>
          </w:tcPr>
          <w:p w:rsidR="00234376" w:rsidRPr="00537C3C" w:rsidRDefault="00234376" w:rsidP="008E03A7">
            <w:pPr>
              <w:pStyle w:val="TableHeading0"/>
            </w:pPr>
            <w:r w:rsidRPr="00537C3C">
              <w:t>Clinical Impact</w:t>
            </w:r>
          </w:p>
        </w:tc>
        <w:tc>
          <w:tcPr>
            <w:tcW w:w="1704" w:type="dxa"/>
          </w:tcPr>
          <w:p w:rsidR="00234376" w:rsidRPr="00537C3C" w:rsidRDefault="00234376" w:rsidP="008E03A7">
            <w:pPr>
              <w:pStyle w:val="TableText0"/>
              <w:rPr>
                <w:rFonts w:ascii="Arial Narrow" w:hAnsi="Arial Narrow"/>
              </w:rPr>
            </w:pPr>
          </w:p>
        </w:tc>
        <w:tc>
          <w:tcPr>
            <w:tcW w:w="1704" w:type="dxa"/>
          </w:tcPr>
          <w:p w:rsidR="00234376" w:rsidRPr="00537C3C" w:rsidRDefault="00234376" w:rsidP="008E03A7">
            <w:pPr>
              <w:pStyle w:val="TableText0"/>
              <w:rPr>
                <w:rFonts w:ascii="Arial Narrow" w:hAnsi="Arial Narrow"/>
              </w:rPr>
            </w:pPr>
          </w:p>
        </w:tc>
        <w:tc>
          <w:tcPr>
            <w:tcW w:w="1705" w:type="dxa"/>
          </w:tcPr>
          <w:p w:rsidR="00234376" w:rsidRPr="00537C3C" w:rsidRDefault="00234376" w:rsidP="008E03A7">
            <w:pPr>
              <w:pStyle w:val="TableText0"/>
              <w:rPr>
                <w:rFonts w:ascii="Arial Narrow" w:hAnsi="Arial Narrow"/>
              </w:rPr>
            </w:pPr>
          </w:p>
        </w:tc>
        <w:tc>
          <w:tcPr>
            <w:tcW w:w="1705" w:type="dxa"/>
          </w:tcPr>
          <w:p w:rsidR="00234376" w:rsidRPr="00537C3C" w:rsidRDefault="00234376" w:rsidP="008E03A7">
            <w:pPr>
              <w:pStyle w:val="TableText0"/>
              <w:rPr>
                <w:rFonts w:ascii="Arial Narrow" w:hAnsi="Arial Narrow"/>
                <w:vertAlign w:val="superscript"/>
              </w:rPr>
            </w:pPr>
            <w:r w:rsidRPr="00537C3C">
              <w:rPr>
                <w:rFonts w:ascii="Arial Narrow" w:hAnsi="Arial Narrow"/>
              </w:rPr>
              <w:t xml:space="preserve">Unknown </w:t>
            </w:r>
            <w:r w:rsidRPr="00537C3C">
              <w:rPr>
                <w:rFonts w:ascii="Arial Narrow" w:hAnsi="Arial Narrow"/>
                <w:vertAlign w:val="superscript"/>
              </w:rPr>
              <w:t>a</w:t>
            </w:r>
          </w:p>
        </w:tc>
      </w:tr>
      <w:tr w:rsidR="00234376" w:rsidRPr="00537C3C">
        <w:tc>
          <w:tcPr>
            <w:tcW w:w="1704" w:type="dxa"/>
          </w:tcPr>
          <w:p w:rsidR="00234376" w:rsidRPr="00537C3C" w:rsidRDefault="00234376" w:rsidP="008E03A7">
            <w:pPr>
              <w:pStyle w:val="TableHeading0"/>
            </w:pPr>
            <w:r w:rsidRPr="00537C3C">
              <w:t>Generalisability</w:t>
            </w:r>
          </w:p>
        </w:tc>
        <w:tc>
          <w:tcPr>
            <w:tcW w:w="1704" w:type="dxa"/>
          </w:tcPr>
          <w:p w:rsidR="00234376" w:rsidRPr="00537C3C" w:rsidRDefault="00234376" w:rsidP="008E03A7">
            <w:pPr>
              <w:pStyle w:val="TableText0"/>
              <w:rPr>
                <w:rFonts w:ascii="Arial Narrow" w:hAnsi="Arial Narrow"/>
              </w:rPr>
            </w:pPr>
            <w:r w:rsidRPr="00537C3C">
              <w:rPr>
                <w:rFonts w:ascii="Arial Narrow" w:hAnsi="Arial Narrow"/>
              </w:rPr>
              <w:t>Populatio</w:t>
            </w:r>
            <w:r w:rsidRPr="00A316F5">
              <w:rPr>
                <w:rFonts w:ascii="Arial Narrow" w:hAnsi="Arial Narrow"/>
              </w:rPr>
              <w:t>n</w:t>
            </w:r>
            <w:r w:rsidRPr="00537C3C">
              <w:rPr>
                <w:rFonts w:ascii="Arial Narrow" w:hAnsi="Arial Narrow"/>
              </w:rPr>
              <w:t>s studied in body of evidence are the same as the target population</w:t>
            </w:r>
          </w:p>
        </w:tc>
        <w:tc>
          <w:tcPr>
            <w:tcW w:w="1704" w:type="dxa"/>
          </w:tcPr>
          <w:p w:rsidR="00234376" w:rsidRPr="00537C3C" w:rsidRDefault="00234376" w:rsidP="008E03A7">
            <w:pPr>
              <w:pStyle w:val="TableText0"/>
              <w:rPr>
                <w:rFonts w:ascii="Arial Narrow" w:hAnsi="Arial Narrow"/>
              </w:rPr>
            </w:pPr>
          </w:p>
        </w:tc>
        <w:tc>
          <w:tcPr>
            <w:tcW w:w="1705" w:type="dxa"/>
          </w:tcPr>
          <w:p w:rsidR="00234376" w:rsidRPr="00537C3C" w:rsidRDefault="00234376" w:rsidP="008E03A7">
            <w:pPr>
              <w:pStyle w:val="TableText0"/>
              <w:rPr>
                <w:rFonts w:ascii="Arial Narrow" w:hAnsi="Arial Narrow"/>
              </w:rPr>
            </w:pPr>
          </w:p>
        </w:tc>
        <w:tc>
          <w:tcPr>
            <w:tcW w:w="1705" w:type="dxa"/>
          </w:tcPr>
          <w:p w:rsidR="00234376" w:rsidRPr="00537C3C" w:rsidRDefault="00234376" w:rsidP="008E03A7">
            <w:pPr>
              <w:pStyle w:val="TableText0"/>
              <w:rPr>
                <w:rFonts w:ascii="Arial Narrow" w:hAnsi="Arial Narrow"/>
              </w:rPr>
            </w:pPr>
          </w:p>
        </w:tc>
      </w:tr>
      <w:tr w:rsidR="00234376" w:rsidRPr="00537C3C">
        <w:tc>
          <w:tcPr>
            <w:tcW w:w="1704" w:type="dxa"/>
          </w:tcPr>
          <w:p w:rsidR="00234376" w:rsidRPr="00537C3C" w:rsidRDefault="00234376" w:rsidP="008E03A7">
            <w:pPr>
              <w:pStyle w:val="TableHeading0"/>
            </w:pPr>
            <w:r w:rsidRPr="00537C3C">
              <w:t>Applicability</w:t>
            </w:r>
          </w:p>
        </w:tc>
        <w:tc>
          <w:tcPr>
            <w:tcW w:w="1704" w:type="dxa"/>
          </w:tcPr>
          <w:p w:rsidR="00234376" w:rsidRPr="00537C3C" w:rsidRDefault="00234376" w:rsidP="008E03A7">
            <w:pPr>
              <w:pStyle w:val="TableText0"/>
              <w:rPr>
                <w:rFonts w:ascii="Arial Narrow" w:hAnsi="Arial Narrow"/>
              </w:rPr>
            </w:pPr>
          </w:p>
        </w:tc>
        <w:tc>
          <w:tcPr>
            <w:tcW w:w="1704" w:type="dxa"/>
          </w:tcPr>
          <w:p w:rsidR="00234376" w:rsidRPr="00537C3C" w:rsidRDefault="00234376" w:rsidP="008E03A7">
            <w:pPr>
              <w:pStyle w:val="TableText0"/>
              <w:rPr>
                <w:rFonts w:ascii="Arial Narrow" w:hAnsi="Arial Narrow"/>
                <w:vertAlign w:val="superscript"/>
              </w:rPr>
            </w:pPr>
            <w:r w:rsidRPr="00537C3C">
              <w:rPr>
                <w:rFonts w:ascii="Arial Narrow" w:hAnsi="Arial Narrow"/>
              </w:rPr>
              <w:t>Applicable to Austral</w:t>
            </w:r>
            <w:r w:rsidRPr="00537C3C">
              <w:rPr>
                <w:rFonts w:ascii="Arial Narrow" w:hAnsi="Arial Narrow"/>
              </w:rPr>
              <w:softHyphen/>
              <w:t xml:space="preserve">ian health care context with few caveats </w:t>
            </w:r>
            <w:r w:rsidRPr="00537C3C">
              <w:rPr>
                <w:rFonts w:ascii="Arial Narrow" w:hAnsi="Arial Narrow"/>
                <w:vertAlign w:val="superscript"/>
              </w:rPr>
              <w:t>b</w:t>
            </w:r>
          </w:p>
        </w:tc>
        <w:tc>
          <w:tcPr>
            <w:tcW w:w="1705" w:type="dxa"/>
          </w:tcPr>
          <w:p w:rsidR="00234376" w:rsidRPr="00537C3C" w:rsidRDefault="00234376" w:rsidP="008E03A7">
            <w:pPr>
              <w:pStyle w:val="TableText0"/>
              <w:rPr>
                <w:rFonts w:ascii="Arial Narrow" w:hAnsi="Arial Narrow"/>
              </w:rPr>
            </w:pPr>
          </w:p>
        </w:tc>
        <w:tc>
          <w:tcPr>
            <w:tcW w:w="1705" w:type="dxa"/>
          </w:tcPr>
          <w:p w:rsidR="00234376" w:rsidRPr="00537C3C" w:rsidRDefault="00234376" w:rsidP="008E03A7">
            <w:pPr>
              <w:pStyle w:val="TableText0"/>
              <w:rPr>
                <w:rFonts w:ascii="Arial Narrow" w:hAnsi="Arial Narrow"/>
              </w:rPr>
            </w:pPr>
          </w:p>
        </w:tc>
      </w:tr>
    </w:tbl>
    <w:p w:rsidR="00234376" w:rsidRPr="00537C3C" w:rsidRDefault="00234376" w:rsidP="008E03A7">
      <w:pPr>
        <w:pStyle w:val="TableNotes"/>
        <w:spacing w:after="0"/>
        <w:ind w:left="720" w:firstLine="0"/>
      </w:pPr>
      <w:r w:rsidRPr="00537C3C">
        <w:rPr>
          <w:vertAlign w:val="superscript"/>
        </w:rPr>
        <w:t xml:space="preserve">a </w:t>
      </w:r>
      <w:r w:rsidRPr="00537C3C">
        <w:t xml:space="preserve">Relates to impact of automated </w:t>
      </w:r>
      <w:r w:rsidRPr="00BB76D8">
        <w:t>LBC</w:t>
      </w:r>
      <w:r w:rsidRPr="00537C3C">
        <w:t xml:space="preserve"> on patient outcomes. Requires modelling of linked evidence to determine. </w:t>
      </w:r>
      <w:r w:rsidRPr="00537C3C">
        <w:rPr>
          <w:vertAlign w:val="superscript"/>
        </w:rPr>
        <w:t xml:space="preserve">b </w:t>
      </w:r>
      <w:r w:rsidRPr="00537C3C">
        <w:t>Some limitations related to differences from current cytological terminology.</w:t>
      </w:r>
    </w:p>
    <w:p w:rsidR="00234376" w:rsidRPr="00537C3C" w:rsidRDefault="00234376" w:rsidP="008E03A7">
      <w:pPr>
        <w:pStyle w:val="TableNotes"/>
        <w:spacing w:after="0"/>
        <w:ind w:left="720" w:firstLine="0"/>
      </w:pPr>
    </w:p>
    <w:p w:rsidR="00234376" w:rsidRPr="00537C3C" w:rsidRDefault="00234376" w:rsidP="008E03A7">
      <w:r w:rsidRPr="00537C3C">
        <w:t xml:space="preserve">Three studies comparing the accuracy of ThinPrep Imager reading of </w:t>
      </w:r>
      <w:r w:rsidRPr="00BB76D8">
        <w:t>LBC</w:t>
      </w:r>
      <w:r w:rsidRPr="00537C3C">
        <w:t xml:space="preserve"> slides to manual reading of </w:t>
      </w:r>
      <w:r w:rsidRPr="00BB76D8">
        <w:t>LBC</w:t>
      </w:r>
      <w:r w:rsidRPr="00537C3C">
        <w:t xml:space="preserve"> slides did not demonstrate a significant difference in the number of true cases detected. In two of three studies the ThinPrep Imager identified significantly fewer false positive cases for high-grade lesions at a test threshold of </w:t>
      </w:r>
      <w:r w:rsidRPr="00BB76D8">
        <w:t>pHSIL</w:t>
      </w:r>
      <w:r w:rsidRPr="00537C3C">
        <w:t xml:space="preserve"> or </w:t>
      </w:r>
      <w:r w:rsidRPr="00BB76D8">
        <w:t>HSIL</w:t>
      </w:r>
      <w:r w:rsidRPr="00537C3C">
        <w:t>, respectively. There is a possibility of verification bias in one of these studies.</w:t>
      </w:r>
    </w:p>
    <w:p w:rsidR="00234376" w:rsidRPr="00537C3C" w:rsidRDefault="00234376" w:rsidP="008E03A7">
      <w:r w:rsidRPr="00537C3C">
        <w:t xml:space="preserve">In summary, a single study conducted in an </w:t>
      </w:r>
      <w:smartTag w:uri="urn:schemas-microsoft-com:office:smarttags" w:element="country-region">
        <w:smartTag w:uri="urn:schemas-microsoft-com:office:smarttags" w:element="place">
          <w:r w:rsidRPr="00537C3C">
            <w:t>Australia</w:t>
          </w:r>
        </w:smartTag>
      </w:smartTag>
      <w:r w:rsidRPr="00537C3C">
        <w:t xml:space="preserve">n setting has demonstrated an advantage of ThinPrep Imager reading of </w:t>
      </w:r>
      <w:r w:rsidRPr="00BB76D8">
        <w:t>LBC</w:t>
      </w:r>
      <w:r w:rsidRPr="00537C3C">
        <w:t xml:space="preserve"> slides over conventional imaging in terms of number of high-grade cases detected. A second Australian study detected a non-significant increase in the number of cases. This is associated with an increase in the cytological classification of women with low-grade lesions, and a decrease in the unsatisfactory rate and slide processing time. It is unclear whether any advantage is attributable to automation-assisted reading system, to </w:t>
      </w:r>
      <w:r w:rsidRPr="00BB76D8">
        <w:t>LBC</w:t>
      </w:r>
      <w:r w:rsidRPr="00537C3C">
        <w:t xml:space="preserve"> alone, or a combination of both.</w:t>
      </w:r>
    </w:p>
    <w:p w:rsidR="00234376" w:rsidRPr="00537C3C" w:rsidRDefault="00234376" w:rsidP="008E03A7">
      <w:r w:rsidRPr="00537C3C">
        <w:t xml:space="preserve">A modelled analysis of cervical cancer screening, diagnosis and treatment is necessary to explore the potential long-term benefits and trade-offs of using automated </w:t>
      </w:r>
      <w:r w:rsidRPr="00BB76D8">
        <w:t>LBC</w:t>
      </w:r>
      <w:r w:rsidRPr="00537C3C">
        <w:t xml:space="preserve"> instead of conventional cytology.</w:t>
      </w:r>
    </w:p>
    <w:p w:rsidR="00234376" w:rsidRPr="00AC39E0" w:rsidRDefault="00234376" w:rsidP="008E03A7">
      <w:r w:rsidRPr="00537C3C">
        <w:t xml:space="preserve">Modelled analysis estimated that the replacement of conventional cytology in </w:t>
      </w:r>
      <w:smartTag w:uri="urn:schemas-microsoft-com:office:smarttags" w:element="place">
        <w:smartTag w:uri="urn:schemas-microsoft-com:office:smarttags" w:element="country-region">
          <w:r w:rsidRPr="00537C3C">
            <w:t>Australia</w:t>
          </w:r>
        </w:smartTag>
      </w:smartTag>
      <w:r w:rsidRPr="00537C3C">
        <w:t xml:space="preserve"> with automated </w:t>
      </w:r>
      <w:r w:rsidRPr="00BB76D8">
        <w:t>LBC</w:t>
      </w:r>
      <w:r w:rsidRPr="00537C3C">
        <w:t xml:space="preserve"> would result in 68 fewer cancer cases, and 19 fewer cancer deaths, although as favourable assumptions were made about test characteristics, these could be overestimates. This would be associated with an increase in investigations and treatments, specifically a predicted additional 38 346 smears, 10 788 colposcopies, 5154 biopsies, </w:t>
      </w:r>
      <w:r w:rsidR="000D7630">
        <w:t xml:space="preserve">and </w:t>
      </w:r>
      <w:r w:rsidRPr="00537C3C">
        <w:t xml:space="preserve">1751 treatments for </w:t>
      </w:r>
      <w:r w:rsidRPr="00BB76D8">
        <w:t>CIN</w:t>
      </w:r>
      <w:r w:rsidRPr="00537C3C">
        <w:t xml:space="preserve"> 2/3. Whether this outcome is considered as an improvement in overall health outcomes is dependent upon the trade-off between the benefit from a reduction in cancer incidence and the harms associated with increased </w:t>
      </w:r>
      <w:r w:rsidRPr="00AC39E0">
        <w:t>investigations for the women who are not destined to develop cervical cancer.</w:t>
      </w:r>
    </w:p>
    <w:p w:rsidR="00234376" w:rsidRPr="00AC39E0" w:rsidRDefault="00234376" w:rsidP="008E03A7">
      <w:pPr>
        <w:pStyle w:val="Heading2"/>
      </w:pPr>
      <w:bookmarkStart w:id="776" w:name="_Toc219865804"/>
      <w:bookmarkStart w:id="777" w:name="_Toc219866012"/>
      <w:bookmarkStart w:id="778" w:name="_Toc219880652"/>
      <w:bookmarkStart w:id="779" w:name="_Toc220144566"/>
      <w:bookmarkStart w:id="780" w:name="_Toc95971095"/>
      <w:bookmarkStart w:id="781" w:name="_Toc241658194"/>
      <w:r w:rsidRPr="00AC39E0">
        <w:lastRenderedPageBreak/>
        <w:t>Cost-effectiveness analysis</w:t>
      </w:r>
      <w:bookmarkEnd w:id="776"/>
      <w:bookmarkEnd w:id="777"/>
      <w:bookmarkEnd w:id="778"/>
      <w:bookmarkEnd w:id="779"/>
      <w:bookmarkEnd w:id="780"/>
      <w:bookmarkEnd w:id="781"/>
    </w:p>
    <w:p w:rsidR="00234376" w:rsidRPr="00AC39E0" w:rsidRDefault="00234376" w:rsidP="008E03A7">
      <w:r w:rsidRPr="00AC39E0">
        <w:t xml:space="preserve">A modelled analysis based on favourable assumptions regarding test characteristics found that manual LBC was associated with a cost of $126 315 to $385 982 per </w:t>
      </w:r>
      <w:r w:rsidRPr="00AC39E0">
        <w:rPr>
          <w:color w:val="000000"/>
        </w:rPr>
        <w:t>LYS</w:t>
      </w:r>
      <w:r w:rsidRPr="00AC39E0">
        <w:t xml:space="preserve">, depending on the level of reimbursement for LBC, and that automated LBC was associated with a cost of $194 835 per </w:t>
      </w:r>
      <w:r w:rsidRPr="00AC39E0">
        <w:rPr>
          <w:color w:val="000000"/>
        </w:rPr>
        <w:t>LYS</w:t>
      </w:r>
      <w:r w:rsidRPr="00AC39E0">
        <w:t>.</w:t>
      </w:r>
    </w:p>
    <w:p w:rsidR="00234376" w:rsidRPr="00AC39E0" w:rsidRDefault="00234376" w:rsidP="008E03A7">
      <w:r w:rsidRPr="00AC39E0">
        <w:t xml:space="preserve">The results presented are based on the current screening program in </w:t>
      </w:r>
      <w:smartTag w:uri="urn:schemas-microsoft-com:office:smarttags" w:element="place">
        <w:smartTag w:uri="urn:schemas-microsoft-com:office:smarttags" w:element="country-region">
          <w:r w:rsidRPr="00AC39E0">
            <w:t>Australia</w:t>
          </w:r>
        </w:smartTag>
      </w:smartTag>
      <w:r w:rsidRPr="00AC39E0">
        <w:t xml:space="preserve"> without taking into account potential changes resulting from HPV vaccination. The findings may be different for different screening populations, for different screening programs, or once the anticipated impact of vaccination on the incidence of cervical neoplasia and precursor lesions occurs. The current Australian screening program of biennial screening of women aged 18–69 is more intensive than many programs internationally. As more tests are performed at a primary screening level in </w:t>
      </w:r>
      <w:smartTag w:uri="urn:schemas-microsoft-com:office:smarttags" w:element="place">
        <w:smartTag w:uri="urn:schemas-microsoft-com:office:smarttags" w:element="country-region">
          <w:r w:rsidRPr="00AC39E0">
            <w:t>Australia</w:t>
          </w:r>
        </w:smartTag>
      </w:smartTag>
      <w:r w:rsidRPr="00AC39E0">
        <w:t>, annual incremental costs associated with the new technologies are higher. If changes to the Australian screening program are considered in the future, and as changes due to vaccination are realised, reassessment of the cost-effectiveness of these technologies, using similar methods, would be warranted as part of any review of different screening strategies and technologies.</w:t>
      </w:r>
    </w:p>
    <w:p w:rsidR="00234376" w:rsidRPr="00AC39E0" w:rsidRDefault="00234376" w:rsidP="00B94BF8">
      <w:pPr>
        <w:pStyle w:val="Heading3"/>
      </w:pPr>
      <w:bookmarkStart w:id="782" w:name="_Ref219605968"/>
      <w:r w:rsidRPr="00AC39E0">
        <w:t>Quality-of-life issues</w:t>
      </w:r>
      <w:bookmarkEnd w:id="782"/>
    </w:p>
    <w:p w:rsidR="00234376" w:rsidRPr="00AC39E0" w:rsidRDefault="00234376" w:rsidP="008E03A7">
      <w:r w:rsidRPr="00AC39E0">
        <w:t xml:space="preserve">This modelled analysis focuses on the implications for overall survival of introducing new cytology technologies. An analysis incorporating quality-adjusted survival (QALYs) has not been conducted, because of paucity of data to inform QALY weights. The calculation of a QALY depends on the relative weighting attached to an entire sequence of health states and events modelled over the duration of a lifetime. This will be influenced by an individual’s perceived trade-off of benefits against potential downsides for each health state. For this reason the cost per QALY gained may be either higher or lower that the reported cost per </w:t>
      </w:r>
      <w:smartTag w:uri="urn:schemas-microsoft-com:office:smarttags" w:element="place">
        <w:r w:rsidRPr="00AC39E0">
          <w:t>LYS</w:t>
        </w:r>
      </w:smartTag>
      <w:r w:rsidRPr="00AC39E0">
        <w:t xml:space="preserve"> from the current analysis. Additional data on QALY weights are required before we can adequately capture the likely survival and quality-of-life trade-offs in a QALY.</w:t>
      </w:r>
    </w:p>
    <w:p w:rsidR="00234376" w:rsidRPr="00AC39E0" w:rsidRDefault="00234376" w:rsidP="00B94BF8">
      <w:pPr>
        <w:pStyle w:val="Heading3"/>
      </w:pPr>
      <w:r w:rsidRPr="00AC39E0">
        <w:t>Comparison with previous findings</w:t>
      </w:r>
    </w:p>
    <w:p w:rsidR="00234376" w:rsidRPr="00AC39E0" w:rsidRDefault="00234376" w:rsidP="008E03A7">
      <w:pPr>
        <w:pStyle w:val="Heading4"/>
      </w:pPr>
      <w:r w:rsidRPr="00AC39E0">
        <w:t>Comparison with previous MSAC findings (reference 12a)</w:t>
      </w:r>
    </w:p>
    <w:p w:rsidR="00234376" w:rsidRPr="00AC39E0" w:rsidRDefault="00234376" w:rsidP="008E03A7">
      <w:r w:rsidRPr="00AC39E0">
        <w:t>A previous MSAC assessment of LBC (</w:t>
      </w:r>
      <w:bookmarkStart w:id="783" w:name="OLE_LINK538"/>
      <w:bookmarkStart w:id="784" w:name="OLE_LINK539"/>
      <w:r w:rsidRPr="00AC39E0">
        <w:t>MSAC 2002c</w:t>
      </w:r>
      <w:bookmarkEnd w:id="783"/>
      <w:bookmarkEnd w:id="784"/>
      <w:r w:rsidRPr="00AC39E0">
        <w:t>) judged that manual LBC would not be cost-effective. It found that if a reduction in the probability of an unsatisfactory sample of 2.8 per cent with LBC was assumed, an incremental cost of $0.53 for LBC would be budget-neutral.</w:t>
      </w:r>
    </w:p>
    <w:p w:rsidR="00234376" w:rsidRPr="00AC39E0" w:rsidRDefault="00234376" w:rsidP="008E03A7">
      <w:r w:rsidRPr="00AC39E0">
        <w:t>At the time of the previous MSAC application, there was less published data on the accuracy of manual LBC relative to conventional cytology, and so equivalent test characteristics for LBC and conventional cytology were assumed. Data have since been published which indicate that manual LBC has a lower specificity for the detection of CIN 2+ at a test threshold of pLSIL, and that sensitivity at these thresholds is not significantly improved. Lower specificity and equal sensitivity implies that the test will result in higher costs but no improvement in outcomes, and incremental cost-effectiveness will therefore be reduced.</w:t>
      </w:r>
    </w:p>
    <w:p w:rsidR="00234376" w:rsidRPr="00AC39E0" w:rsidRDefault="00234376" w:rsidP="008E03A7">
      <w:r w:rsidRPr="00AC39E0">
        <w:t xml:space="preserve">The previous MSAC models used estimates for the probability of an unsatisfactory sample for each test type based on earlier data </w:t>
      </w:r>
      <w:r w:rsidR="00741183" w:rsidRPr="00AC39E0">
        <w:t>{Roberts, 1997 3 /id}</w:t>
      </w:r>
      <w:r w:rsidRPr="00AC39E0">
        <w:t xml:space="preserve">. The use of more </w:t>
      </w:r>
      <w:r w:rsidRPr="00AC39E0">
        <w:lastRenderedPageBreak/>
        <w:t>recent data resulted in different estimates for unsatisfactory smear rates, as described in ‘</w:t>
      </w:r>
      <w:r w:rsidRPr="00AC39E0">
        <w:fldChar w:fldCharType="begin"/>
      </w:r>
      <w:r w:rsidRPr="00AC39E0">
        <w:instrText xml:space="preserve"> REF _Ref210023863 \h  \* MERGEFORMAT </w:instrText>
      </w:r>
      <w:r w:rsidRPr="00AC39E0">
        <w:fldChar w:fldCharType="separate"/>
      </w:r>
      <w:r w:rsidR="007D3DFF" w:rsidRPr="008D604B">
        <w:t>Cytology unsatisfactory rates</w:t>
      </w:r>
      <w:r w:rsidRPr="00AC39E0">
        <w:fldChar w:fldCharType="end"/>
      </w:r>
      <w:r w:rsidRPr="00AC39E0">
        <w:t xml:space="preserve">’ on page </w:t>
      </w:r>
      <w:r w:rsidRPr="00AC39E0">
        <w:fldChar w:fldCharType="begin"/>
      </w:r>
      <w:r w:rsidRPr="00AC39E0">
        <w:instrText xml:space="preserve"> PAGEREF _Ref210023863 \h </w:instrText>
      </w:r>
      <w:r w:rsidRPr="00AC39E0">
        <w:fldChar w:fldCharType="separate"/>
      </w:r>
      <w:r w:rsidR="007D3DFF">
        <w:rPr>
          <w:noProof/>
        </w:rPr>
        <w:t>69</w:t>
      </w:r>
      <w:r w:rsidRPr="00AC39E0">
        <w:fldChar w:fldCharType="end"/>
      </w:r>
      <w:r w:rsidRPr="00AC39E0">
        <w:t xml:space="preserve">. The assumed decrease in unsatisfactory rates used in the previous models was 2.8 per cent, whereas we assumed a range of 0 to 2.4 absolute percentage points for manual LBC. The base rate previously used for </w:t>
      </w:r>
      <w:r w:rsidRPr="00AC39E0">
        <w:rPr>
          <w:rFonts w:cs="Arial"/>
        </w:rPr>
        <w:t>CC</w:t>
      </w:r>
      <w:r w:rsidRPr="00AC39E0">
        <w:t xml:space="preserve"> (3.5%) is higher than is reflected in recent registry data (2.1%–2.3%). A greater reduction in </w:t>
      </w:r>
      <w:r w:rsidRPr="00DF1AB9">
        <w:t>unsatisfactory specimens will tend to favour LBC. We considered this in the sensitivity analyses, and found that</w:t>
      </w:r>
      <w:r w:rsidR="00C40B00" w:rsidRPr="00DF1AB9">
        <w:t xml:space="preserve"> under extreme assumptions about unsatisfactory rates ( a reduction from 5% to 0.5%), manual LBC was associated with a cost of $47 470 per </w:t>
      </w:r>
      <w:smartTag w:uri="urn:schemas-microsoft-com:office:smarttags" w:element="place">
        <w:r w:rsidR="00C40B00" w:rsidRPr="00DF1AB9">
          <w:t>LYS</w:t>
        </w:r>
      </w:smartTag>
      <w:r w:rsidR="00C40B00" w:rsidRPr="00DF1AB9">
        <w:t xml:space="preserve">, assuming an incremental cost of $2.40. Automated LBC was associated with a cost of $168 410 per </w:t>
      </w:r>
      <w:smartTag w:uri="urn:schemas-microsoft-com:office:smarttags" w:element="place">
        <w:r w:rsidR="00C40B00" w:rsidRPr="00DF1AB9">
          <w:t>LYS</w:t>
        </w:r>
      </w:smartTag>
      <w:r w:rsidR="00C40B00" w:rsidRPr="00DF1AB9">
        <w:t xml:space="preserve"> under these extreme assumptions about unsatisfactory rates. </w:t>
      </w:r>
      <w:r w:rsidRPr="00DF1AB9">
        <w:t xml:space="preserve">In practice, an improvement in unsatisfactory rates of this magnitude is highly unlikely to be achieved in </w:t>
      </w:r>
      <w:smartTag w:uri="urn:schemas-microsoft-com:office:smarttags" w:element="place">
        <w:smartTag w:uri="urn:schemas-microsoft-com:office:smarttags" w:element="country-region">
          <w:r w:rsidRPr="00DF1AB9">
            <w:t>Australia</w:t>
          </w:r>
        </w:smartTag>
      </w:smartTag>
      <w:r w:rsidRPr="00DF1AB9">
        <w:t>, because the current rate of unsatisfactory conventional cytology</w:t>
      </w:r>
      <w:r w:rsidRPr="00AC39E0">
        <w:t xml:space="preserve"> samples is approximately 2.2 per cent.</w:t>
      </w:r>
    </w:p>
    <w:p w:rsidR="00234376" w:rsidRPr="00AC39E0" w:rsidRDefault="00234376" w:rsidP="008E03A7">
      <w:r w:rsidRPr="00AC39E0">
        <w:t xml:space="preserve">The </w:t>
      </w:r>
      <w:r w:rsidR="009C7C2E" w:rsidRPr="00AC39E0">
        <w:t xml:space="preserve">model </w:t>
      </w:r>
      <w:r w:rsidRPr="00AC39E0">
        <w:t xml:space="preserve">submitted </w:t>
      </w:r>
      <w:r w:rsidR="009C7C2E" w:rsidRPr="00AC39E0">
        <w:t>with</w:t>
      </w:r>
      <w:r w:rsidRPr="00AC39E0">
        <w:t xml:space="preserve"> the previous MSAC assessment</w:t>
      </w:r>
      <w:r w:rsidR="009C7C2E" w:rsidRPr="00AC39E0">
        <w:t>, and the alternative model also described in that assessment,</w:t>
      </w:r>
      <w:r w:rsidRPr="00AC39E0">
        <w:t xml:space="preserve"> differ significantly from those used here and from that provided in the current application. Previously, the decision models used had a 2-year time horizon and were therefore unable to calculate lifetime costs and effects. The model structures were also unable to capture the underlying disease processes, and the detailed screening, diagnostic, treatment, and follow-up processes which occur.</w:t>
      </w:r>
    </w:p>
    <w:p w:rsidR="00234376" w:rsidRPr="00AC39E0" w:rsidRDefault="00234376" w:rsidP="008E03A7">
      <w:r w:rsidRPr="00AC39E0">
        <w:t>A further difference between the previous and the current evaluation is that management guidelines and cytology reporting standards have been updated since the previous application was made.</w:t>
      </w:r>
    </w:p>
    <w:p w:rsidR="00234376" w:rsidRPr="00AC39E0" w:rsidRDefault="00234376" w:rsidP="008E03A7">
      <w:pPr>
        <w:pStyle w:val="Heading4"/>
      </w:pPr>
      <w:r w:rsidRPr="00AC39E0">
        <w:t>Comparison with results in other countries</w:t>
      </w:r>
    </w:p>
    <w:p w:rsidR="00234376" w:rsidRPr="00AC39E0" w:rsidRDefault="00234376" w:rsidP="008E03A7">
      <w:r w:rsidRPr="00AC39E0">
        <w:t xml:space="preserve">Manually read LBC has been found to be cost-effective and has been adopted in a number of countries, including the </w:t>
      </w:r>
      <w:smartTag w:uri="urn:schemas-microsoft-com:office:smarttags" w:element="country-region">
        <w:r w:rsidRPr="00AC39E0">
          <w:t>United Kingdom</w:t>
        </w:r>
      </w:smartTag>
      <w:r w:rsidRPr="00AC39E0">
        <w:t xml:space="preserve"> and </w:t>
      </w:r>
      <w:smartTag w:uri="urn:schemas-microsoft-com:office:smarttags" w:element="place">
        <w:smartTag w:uri="urn:schemas-microsoft-com:office:smarttags" w:element="country-region">
          <w:r w:rsidRPr="00AC39E0">
            <w:t>New Zealand</w:t>
          </w:r>
        </w:smartTag>
      </w:smartTag>
      <w:r w:rsidRPr="00AC39E0">
        <w:t xml:space="preserve">. We investigated the underlying reasons why results were different from those found here for </w:t>
      </w:r>
      <w:smartTag w:uri="urn:schemas-microsoft-com:office:smarttags" w:element="place">
        <w:smartTag w:uri="urn:schemas-microsoft-com:office:smarttags" w:element="country-region">
          <w:r w:rsidRPr="00AC39E0">
            <w:t>Australia</w:t>
          </w:r>
        </w:smartTag>
      </w:smartTag>
      <w:r w:rsidRPr="00AC39E0">
        <w:t>, and identified the following key factors:</w:t>
      </w:r>
    </w:p>
    <w:p w:rsidR="00234376" w:rsidRPr="00AC39E0" w:rsidRDefault="00234376" w:rsidP="008E03A7">
      <w:pPr>
        <w:numPr>
          <w:ilvl w:val="0"/>
          <w:numId w:val="27"/>
        </w:numPr>
      </w:pPr>
      <w:r w:rsidRPr="00AC39E0">
        <w:t>Differences in the reduction in the rate of unsatisfactory samples</w:t>
      </w:r>
    </w:p>
    <w:p w:rsidR="00234376" w:rsidRPr="00AC39E0" w:rsidRDefault="00234376" w:rsidP="008E03A7">
      <w:pPr>
        <w:ind w:left="1560"/>
      </w:pPr>
      <w:r w:rsidRPr="00AC39E0">
        <w:t xml:space="preserve">Before the introduction of LBC in comparable countries such as </w:t>
      </w:r>
      <w:smartTag w:uri="urn:schemas-microsoft-com:office:smarttags" w:element="country-region">
        <w:r w:rsidRPr="00AC39E0">
          <w:t>New Zealand</w:t>
        </w:r>
      </w:smartTag>
      <w:r w:rsidRPr="00AC39E0">
        <w:t xml:space="preserve"> and the </w:t>
      </w:r>
      <w:smartTag w:uri="urn:schemas-microsoft-com:office:smarttags" w:element="country-region">
        <w:r w:rsidRPr="00AC39E0">
          <w:t>United Kingdom</w:t>
        </w:r>
      </w:smartTag>
      <w:r w:rsidRPr="00AC39E0">
        <w:t xml:space="preserve">, the rate of unsatisfactory smears associated with conventional cytology was substantially higher than that currently experienced in </w:t>
      </w:r>
      <w:smartTag w:uri="urn:schemas-microsoft-com:office:smarttags" w:element="place">
        <w:smartTag w:uri="urn:schemas-microsoft-com:office:smarttags" w:element="country-region">
          <w:r w:rsidRPr="00AC39E0">
            <w:t>Australia</w:t>
          </w:r>
        </w:smartTag>
      </w:smartTag>
      <w:r w:rsidRPr="00AC39E0">
        <w:t>. In our sensitivity analysis for unsatisfactory cytology rates, we found that assuming a higher unsatisfactory smear rate for conventional cytology and a reduction in unsatisfactory samples of 2.4% absolute percentage points, the cost per LYS reduced by 30</w:t>
      </w:r>
      <w:r w:rsidR="00F30AE9" w:rsidRPr="00AC39E0">
        <w:t xml:space="preserve"> per </w:t>
      </w:r>
      <w:r w:rsidRPr="00AC39E0">
        <w:t xml:space="preserve">cent. At a reduction of 4.5 per cent, the cost per </w:t>
      </w:r>
      <w:smartTag w:uri="urn:schemas-microsoft-com:office:smarttags" w:element="place">
        <w:r w:rsidRPr="00AC39E0">
          <w:t>LYS</w:t>
        </w:r>
      </w:smartTag>
      <w:r w:rsidRPr="00AC39E0">
        <w:t xml:space="preserve"> was reduced by 62 per cent. Under the latter scenario, which was the most favourable to LBC, the cost per </w:t>
      </w:r>
      <w:smartTag w:uri="urn:schemas-microsoft-com:office:smarttags" w:element="place">
        <w:r w:rsidRPr="00AC39E0">
          <w:rPr>
            <w:color w:val="000000"/>
          </w:rPr>
          <w:t>LYS</w:t>
        </w:r>
      </w:smartTag>
      <w:r w:rsidRPr="00AC39E0">
        <w:t xml:space="preserve"> was $47 470</w:t>
      </w:r>
      <w:r w:rsidR="009F56FB" w:rsidRPr="00BC1850">
        <w:rPr>
          <w:highlight w:val="yellow"/>
        </w:rPr>
        <w:t>.</w:t>
      </w:r>
      <w:r w:rsidRPr="00AC39E0">
        <w:t xml:space="preserve"> Therefore, differences in the unsatisfactory rate for conventional cytology</w:t>
      </w:r>
      <w:r w:rsidR="009C7C2E" w:rsidRPr="00AC39E0">
        <w:t>, and the reduction in unsatisfactory rates</w:t>
      </w:r>
      <w:r w:rsidRPr="00AC39E0">
        <w:t xml:space="preserve"> </w:t>
      </w:r>
      <w:r w:rsidR="009C7C2E" w:rsidRPr="00AC39E0">
        <w:t xml:space="preserve">attributable to LBC, </w:t>
      </w:r>
      <w:r w:rsidRPr="00AC39E0">
        <w:t xml:space="preserve">experienced in other countries were a significant factor in explaining differences in the cost-effectiveness of LBC between </w:t>
      </w:r>
      <w:smartTag w:uri="urn:schemas-microsoft-com:office:smarttags" w:element="place">
        <w:smartTag w:uri="urn:schemas-microsoft-com:office:smarttags" w:element="country-region">
          <w:r w:rsidRPr="00AC39E0">
            <w:t>Australia</w:t>
          </w:r>
        </w:smartTag>
      </w:smartTag>
      <w:r w:rsidRPr="00AC39E0">
        <w:t xml:space="preserve"> and these countries.</w:t>
      </w:r>
    </w:p>
    <w:p w:rsidR="00234376" w:rsidRPr="00AC39E0" w:rsidRDefault="00234376" w:rsidP="00600AC0">
      <w:pPr>
        <w:keepNext/>
        <w:numPr>
          <w:ilvl w:val="0"/>
          <w:numId w:val="27"/>
        </w:numPr>
        <w:ind w:left="1559" w:hanging="357"/>
      </w:pPr>
      <w:r w:rsidRPr="00AC39E0">
        <w:t>Differences in screening intervals</w:t>
      </w:r>
    </w:p>
    <w:p w:rsidR="00234376" w:rsidRPr="00AC39E0" w:rsidRDefault="00234376" w:rsidP="008E03A7">
      <w:pPr>
        <w:ind w:left="1560"/>
      </w:pPr>
      <w:smartTag w:uri="urn:schemas-microsoft-com:office:smarttags" w:element="place">
        <w:smartTag w:uri="urn:schemas-microsoft-com:office:smarttags" w:element="country-region">
          <w:r w:rsidRPr="00AC39E0">
            <w:t>New Zealand</w:t>
          </w:r>
        </w:smartTag>
      </w:smartTag>
      <w:r w:rsidRPr="00AC39E0">
        <w:t xml:space="preserve"> has a recommended screening interval of 3 years. The </w:t>
      </w:r>
      <w:smartTag w:uri="urn:schemas-microsoft-com:office:smarttags" w:element="place">
        <w:smartTag w:uri="urn:schemas-microsoft-com:office:smarttags" w:element="country-region">
          <w:r w:rsidRPr="00AC39E0">
            <w:t>United Kingdom</w:t>
          </w:r>
        </w:smartTag>
      </w:smartTag>
      <w:r w:rsidRPr="00AC39E0">
        <w:t xml:space="preserve"> has a recommended screening interval of 3 years for women aged 25–49 years, and 5 years for women aged 50–64 years. We found that cost-</w:t>
      </w:r>
      <w:r w:rsidRPr="00AC39E0">
        <w:lastRenderedPageBreak/>
        <w:t xml:space="preserve">effectiveness was moderately sensitive to this parameter: modelling screening behaviour in </w:t>
      </w:r>
      <w:smartTag w:uri="urn:schemas-microsoft-com:office:smarttags" w:element="place">
        <w:smartTag w:uri="urn:schemas-microsoft-com:office:smarttags" w:element="country-region">
          <w:r w:rsidRPr="00AC39E0">
            <w:t>Australia</w:t>
          </w:r>
        </w:smartTag>
      </w:smartTag>
      <w:r w:rsidRPr="00AC39E0">
        <w:t xml:space="preserve"> assuming a 3-yearly interval recommendation increased the cost-effectiveness of the new technologies.</w:t>
      </w:r>
    </w:p>
    <w:p w:rsidR="00234376" w:rsidRPr="00537C3C" w:rsidRDefault="00234376" w:rsidP="008E03A7">
      <w:r w:rsidRPr="00AC39E0">
        <w:t xml:space="preserve">Therefore, </w:t>
      </w:r>
      <w:smartTag w:uri="urn:schemas-microsoft-com:office:smarttags" w:element="place">
        <w:smartTag w:uri="urn:schemas-microsoft-com:office:smarttags" w:element="country-region">
          <w:r w:rsidRPr="00AC39E0">
            <w:t>Australia</w:t>
          </w:r>
        </w:smartTag>
      </w:smartTag>
      <w:r w:rsidRPr="00AC39E0">
        <w:t xml:space="preserve"> differs from other comparable countries in key areas which have a substantial impact on the cost-effectiveness of liquid-based technologies.</w:t>
      </w:r>
    </w:p>
    <w:p w:rsidR="00234376" w:rsidRPr="00537C3C" w:rsidRDefault="00234376">
      <w:pPr>
        <w:pStyle w:val="Heading1"/>
        <w:ind w:left="-142"/>
      </w:pPr>
      <w:bookmarkStart w:id="785" w:name="_Toc95971096"/>
      <w:bookmarkStart w:id="786" w:name="_Toc241658195"/>
      <w:r w:rsidRPr="00537C3C">
        <w:lastRenderedPageBreak/>
        <w:t>Conclusions</w:t>
      </w:r>
      <w:bookmarkEnd w:id="785"/>
      <w:bookmarkEnd w:id="786"/>
    </w:p>
    <w:p w:rsidR="00234376" w:rsidRPr="00537C3C" w:rsidRDefault="00234376">
      <w:pPr>
        <w:pStyle w:val="Heading2"/>
        <w:ind w:left="0"/>
      </w:pPr>
      <w:bookmarkStart w:id="787" w:name="_Toc219865806"/>
      <w:bookmarkStart w:id="788" w:name="_Toc219866014"/>
      <w:bookmarkStart w:id="789" w:name="_Toc219880654"/>
      <w:bookmarkStart w:id="790" w:name="_Toc220144568"/>
      <w:bookmarkStart w:id="791" w:name="_Toc95971097"/>
      <w:bookmarkStart w:id="792" w:name="_Toc241658196"/>
      <w:r w:rsidRPr="00537C3C">
        <w:t>Safety</w:t>
      </w:r>
      <w:bookmarkEnd w:id="787"/>
      <w:bookmarkEnd w:id="788"/>
      <w:bookmarkEnd w:id="789"/>
      <w:bookmarkEnd w:id="790"/>
      <w:bookmarkEnd w:id="791"/>
      <w:bookmarkEnd w:id="792"/>
    </w:p>
    <w:p w:rsidR="00234376" w:rsidRPr="00537C3C" w:rsidRDefault="00234376" w:rsidP="008E03A7">
      <w:r w:rsidRPr="00537C3C">
        <w:t xml:space="preserve">Automated </w:t>
      </w:r>
      <w:r w:rsidRPr="00BB76D8">
        <w:t>LBC</w:t>
      </w:r>
      <w:r w:rsidRPr="00537C3C">
        <w:t xml:space="preserve"> and manual </w:t>
      </w:r>
      <w:r w:rsidRPr="00BB76D8">
        <w:t>LBC</w:t>
      </w:r>
      <w:r w:rsidRPr="00537C3C">
        <w:t xml:space="preserve"> are considered safe procedures.</w:t>
      </w:r>
    </w:p>
    <w:p w:rsidR="00234376" w:rsidRPr="00537C3C" w:rsidRDefault="00234376">
      <w:pPr>
        <w:pStyle w:val="Heading2"/>
        <w:ind w:left="0"/>
      </w:pPr>
      <w:bookmarkStart w:id="793" w:name="_Toc219865807"/>
      <w:bookmarkStart w:id="794" w:name="_Toc219866015"/>
      <w:bookmarkStart w:id="795" w:name="_Toc219880655"/>
      <w:bookmarkStart w:id="796" w:name="_Toc220144569"/>
      <w:bookmarkStart w:id="797" w:name="_Toc95971098"/>
      <w:bookmarkStart w:id="798" w:name="_Toc241658197"/>
      <w:r w:rsidRPr="00537C3C">
        <w:t>Effectiveness</w:t>
      </w:r>
      <w:bookmarkEnd w:id="793"/>
      <w:bookmarkEnd w:id="794"/>
      <w:bookmarkEnd w:id="795"/>
      <w:bookmarkEnd w:id="796"/>
      <w:bookmarkEnd w:id="797"/>
      <w:bookmarkEnd w:id="798"/>
    </w:p>
    <w:p w:rsidR="00234376" w:rsidRPr="00537C3C" w:rsidRDefault="00234376" w:rsidP="008E03A7">
      <w:pPr>
        <w:pStyle w:val="BodyText"/>
        <w:rPr>
          <w:vanish w:val="0"/>
          <w:color w:val="auto"/>
        </w:rPr>
      </w:pPr>
      <w:r w:rsidRPr="00537C3C">
        <w:rPr>
          <w:vanish w:val="0"/>
          <w:color w:val="auto"/>
        </w:rPr>
        <w:t xml:space="preserve">No studies have assessed the impact of </w:t>
      </w:r>
      <w:r w:rsidRPr="00BB76D8">
        <w:rPr>
          <w:vanish w:val="0"/>
          <w:color w:val="auto"/>
        </w:rPr>
        <w:t>LBC</w:t>
      </w:r>
      <w:r w:rsidRPr="00537C3C">
        <w:rPr>
          <w:vanish w:val="0"/>
          <w:color w:val="auto"/>
        </w:rPr>
        <w:t xml:space="preserve"> with manual or automated slide reading on incidence or mortality rates of invasive cervical cancer compared to conventional cytology. The present review therefore relies on evidence about the relative accuracy of manual or automated </w:t>
      </w:r>
      <w:r w:rsidRPr="00BB76D8">
        <w:rPr>
          <w:vanish w:val="0"/>
          <w:color w:val="auto"/>
        </w:rPr>
        <w:t>LBC</w:t>
      </w:r>
      <w:r w:rsidRPr="00537C3C">
        <w:rPr>
          <w:vanish w:val="0"/>
          <w:color w:val="auto"/>
        </w:rPr>
        <w:t xml:space="preserve"> to detect precancerous cervical lesions to draw conclusions about its relative effectiveness. This ‘linked evidence’ approach is justified by existing evidence that early detection and treatment of precancerous cervical lesions leads to a reduction in the incidence and mortality of cervical cancer.</w:t>
      </w:r>
    </w:p>
    <w:p w:rsidR="00234376" w:rsidRPr="00537C3C" w:rsidRDefault="00234376" w:rsidP="00B94BF8">
      <w:pPr>
        <w:pStyle w:val="Heading3"/>
      </w:pPr>
      <w:r w:rsidRPr="00537C3C">
        <w:t xml:space="preserve">Manual </w:t>
      </w:r>
      <w:r w:rsidRPr="00BB76D8">
        <w:t>LBC</w:t>
      </w:r>
    </w:p>
    <w:p w:rsidR="00234376" w:rsidRPr="00537C3C" w:rsidRDefault="00234376" w:rsidP="008E03A7">
      <w:r w:rsidRPr="00537C3C">
        <w:t>High-quality systematic reviews and a large randomised trial have indicated that liquid-based cytology compared to conventional cytology</w:t>
      </w:r>
    </w:p>
    <w:p w:rsidR="00234376" w:rsidRPr="00537C3C" w:rsidRDefault="00234376" w:rsidP="008E03A7">
      <w:pPr>
        <w:numPr>
          <w:ilvl w:val="0"/>
          <w:numId w:val="9"/>
        </w:numPr>
      </w:pPr>
      <w:r w:rsidRPr="00537C3C">
        <w:t>provides no statistically significant increase in sensitivity or specificity</w:t>
      </w:r>
    </w:p>
    <w:p w:rsidR="00234376" w:rsidRPr="00537C3C" w:rsidRDefault="00234376" w:rsidP="008E03A7">
      <w:pPr>
        <w:numPr>
          <w:ilvl w:val="0"/>
          <w:numId w:val="9"/>
        </w:numPr>
      </w:pPr>
      <w:r w:rsidRPr="00537C3C">
        <w:t>provides no statistically significant difference in sensitivity (</w:t>
      </w:r>
      <w:r w:rsidRPr="00BB76D8">
        <w:t>HSIL</w:t>
      </w:r>
      <w:r w:rsidRPr="00537C3C">
        <w:t xml:space="preserve">, </w:t>
      </w:r>
      <w:r w:rsidRPr="00BB76D8">
        <w:t>LSIL</w:t>
      </w:r>
      <w:r w:rsidRPr="00537C3C">
        <w:t xml:space="preserve"> or </w:t>
      </w:r>
      <w:r w:rsidRPr="00BB76D8">
        <w:t>pLSIL</w:t>
      </w:r>
      <w:r w:rsidRPr="00537C3C">
        <w:t xml:space="preserve"> thresholds) or specificity (</w:t>
      </w:r>
      <w:r w:rsidRPr="00BB76D8">
        <w:t>HSIL</w:t>
      </w:r>
      <w:r w:rsidRPr="00537C3C">
        <w:t xml:space="preserve"> or </w:t>
      </w:r>
      <w:r w:rsidRPr="00BB76D8">
        <w:t>LSIL</w:t>
      </w:r>
      <w:r w:rsidRPr="00537C3C">
        <w:t xml:space="preserve"> thresholds) for the detection of </w:t>
      </w:r>
      <w:r w:rsidRPr="00BB76D8">
        <w:t>CIN</w:t>
      </w:r>
      <w:r w:rsidRPr="00537C3C">
        <w:t xml:space="preserve"> 2+</w:t>
      </w:r>
    </w:p>
    <w:p w:rsidR="00234376" w:rsidRPr="00537C3C" w:rsidRDefault="00234376" w:rsidP="008E03A7">
      <w:pPr>
        <w:numPr>
          <w:ilvl w:val="0"/>
          <w:numId w:val="9"/>
        </w:numPr>
      </w:pPr>
      <w:r w:rsidRPr="00537C3C">
        <w:t xml:space="preserve">reduces the specificity for the detection of </w:t>
      </w:r>
      <w:r w:rsidRPr="00BB76D8">
        <w:t>CIN</w:t>
      </w:r>
      <w:r w:rsidRPr="00537C3C">
        <w:t xml:space="preserve"> 2+ at a test threshold of </w:t>
      </w:r>
      <w:r w:rsidRPr="00BB76D8">
        <w:t>pLSIL</w:t>
      </w:r>
    </w:p>
    <w:p w:rsidR="00234376" w:rsidRPr="00537C3C" w:rsidRDefault="00234376" w:rsidP="008E03A7">
      <w:pPr>
        <w:numPr>
          <w:ilvl w:val="0"/>
          <w:numId w:val="9"/>
        </w:numPr>
      </w:pPr>
      <w:r w:rsidRPr="00537C3C">
        <w:t>classifies more slides as positive for low-grade lesions</w:t>
      </w:r>
    </w:p>
    <w:p w:rsidR="00234376" w:rsidRPr="00537C3C" w:rsidRDefault="00234376" w:rsidP="008E03A7">
      <w:pPr>
        <w:numPr>
          <w:ilvl w:val="0"/>
          <w:numId w:val="9"/>
        </w:numPr>
      </w:pPr>
      <w:r w:rsidRPr="00537C3C">
        <w:t>reduces the rate of unsatisfactory smears</w:t>
      </w:r>
    </w:p>
    <w:p w:rsidR="00234376" w:rsidRPr="00537C3C" w:rsidRDefault="00234376" w:rsidP="00B94BF8">
      <w:pPr>
        <w:pStyle w:val="Heading3"/>
      </w:pPr>
      <w:r w:rsidRPr="00537C3C">
        <w:t xml:space="preserve">Automated </w:t>
      </w:r>
      <w:r w:rsidRPr="00BB76D8">
        <w:t>LBC</w:t>
      </w:r>
    </w:p>
    <w:p w:rsidR="00234376" w:rsidRPr="00537C3C" w:rsidRDefault="00234376" w:rsidP="008E03A7">
      <w:r w:rsidRPr="00537C3C">
        <w:t xml:space="preserve">A single Australian fair-quality study providing level </w:t>
      </w:r>
      <w:r w:rsidRPr="00BB76D8">
        <w:t>III</w:t>
      </w:r>
      <w:r w:rsidRPr="00537C3C">
        <w:t xml:space="preserve">-2 evidence of accuracy indicated that automation-assisted reading of </w:t>
      </w:r>
      <w:r w:rsidRPr="00BB76D8">
        <w:t>LBC</w:t>
      </w:r>
      <w:r w:rsidRPr="00537C3C">
        <w:t xml:space="preserve"> slides with the ThinPrepImager system compared to manual reading of conventional cytology</w:t>
      </w:r>
    </w:p>
    <w:p w:rsidR="00234376" w:rsidRPr="00537C3C" w:rsidRDefault="00234376" w:rsidP="008E03A7">
      <w:pPr>
        <w:numPr>
          <w:ilvl w:val="0"/>
          <w:numId w:val="10"/>
        </w:numPr>
      </w:pPr>
      <w:r w:rsidRPr="00537C3C">
        <w:t>detects statistically significantly more true high-grade lesions</w:t>
      </w:r>
    </w:p>
    <w:p w:rsidR="00234376" w:rsidRPr="00537C3C" w:rsidRDefault="00234376" w:rsidP="008E03A7">
      <w:pPr>
        <w:numPr>
          <w:ilvl w:val="0"/>
          <w:numId w:val="10"/>
        </w:numPr>
      </w:pPr>
      <w:r w:rsidRPr="00537C3C">
        <w:t>increases the number of slides classified as having low-grade lesions on cytology</w:t>
      </w:r>
    </w:p>
    <w:p w:rsidR="00234376" w:rsidRPr="00537C3C" w:rsidRDefault="00234376" w:rsidP="008E03A7">
      <w:pPr>
        <w:numPr>
          <w:ilvl w:val="0"/>
          <w:numId w:val="10"/>
        </w:numPr>
      </w:pPr>
      <w:r w:rsidRPr="00537C3C">
        <w:t xml:space="preserve">did not increase the number of false positive cases at a </w:t>
      </w:r>
      <w:r w:rsidRPr="00BB76D8">
        <w:t>pHSIL</w:t>
      </w:r>
      <w:r w:rsidRPr="00537C3C">
        <w:t xml:space="preserve"> test threshold</w:t>
      </w:r>
    </w:p>
    <w:p w:rsidR="00234376" w:rsidRPr="00537C3C" w:rsidRDefault="00234376" w:rsidP="008E03A7">
      <w:pPr>
        <w:numPr>
          <w:ilvl w:val="0"/>
          <w:numId w:val="10"/>
        </w:numPr>
      </w:pPr>
      <w:r w:rsidRPr="00537C3C">
        <w:t>reduces the rate of unsatisfactory slides</w:t>
      </w:r>
    </w:p>
    <w:p w:rsidR="00234376" w:rsidRPr="00537C3C" w:rsidRDefault="00234376" w:rsidP="008E03A7">
      <w:r w:rsidRPr="00537C3C">
        <w:t xml:space="preserve">A second fair-quality Australian study providing level </w:t>
      </w:r>
      <w:r w:rsidRPr="00BB76D8">
        <w:t>III</w:t>
      </w:r>
      <w:r w:rsidRPr="00537C3C">
        <w:t>-2 evidence of accuracy of the ThinPrepImager system, that contains some possibility of verification bias, found</w:t>
      </w:r>
    </w:p>
    <w:p w:rsidR="00234376" w:rsidRPr="00537C3C" w:rsidRDefault="00234376" w:rsidP="008E03A7">
      <w:pPr>
        <w:numPr>
          <w:ilvl w:val="0"/>
          <w:numId w:val="11"/>
        </w:numPr>
      </w:pPr>
      <w:r w:rsidRPr="00537C3C">
        <w:lastRenderedPageBreak/>
        <w:t>no statistically significant difference in the number of high-grade lesions detected compared to manual reading of conventional cytology</w:t>
      </w:r>
    </w:p>
    <w:p w:rsidR="00234376" w:rsidRPr="00537C3C" w:rsidRDefault="00234376" w:rsidP="008E03A7">
      <w:pPr>
        <w:numPr>
          <w:ilvl w:val="0"/>
          <w:numId w:val="11"/>
        </w:numPr>
      </w:pPr>
      <w:r w:rsidRPr="00537C3C">
        <w:t xml:space="preserve">a statistically significant increase in the number of high-grade lesions detected by manual </w:t>
      </w:r>
      <w:r w:rsidRPr="00BB76D8">
        <w:t>LBC</w:t>
      </w:r>
      <w:r w:rsidRPr="00537C3C">
        <w:t xml:space="preserve"> compared to conventional cytology</w:t>
      </w:r>
    </w:p>
    <w:p w:rsidR="00234376" w:rsidRPr="00537C3C" w:rsidRDefault="00234376" w:rsidP="008E03A7">
      <w:pPr>
        <w:numPr>
          <w:ilvl w:val="0"/>
          <w:numId w:val="11"/>
        </w:numPr>
      </w:pPr>
      <w:r w:rsidRPr="00537C3C">
        <w:t xml:space="preserve">statistically significantly more false positive findings at a </w:t>
      </w:r>
      <w:r w:rsidRPr="00BB76D8">
        <w:t>pHSIL</w:t>
      </w:r>
      <w:r w:rsidRPr="00537C3C">
        <w:t xml:space="preserve"> test threshold compared to manual reading of conventional cytology</w:t>
      </w:r>
    </w:p>
    <w:p w:rsidR="00234376" w:rsidRPr="00537C3C" w:rsidRDefault="00234376" w:rsidP="008E03A7">
      <w:r w:rsidRPr="00537C3C">
        <w:t>Two studies indicated that the use of the ThinPrep Imager system significantly decreased slide reading time compared to manual reading of conventional cytology.</w:t>
      </w:r>
    </w:p>
    <w:p w:rsidR="00234376" w:rsidRPr="00537C3C" w:rsidRDefault="00234376" w:rsidP="008E03A7">
      <w:r w:rsidRPr="00537C3C">
        <w:t xml:space="preserve">Three studies comparing ThinPrep Imager reading of </w:t>
      </w:r>
      <w:r w:rsidRPr="00BB76D8">
        <w:t>LBC</w:t>
      </w:r>
      <w:r w:rsidRPr="00537C3C">
        <w:t xml:space="preserve"> to manual </w:t>
      </w:r>
      <w:r w:rsidRPr="00BB76D8">
        <w:t>LBC</w:t>
      </w:r>
      <w:r w:rsidRPr="00537C3C">
        <w:t xml:space="preserve"> concurrently did not find any significant increase in the detection of true positive cases with automated </w:t>
      </w:r>
      <w:r w:rsidRPr="00BB76D8">
        <w:t>LBC</w:t>
      </w:r>
      <w:r w:rsidRPr="00537C3C">
        <w:t xml:space="preserve"> compared to manual </w:t>
      </w:r>
      <w:r w:rsidRPr="00BB76D8">
        <w:t>LBC</w:t>
      </w:r>
      <w:r w:rsidRPr="00537C3C">
        <w:t>. The ThinPrep Imager was associated with a decrease in the detection of false positive cases in two of three studies.</w:t>
      </w:r>
    </w:p>
    <w:p w:rsidR="00234376" w:rsidRPr="00537C3C" w:rsidRDefault="00234376" w:rsidP="008E03A7">
      <w:r w:rsidRPr="00537C3C">
        <w:t xml:space="preserve">It is concluded that in an Australian setting, automated </w:t>
      </w:r>
      <w:r w:rsidRPr="00BB76D8">
        <w:t>LBC</w:t>
      </w:r>
      <w:r w:rsidRPr="00537C3C">
        <w:t xml:space="preserve"> reading with the ThinPrep Imager system</w:t>
      </w:r>
    </w:p>
    <w:p w:rsidR="00234376" w:rsidRPr="00537C3C" w:rsidRDefault="00234376" w:rsidP="008E03A7">
      <w:pPr>
        <w:numPr>
          <w:ilvl w:val="0"/>
          <w:numId w:val="11"/>
        </w:numPr>
      </w:pPr>
      <w:r w:rsidRPr="00537C3C">
        <w:t xml:space="preserve">detects at least as many </w:t>
      </w:r>
      <w:r w:rsidRPr="00BB76D8">
        <w:t>CIN</w:t>
      </w:r>
      <w:r w:rsidRPr="00537C3C">
        <w:t xml:space="preserve"> 2+ lesions as conventional cytology, and may detect more</w:t>
      </w:r>
    </w:p>
    <w:p w:rsidR="00234376" w:rsidRPr="00537C3C" w:rsidRDefault="00234376" w:rsidP="008E03A7">
      <w:pPr>
        <w:numPr>
          <w:ilvl w:val="0"/>
          <w:numId w:val="11"/>
        </w:numPr>
      </w:pPr>
      <w:r w:rsidRPr="00537C3C">
        <w:t>increases the cytological classification of women with low-grade lesions</w:t>
      </w:r>
    </w:p>
    <w:p w:rsidR="00234376" w:rsidRPr="00537C3C" w:rsidRDefault="00234376" w:rsidP="008E03A7">
      <w:pPr>
        <w:numPr>
          <w:ilvl w:val="0"/>
          <w:numId w:val="11"/>
        </w:numPr>
      </w:pPr>
      <w:r w:rsidRPr="00537C3C">
        <w:t>reduces the unsatisfactory slide rate</w:t>
      </w:r>
    </w:p>
    <w:p w:rsidR="00234376" w:rsidRPr="00537C3C" w:rsidRDefault="00234376" w:rsidP="008E03A7">
      <w:pPr>
        <w:numPr>
          <w:ilvl w:val="0"/>
          <w:numId w:val="11"/>
        </w:numPr>
      </w:pPr>
      <w:r w:rsidRPr="00537C3C">
        <w:t>reduces slide processing time.</w:t>
      </w:r>
    </w:p>
    <w:p w:rsidR="00234376" w:rsidRPr="00537C3C" w:rsidRDefault="00234376">
      <w:pPr>
        <w:pStyle w:val="Heading2"/>
        <w:ind w:left="0"/>
      </w:pPr>
      <w:bookmarkStart w:id="799" w:name="_Toc219865808"/>
      <w:bookmarkStart w:id="800" w:name="_Toc219866016"/>
      <w:bookmarkStart w:id="801" w:name="_Toc219880656"/>
      <w:bookmarkStart w:id="802" w:name="_Toc220144570"/>
      <w:bookmarkStart w:id="803" w:name="_Toc95971099"/>
      <w:bookmarkStart w:id="804" w:name="_Toc241658198"/>
      <w:r w:rsidRPr="00537C3C">
        <w:t>Economic considerations</w:t>
      </w:r>
      <w:bookmarkEnd w:id="799"/>
      <w:bookmarkEnd w:id="800"/>
      <w:bookmarkEnd w:id="801"/>
      <w:bookmarkEnd w:id="802"/>
      <w:bookmarkEnd w:id="803"/>
      <w:bookmarkEnd w:id="804"/>
    </w:p>
    <w:p w:rsidR="00234376" w:rsidRPr="00537C3C" w:rsidRDefault="00234376" w:rsidP="00B94BF8">
      <w:pPr>
        <w:pStyle w:val="Heading3"/>
      </w:pPr>
      <w:r w:rsidRPr="00537C3C">
        <w:t>Cost-effectiveness</w:t>
      </w:r>
    </w:p>
    <w:p w:rsidR="00234376" w:rsidRPr="00537C3C" w:rsidRDefault="00234376" w:rsidP="008E03A7">
      <w:pPr>
        <w:rPr>
          <w:color w:val="000000"/>
        </w:rPr>
      </w:pPr>
      <w:r w:rsidRPr="00537C3C">
        <w:rPr>
          <w:color w:val="000000"/>
        </w:rPr>
        <w:t xml:space="preserve">The main findings of the economic evaluation are that both technologies under consideration—automated </w:t>
      </w:r>
      <w:r w:rsidRPr="00BB76D8">
        <w:rPr>
          <w:color w:val="000000"/>
        </w:rPr>
        <w:t>LBC</w:t>
      </w:r>
      <w:r w:rsidRPr="00537C3C">
        <w:rPr>
          <w:color w:val="000000"/>
        </w:rPr>
        <w:t xml:space="preserve"> and </w:t>
      </w:r>
      <w:r w:rsidRPr="00BB76D8">
        <w:rPr>
          <w:color w:val="000000"/>
        </w:rPr>
        <w:t>LBC</w:t>
      </w:r>
      <w:r w:rsidRPr="00537C3C">
        <w:rPr>
          <w:color w:val="000000"/>
        </w:rPr>
        <w:t xml:space="preserve"> with manual reading—had high cost-effectiveness ratios, which would appear to be unfavourable in </w:t>
      </w:r>
      <w:smartTag w:uri="urn:schemas-microsoft-com:office:smarttags" w:element="place">
        <w:smartTag w:uri="urn:schemas-microsoft-com:office:smarttags" w:element="country-region">
          <w:r w:rsidRPr="00537C3C">
            <w:rPr>
              <w:color w:val="000000"/>
            </w:rPr>
            <w:t>Australia</w:t>
          </w:r>
        </w:smartTag>
      </w:smartTag>
      <w:r w:rsidRPr="00537C3C">
        <w:rPr>
          <w:color w:val="000000"/>
        </w:rPr>
        <w:t xml:space="preserve"> at the currently requested level of reimbursement.</w:t>
      </w:r>
    </w:p>
    <w:p w:rsidR="00234376" w:rsidRPr="00537C3C" w:rsidRDefault="00234376" w:rsidP="008E03A7">
      <w:pPr>
        <w:rPr>
          <w:color w:val="000000"/>
        </w:rPr>
      </w:pPr>
      <w:r w:rsidRPr="00537C3C">
        <w:rPr>
          <w:color w:val="000000"/>
        </w:rPr>
        <w:t xml:space="preserve">Cost-effectiveness ratios were estimated from lifetime costs and </w:t>
      </w:r>
      <w:smartTag w:uri="urn:schemas-microsoft-com:office:smarttags" w:element="place">
        <w:r w:rsidRPr="00537C3C">
          <w:rPr>
            <w:color w:val="000000"/>
          </w:rPr>
          <w:t>LYS</w:t>
        </w:r>
      </w:smartTag>
      <w:r w:rsidRPr="00537C3C">
        <w:rPr>
          <w:color w:val="000000"/>
        </w:rPr>
        <w:t xml:space="preserve">, both of which were discounted at 5 per cent per annum. Automated </w:t>
      </w:r>
      <w:r w:rsidRPr="00BB76D8">
        <w:rPr>
          <w:color w:val="000000"/>
        </w:rPr>
        <w:t>LBC</w:t>
      </w:r>
      <w:r w:rsidRPr="00537C3C">
        <w:rPr>
          <w:color w:val="000000"/>
        </w:rPr>
        <w:t xml:space="preserve"> cost $194 835 per </w:t>
      </w:r>
      <w:smartTag w:uri="urn:schemas-microsoft-com:office:smarttags" w:element="place">
        <w:r w:rsidRPr="00537C3C">
          <w:rPr>
            <w:color w:val="000000"/>
          </w:rPr>
          <w:t>LYS</w:t>
        </w:r>
      </w:smartTag>
      <w:r w:rsidRPr="00537C3C">
        <w:rPr>
          <w:color w:val="000000"/>
        </w:rPr>
        <w:t xml:space="preserve">. The cost of manual </w:t>
      </w:r>
      <w:r w:rsidRPr="00BB76D8">
        <w:rPr>
          <w:color w:val="000000"/>
        </w:rPr>
        <w:t>LBC</w:t>
      </w:r>
      <w:r w:rsidRPr="00537C3C">
        <w:rPr>
          <w:color w:val="000000"/>
        </w:rPr>
        <w:t xml:space="preserve"> varied depending on the level of reimbursement, but ranged from $126 315 per LYS ($2.40 incremental cost) to $385 982 per </w:t>
      </w:r>
      <w:smartTag w:uri="urn:schemas-microsoft-com:office:smarttags" w:element="place">
        <w:r w:rsidRPr="00537C3C">
          <w:rPr>
            <w:color w:val="000000"/>
          </w:rPr>
          <w:t>LYS</w:t>
        </w:r>
      </w:smartTag>
      <w:r w:rsidRPr="00537C3C">
        <w:rPr>
          <w:color w:val="000000"/>
        </w:rPr>
        <w:t xml:space="preserve"> ($10.90 incremental cost).</w:t>
      </w:r>
    </w:p>
    <w:p w:rsidR="00234376" w:rsidRPr="00537C3C" w:rsidRDefault="00234376" w:rsidP="008E03A7">
      <w:pPr>
        <w:spacing w:after="0"/>
        <w:rPr>
          <w:rFonts w:cs="Arial"/>
          <w:color w:val="000000"/>
          <w:szCs w:val="24"/>
        </w:rPr>
      </w:pPr>
      <w:r w:rsidRPr="00537C3C">
        <w:rPr>
          <w:color w:val="000000"/>
        </w:rPr>
        <w:t>The findings are sensitive to</w:t>
      </w:r>
      <w:r w:rsidRPr="00537C3C">
        <w:rPr>
          <w:rFonts w:cs="Arial"/>
          <w:color w:val="000000"/>
          <w:szCs w:val="24"/>
        </w:rPr>
        <w:t xml:space="preserve"> assumed relative test accuracy, differences in the unsatisfactory smear rate, assumptions about disease natural history (particularly high-grade regression and progression) and the recommended screening interval. Favourable assumptions were made about the accuracy of the new technologies. On the basis o</w:t>
      </w:r>
      <w:r w:rsidRPr="00537C3C" w:rsidDel="00110B9C">
        <w:rPr>
          <w:rFonts w:cs="Arial"/>
          <w:color w:val="000000"/>
          <w:szCs w:val="24"/>
        </w:rPr>
        <w:t>f</w:t>
      </w:r>
      <w:r w:rsidRPr="00537C3C">
        <w:rPr>
          <w:rFonts w:cs="Arial"/>
          <w:color w:val="000000"/>
          <w:szCs w:val="24"/>
        </w:rPr>
        <w:t xml:space="preserve"> these favourable assumptions, both technologies would result in an improvement in </w:t>
      </w:r>
      <w:smartTag w:uri="urn:schemas-microsoft-com:office:smarttags" w:element="place">
        <w:r w:rsidRPr="00537C3C">
          <w:rPr>
            <w:rFonts w:cs="Arial"/>
            <w:color w:val="000000"/>
            <w:szCs w:val="24"/>
          </w:rPr>
          <w:t>LYS</w:t>
        </w:r>
      </w:smartTag>
      <w:r w:rsidRPr="00537C3C">
        <w:rPr>
          <w:rFonts w:cs="Arial"/>
          <w:color w:val="000000"/>
          <w:szCs w:val="24"/>
        </w:rPr>
        <w:t>, but at a substantially higher cost, due mainly to direct cytology test costs, but also to follow-up costs for an increased number of test positives.</w:t>
      </w:r>
    </w:p>
    <w:p w:rsidR="00234376" w:rsidRPr="00537C3C" w:rsidRDefault="00234376" w:rsidP="00B94BF8">
      <w:pPr>
        <w:pStyle w:val="Heading3"/>
      </w:pPr>
      <w:r w:rsidRPr="00537C3C">
        <w:lastRenderedPageBreak/>
        <w:t>Financial impact</w:t>
      </w:r>
    </w:p>
    <w:p w:rsidR="00234376" w:rsidRPr="00537C3C" w:rsidRDefault="00234376" w:rsidP="008E03A7">
      <w:r w:rsidRPr="00537C3C">
        <w:rPr>
          <w:color w:val="000000"/>
        </w:rPr>
        <w:t xml:space="preserve">Modelled analysis predicted that direct replacement of conventional cytology with automated </w:t>
      </w:r>
      <w:r w:rsidRPr="00BB76D8">
        <w:rPr>
          <w:color w:val="000000"/>
        </w:rPr>
        <w:t>LBC</w:t>
      </w:r>
      <w:r w:rsidRPr="00537C3C">
        <w:rPr>
          <w:color w:val="000000"/>
        </w:rPr>
        <w:t xml:space="preserve"> would be associated with an annual increase in </w:t>
      </w:r>
      <w:bookmarkStart w:id="805" w:name="OLE_LINK39"/>
      <w:bookmarkStart w:id="806" w:name="OLE_LINK40"/>
      <w:r w:rsidRPr="00537C3C">
        <w:rPr>
          <w:color w:val="000000"/>
        </w:rPr>
        <w:t xml:space="preserve">health system </w:t>
      </w:r>
      <w:bookmarkEnd w:id="805"/>
      <w:bookmarkEnd w:id="806"/>
      <w:r w:rsidRPr="00537C3C">
        <w:rPr>
          <w:color w:val="000000"/>
        </w:rPr>
        <w:t xml:space="preserve">costs of $37.4 million. Incremental health system costs associated with manual reading of </w:t>
      </w:r>
      <w:r w:rsidRPr="00BB76D8">
        <w:rPr>
          <w:color w:val="000000"/>
        </w:rPr>
        <w:t>LBC</w:t>
      </w:r>
      <w:r w:rsidRPr="00537C3C">
        <w:rPr>
          <w:color w:val="000000"/>
        </w:rPr>
        <w:t xml:space="preserve"> ranged from $7.3 million to $23.6 million per annum, depending on the level of reimbursement for manual </w:t>
      </w:r>
      <w:r w:rsidRPr="00BB76D8">
        <w:rPr>
          <w:color w:val="000000"/>
        </w:rPr>
        <w:t>LBC</w:t>
      </w:r>
      <w:r w:rsidRPr="00537C3C">
        <w:rPr>
          <w:color w:val="000000"/>
        </w:rPr>
        <w:t>.</w:t>
      </w:r>
    </w:p>
    <w:p w:rsidR="001F4398" w:rsidRPr="00AC39E0" w:rsidRDefault="001F4398" w:rsidP="001F4398">
      <w:pPr>
        <w:pStyle w:val="Heading1"/>
        <w:ind w:left="-142"/>
        <w:rPr>
          <w:bCs/>
        </w:rPr>
      </w:pPr>
      <w:bookmarkStart w:id="807" w:name="_Toc95971101"/>
      <w:bookmarkStart w:id="808" w:name="_Toc241658199"/>
      <w:bookmarkStart w:id="809" w:name="_Ref219868837"/>
      <w:r w:rsidRPr="00AC39E0">
        <w:rPr>
          <w:bCs/>
        </w:rPr>
        <w:lastRenderedPageBreak/>
        <w:t xml:space="preserve">Appendix </w:t>
      </w:r>
      <w:r w:rsidRPr="00AC39E0">
        <w:rPr>
          <w:bCs/>
        </w:rPr>
        <w:fldChar w:fldCharType="begin"/>
      </w:r>
      <w:r w:rsidRPr="00AC39E0">
        <w:rPr>
          <w:bCs/>
        </w:rPr>
        <w:instrText xml:space="preserve"> SEQ Appendix \* ALPHABETIC </w:instrText>
      </w:r>
      <w:r w:rsidRPr="00AC39E0">
        <w:rPr>
          <w:bCs/>
        </w:rPr>
        <w:fldChar w:fldCharType="separate"/>
      </w:r>
      <w:r w:rsidR="007D3DFF">
        <w:rPr>
          <w:bCs/>
          <w:noProof/>
        </w:rPr>
        <w:t>A</w:t>
      </w:r>
      <w:r w:rsidRPr="00AC39E0">
        <w:rPr>
          <w:bCs/>
        </w:rPr>
        <w:fldChar w:fldCharType="end"/>
      </w:r>
      <w:r w:rsidRPr="00AC39E0">
        <w:rPr>
          <w:bCs/>
        </w:rPr>
        <w:tab/>
        <w:t>MSAC terms of reference and membership</w:t>
      </w:r>
      <w:bookmarkEnd w:id="807"/>
      <w:bookmarkEnd w:id="808"/>
    </w:p>
    <w:p w:rsidR="001F4398" w:rsidRPr="00AC39E0" w:rsidRDefault="001F4398" w:rsidP="001F4398">
      <w:pPr>
        <w:pStyle w:val="BodyTextIndent"/>
        <w:spacing w:after="120"/>
      </w:pPr>
      <w:r w:rsidRPr="00AC39E0">
        <w:t>MSAC's terms of reference are to:</w:t>
      </w:r>
    </w:p>
    <w:p w:rsidR="001F4398" w:rsidRPr="00AC39E0" w:rsidRDefault="001F4398" w:rsidP="001F4398">
      <w:pPr>
        <w:pStyle w:val="Bullet"/>
        <w:spacing w:after="120"/>
      </w:pPr>
      <w:r w:rsidRPr="00AC39E0">
        <w:t>advise the Minister for Health and Ageing on the strength of evidence pertaining to new and emerging medical technologies and procedures in relation to their safety, accuracy, effectiveness and cost-effectiveness and under what circumstances public funding should be supported;</w:t>
      </w:r>
    </w:p>
    <w:p w:rsidR="001F4398" w:rsidRPr="00AC39E0" w:rsidRDefault="001F4398" w:rsidP="001F4398">
      <w:pPr>
        <w:pStyle w:val="Bullet"/>
        <w:spacing w:after="120"/>
      </w:pPr>
      <w:r w:rsidRPr="00AC39E0">
        <w:t>advise the Minister for Health and Ageing on which new medical technologies and procedures should be funded on an interim basis to allow data to be assembled to determine their safety, effectiveness and cost-effectiveness;</w:t>
      </w:r>
    </w:p>
    <w:p w:rsidR="001F4398" w:rsidRPr="00AC39E0" w:rsidRDefault="001F4398" w:rsidP="001F4398">
      <w:pPr>
        <w:pStyle w:val="Bullet"/>
        <w:spacing w:after="120"/>
      </w:pPr>
      <w:r w:rsidRPr="00AC39E0">
        <w:t>advise the Minister for Health and Ageing on references related either to new and/or existing medical technologies and procedures; and</w:t>
      </w:r>
    </w:p>
    <w:p w:rsidR="001F4398" w:rsidRPr="00AC39E0" w:rsidRDefault="001F4398" w:rsidP="001F4398">
      <w:pPr>
        <w:pStyle w:val="Bullet"/>
        <w:spacing w:after="0"/>
      </w:pPr>
      <w:r w:rsidRPr="00AC39E0">
        <w:t>undertake health technology assessment work referred by the Australian Health Ministers’ Advisory Council (AHMAC) and report its findings to AHMAC.</w:t>
      </w:r>
      <w:r w:rsidR="00DF1AB9">
        <w:br/>
      </w:r>
    </w:p>
    <w:p w:rsidR="001F4398" w:rsidRDefault="001F4398" w:rsidP="001F4398">
      <w:pPr>
        <w:pStyle w:val="BodyTextIndent"/>
        <w:spacing w:after="0"/>
      </w:pPr>
      <w:r w:rsidRPr="00AC39E0">
        <w:t>The membership of MSAC at the March 2009 meeting comprised a mix of clinical expertise covering pathology, nuclear medicine, surgery, specialist medicine and general practice, plus clinical epidemiology and clinical trials, health economics, consumers, and health administration and planning:</w:t>
      </w:r>
    </w:p>
    <w:p w:rsidR="001F4398" w:rsidRPr="00AC39E0" w:rsidRDefault="001F4398" w:rsidP="001F4398">
      <w:pPr>
        <w:pStyle w:val="BodyTextIndent"/>
        <w:spacing w:after="0"/>
      </w:pPr>
    </w:p>
    <w:tbl>
      <w:tblPr>
        <w:tblW w:w="4546" w:type="pct"/>
        <w:tblInd w:w="840" w:type="dxa"/>
        <w:tblLook w:val="0000" w:firstRow="0" w:lastRow="0" w:firstColumn="0" w:lastColumn="0" w:noHBand="0" w:noVBand="0"/>
      </w:tblPr>
      <w:tblGrid>
        <w:gridCol w:w="3521"/>
        <w:gridCol w:w="4882"/>
      </w:tblGrid>
      <w:tr w:rsidR="001F4398" w:rsidRPr="00BC18D1">
        <w:tc>
          <w:tcPr>
            <w:tcW w:w="2095" w:type="pct"/>
            <w:tcBorders>
              <w:top w:val="nil"/>
              <w:left w:val="nil"/>
              <w:bottom w:val="nil"/>
              <w:right w:val="nil"/>
            </w:tcBorders>
            <w:shd w:val="clear" w:color="auto" w:fill="auto"/>
          </w:tcPr>
          <w:p w:rsidR="001F4398" w:rsidRPr="00BC18D1" w:rsidRDefault="001F4398" w:rsidP="00DE0B54">
            <w:pPr>
              <w:autoSpaceDE w:val="0"/>
              <w:autoSpaceDN w:val="0"/>
              <w:adjustRightInd w:val="0"/>
              <w:spacing w:before="60" w:after="0"/>
              <w:ind w:left="34"/>
              <w:rPr>
                <w:b/>
                <w:sz w:val="22"/>
                <w:szCs w:val="22"/>
              </w:rPr>
            </w:pPr>
            <w:r w:rsidRPr="00BC18D1">
              <w:rPr>
                <w:b/>
                <w:sz w:val="22"/>
                <w:szCs w:val="22"/>
              </w:rPr>
              <w:t>Member</w:t>
            </w:r>
          </w:p>
        </w:tc>
        <w:tc>
          <w:tcPr>
            <w:tcW w:w="2905" w:type="pct"/>
            <w:tcBorders>
              <w:top w:val="nil"/>
              <w:left w:val="nil"/>
              <w:bottom w:val="nil"/>
              <w:right w:val="nil"/>
            </w:tcBorders>
            <w:shd w:val="clear" w:color="auto" w:fill="auto"/>
          </w:tcPr>
          <w:p w:rsidR="001F4398" w:rsidRPr="00BC18D1" w:rsidRDefault="001F4398" w:rsidP="00DE0B54">
            <w:pPr>
              <w:autoSpaceDE w:val="0"/>
              <w:autoSpaceDN w:val="0"/>
              <w:adjustRightInd w:val="0"/>
              <w:spacing w:before="60" w:after="0"/>
              <w:ind w:left="34"/>
              <w:rPr>
                <w:b/>
                <w:sz w:val="22"/>
                <w:szCs w:val="22"/>
              </w:rPr>
            </w:pPr>
            <w:r w:rsidRPr="00BC18D1">
              <w:rPr>
                <w:b/>
                <w:sz w:val="22"/>
                <w:szCs w:val="22"/>
              </w:rPr>
              <w:t>Expertise or affiliation</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Professor Robyn Ward (Chair)</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medical oncology</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Dr William Glasson</w:t>
            </w:r>
            <w:r>
              <w:rPr>
                <w:sz w:val="22"/>
                <w:szCs w:val="22"/>
              </w:rPr>
              <w:t xml:space="preserve"> (Deputy Chair)</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ophthalmology</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Associate Professor Frederick Khafagi</w:t>
            </w:r>
            <w:r>
              <w:rPr>
                <w:sz w:val="22"/>
                <w:szCs w:val="22"/>
              </w:rPr>
              <w:t xml:space="preserve"> (Deputy Chair)</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nuclear medicine</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Associate Professor John Atherton</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Pr>
                <w:sz w:val="22"/>
                <w:szCs w:val="22"/>
              </w:rPr>
              <w:t>c</w:t>
            </w:r>
            <w:r w:rsidRPr="00254A43">
              <w:rPr>
                <w:sz w:val="22"/>
                <w:szCs w:val="22"/>
              </w:rPr>
              <w:t>ardiology</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Professor Justin Beilby</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health research</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Professor Jim Butler</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health economics</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Professor Peter Cameron</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trauma and emergency medicine</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Associate Professor Kirsty Douglas</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health research</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Dr Kwun Fong</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thoracic medicine</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Professor Richard Fox</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medical oncology</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Professor John Horvath</w:t>
            </w:r>
          </w:p>
        </w:tc>
        <w:tc>
          <w:tcPr>
            <w:tcW w:w="2905" w:type="pct"/>
            <w:tcBorders>
              <w:top w:val="nil"/>
              <w:left w:val="nil"/>
              <w:bottom w:val="nil"/>
              <w:right w:val="nil"/>
            </w:tcBorders>
            <w:shd w:val="clear" w:color="auto" w:fill="auto"/>
          </w:tcPr>
          <w:p w:rsidR="001F4398" w:rsidRPr="005D28A4" w:rsidRDefault="00DF1AB9" w:rsidP="00DE0B54">
            <w:pPr>
              <w:autoSpaceDE w:val="0"/>
              <w:autoSpaceDN w:val="0"/>
              <w:adjustRightInd w:val="0"/>
              <w:spacing w:before="60" w:after="0"/>
              <w:ind w:left="10" w:hanging="10"/>
              <w:rPr>
                <w:sz w:val="22"/>
                <w:szCs w:val="22"/>
              </w:rPr>
            </w:pPr>
            <w:r>
              <w:rPr>
                <w:sz w:val="22"/>
                <w:szCs w:val="22"/>
              </w:rPr>
              <w:t xml:space="preserve">Commonwealth </w:t>
            </w:r>
            <w:r w:rsidR="001F4398" w:rsidRPr="005D28A4">
              <w:rPr>
                <w:sz w:val="22"/>
                <w:szCs w:val="22"/>
              </w:rPr>
              <w:t>Chief Medical Officer</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Professor Helen Lapsley</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health economics</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Mr Russell McGowan</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consumer health issues</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Professor Julia Potter</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Pr>
                <w:sz w:val="22"/>
                <w:szCs w:val="22"/>
              </w:rPr>
              <w:t>p</w:t>
            </w:r>
            <w:r w:rsidRPr="00254A43">
              <w:rPr>
                <w:sz w:val="22"/>
                <w:szCs w:val="22"/>
              </w:rPr>
              <w:t>athology</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Dr Ian Prosser</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haematology</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Dr Judy Soper</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Pr>
                <w:sz w:val="22"/>
                <w:szCs w:val="22"/>
              </w:rPr>
              <w:t>r</w:t>
            </w:r>
            <w:r w:rsidRPr="00254A43">
              <w:rPr>
                <w:sz w:val="22"/>
                <w:szCs w:val="22"/>
              </w:rPr>
              <w:t>adiology</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Dr Graeme Suthers</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genetics/medical oncology</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Dr Shiong Tan</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general practice</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Professor Ken Thomson</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radiology</w:t>
            </w:r>
          </w:p>
        </w:tc>
      </w:tr>
      <w:tr w:rsidR="001F4398" w:rsidRPr="00254A43">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Professor Andrew Wilson</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public health physician</w:t>
            </w:r>
          </w:p>
        </w:tc>
      </w:tr>
      <w:tr w:rsidR="001F4398" w:rsidRPr="00254A43">
        <w:trPr>
          <w:trHeight w:val="331"/>
        </w:trPr>
        <w:tc>
          <w:tcPr>
            <w:tcW w:w="209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Dr Caroline Wright</w:t>
            </w:r>
          </w:p>
        </w:tc>
        <w:tc>
          <w:tcPr>
            <w:tcW w:w="2905" w:type="pct"/>
            <w:tcBorders>
              <w:top w:val="nil"/>
              <w:left w:val="nil"/>
              <w:bottom w:val="nil"/>
              <w:right w:val="nil"/>
            </w:tcBorders>
            <w:shd w:val="clear" w:color="auto" w:fill="auto"/>
          </w:tcPr>
          <w:p w:rsidR="001F4398" w:rsidRPr="00254A43" w:rsidRDefault="001F4398" w:rsidP="00DE0B54">
            <w:pPr>
              <w:autoSpaceDE w:val="0"/>
              <w:autoSpaceDN w:val="0"/>
              <w:adjustRightInd w:val="0"/>
              <w:spacing w:before="60" w:after="0"/>
              <w:ind w:left="34"/>
              <w:rPr>
                <w:sz w:val="22"/>
                <w:szCs w:val="22"/>
              </w:rPr>
            </w:pPr>
            <w:r w:rsidRPr="00254A43">
              <w:rPr>
                <w:sz w:val="22"/>
                <w:szCs w:val="22"/>
              </w:rPr>
              <w:t>colorectal surgery</w:t>
            </w:r>
          </w:p>
        </w:tc>
      </w:tr>
    </w:tbl>
    <w:p w:rsidR="00234376" w:rsidRPr="00537C3C" w:rsidRDefault="00234376" w:rsidP="008E03A7">
      <w:pPr>
        <w:pStyle w:val="Heading1"/>
        <w:ind w:left="-142"/>
        <w:rPr>
          <w:bCs/>
        </w:rPr>
      </w:pPr>
      <w:bookmarkStart w:id="810" w:name="_Toc95971102"/>
      <w:bookmarkStart w:id="811" w:name="_Toc241658200"/>
      <w:r w:rsidRPr="00537C3C">
        <w:rPr>
          <w:bCs/>
        </w:rPr>
        <w:lastRenderedPageBreak/>
        <w:t xml:space="preserve">Appendix </w:t>
      </w:r>
      <w:r w:rsidRPr="00537C3C">
        <w:rPr>
          <w:bCs/>
        </w:rPr>
        <w:fldChar w:fldCharType="begin"/>
      </w:r>
      <w:r w:rsidRPr="00537C3C">
        <w:rPr>
          <w:bCs/>
        </w:rPr>
        <w:instrText xml:space="preserve"> SEQ Appendix \* ALPHABETIC </w:instrText>
      </w:r>
      <w:r w:rsidRPr="00537C3C">
        <w:rPr>
          <w:bCs/>
        </w:rPr>
        <w:fldChar w:fldCharType="separate"/>
      </w:r>
      <w:r w:rsidR="007D3DFF">
        <w:rPr>
          <w:bCs/>
          <w:noProof/>
        </w:rPr>
        <w:t>B</w:t>
      </w:r>
      <w:r w:rsidRPr="00537C3C">
        <w:rPr>
          <w:bCs/>
        </w:rPr>
        <w:fldChar w:fldCharType="end"/>
      </w:r>
      <w:bookmarkEnd w:id="809"/>
      <w:r w:rsidRPr="00537C3C">
        <w:rPr>
          <w:bCs/>
        </w:rPr>
        <w:tab/>
      </w:r>
      <w:r w:rsidRPr="00537C3C">
        <w:t>Advisory Panel and Health Technology Assessors</w:t>
      </w:r>
      <w:bookmarkEnd w:id="810"/>
      <w:bookmarkEnd w:id="811"/>
    </w:p>
    <w:p w:rsidR="00234376" w:rsidRPr="00C97E47" w:rsidRDefault="00234376" w:rsidP="00C97E47">
      <w:pPr>
        <w:rPr>
          <w:b/>
        </w:rPr>
      </w:pPr>
      <w:bookmarkStart w:id="812" w:name="_Toc95971103"/>
      <w:bookmarkStart w:id="813" w:name="_Toc231895811"/>
      <w:bookmarkStart w:id="814" w:name="_Toc241658201"/>
      <w:r w:rsidRPr="00C97E47">
        <w:rPr>
          <w:b/>
        </w:rPr>
        <w:t>Advisory panel for application 1122: Automation-assisted and liquid-based cytology for cervical cancer screening</w:t>
      </w:r>
      <w:bookmarkEnd w:id="812"/>
      <w:bookmarkEnd w:id="813"/>
      <w:bookmarkEnd w:id="814"/>
    </w:p>
    <w:tbl>
      <w:tblPr>
        <w:tblW w:w="9345" w:type="dxa"/>
        <w:tblLayout w:type="fixed"/>
        <w:tblLook w:val="0000" w:firstRow="0" w:lastRow="0" w:firstColumn="0" w:lastColumn="0" w:noHBand="0" w:noVBand="0"/>
      </w:tblPr>
      <w:tblGrid>
        <w:gridCol w:w="3533"/>
        <w:gridCol w:w="5812"/>
      </w:tblGrid>
      <w:tr w:rsidR="00AC39E0" w:rsidRPr="00537C3C">
        <w:trPr>
          <w:cantSplit/>
        </w:trPr>
        <w:tc>
          <w:tcPr>
            <w:tcW w:w="3533" w:type="dxa"/>
          </w:tcPr>
          <w:p w:rsidR="00AC39E0" w:rsidRPr="00537C3C" w:rsidRDefault="00AC39E0" w:rsidP="008E03A7">
            <w:pPr>
              <w:spacing w:before="120" w:after="40"/>
              <w:ind w:left="709"/>
              <w:rPr>
                <w:b/>
                <w:sz w:val="22"/>
              </w:rPr>
            </w:pPr>
            <w:r>
              <w:rPr>
                <w:b/>
                <w:sz w:val="22"/>
              </w:rPr>
              <w:t>Member</w:t>
            </w:r>
          </w:p>
        </w:tc>
        <w:tc>
          <w:tcPr>
            <w:tcW w:w="5812" w:type="dxa"/>
          </w:tcPr>
          <w:p w:rsidR="00AC39E0" w:rsidRPr="00537C3C" w:rsidRDefault="00AC39E0" w:rsidP="008E03A7">
            <w:pPr>
              <w:spacing w:before="120"/>
              <w:ind w:left="709"/>
              <w:rPr>
                <w:sz w:val="22"/>
              </w:rPr>
            </w:pPr>
            <w:r>
              <w:rPr>
                <w:sz w:val="22"/>
              </w:rPr>
              <w:t>Nomination/Expertise or affiliation</w:t>
            </w:r>
          </w:p>
        </w:tc>
      </w:tr>
      <w:tr w:rsidR="00234376" w:rsidRPr="00537C3C">
        <w:trPr>
          <w:cantSplit/>
        </w:trPr>
        <w:tc>
          <w:tcPr>
            <w:tcW w:w="3533" w:type="dxa"/>
          </w:tcPr>
          <w:p w:rsidR="00234376" w:rsidRPr="00537C3C" w:rsidRDefault="00234376" w:rsidP="008E03A7">
            <w:pPr>
              <w:spacing w:before="120" w:after="40"/>
              <w:ind w:left="709"/>
              <w:rPr>
                <w:b/>
                <w:sz w:val="22"/>
              </w:rPr>
            </w:pPr>
            <w:r w:rsidRPr="00537C3C">
              <w:rPr>
                <w:b/>
                <w:sz w:val="22"/>
              </w:rPr>
              <w:t>Professor Brendon Kearney (Chair)</w:t>
            </w:r>
          </w:p>
          <w:p w:rsidR="00234376" w:rsidRPr="00537C3C" w:rsidRDefault="00234376" w:rsidP="008E03A7">
            <w:pPr>
              <w:spacing w:after="40"/>
              <w:ind w:left="709"/>
              <w:rPr>
                <w:sz w:val="22"/>
              </w:rPr>
            </w:pPr>
          </w:p>
        </w:tc>
        <w:tc>
          <w:tcPr>
            <w:tcW w:w="5812" w:type="dxa"/>
          </w:tcPr>
          <w:p w:rsidR="00234376" w:rsidRPr="00537C3C" w:rsidRDefault="00AC39E0" w:rsidP="00AC39E0">
            <w:pPr>
              <w:spacing w:before="120" w:after="0"/>
              <w:ind w:left="709"/>
              <w:rPr>
                <w:sz w:val="22"/>
              </w:rPr>
            </w:pPr>
            <w:r w:rsidRPr="00537C3C">
              <w:rPr>
                <w:sz w:val="22"/>
              </w:rPr>
              <w:t>Health Administration and Planning</w:t>
            </w:r>
          </w:p>
        </w:tc>
      </w:tr>
      <w:tr w:rsidR="00234376" w:rsidRPr="00537C3C">
        <w:trPr>
          <w:cantSplit/>
        </w:trPr>
        <w:tc>
          <w:tcPr>
            <w:tcW w:w="3533" w:type="dxa"/>
          </w:tcPr>
          <w:p w:rsidR="00234376" w:rsidRPr="00537C3C" w:rsidRDefault="00234376" w:rsidP="008E03A7">
            <w:pPr>
              <w:spacing w:before="120" w:after="40"/>
              <w:ind w:left="709"/>
              <w:rPr>
                <w:b/>
                <w:sz w:val="22"/>
              </w:rPr>
            </w:pPr>
            <w:r w:rsidRPr="00537C3C">
              <w:rPr>
                <w:b/>
                <w:sz w:val="22"/>
              </w:rPr>
              <w:t>A</w:t>
            </w:r>
            <w:r w:rsidR="0008651B">
              <w:rPr>
                <w:b/>
                <w:sz w:val="22"/>
              </w:rPr>
              <w:t xml:space="preserve">ssociate </w:t>
            </w:r>
            <w:r w:rsidRPr="00537C3C">
              <w:rPr>
                <w:b/>
                <w:sz w:val="22"/>
              </w:rPr>
              <w:t>Professor David Allen</w:t>
            </w:r>
          </w:p>
          <w:p w:rsidR="00234376" w:rsidRPr="00537C3C" w:rsidRDefault="00234376" w:rsidP="00B24D12">
            <w:pPr>
              <w:spacing w:before="120" w:after="40"/>
              <w:ind w:left="709"/>
              <w:rPr>
                <w:sz w:val="22"/>
              </w:rPr>
            </w:pPr>
          </w:p>
        </w:tc>
        <w:tc>
          <w:tcPr>
            <w:tcW w:w="5812" w:type="dxa"/>
          </w:tcPr>
          <w:p w:rsidR="00AC39E0" w:rsidRDefault="00234376" w:rsidP="00AC39E0">
            <w:pPr>
              <w:spacing w:before="120" w:after="0"/>
              <w:ind w:left="709"/>
              <w:rPr>
                <w:sz w:val="22"/>
              </w:rPr>
            </w:pPr>
            <w:r w:rsidRPr="00537C3C">
              <w:rPr>
                <w:sz w:val="22"/>
              </w:rPr>
              <w:t>Royal Australian and New Zealand College of Obstetricians and Gynaecologists nominee</w:t>
            </w:r>
            <w:r w:rsidR="00AC39E0" w:rsidRPr="00537C3C">
              <w:rPr>
                <w:sz w:val="22"/>
              </w:rPr>
              <w:t xml:space="preserve"> </w:t>
            </w:r>
          </w:p>
          <w:p w:rsidR="00234376" w:rsidRPr="00537C3C" w:rsidRDefault="00AC39E0" w:rsidP="00AC39E0">
            <w:pPr>
              <w:spacing w:before="120" w:after="0"/>
              <w:ind w:left="709"/>
              <w:rPr>
                <w:sz w:val="22"/>
              </w:rPr>
            </w:pPr>
            <w:r w:rsidRPr="00537C3C">
              <w:rPr>
                <w:sz w:val="22"/>
              </w:rPr>
              <w:t>Gynaecological Oncologist</w:t>
            </w:r>
          </w:p>
        </w:tc>
      </w:tr>
      <w:tr w:rsidR="00234376" w:rsidRPr="00537C3C">
        <w:trPr>
          <w:cantSplit/>
        </w:trPr>
        <w:tc>
          <w:tcPr>
            <w:tcW w:w="3533" w:type="dxa"/>
          </w:tcPr>
          <w:p w:rsidR="00234376" w:rsidRPr="00537C3C" w:rsidRDefault="00234376" w:rsidP="008E03A7">
            <w:pPr>
              <w:spacing w:before="120" w:after="40"/>
              <w:ind w:left="709"/>
              <w:rPr>
                <w:b/>
                <w:sz w:val="22"/>
              </w:rPr>
            </w:pPr>
            <w:r w:rsidRPr="00537C3C">
              <w:rPr>
                <w:b/>
                <w:sz w:val="22"/>
              </w:rPr>
              <w:t>Dr Louise Farrell</w:t>
            </w:r>
          </w:p>
          <w:p w:rsidR="00234376" w:rsidRPr="00537C3C" w:rsidRDefault="00234376" w:rsidP="008E03A7">
            <w:pPr>
              <w:spacing w:after="40"/>
              <w:ind w:left="709"/>
              <w:rPr>
                <w:b/>
                <w:sz w:val="22"/>
              </w:rPr>
            </w:pPr>
          </w:p>
        </w:tc>
        <w:tc>
          <w:tcPr>
            <w:tcW w:w="5812" w:type="dxa"/>
          </w:tcPr>
          <w:p w:rsidR="00234376" w:rsidRPr="00537C3C" w:rsidRDefault="00234376" w:rsidP="00AC39E0">
            <w:pPr>
              <w:spacing w:before="120" w:after="0"/>
              <w:ind w:left="709"/>
              <w:rPr>
                <w:sz w:val="22"/>
              </w:rPr>
            </w:pPr>
            <w:r w:rsidRPr="00537C3C">
              <w:rPr>
                <w:sz w:val="22"/>
              </w:rPr>
              <w:t xml:space="preserve">Royal Australian and New Zealand College of Obstetricians and Gynaecologists nominee </w:t>
            </w:r>
            <w:r w:rsidR="00AC39E0" w:rsidRPr="00537C3C">
              <w:rPr>
                <w:sz w:val="22"/>
              </w:rPr>
              <w:t>Obstetrician &amp; Gynaecologist, special interest in colposcopy</w:t>
            </w:r>
          </w:p>
        </w:tc>
      </w:tr>
      <w:tr w:rsidR="00234376" w:rsidRPr="00537C3C">
        <w:trPr>
          <w:cantSplit/>
        </w:trPr>
        <w:tc>
          <w:tcPr>
            <w:tcW w:w="3533" w:type="dxa"/>
          </w:tcPr>
          <w:p w:rsidR="00234376" w:rsidRPr="00537C3C" w:rsidRDefault="00234376" w:rsidP="008E03A7">
            <w:pPr>
              <w:spacing w:before="120" w:after="40"/>
              <w:ind w:left="709"/>
              <w:rPr>
                <w:b/>
                <w:sz w:val="22"/>
              </w:rPr>
            </w:pPr>
            <w:r w:rsidRPr="00537C3C">
              <w:rPr>
                <w:b/>
                <w:sz w:val="22"/>
              </w:rPr>
              <w:t>Professor Suzanne Garland</w:t>
            </w:r>
          </w:p>
          <w:p w:rsidR="00234376" w:rsidRPr="00537C3C" w:rsidRDefault="00234376" w:rsidP="008E03A7">
            <w:pPr>
              <w:spacing w:after="40"/>
              <w:ind w:left="709"/>
              <w:rPr>
                <w:b/>
                <w:sz w:val="22"/>
              </w:rPr>
            </w:pPr>
          </w:p>
        </w:tc>
        <w:tc>
          <w:tcPr>
            <w:tcW w:w="5812" w:type="dxa"/>
          </w:tcPr>
          <w:p w:rsidR="00234376" w:rsidRPr="00537C3C" w:rsidRDefault="00234376" w:rsidP="00AC39E0">
            <w:pPr>
              <w:spacing w:before="120" w:after="0"/>
              <w:ind w:left="709"/>
              <w:rPr>
                <w:sz w:val="22"/>
              </w:rPr>
            </w:pPr>
            <w:smartTag w:uri="urn:schemas-microsoft-com:office:smarttags" w:element="PlaceName">
              <w:r w:rsidRPr="00537C3C">
                <w:rPr>
                  <w:sz w:val="22"/>
                </w:rPr>
                <w:t>Royal</w:t>
              </w:r>
            </w:smartTag>
            <w:r w:rsidRPr="00537C3C">
              <w:rPr>
                <w:sz w:val="22"/>
              </w:rPr>
              <w:t xml:space="preserve"> </w:t>
            </w:r>
            <w:smartTag w:uri="urn:schemas-microsoft-com:office:smarttags" w:element="PlaceType">
              <w:r w:rsidRPr="00537C3C">
                <w:rPr>
                  <w:sz w:val="22"/>
                </w:rPr>
                <w:t>College</w:t>
              </w:r>
            </w:smartTag>
            <w:r w:rsidRPr="00537C3C">
              <w:rPr>
                <w:sz w:val="22"/>
              </w:rPr>
              <w:t xml:space="preserve"> of </w:t>
            </w:r>
            <w:smartTag w:uri="urn:schemas-microsoft-com:office:smarttags" w:element="PlaceName">
              <w:r w:rsidRPr="00537C3C">
                <w:rPr>
                  <w:sz w:val="22"/>
                </w:rPr>
                <w:t>Pathologists</w:t>
              </w:r>
            </w:smartTag>
            <w:r w:rsidRPr="00537C3C">
              <w:rPr>
                <w:sz w:val="22"/>
              </w:rPr>
              <w:t xml:space="preserve"> of </w:t>
            </w:r>
            <w:smartTag w:uri="urn:schemas-microsoft-com:office:smarttags" w:element="place">
              <w:smartTag w:uri="urn:schemas-microsoft-com:office:smarttags" w:element="country-region">
                <w:r w:rsidRPr="00537C3C">
                  <w:rPr>
                    <w:sz w:val="22"/>
                  </w:rPr>
                  <w:t>Australia</w:t>
                </w:r>
              </w:smartTag>
            </w:smartTag>
            <w:r w:rsidRPr="00537C3C">
              <w:rPr>
                <w:sz w:val="22"/>
              </w:rPr>
              <w:t xml:space="preserve"> nominee</w:t>
            </w:r>
            <w:r w:rsidR="00AC39E0" w:rsidRPr="00537C3C">
              <w:rPr>
                <w:sz w:val="22"/>
              </w:rPr>
              <w:t xml:space="preserve"> Clinical Microbiologist and Sexual Health Physician</w:t>
            </w:r>
          </w:p>
        </w:tc>
      </w:tr>
      <w:tr w:rsidR="00234376" w:rsidRPr="00537C3C">
        <w:trPr>
          <w:cantSplit/>
          <w:trHeight w:val="757"/>
        </w:trPr>
        <w:tc>
          <w:tcPr>
            <w:tcW w:w="3533" w:type="dxa"/>
          </w:tcPr>
          <w:p w:rsidR="00234376" w:rsidRPr="00537C3C" w:rsidRDefault="00234376" w:rsidP="008E03A7">
            <w:pPr>
              <w:spacing w:before="120" w:after="40"/>
              <w:ind w:left="709"/>
              <w:rPr>
                <w:b/>
                <w:sz w:val="22"/>
              </w:rPr>
            </w:pPr>
            <w:r w:rsidRPr="00537C3C">
              <w:rPr>
                <w:b/>
                <w:sz w:val="22"/>
              </w:rPr>
              <w:t>Dr Huw Llewellyn</w:t>
            </w:r>
          </w:p>
          <w:p w:rsidR="00234376" w:rsidRPr="00537C3C" w:rsidRDefault="00234376" w:rsidP="008E03A7">
            <w:pPr>
              <w:spacing w:before="120" w:after="40"/>
              <w:ind w:left="709"/>
              <w:rPr>
                <w:b/>
                <w:sz w:val="22"/>
              </w:rPr>
            </w:pPr>
          </w:p>
        </w:tc>
        <w:tc>
          <w:tcPr>
            <w:tcW w:w="5812" w:type="dxa"/>
          </w:tcPr>
          <w:p w:rsidR="00234376" w:rsidRDefault="00234376" w:rsidP="00DE79DC">
            <w:pPr>
              <w:spacing w:before="120" w:after="0"/>
              <w:ind w:left="709"/>
              <w:rPr>
                <w:sz w:val="22"/>
              </w:rPr>
            </w:pPr>
            <w:smartTag w:uri="urn:schemas-microsoft-com:office:smarttags" w:element="PlaceName">
              <w:r w:rsidRPr="00537C3C">
                <w:rPr>
                  <w:sz w:val="22"/>
                </w:rPr>
                <w:t>Royal</w:t>
              </w:r>
            </w:smartTag>
            <w:r w:rsidRPr="00537C3C">
              <w:rPr>
                <w:sz w:val="22"/>
              </w:rPr>
              <w:t xml:space="preserve"> </w:t>
            </w:r>
            <w:smartTag w:uri="urn:schemas-microsoft-com:office:smarttags" w:element="PlaceType">
              <w:r w:rsidRPr="00537C3C">
                <w:rPr>
                  <w:sz w:val="22"/>
                </w:rPr>
                <w:t>College</w:t>
              </w:r>
            </w:smartTag>
            <w:r w:rsidRPr="00537C3C">
              <w:rPr>
                <w:sz w:val="22"/>
              </w:rPr>
              <w:t xml:space="preserve"> of Pathologists of </w:t>
            </w:r>
            <w:smartTag w:uri="urn:schemas-microsoft-com:office:smarttags" w:element="place">
              <w:smartTag w:uri="urn:schemas-microsoft-com:office:smarttags" w:element="country-region">
                <w:r w:rsidRPr="00537C3C">
                  <w:rPr>
                    <w:sz w:val="22"/>
                  </w:rPr>
                  <w:t>Australia</w:t>
                </w:r>
              </w:smartTag>
            </w:smartTag>
            <w:r w:rsidRPr="00537C3C">
              <w:rPr>
                <w:sz w:val="22"/>
              </w:rPr>
              <w:t xml:space="preserve"> nominee</w:t>
            </w:r>
          </w:p>
          <w:p w:rsidR="00DE79DC" w:rsidRPr="00537C3C" w:rsidRDefault="00DE79DC" w:rsidP="00DE79DC">
            <w:pPr>
              <w:spacing w:before="120" w:after="0"/>
              <w:ind w:left="709"/>
              <w:rPr>
                <w:sz w:val="22"/>
              </w:rPr>
            </w:pPr>
            <w:r w:rsidRPr="00DE79DC">
              <w:rPr>
                <w:sz w:val="22"/>
              </w:rPr>
              <w:t>Population health</w:t>
            </w:r>
          </w:p>
        </w:tc>
      </w:tr>
      <w:tr w:rsidR="00234376" w:rsidRPr="00537C3C">
        <w:trPr>
          <w:cantSplit/>
          <w:trHeight w:val="757"/>
        </w:trPr>
        <w:tc>
          <w:tcPr>
            <w:tcW w:w="3533" w:type="dxa"/>
          </w:tcPr>
          <w:p w:rsidR="00234376" w:rsidRPr="00537C3C" w:rsidRDefault="00234376" w:rsidP="008E03A7">
            <w:pPr>
              <w:spacing w:before="120" w:after="40"/>
              <w:ind w:left="709"/>
              <w:rPr>
                <w:b/>
                <w:sz w:val="22"/>
              </w:rPr>
            </w:pPr>
            <w:r w:rsidRPr="00537C3C">
              <w:rPr>
                <w:b/>
                <w:sz w:val="22"/>
              </w:rPr>
              <w:t>A</w:t>
            </w:r>
            <w:r w:rsidR="0073343B">
              <w:rPr>
                <w:b/>
                <w:sz w:val="22"/>
              </w:rPr>
              <w:t xml:space="preserve">ssociate </w:t>
            </w:r>
            <w:r w:rsidRPr="00537C3C">
              <w:rPr>
                <w:b/>
                <w:sz w:val="22"/>
              </w:rPr>
              <w:t xml:space="preserve">Professor Danielle </w:t>
            </w:r>
            <w:bookmarkStart w:id="815" w:name="OLE_LINK274"/>
            <w:bookmarkStart w:id="816" w:name="OLE_LINK275"/>
            <w:r w:rsidRPr="00537C3C">
              <w:rPr>
                <w:b/>
                <w:sz w:val="22"/>
              </w:rPr>
              <w:t>Mazza</w:t>
            </w:r>
            <w:bookmarkEnd w:id="815"/>
            <w:bookmarkEnd w:id="816"/>
          </w:p>
          <w:p w:rsidR="00234376" w:rsidRPr="00537C3C" w:rsidRDefault="00234376" w:rsidP="008E03A7">
            <w:pPr>
              <w:spacing w:after="40"/>
              <w:ind w:left="709"/>
              <w:rPr>
                <w:b/>
                <w:sz w:val="22"/>
              </w:rPr>
            </w:pPr>
          </w:p>
        </w:tc>
        <w:tc>
          <w:tcPr>
            <w:tcW w:w="5812" w:type="dxa"/>
          </w:tcPr>
          <w:p w:rsidR="00234376" w:rsidRPr="005C6C0E" w:rsidRDefault="00234376" w:rsidP="00DE79DC">
            <w:pPr>
              <w:spacing w:before="120" w:after="0"/>
              <w:ind w:left="709"/>
              <w:rPr>
                <w:sz w:val="22"/>
              </w:rPr>
            </w:pPr>
            <w:smartTag w:uri="urn:schemas-microsoft-com:office:smarttags" w:element="place">
              <w:smartTag w:uri="urn:schemas-microsoft-com:office:smarttags" w:element="PlaceName">
                <w:r w:rsidRPr="005C6C0E">
                  <w:rPr>
                    <w:sz w:val="22"/>
                  </w:rPr>
                  <w:t>Royal</w:t>
                </w:r>
              </w:smartTag>
              <w:r w:rsidRPr="005C6C0E">
                <w:rPr>
                  <w:sz w:val="22"/>
                </w:rPr>
                <w:t xml:space="preserve"> </w:t>
              </w:r>
              <w:smartTag w:uri="urn:schemas-microsoft-com:office:smarttags" w:element="PlaceName">
                <w:r w:rsidRPr="005C6C0E">
                  <w:rPr>
                    <w:sz w:val="22"/>
                  </w:rPr>
                  <w:t>Australian</w:t>
                </w:r>
              </w:smartTag>
              <w:r w:rsidRPr="005C6C0E">
                <w:rPr>
                  <w:sz w:val="22"/>
                </w:rPr>
                <w:t xml:space="preserve"> </w:t>
              </w:r>
              <w:smartTag w:uri="urn:schemas-microsoft-com:office:smarttags" w:element="PlaceType">
                <w:r w:rsidRPr="005C6C0E">
                  <w:rPr>
                    <w:sz w:val="22"/>
                  </w:rPr>
                  <w:t>College</w:t>
                </w:r>
              </w:smartTag>
            </w:smartTag>
            <w:r w:rsidRPr="005C6C0E">
              <w:rPr>
                <w:sz w:val="22"/>
              </w:rPr>
              <w:t xml:space="preserve"> of General Practitioners</w:t>
            </w:r>
          </w:p>
          <w:p w:rsidR="00404298" w:rsidRPr="00537C3C" w:rsidRDefault="00404298" w:rsidP="00DE79DC">
            <w:pPr>
              <w:spacing w:before="120" w:after="0"/>
              <w:ind w:left="709"/>
              <w:rPr>
                <w:sz w:val="22"/>
              </w:rPr>
            </w:pPr>
            <w:r w:rsidRPr="005C6C0E">
              <w:rPr>
                <w:sz w:val="22"/>
              </w:rPr>
              <w:t>General Practice</w:t>
            </w:r>
          </w:p>
        </w:tc>
      </w:tr>
      <w:tr w:rsidR="00234376" w:rsidRPr="00537C3C">
        <w:trPr>
          <w:cantSplit/>
          <w:trHeight w:val="757"/>
        </w:trPr>
        <w:tc>
          <w:tcPr>
            <w:tcW w:w="3533" w:type="dxa"/>
          </w:tcPr>
          <w:p w:rsidR="00234376" w:rsidRPr="00537C3C" w:rsidRDefault="00234376" w:rsidP="008E03A7">
            <w:pPr>
              <w:spacing w:before="120" w:after="40"/>
              <w:ind w:left="709"/>
              <w:rPr>
                <w:b/>
                <w:sz w:val="22"/>
              </w:rPr>
            </w:pPr>
            <w:r w:rsidRPr="00537C3C">
              <w:rPr>
                <w:b/>
                <w:sz w:val="22"/>
              </w:rPr>
              <w:t>Dr Ewa Piejko</w:t>
            </w:r>
          </w:p>
          <w:p w:rsidR="00234376" w:rsidRPr="00537C3C" w:rsidRDefault="00234376" w:rsidP="008E03A7">
            <w:pPr>
              <w:spacing w:before="120" w:after="40"/>
              <w:ind w:left="709"/>
              <w:rPr>
                <w:b/>
                <w:sz w:val="22"/>
              </w:rPr>
            </w:pPr>
          </w:p>
        </w:tc>
        <w:tc>
          <w:tcPr>
            <w:tcW w:w="5812" w:type="dxa"/>
          </w:tcPr>
          <w:p w:rsidR="00234376" w:rsidRPr="00537C3C" w:rsidRDefault="00DE79DC" w:rsidP="00DE79DC">
            <w:pPr>
              <w:spacing w:before="120" w:after="0"/>
              <w:ind w:left="709"/>
              <w:rPr>
                <w:sz w:val="22"/>
              </w:rPr>
            </w:pPr>
            <w:r w:rsidRPr="00537C3C">
              <w:rPr>
                <w:sz w:val="22"/>
              </w:rPr>
              <w:t>General Practice</w:t>
            </w:r>
          </w:p>
        </w:tc>
      </w:tr>
      <w:tr w:rsidR="00234376" w:rsidRPr="00537C3C">
        <w:trPr>
          <w:cantSplit/>
          <w:trHeight w:val="611"/>
        </w:trPr>
        <w:tc>
          <w:tcPr>
            <w:tcW w:w="3533" w:type="dxa"/>
          </w:tcPr>
          <w:p w:rsidR="00234376" w:rsidRPr="00537C3C" w:rsidRDefault="00234376" w:rsidP="008E03A7">
            <w:pPr>
              <w:spacing w:before="120" w:after="40"/>
              <w:ind w:left="709"/>
              <w:rPr>
                <w:b/>
                <w:sz w:val="22"/>
              </w:rPr>
            </w:pPr>
            <w:r w:rsidRPr="00537C3C">
              <w:rPr>
                <w:b/>
                <w:sz w:val="22"/>
              </w:rPr>
              <w:t>A</w:t>
            </w:r>
            <w:r w:rsidR="0073343B">
              <w:rPr>
                <w:b/>
                <w:sz w:val="22"/>
              </w:rPr>
              <w:t>ssociate P</w:t>
            </w:r>
            <w:r w:rsidRPr="00537C3C">
              <w:rPr>
                <w:b/>
                <w:sz w:val="22"/>
              </w:rPr>
              <w:t xml:space="preserve">rofessor Marion </w:t>
            </w:r>
            <w:bookmarkStart w:id="817" w:name="OLE_LINK276"/>
            <w:bookmarkStart w:id="818" w:name="OLE_LINK277"/>
            <w:r w:rsidRPr="00537C3C">
              <w:rPr>
                <w:b/>
                <w:sz w:val="22"/>
              </w:rPr>
              <w:t>Saville</w:t>
            </w:r>
            <w:bookmarkEnd w:id="817"/>
            <w:bookmarkEnd w:id="818"/>
          </w:p>
          <w:p w:rsidR="00234376" w:rsidRPr="00537C3C" w:rsidRDefault="00234376" w:rsidP="008E03A7">
            <w:pPr>
              <w:spacing w:before="120"/>
              <w:ind w:left="709"/>
              <w:rPr>
                <w:b/>
                <w:sz w:val="22"/>
              </w:rPr>
            </w:pPr>
          </w:p>
        </w:tc>
        <w:tc>
          <w:tcPr>
            <w:tcW w:w="5812" w:type="dxa"/>
          </w:tcPr>
          <w:p w:rsidR="00234376" w:rsidRDefault="00234376" w:rsidP="00DE79DC">
            <w:pPr>
              <w:spacing w:before="120" w:after="0"/>
              <w:ind w:left="709"/>
              <w:rPr>
                <w:sz w:val="22"/>
              </w:rPr>
            </w:pPr>
            <w:r w:rsidRPr="00537C3C">
              <w:rPr>
                <w:sz w:val="22"/>
              </w:rPr>
              <w:t>Australian Society of Cytology nominee</w:t>
            </w:r>
            <w:r w:rsidRPr="00DE79DC">
              <w:rPr>
                <w:sz w:val="22"/>
              </w:rPr>
              <w:t xml:space="preserve"> </w:t>
            </w:r>
          </w:p>
          <w:p w:rsidR="00404298" w:rsidRPr="00DE79DC" w:rsidRDefault="00404298" w:rsidP="00DE79DC">
            <w:pPr>
              <w:spacing w:before="120" w:after="0"/>
              <w:ind w:left="709"/>
              <w:rPr>
                <w:sz w:val="22"/>
              </w:rPr>
            </w:pPr>
            <w:r w:rsidRPr="00404298">
              <w:rPr>
                <w:sz w:val="22"/>
              </w:rPr>
              <w:t>Gynaecological pathology</w:t>
            </w:r>
          </w:p>
        </w:tc>
      </w:tr>
      <w:tr w:rsidR="00234376" w:rsidRPr="00537C3C">
        <w:trPr>
          <w:cantSplit/>
          <w:trHeight w:val="611"/>
        </w:trPr>
        <w:tc>
          <w:tcPr>
            <w:tcW w:w="3533" w:type="dxa"/>
          </w:tcPr>
          <w:p w:rsidR="00234376" w:rsidRPr="00537C3C" w:rsidRDefault="00234376" w:rsidP="008E03A7">
            <w:pPr>
              <w:spacing w:before="120" w:after="40"/>
              <w:ind w:left="709"/>
              <w:rPr>
                <w:b/>
                <w:sz w:val="22"/>
              </w:rPr>
            </w:pPr>
            <w:r w:rsidRPr="00537C3C">
              <w:rPr>
                <w:b/>
                <w:sz w:val="22"/>
              </w:rPr>
              <w:t xml:space="preserve">Dr Simon </w:t>
            </w:r>
            <w:bookmarkStart w:id="819" w:name="OLE_LINK278"/>
            <w:bookmarkStart w:id="820" w:name="OLE_LINK279"/>
            <w:r w:rsidRPr="00537C3C">
              <w:rPr>
                <w:b/>
                <w:sz w:val="22"/>
              </w:rPr>
              <w:t>Towler</w:t>
            </w:r>
            <w:bookmarkEnd w:id="819"/>
            <w:bookmarkEnd w:id="820"/>
          </w:p>
          <w:p w:rsidR="00234376" w:rsidRPr="00537C3C" w:rsidRDefault="00234376" w:rsidP="008E03A7">
            <w:pPr>
              <w:spacing w:before="120"/>
              <w:ind w:left="709"/>
              <w:rPr>
                <w:b/>
                <w:sz w:val="22"/>
              </w:rPr>
            </w:pPr>
          </w:p>
        </w:tc>
        <w:tc>
          <w:tcPr>
            <w:tcW w:w="5812" w:type="dxa"/>
          </w:tcPr>
          <w:p w:rsidR="00234376" w:rsidRDefault="00234376" w:rsidP="00DE79DC">
            <w:pPr>
              <w:spacing w:before="120" w:after="0"/>
              <w:ind w:left="709"/>
              <w:rPr>
                <w:sz w:val="22"/>
              </w:rPr>
            </w:pPr>
            <w:r w:rsidRPr="00537C3C">
              <w:rPr>
                <w:sz w:val="22"/>
              </w:rPr>
              <w:t>Co-opted member</w:t>
            </w:r>
            <w:r w:rsidR="001F4398">
              <w:rPr>
                <w:sz w:val="22"/>
              </w:rPr>
              <w:t>/ W.A. Department of Health</w:t>
            </w:r>
          </w:p>
          <w:p w:rsidR="00DE79DC" w:rsidRPr="00537C3C" w:rsidRDefault="00DE79DC" w:rsidP="00DE79DC">
            <w:pPr>
              <w:spacing w:before="120" w:after="0"/>
              <w:ind w:left="709"/>
              <w:rPr>
                <w:sz w:val="22"/>
              </w:rPr>
            </w:pPr>
            <w:r w:rsidRPr="00537C3C">
              <w:rPr>
                <w:sz w:val="22"/>
              </w:rPr>
              <w:t>Health Administration and Planning</w:t>
            </w:r>
            <w:r w:rsidR="00404298">
              <w:rPr>
                <w:sz w:val="22"/>
              </w:rPr>
              <w:t>/Population Health</w:t>
            </w:r>
          </w:p>
        </w:tc>
      </w:tr>
      <w:tr w:rsidR="00234376" w:rsidRPr="00537C3C">
        <w:trPr>
          <w:cantSplit/>
          <w:trHeight w:val="611"/>
        </w:trPr>
        <w:tc>
          <w:tcPr>
            <w:tcW w:w="3533" w:type="dxa"/>
          </w:tcPr>
          <w:p w:rsidR="00234376" w:rsidRPr="00537C3C" w:rsidRDefault="00234376" w:rsidP="008E03A7">
            <w:pPr>
              <w:spacing w:before="120" w:after="40"/>
              <w:ind w:left="709"/>
              <w:rPr>
                <w:b/>
                <w:sz w:val="22"/>
              </w:rPr>
            </w:pPr>
            <w:r w:rsidRPr="00537C3C">
              <w:rPr>
                <w:b/>
                <w:sz w:val="22"/>
              </w:rPr>
              <w:t>Ms Diane Walsh</w:t>
            </w:r>
          </w:p>
          <w:p w:rsidR="00234376" w:rsidRPr="00537C3C" w:rsidRDefault="00234376" w:rsidP="008E03A7">
            <w:pPr>
              <w:spacing w:before="120"/>
              <w:ind w:left="709"/>
              <w:rPr>
                <w:b/>
                <w:sz w:val="22"/>
              </w:rPr>
            </w:pPr>
          </w:p>
        </w:tc>
        <w:tc>
          <w:tcPr>
            <w:tcW w:w="5812" w:type="dxa"/>
          </w:tcPr>
          <w:p w:rsidR="00DE79DC" w:rsidRDefault="00234376" w:rsidP="00DE79DC">
            <w:pPr>
              <w:spacing w:before="120" w:after="0"/>
              <w:ind w:left="709"/>
              <w:rPr>
                <w:sz w:val="22"/>
              </w:rPr>
            </w:pPr>
            <w:r w:rsidRPr="00537C3C">
              <w:rPr>
                <w:sz w:val="22"/>
              </w:rPr>
              <w:t>Consumer Health Forum nominee</w:t>
            </w:r>
            <w:r w:rsidR="00DE79DC" w:rsidRPr="00537C3C">
              <w:rPr>
                <w:sz w:val="22"/>
              </w:rPr>
              <w:t xml:space="preserve"> </w:t>
            </w:r>
          </w:p>
          <w:p w:rsidR="00234376" w:rsidRPr="00537C3C" w:rsidRDefault="00DE79DC" w:rsidP="00DE79DC">
            <w:pPr>
              <w:spacing w:before="120" w:after="0"/>
              <w:ind w:left="709"/>
              <w:rPr>
                <w:sz w:val="22"/>
              </w:rPr>
            </w:pPr>
            <w:r w:rsidRPr="00537C3C">
              <w:rPr>
                <w:sz w:val="22"/>
              </w:rPr>
              <w:t>Consumer Health Issues</w:t>
            </w:r>
          </w:p>
        </w:tc>
      </w:tr>
    </w:tbl>
    <w:p w:rsidR="00234376" w:rsidRPr="00537C3C" w:rsidRDefault="00234376" w:rsidP="008E03A7">
      <w:pPr>
        <w:ind w:left="709"/>
        <w:rPr>
          <w:vanish/>
          <w:color w:val="0000FF"/>
        </w:rPr>
      </w:pPr>
    </w:p>
    <w:p w:rsidR="00234376" w:rsidRPr="00537C3C" w:rsidRDefault="00234376" w:rsidP="008E03A7">
      <w:pPr>
        <w:pStyle w:val="Heading2"/>
      </w:pPr>
      <w:bookmarkStart w:id="821" w:name="_Toc95971104"/>
      <w:bookmarkStart w:id="822" w:name="_Toc231895812"/>
      <w:bookmarkStart w:id="823" w:name="_Toc241658202"/>
      <w:r w:rsidRPr="00537C3C">
        <w:t>Health Technology Assessors</w:t>
      </w:r>
      <w:bookmarkEnd w:id="821"/>
      <w:bookmarkEnd w:id="822"/>
      <w:bookmarkEnd w:id="823"/>
    </w:p>
    <w:tbl>
      <w:tblPr>
        <w:tblW w:w="0" w:type="auto"/>
        <w:tblLook w:val="01E0" w:firstRow="1" w:lastRow="1" w:firstColumn="1" w:lastColumn="1" w:noHBand="0" w:noVBand="0"/>
      </w:tblPr>
      <w:tblGrid>
        <w:gridCol w:w="4644"/>
        <w:gridCol w:w="4325"/>
      </w:tblGrid>
      <w:tr w:rsidR="00234376" w:rsidRPr="00537C3C">
        <w:trPr>
          <w:trHeight w:val="1242"/>
        </w:trPr>
        <w:tc>
          <w:tcPr>
            <w:tcW w:w="4644" w:type="dxa"/>
            <w:tcBorders>
              <w:bottom w:val="nil"/>
            </w:tcBorders>
          </w:tcPr>
          <w:p w:rsidR="00234376" w:rsidRPr="00537C3C" w:rsidRDefault="00234376" w:rsidP="008E03A7">
            <w:pPr>
              <w:spacing w:after="120"/>
              <w:ind w:left="709"/>
              <w:rPr>
                <w:sz w:val="22"/>
              </w:rPr>
            </w:pPr>
            <w:r w:rsidRPr="00537C3C">
              <w:rPr>
                <w:b/>
                <w:sz w:val="22"/>
              </w:rPr>
              <w:t>Dr Suzanne Dyer</w:t>
            </w:r>
            <w:r w:rsidRPr="00537C3C">
              <w:rPr>
                <w:sz w:val="22"/>
              </w:rPr>
              <w:t>, Project Manager</w:t>
            </w:r>
          </w:p>
          <w:p w:rsidR="00234376" w:rsidRPr="00537C3C" w:rsidRDefault="00234376" w:rsidP="008E03A7">
            <w:pPr>
              <w:spacing w:after="120"/>
              <w:ind w:left="709"/>
              <w:rPr>
                <w:sz w:val="22"/>
              </w:rPr>
            </w:pPr>
            <w:r w:rsidRPr="00537C3C">
              <w:rPr>
                <w:b/>
                <w:sz w:val="22"/>
              </w:rPr>
              <w:t xml:space="preserve">Dr </w:t>
            </w:r>
            <w:smartTag w:uri="urn:schemas-microsoft-com:office:smarttags" w:element="PersonName">
              <w:r w:rsidRPr="00537C3C">
                <w:rPr>
                  <w:b/>
                  <w:sz w:val="22"/>
                </w:rPr>
                <w:t>Sally Lord</w:t>
              </w:r>
            </w:smartTag>
            <w:r w:rsidRPr="00537C3C">
              <w:rPr>
                <w:b/>
                <w:sz w:val="22"/>
              </w:rPr>
              <w:t xml:space="preserve">, </w:t>
            </w:r>
            <w:r w:rsidRPr="00537C3C">
              <w:rPr>
                <w:sz w:val="22"/>
              </w:rPr>
              <w:t>Epidemiologist</w:t>
            </w:r>
          </w:p>
          <w:p w:rsidR="00234376" w:rsidRDefault="00234376" w:rsidP="00E0071D">
            <w:pPr>
              <w:spacing w:after="120"/>
              <w:ind w:left="709"/>
              <w:rPr>
                <w:sz w:val="22"/>
              </w:rPr>
            </w:pPr>
            <w:r w:rsidRPr="00537C3C">
              <w:rPr>
                <w:b/>
                <w:sz w:val="22"/>
              </w:rPr>
              <w:t xml:space="preserve">Ms Sally </w:t>
            </w:r>
            <w:bookmarkStart w:id="824" w:name="OLE_LINK280"/>
            <w:bookmarkStart w:id="825" w:name="OLE_LINK281"/>
            <w:r w:rsidRPr="00537C3C">
              <w:rPr>
                <w:b/>
                <w:sz w:val="22"/>
              </w:rPr>
              <w:t>Wortley</w:t>
            </w:r>
            <w:bookmarkEnd w:id="824"/>
            <w:bookmarkEnd w:id="825"/>
            <w:r w:rsidRPr="00537C3C">
              <w:rPr>
                <w:sz w:val="22"/>
              </w:rPr>
              <w:t>, Project Officer</w:t>
            </w:r>
          </w:p>
          <w:p w:rsidR="00E0071D" w:rsidRPr="00537C3C" w:rsidRDefault="00E0071D" w:rsidP="00E0071D">
            <w:pPr>
              <w:spacing w:after="120"/>
              <w:ind w:left="709"/>
              <w:rPr>
                <w:sz w:val="22"/>
              </w:rPr>
            </w:pPr>
          </w:p>
        </w:tc>
        <w:tc>
          <w:tcPr>
            <w:tcW w:w="4325" w:type="dxa"/>
          </w:tcPr>
          <w:p w:rsidR="00234376" w:rsidRPr="00537C3C" w:rsidRDefault="00234376" w:rsidP="008E03A7">
            <w:pPr>
              <w:ind w:left="709"/>
              <w:rPr>
                <w:sz w:val="22"/>
              </w:rPr>
            </w:pPr>
            <w:r w:rsidRPr="00BB76D8">
              <w:rPr>
                <w:sz w:val="22"/>
              </w:rPr>
              <w:t>NHMRC</w:t>
            </w:r>
            <w:r w:rsidRPr="00537C3C">
              <w:rPr>
                <w:sz w:val="22"/>
              </w:rPr>
              <w:t xml:space="preserve"> Clinical Trials Centre, </w:t>
            </w:r>
            <w:smartTag w:uri="urn:schemas-microsoft-com:office:smarttags" w:element="place">
              <w:smartTag w:uri="urn:schemas-microsoft-com:office:smarttags" w:element="PlaceType">
                <w:r w:rsidRPr="00537C3C">
                  <w:rPr>
                    <w:sz w:val="22"/>
                  </w:rPr>
                  <w:t>University</w:t>
                </w:r>
              </w:smartTag>
              <w:r w:rsidRPr="00537C3C">
                <w:rPr>
                  <w:sz w:val="22"/>
                </w:rPr>
                <w:t xml:space="preserve"> of </w:t>
              </w:r>
              <w:smartTag w:uri="urn:schemas-microsoft-com:office:smarttags" w:element="PlaceName">
                <w:r w:rsidRPr="00537C3C">
                  <w:rPr>
                    <w:sz w:val="22"/>
                  </w:rPr>
                  <w:t>Sydney</w:t>
                </w:r>
              </w:smartTag>
            </w:smartTag>
          </w:p>
          <w:p w:rsidR="00234376" w:rsidRPr="00537C3C" w:rsidRDefault="00234376" w:rsidP="008E03A7">
            <w:pPr>
              <w:ind w:left="709"/>
              <w:rPr>
                <w:b/>
                <w:sz w:val="22"/>
              </w:rPr>
            </w:pPr>
          </w:p>
        </w:tc>
      </w:tr>
      <w:tr w:rsidR="00E0071D" w:rsidRPr="00537C3C">
        <w:trPr>
          <w:trHeight w:val="1242"/>
        </w:trPr>
        <w:tc>
          <w:tcPr>
            <w:tcW w:w="4644" w:type="dxa"/>
            <w:tcBorders>
              <w:bottom w:val="nil"/>
            </w:tcBorders>
          </w:tcPr>
          <w:p w:rsidR="00E0071D" w:rsidRPr="00E0071D" w:rsidRDefault="00E0071D" w:rsidP="00E0071D">
            <w:pPr>
              <w:spacing w:after="120"/>
              <w:ind w:left="709"/>
              <w:rPr>
                <w:sz w:val="22"/>
              </w:rPr>
            </w:pPr>
            <w:r w:rsidRPr="00537C3C">
              <w:rPr>
                <w:b/>
                <w:sz w:val="22"/>
              </w:rPr>
              <w:t xml:space="preserve">Dr Kirsten Howard, </w:t>
            </w:r>
            <w:r w:rsidRPr="00537C3C">
              <w:rPr>
                <w:sz w:val="22"/>
              </w:rPr>
              <w:t>Health Economist</w:t>
            </w:r>
          </w:p>
        </w:tc>
        <w:tc>
          <w:tcPr>
            <w:tcW w:w="4325" w:type="dxa"/>
          </w:tcPr>
          <w:p w:rsidR="00E0071D" w:rsidRPr="00BB76D8" w:rsidRDefault="00E0071D" w:rsidP="008E03A7">
            <w:pPr>
              <w:ind w:left="709"/>
              <w:rPr>
                <w:sz w:val="22"/>
              </w:rPr>
            </w:pPr>
            <w:r w:rsidRPr="00537C3C">
              <w:rPr>
                <w:sz w:val="22"/>
              </w:rPr>
              <w:t xml:space="preserve">Screening and Test Evaluation Program, </w:t>
            </w:r>
            <w:smartTag w:uri="urn:schemas-microsoft-com:office:smarttags" w:element="place">
              <w:smartTag w:uri="urn:schemas-microsoft-com:office:smarttags" w:element="PlaceType">
                <w:r w:rsidRPr="00537C3C">
                  <w:rPr>
                    <w:sz w:val="22"/>
                  </w:rPr>
                  <w:t>University</w:t>
                </w:r>
              </w:smartTag>
              <w:r w:rsidRPr="00537C3C">
                <w:rPr>
                  <w:sz w:val="22"/>
                </w:rPr>
                <w:t xml:space="preserve"> of </w:t>
              </w:r>
              <w:smartTag w:uri="urn:schemas-microsoft-com:office:smarttags" w:element="PlaceName">
                <w:r w:rsidRPr="00537C3C">
                  <w:rPr>
                    <w:sz w:val="22"/>
                  </w:rPr>
                  <w:t>Sydney</w:t>
                </w:r>
              </w:smartTag>
            </w:smartTag>
          </w:p>
        </w:tc>
      </w:tr>
      <w:tr w:rsidR="00234376" w:rsidRPr="00537C3C">
        <w:trPr>
          <w:trHeight w:val="755"/>
        </w:trPr>
        <w:tc>
          <w:tcPr>
            <w:tcW w:w="4644" w:type="dxa"/>
          </w:tcPr>
          <w:p w:rsidR="00234376" w:rsidRPr="00537C3C" w:rsidRDefault="00234376" w:rsidP="008E03A7">
            <w:pPr>
              <w:spacing w:after="120"/>
              <w:ind w:left="709"/>
              <w:rPr>
                <w:sz w:val="22"/>
              </w:rPr>
            </w:pPr>
            <w:r w:rsidRPr="00537C3C">
              <w:rPr>
                <w:b/>
                <w:sz w:val="22"/>
              </w:rPr>
              <w:t xml:space="preserve">Dr </w:t>
            </w:r>
            <w:smartTag w:uri="urn:schemas-microsoft-com:office:smarttags" w:element="PersonName">
              <w:r w:rsidRPr="00537C3C">
                <w:rPr>
                  <w:b/>
                  <w:sz w:val="22"/>
                </w:rPr>
                <w:t>Karen Canfell</w:t>
              </w:r>
            </w:smartTag>
            <w:r w:rsidRPr="00537C3C">
              <w:rPr>
                <w:b/>
                <w:sz w:val="22"/>
              </w:rPr>
              <w:t xml:space="preserve">, </w:t>
            </w:r>
            <w:r w:rsidRPr="00537C3C">
              <w:rPr>
                <w:sz w:val="22"/>
              </w:rPr>
              <w:t>Research Fellow</w:t>
            </w:r>
          </w:p>
          <w:p w:rsidR="00234376" w:rsidRPr="00537C3C" w:rsidRDefault="00234376" w:rsidP="008E03A7">
            <w:pPr>
              <w:spacing w:after="120"/>
              <w:ind w:left="709"/>
              <w:rPr>
                <w:sz w:val="22"/>
              </w:rPr>
            </w:pPr>
            <w:r w:rsidRPr="00537C3C">
              <w:rPr>
                <w:b/>
                <w:sz w:val="22"/>
              </w:rPr>
              <w:t xml:space="preserve">Ms </w:t>
            </w:r>
            <w:smartTag w:uri="urn:schemas-microsoft-com:office:smarttags" w:element="PersonName">
              <w:r w:rsidRPr="00537C3C">
                <w:rPr>
                  <w:b/>
                  <w:sz w:val="22"/>
                </w:rPr>
                <w:t>Megan Smith</w:t>
              </w:r>
            </w:smartTag>
            <w:r w:rsidRPr="00537C3C">
              <w:rPr>
                <w:b/>
                <w:sz w:val="22"/>
              </w:rPr>
              <w:t xml:space="preserve">, </w:t>
            </w:r>
            <w:r w:rsidRPr="00537C3C">
              <w:rPr>
                <w:sz w:val="22"/>
              </w:rPr>
              <w:t>Program Manager</w:t>
            </w:r>
          </w:p>
          <w:p w:rsidR="00234376" w:rsidRPr="00537C3C" w:rsidRDefault="00234376" w:rsidP="008E03A7">
            <w:pPr>
              <w:spacing w:after="120"/>
              <w:ind w:left="709"/>
              <w:rPr>
                <w:sz w:val="22"/>
              </w:rPr>
            </w:pPr>
            <w:r w:rsidRPr="00537C3C">
              <w:rPr>
                <w:b/>
                <w:sz w:val="22"/>
              </w:rPr>
              <w:t xml:space="preserve">Ms </w:t>
            </w:r>
            <w:bookmarkStart w:id="826" w:name="OLE_LINK282"/>
            <w:bookmarkStart w:id="827" w:name="OLE_LINK283"/>
            <w:smartTag w:uri="urn:schemas-microsoft-com:office:smarttags" w:element="PersonName">
              <w:r w:rsidRPr="00537C3C">
                <w:rPr>
                  <w:b/>
                  <w:sz w:val="22"/>
                </w:rPr>
                <w:t xml:space="preserve">Jie </w:t>
              </w:r>
              <w:bookmarkEnd w:id="826"/>
              <w:bookmarkEnd w:id="827"/>
              <w:r w:rsidRPr="00537C3C">
                <w:rPr>
                  <w:b/>
                  <w:sz w:val="22"/>
                </w:rPr>
                <w:t>Bin Lew</w:t>
              </w:r>
            </w:smartTag>
            <w:r w:rsidRPr="00537C3C">
              <w:rPr>
                <w:sz w:val="22"/>
              </w:rPr>
              <w:t>, Senior Research Programmer</w:t>
            </w:r>
          </w:p>
          <w:p w:rsidR="00234376" w:rsidRPr="00537C3C" w:rsidRDefault="00234376" w:rsidP="008E03A7">
            <w:pPr>
              <w:spacing w:after="120"/>
              <w:ind w:left="709"/>
              <w:rPr>
                <w:sz w:val="22"/>
              </w:rPr>
            </w:pPr>
            <w:r w:rsidRPr="00537C3C">
              <w:rPr>
                <w:b/>
                <w:sz w:val="22"/>
              </w:rPr>
              <w:t>Ms Prudence Creighton</w:t>
            </w:r>
            <w:r w:rsidRPr="00537C3C">
              <w:rPr>
                <w:sz w:val="22"/>
              </w:rPr>
              <w:t>, Research Programmer</w:t>
            </w:r>
          </w:p>
          <w:p w:rsidR="00234376" w:rsidRPr="00537C3C" w:rsidRDefault="00234376" w:rsidP="008E03A7">
            <w:pPr>
              <w:spacing w:after="120"/>
              <w:ind w:left="709"/>
              <w:rPr>
                <w:sz w:val="22"/>
              </w:rPr>
            </w:pPr>
            <w:r w:rsidRPr="00537C3C">
              <w:rPr>
                <w:b/>
                <w:sz w:val="22"/>
              </w:rPr>
              <w:t>Ms Yoon Jung Kang</w:t>
            </w:r>
            <w:r w:rsidRPr="00537C3C">
              <w:rPr>
                <w:sz w:val="22"/>
              </w:rPr>
              <w:t>, PhD student</w:t>
            </w:r>
          </w:p>
          <w:p w:rsidR="00234376" w:rsidRPr="00537C3C" w:rsidRDefault="00234376" w:rsidP="008E03A7">
            <w:pPr>
              <w:spacing w:after="120"/>
              <w:ind w:left="709"/>
              <w:rPr>
                <w:sz w:val="22"/>
              </w:rPr>
            </w:pPr>
          </w:p>
        </w:tc>
        <w:tc>
          <w:tcPr>
            <w:tcW w:w="4325" w:type="dxa"/>
          </w:tcPr>
          <w:p w:rsidR="00234376" w:rsidRPr="00537C3C" w:rsidRDefault="00234376" w:rsidP="008E03A7">
            <w:pPr>
              <w:ind w:left="709"/>
              <w:rPr>
                <w:sz w:val="22"/>
              </w:rPr>
            </w:pPr>
            <w:r w:rsidRPr="00537C3C">
              <w:rPr>
                <w:sz w:val="22"/>
              </w:rPr>
              <w:t xml:space="preserve">Cancer Epidemiology Research Unit, Cancer Council </w:t>
            </w:r>
            <w:r w:rsidRPr="00BB76D8">
              <w:rPr>
                <w:sz w:val="22"/>
              </w:rPr>
              <w:t>NSW</w:t>
            </w:r>
          </w:p>
        </w:tc>
      </w:tr>
      <w:tr w:rsidR="00234376" w:rsidRPr="00537C3C">
        <w:trPr>
          <w:trHeight w:val="755"/>
        </w:trPr>
        <w:tc>
          <w:tcPr>
            <w:tcW w:w="4644" w:type="dxa"/>
          </w:tcPr>
          <w:p w:rsidR="00234376" w:rsidRPr="00537C3C" w:rsidRDefault="00234376" w:rsidP="008E03A7">
            <w:pPr>
              <w:spacing w:after="120"/>
              <w:ind w:left="709"/>
              <w:rPr>
                <w:b/>
                <w:sz w:val="22"/>
              </w:rPr>
            </w:pPr>
            <w:r w:rsidRPr="00537C3C">
              <w:rPr>
                <w:b/>
                <w:sz w:val="22"/>
              </w:rPr>
              <w:t xml:space="preserve">Dr Mark Clements, </w:t>
            </w:r>
            <w:r w:rsidRPr="00537C3C">
              <w:rPr>
                <w:sz w:val="22"/>
              </w:rPr>
              <w:t>Research Fellow</w:t>
            </w:r>
          </w:p>
        </w:tc>
        <w:tc>
          <w:tcPr>
            <w:tcW w:w="4325" w:type="dxa"/>
          </w:tcPr>
          <w:p w:rsidR="00234376" w:rsidRPr="00537C3C" w:rsidRDefault="00234376" w:rsidP="008E03A7">
            <w:pPr>
              <w:ind w:left="709"/>
              <w:rPr>
                <w:sz w:val="22"/>
              </w:rPr>
            </w:pPr>
            <w:r w:rsidRPr="00537C3C">
              <w:rPr>
                <w:sz w:val="22"/>
              </w:rPr>
              <w:t xml:space="preserve">National Centre for Epidemiology and Population Health, </w:t>
            </w:r>
            <w:smartTag w:uri="urn:schemas-microsoft-com:office:smarttags" w:element="place">
              <w:smartTag w:uri="urn:schemas-microsoft-com:office:smarttags" w:element="PlaceName">
                <w:r w:rsidRPr="00537C3C">
                  <w:rPr>
                    <w:sz w:val="22"/>
                  </w:rPr>
                  <w:t>Australian</w:t>
                </w:r>
              </w:smartTag>
              <w:r w:rsidRPr="00537C3C">
                <w:rPr>
                  <w:sz w:val="22"/>
                </w:rPr>
                <w:t xml:space="preserve"> </w:t>
              </w:r>
              <w:smartTag w:uri="urn:schemas-microsoft-com:office:smarttags" w:element="PlaceName">
                <w:r w:rsidRPr="00537C3C">
                  <w:rPr>
                    <w:sz w:val="22"/>
                  </w:rPr>
                  <w:t>National</w:t>
                </w:r>
              </w:smartTag>
              <w:r w:rsidRPr="00537C3C">
                <w:rPr>
                  <w:sz w:val="22"/>
                </w:rPr>
                <w:t xml:space="preserve"> </w:t>
              </w:r>
              <w:smartTag w:uri="urn:schemas-microsoft-com:office:smarttags" w:element="PlaceType">
                <w:r w:rsidRPr="00537C3C">
                  <w:rPr>
                    <w:sz w:val="22"/>
                  </w:rPr>
                  <w:t>University</w:t>
                </w:r>
              </w:smartTag>
            </w:smartTag>
          </w:p>
        </w:tc>
      </w:tr>
    </w:tbl>
    <w:p w:rsidR="00234376" w:rsidRPr="00537C3C" w:rsidRDefault="00234376" w:rsidP="008E03A7"/>
    <w:p w:rsidR="00234376" w:rsidRPr="00537C3C" w:rsidRDefault="00234376" w:rsidP="008E03A7">
      <w:pPr>
        <w:pStyle w:val="Heading1"/>
        <w:ind w:left="-142"/>
        <w:rPr>
          <w:bCs/>
        </w:rPr>
      </w:pPr>
      <w:bookmarkStart w:id="828" w:name="_Toc95971105"/>
      <w:bookmarkStart w:id="829" w:name="_Toc241658203"/>
      <w:r w:rsidRPr="00537C3C">
        <w:rPr>
          <w:bCs/>
        </w:rPr>
        <w:lastRenderedPageBreak/>
        <w:t xml:space="preserve">Appendix </w:t>
      </w:r>
      <w:r w:rsidRPr="00537C3C">
        <w:rPr>
          <w:bCs/>
        </w:rPr>
        <w:fldChar w:fldCharType="begin"/>
      </w:r>
      <w:r w:rsidRPr="00537C3C">
        <w:rPr>
          <w:bCs/>
        </w:rPr>
        <w:instrText xml:space="preserve"> SEQ Appendix \* ALPHABETIC </w:instrText>
      </w:r>
      <w:r w:rsidRPr="00537C3C">
        <w:rPr>
          <w:bCs/>
        </w:rPr>
        <w:fldChar w:fldCharType="separate"/>
      </w:r>
      <w:r w:rsidR="007D3DFF">
        <w:rPr>
          <w:bCs/>
          <w:noProof/>
        </w:rPr>
        <w:t>C</w:t>
      </w:r>
      <w:r w:rsidRPr="00537C3C">
        <w:rPr>
          <w:bCs/>
        </w:rPr>
        <w:fldChar w:fldCharType="end"/>
      </w:r>
      <w:r w:rsidRPr="00537C3C">
        <w:rPr>
          <w:bCs/>
        </w:rPr>
        <w:tab/>
      </w:r>
      <w:r w:rsidRPr="00BB76D8">
        <w:t>FIGO</w:t>
      </w:r>
      <w:r w:rsidRPr="00537C3C">
        <w:t xml:space="preserve"> Staging of cervical cancer</w:t>
      </w:r>
      <w:bookmarkEnd w:id="828"/>
      <w:bookmarkEnd w:id="829"/>
    </w:p>
    <w:p w:rsidR="00234376" w:rsidRPr="00DE79DC" w:rsidRDefault="00234376" w:rsidP="008E03A7">
      <w:pPr>
        <w:ind w:left="142"/>
      </w:pPr>
      <w:r w:rsidRPr="00DE79DC">
        <w:t>The Federation Internationale de Gynecologie et d’Obstetrique (FIGO) classification system for staging cervical cancer:</w:t>
      </w:r>
    </w:p>
    <w:tbl>
      <w:tblPr>
        <w:tblW w:w="0" w:type="auto"/>
        <w:jc w:val="right"/>
        <w:tblLayout w:type="fixed"/>
        <w:tblLook w:val="01E0" w:firstRow="1" w:lastRow="1" w:firstColumn="1" w:lastColumn="1" w:noHBand="0" w:noVBand="0"/>
      </w:tblPr>
      <w:tblGrid>
        <w:gridCol w:w="284"/>
        <w:gridCol w:w="8188"/>
      </w:tblGrid>
      <w:tr w:rsidR="00234376" w:rsidRPr="00DE79DC">
        <w:trPr>
          <w:jc w:val="right"/>
        </w:trPr>
        <w:tc>
          <w:tcPr>
            <w:tcW w:w="8472" w:type="dxa"/>
            <w:gridSpan w:val="2"/>
            <w:tcBorders>
              <w:top w:val="single" w:sz="4" w:space="0" w:color="auto"/>
            </w:tcBorders>
          </w:tcPr>
          <w:p w:rsidR="00234376" w:rsidRPr="00DE79DC" w:rsidRDefault="00234376" w:rsidP="008E03A7">
            <w:pPr>
              <w:pStyle w:val="TableTextLessSpaceCharCharCharCharCharCharCharChar"/>
              <w:rPr>
                <w:b/>
              </w:rPr>
            </w:pPr>
            <w:r w:rsidRPr="00DE79DC">
              <w:rPr>
                <w:b/>
              </w:rPr>
              <w:t>Stage I</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Stage I is carcinoma strictly confined to the cervix; extension to the uterine corpus should be disregarded. The diagnosis of both Stages IA1 and IA2 should be based on microscopic examination of removed tissue, preferably a cone, which must include the entire lesion.</w:t>
            </w:r>
          </w:p>
        </w:tc>
      </w:tr>
      <w:tr w:rsidR="00234376" w:rsidRPr="00DE79DC">
        <w:trPr>
          <w:jc w:val="right"/>
        </w:trPr>
        <w:tc>
          <w:tcPr>
            <w:tcW w:w="284" w:type="dxa"/>
            <w:tcBorders>
              <w:bottom w:val="single" w:sz="4" w:space="0" w:color="auto"/>
            </w:tcBorders>
          </w:tcPr>
          <w:p w:rsidR="00234376" w:rsidRPr="00DE79DC" w:rsidRDefault="00234376" w:rsidP="008E03A7">
            <w:pPr>
              <w:pStyle w:val="TableText0"/>
            </w:pPr>
          </w:p>
        </w:tc>
        <w:tc>
          <w:tcPr>
            <w:tcW w:w="8188" w:type="dxa"/>
            <w:tcBorders>
              <w:bottom w:val="single" w:sz="4" w:space="0" w:color="auto"/>
            </w:tcBorders>
          </w:tcPr>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 xml:space="preserve">Stage IA: Invasive cancer identified only microscopically. Invasion is limited to measured stromal invasion with a maximum depth of </w:t>
            </w:r>
            <w:smartTag w:uri="urn:schemas-microsoft-com:office:smarttags" w:element="metricconverter">
              <w:smartTagPr>
                <w:attr w:name="ProductID" w:val="5 mm"/>
              </w:smartTagPr>
              <w:r w:rsidRPr="00DE79DC">
                <w:rPr>
                  <w:rFonts w:ascii="Arial Narrow" w:eastAsia="Arial Unicode MS" w:hAnsi="Arial Narrow"/>
                  <w:lang w:eastAsia="en-AU"/>
                </w:rPr>
                <w:t>5 mm</w:t>
              </w:r>
            </w:smartTag>
            <w:r w:rsidRPr="00DE79DC">
              <w:rPr>
                <w:rFonts w:ascii="Arial Narrow" w:eastAsia="Arial Unicode MS" w:hAnsi="Arial Narrow"/>
                <w:lang w:eastAsia="en-AU"/>
              </w:rPr>
              <w:t xml:space="preserve"> and no wider than </w:t>
            </w:r>
            <w:smartTag w:uri="urn:schemas-microsoft-com:office:smarttags" w:element="metricconverter">
              <w:smartTagPr>
                <w:attr w:name="ProductID" w:val="7 mm"/>
              </w:smartTagPr>
              <w:r w:rsidRPr="00DE79DC">
                <w:rPr>
                  <w:rFonts w:ascii="Arial Narrow" w:eastAsia="Arial Unicode MS" w:hAnsi="Arial Narrow"/>
                  <w:lang w:eastAsia="en-AU"/>
                </w:rPr>
                <w:t>7 mm</w:t>
              </w:r>
            </w:smartTag>
            <w:r w:rsidRPr="00DE79DC">
              <w:rPr>
                <w:rFonts w:ascii="Arial Narrow" w:eastAsia="Arial Unicode MS" w:hAnsi="Arial Narrow"/>
                <w:lang w:eastAsia="en-AU"/>
              </w:rPr>
              <w:t>.</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 xml:space="preserve">Stage IA1: Measured invasion of the stroma no greater than </w:t>
            </w:r>
            <w:smartTag w:uri="urn:schemas-microsoft-com:office:smarttags" w:element="metricconverter">
              <w:smartTagPr>
                <w:attr w:name="ProductID" w:val="3 mm"/>
              </w:smartTagPr>
              <w:r w:rsidRPr="00DE79DC">
                <w:rPr>
                  <w:rFonts w:ascii="Arial Narrow" w:eastAsia="Arial Unicode MS" w:hAnsi="Arial Narrow"/>
                  <w:lang w:eastAsia="en-AU"/>
                </w:rPr>
                <w:t>3 mm</w:t>
              </w:r>
            </w:smartTag>
            <w:r w:rsidRPr="00DE79DC">
              <w:rPr>
                <w:rFonts w:ascii="Arial Narrow" w:eastAsia="Arial Unicode MS" w:hAnsi="Arial Narrow"/>
                <w:lang w:eastAsia="en-AU"/>
              </w:rPr>
              <w:t xml:space="preserve"> in depth and no wider than </w:t>
            </w:r>
            <w:smartTag w:uri="urn:schemas-microsoft-com:office:smarttags" w:element="metricconverter">
              <w:smartTagPr>
                <w:attr w:name="ProductID" w:val="7 mm"/>
              </w:smartTagPr>
              <w:r w:rsidRPr="00DE79DC">
                <w:rPr>
                  <w:rFonts w:ascii="Arial Narrow" w:eastAsia="Arial Unicode MS" w:hAnsi="Arial Narrow"/>
                  <w:lang w:eastAsia="en-AU"/>
                </w:rPr>
                <w:t>7 mm</w:t>
              </w:r>
            </w:smartTag>
            <w:r w:rsidRPr="00DE79DC">
              <w:rPr>
                <w:rFonts w:ascii="Arial Narrow" w:eastAsia="Arial Unicode MS" w:hAnsi="Arial Narrow"/>
                <w:lang w:eastAsia="en-AU"/>
              </w:rPr>
              <w:t xml:space="preserve"> diameter.</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 xml:space="preserve">Stage IA2: Measured invasion of stroma greater than </w:t>
            </w:r>
            <w:smartTag w:uri="urn:schemas-microsoft-com:office:smarttags" w:element="metricconverter">
              <w:smartTagPr>
                <w:attr w:name="ProductID" w:val="3 mm"/>
              </w:smartTagPr>
              <w:r w:rsidRPr="00DE79DC">
                <w:rPr>
                  <w:rFonts w:ascii="Arial Narrow" w:eastAsia="Arial Unicode MS" w:hAnsi="Arial Narrow"/>
                  <w:lang w:eastAsia="en-AU"/>
                </w:rPr>
                <w:t>3 mm</w:t>
              </w:r>
            </w:smartTag>
            <w:r w:rsidRPr="00DE79DC">
              <w:rPr>
                <w:rFonts w:ascii="Arial Narrow" w:eastAsia="Arial Unicode MS" w:hAnsi="Arial Narrow"/>
                <w:lang w:eastAsia="en-AU"/>
              </w:rPr>
              <w:t xml:space="preserve"> but no greater than </w:t>
            </w:r>
            <w:smartTag w:uri="urn:schemas-microsoft-com:office:smarttags" w:element="metricconverter">
              <w:smartTagPr>
                <w:attr w:name="ProductID" w:val="5 mm"/>
              </w:smartTagPr>
              <w:r w:rsidRPr="00DE79DC">
                <w:rPr>
                  <w:rFonts w:ascii="Arial Narrow" w:eastAsia="Arial Unicode MS" w:hAnsi="Arial Narrow"/>
                  <w:lang w:eastAsia="en-AU"/>
                </w:rPr>
                <w:t>5 mm</w:t>
              </w:r>
            </w:smartTag>
            <w:r w:rsidRPr="00DE79DC">
              <w:rPr>
                <w:rFonts w:ascii="Arial Narrow" w:eastAsia="Arial Unicode MS" w:hAnsi="Arial Narrow"/>
                <w:lang w:eastAsia="en-AU"/>
              </w:rPr>
              <w:t xml:space="preserve"> in depth and no wider than </w:t>
            </w:r>
            <w:smartTag w:uri="urn:schemas-microsoft-com:office:smarttags" w:element="metricconverter">
              <w:smartTagPr>
                <w:attr w:name="ProductID" w:val="7 mm"/>
              </w:smartTagPr>
              <w:r w:rsidRPr="00DE79DC">
                <w:rPr>
                  <w:rFonts w:ascii="Arial Narrow" w:eastAsia="Arial Unicode MS" w:hAnsi="Arial Narrow"/>
                  <w:lang w:eastAsia="en-AU"/>
                </w:rPr>
                <w:t>7 mm</w:t>
              </w:r>
            </w:smartTag>
            <w:r w:rsidRPr="00DE79DC">
              <w:rPr>
                <w:rFonts w:ascii="Arial Narrow" w:eastAsia="Arial Unicode MS" w:hAnsi="Arial Narrow"/>
                <w:lang w:eastAsia="en-AU"/>
              </w:rPr>
              <w:t xml:space="preserve"> in diameter.</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Stage IB: Clinical lesions confined to the cervix or preclinical lesions greater than Stage IA. All gross lesions even with superficial invasion are Stage IB cancers.</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 xml:space="preserve">Stage IB1: Clinical lesions no greater than </w:t>
            </w:r>
            <w:smartTag w:uri="urn:schemas-microsoft-com:office:smarttags" w:element="metricconverter">
              <w:smartTagPr>
                <w:attr w:name="ProductID" w:val="4 cm"/>
              </w:smartTagPr>
              <w:r w:rsidRPr="00DE79DC">
                <w:rPr>
                  <w:rFonts w:ascii="Arial Narrow" w:eastAsia="Arial Unicode MS" w:hAnsi="Arial Narrow"/>
                  <w:lang w:eastAsia="en-AU"/>
                </w:rPr>
                <w:t>4 cm</w:t>
              </w:r>
            </w:smartTag>
            <w:r w:rsidRPr="00DE79DC">
              <w:rPr>
                <w:rFonts w:ascii="Arial Narrow" w:eastAsia="Arial Unicode MS" w:hAnsi="Arial Narrow"/>
                <w:lang w:eastAsia="en-AU"/>
              </w:rPr>
              <w:t xml:space="preserve"> in size.</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 xml:space="preserve">Stage IB2: Clinical lesions greater than </w:t>
            </w:r>
            <w:smartTag w:uri="urn:schemas-microsoft-com:office:smarttags" w:element="metricconverter">
              <w:smartTagPr>
                <w:attr w:name="ProductID" w:val="4 cm"/>
              </w:smartTagPr>
              <w:r w:rsidRPr="00DE79DC">
                <w:rPr>
                  <w:rFonts w:ascii="Arial Narrow" w:eastAsia="Arial Unicode MS" w:hAnsi="Arial Narrow"/>
                  <w:lang w:eastAsia="en-AU"/>
                </w:rPr>
                <w:t>4 cm</w:t>
              </w:r>
            </w:smartTag>
            <w:r w:rsidRPr="00DE79DC">
              <w:rPr>
                <w:rFonts w:ascii="Arial Narrow" w:eastAsia="Arial Unicode MS" w:hAnsi="Arial Narrow"/>
                <w:lang w:eastAsia="en-AU"/>
              </w:rPr>
              <w:t xml:space="preserve"> in size.</w:t>
            </w:r>
          </w:p>
        </w:tc>
      </w:tr>
      <w:tr w:rsidR="00234376" w:rsidRPr="00DE79DC">
        <w:trPr>
          <w:jc w:val="right"/>
        </w:trPr>
        <w:tc>
          <w:tcPr>
            <w:tcW w:w="8472" w:type="dxa"/>
            <w:gridSpan w:val="2"/>
            <w:tcBorders>
              <w:top w:val="single" w:sz="4" w:space="0" w:color="auto"/>
            </w:tcBorders>
          </w:tcPr>
          <w:p w:rsidR="00234376" w:rsidRPr="00DE79DC" w:rsidRDefault="00234376" w:rsidP="008E03A7">
            <w:pPr>
              <w:pStyle w:val="TableTextLessSpaceCharCharCharCharCharCharCharChar"/>
              <w:rPr>
                <w:b/>
              </w:rPr>
            </w:pPr>
            <w:r w:rsidRPr="00DE79DC">
              <w:rPr>
                <w:b/>
              </w:rPr>
              <w:t>Stage II</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Stage II is carcinoma that extends beyond the cervix but does not extend into the pelvic wall. The carcinoma involves the vagina, but not as far as the lower third.</w:t>
            </w:r>
          </w:p>
        </w:tc>
      </w:tr>
      <w:tr w:rsidR="00234376" w:rsidRPr="00DE79DC">
        <w:trPr>
          <w:jc w:val="right"/>
        </w:trPr>
        <w:tc>
          <w:tcPr>
            <w:tcW w:w="284" w:type="dxa"/>
            <w:tcBorders>
              <w:bottom w:val="single" w:sz="4" w:space="0" w:color="auto"/>
            </w:tcBorders>
          </w:tcPr>
          <w:p w:rsidR="00234376" w:rsidRPr="00DE79DC" w:rsidRDefault="00234376" w:rsidP="008E03A7">
            <w:pPr>
              <w:pStyle w:val="TableText0"/>
            </w:pPr>
          </w:p>
        </w:tc>
        <w:tc>
          <w:tcPr>
            <w:tcW w:w="8188" w:type="dxa"/>
            <w:tcBorders>
              <w:bottom w:val="single" w:sz="4" w:space="0" w:color="auto"/>
            </w:tcBorders>
          </w:tcPr>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Stage IIA: No obvious parametrial involvement. Involvement of up to the upper two thirds of the vagina.</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Stage IIB: Obvious parametrial involvement, but not into the pelvic sidewall.</w:t>
            </w:r>
          </w:p>
        </w:tc>
      </w:tr>
      <w:tr w:rsidR="00234376" w:rsidRPr="00DE79DC">
        <w:trPr>
          <w:jc w:val="right"/>
        </w:trPr>
        <w:tc>
          <w:tcPr>
            <w:tcW w:w="8472" w:type="dxa"/>
            <w:gridSpan w:val="2"/>
            <w:tcBorders>
              <w:top w:val="single" w:sz="4" w:space="0" w:color="auto"/>
            </w:tcBorders>
          </w:tcPr>
          <w:p w:rsidR="00234376" w:rsidRPr="00DE79DC" w:rsidRDefault="00234376" w:rsidP="008E03A7">
            <w:pPr>
              <w:pStyle w:val="TableTextLessSpaceCharCharCharCharCharCharCharChar"/>
              <w:rPr>
                <w:b/>
              </w:rPr>
            </w:pPr>
            <w:r w:rsidRPr="00DE79DC">
              <w:rPr>
                <w:b/>
              </w:rPr>
              <w:t>Stage III</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Stage III is carcinoma that has extended into the pelvic sidewall. On rectal examination, there is no cancer-free space between the tumour and the pelvic sidewall. The tumour involves the lower third of the vagina. All cases with hydronephrosis or a non-functioning kidney are Stage III cancers.</w:t>
            </w:r>
          </w:p>
        </w:tc>
      </w:tr>
      <w:tr w:rsidR="00234376" w:rsidRPr="00DE79DC">
        <w:trPr>
          <w:jc w:val="right"/>
        </w:trPr>
        <w:tc>
          <w:tcPr>
            <w:tcW w:w="284" w:type="dxa"/>
            <w:tcBorders>
              <w:bottom w:val="single" w:sz="4" w:space="0" w:color="auto"/>
            </w:tcBorders>
          </w:tcPr>
          <w:p w:rsidR="00234376" w:rsidRPr="00DE79DC" w:rsidRDefault="00234376" w:rsidP="008E03A7">
            <w:pPr>
              <w:pStyle w:val="TableText0"/>
            </w:pPr>
          </w:p>
        </w:tc>
        <w:tc>
          <w:tcPr>
            <w:tcW w:w="8188" w:type="dxa"/>
            <w:tcBorders>
              <w:bottom w:val="single" w:sz="4" w:space="0" w:color="auto"/>
            </w:tcBorders>
          </w:tcPr>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Stage IIIA: No extension into the pelvic sidewall but involvement of the lower third of the vagina.</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Stage IIIB: Extension into the pelvic sidewall or hydronephrosis or non-functioning kidney.</w:t>
            </w:r>
          </w:p>
        </w:tc>
      </w:tr>
      <w:tr w:rsidR="00234376" w:rsidRPr="00DE79DC">
        <w:trPr>
          <w:jc w:val="right"/>
        </w:trPr>
        <w:tc>
          <w:tcPr>
            <w:tcW w:w="8472" w:type="dxa"/>
            <w:gridSpan w:val="2"/>
            <w:tcBorders>
              <w:top w:val="single" w:sz="4" w:space="0" w:color="auto"/>
            </w:tcBorders>
          </w:tcPr>
          <w:p w:rsidR="00234376" w:rsidRPr="00DE79DC" w:rsidRDefault="00234376" w:rsidP="008E03A7">
            <w:pPr>
              <w:pStyle w:val="TableTextLessSpaceCharCharCharCharCharCharCharChar"/>
              <w:rPr>
                <w:b/>
              </w:rPr>
            </w:pPr>
            <w:r w:rsidRPr="00DE79DC">
              <w:rPr>
                <w:b/>
              </w:rPr>
              <w:t>Stage IV</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Stage IV is carcinoma that has extended beyond the true pelvis or has clinically involved the mucosa of the bladder and/or rectum.</w:t>
            </w:r>
          </w:p>
        </w:tc>
      </w:tr>
      <w:tr w:rsidR="00234376" w:rsidRPr="00DE79DC">
        <w:trPr>
          <w:jc w:val="right"/>
        </w:trPr>
        <w:tc>
          <w:tcPr>
            <w:tcW w:w="284" w:type="dxa"/>
            <w:tcBorders>
              <w:bottom w:val="single" w:sz="4" w:space="0" w:color="auto"/>
            </w:tcBorders>
          </w:tcPr>
          <w:p w:rsidR="00234376" w:rsidRPr="00DE79DC" w:rsidRDefault="00234376" w:rsidP="008E03A7">
            <w:pPr>
              <w:pStyle w:val="TableText0"/>
            </w:pPr>
          </w:p>
        </w:tc>
        <w:tc>
          <w:tcPr>
            <w:tcW w:w="8188" w:type="dxa"/>
            <w:tcBorders>
              <w:bottom w:val="single" w:sz="4" w:space="0" w:color="auto"/>
            </w:tcBorders>
          </w:tcPr>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Stage IVA: Spread of the tumour into adjacent pelvic organs.</w:t>
            </w:r>
          </w:p>
          <w:p w:rsidR="00234376" w:rsidRPr="00DE79DC" w:rsidRDefault="00234376" w:rsidP="008E03A7">
            <w:pPr>
              <w:pStyle w:val="TableText0"/>
              <w:rPr>
                <w:rFonts w:ascii="Arial Narrow" w:eastAsia="Arial Unicode MS" w:hAnsi="Arial Narrow"/>
                <w:lang w:eastAsia="en-AU"/>
              </w:rPr>
            </w:pPr>
            <w:r w:rsidRPr="00DE79DC">
              <w:rPr>
                <w:rFonts w:ascii="Arial Narrow" w:eastAsia="Arial Unicode MS" w:hAnsi="Arial Narrow"/>
                <w:lang w:eastAsia="en-AU"/>
              </w:rPr>
              <w:t>Stage IVB: Spread to distant organs.</w:t>
            </w:r>
          </w:p>
        </w:tc>
      </w:tr>
    </w:tbl>
    <w:p w:rsidR="00234376" w:rsidRPr="00DE79DC" w:rsidRDefault="00234376" w:rsidP="008E03A7">
      <w:pPr>
        <w:autoSpaceDE w:val="0"/>
        <w:autoSpaceDN w:val="0"/>
        <w:adjustRightInd w:val="0"/>
        <w:spacing w:after="0"/>
        <w:ind w:left="567"/>
        <w:rPr>
          <w:rFonts w:ascii="Optima-Bold" w:hAnsi="Optima-Bold" w:cs="Optima-Bold"/>
          <w:b/>
          <w:bCs/>
          <w:color w:val="0F68B4"/>
          <w:szCs w:val="24"/>
        </w:rPr>
      </w:pPr>
    </w:p>
    <w:p w:rsidR="00234376" w:rsidRPr="00DE79DC" w:rsidRDefault="00234376" w:rsidP="008E03A7">
      <w:pPr>
        <w:autoSpaceDE w:val="0"/>
        <w:autoSpaceDN w:val="0"/>
        <w:adjustRightInd w:val="0"/>
        <w:spacing w:after="0"/>
        <w:ind w:firstLine="567"/>
        <w:rPr>
          <w:rFonts w:ascii="Arial Narrow" w:hAnsi="Arial Narrow"/>
          <w:sz w:val="16"/>
          <w:szCs w:val="16"/>
          <w:lang w:eastAsia="en-AU"/>
        </w:rPr>
      </w:pPr>
      <w:r w:rsidRPr="00DE79DC">
        <w:rPr>
          <w:rFonts w:ascii="Arial Narrow" w:hAnsi="Arial Narrow"/>
          <w:sz w:val="16"/>
          <w:szCs w:val="16"/>
          <w:lang w:eastAsia="en-AU"/>
        </w:rPr>
        <w:t xml:space="preserve">Source: TNM Classification of Malignant Tumours. L. </w:t>
      </w:r>
      <w:bookmarkStart w:id="830" w:name="OLE_LINK429"/>
      <w:bookmarkStart w:id="831" w:name="OLE_LINK430"/>
      <w:r w:rsidRPr="00DE79DC">
        <w:rPr>
          <w:rFonts w:ascii="Arial Narrow" w:hAnsi="Arial Narrow"/>
          <w:sz w:val="16"/>
          <w:szCs w:val="16"/>
          <w:lang w:eastAsia="en-AU"/>
        </w:rPr>
        <w:t xml:space="preserve">Sobin </w:t>
      </w:r>
      <w:bookmarkEnd w:id="830"/>
      <w:bookmarkEnd w:id="831"/>
      <w:r w:rsidRPr="00DE79DC">
        <w:rPr>
          <w:rFonts w:ascii="Arial Narrow" w:hAnsi="Arial Narrow"/>
          <w:sz w:val="16"/>
          <w:szCs w:val="16"/>
          <w:lang w:eastAsia="en-AU"/>
        </w:rPr>
        <w:t xml:space="preserve">and Ch </w:t>
      </w:r>
      <w:bookmarkStart w:id="832" w:name="OLE_LINK431"/>
      <w:bookmarkStart w:id="833" w:name="OLE_LINK432"/>
      <w:r w:rsidRPr="00DE79DC">
        <w:rPr>
          <w:rFonts w:ascii="Arial Narrow" w:hAnsi="Arial Narrow"/>
          <w:sz w:val="16"/>
          <w:szCs w:val="16"/>
          <w:lang w:eastAsia="en-AU"/>
        </w:rPr>
        <w:t xml:space="preserve">Wittekind </w:t>
      </w:r>
      <w:bookmarkEnd w:id="832"/>
      <w:bookmarkEnd w:id="833"/>
      <w:r w:rsidRPr="00DE79DC">
        <w:rPr>
          <w:rFonts w:ascii="Arial Narrow" w:hAnsi="Arial Narrow"/>
          <w:sz w:val="16"/>
          <w:szCs w:val="16"/>
          <w:lang w:eastAsia="en-AU"/>
        </w:rPr>
        <w:t>(eds.),</w:t>
      </w:r>
    </w:p>
    <w:p w:rsidR="00234376" w:rsidRPr="00537C3C" w:rsidRDefault="00234376" w:rsidP="008E03A7">
      <w:pPr>
        <w:autoSpaceDE w:val="0"/>
        <w:autoSpaceDN w:val="0"/>
        <w:adjustRightInd w:val="0"/>
        <w:spacing w:after="0"/>
        <w:ind w:firstLine="567"/>
        <w:rPr>
          <w:rFonts w:ascii="Arial Narrow" w:hAnsi="Arial Narrow"/>
          <w:sz w:val="16"/>
          <w:szCs w:val="16"/>
          <w:lang w:eastAsia="en-AU"/>
        </w:rPr>
      </w:pPr>
      <w:bookmarkStart w:id="834" w:name="OLE_LINK284"/>
      <w:bookmarkStart w:id="835" w:name="OLE_LINK285"/>
      <w:r w:rsidRPr="00DE79DC">
        <w:rPr>
          <w:rFonts w:ascii="Arial Narrow" w:hAnsi="Arial Narrow"/>
          <w:sz w:val="16"/>
          <w:szCs w:val="16"/>
          <w:lang w:eastAsia="en-AU"/>
        </w:rPr>
        <w:t xml:space="preserve">UICC </w:t>
      </w:r>
      <w:bookmarkEnd w:id="834"/>
      <w:bookmarkEnd w:id="835"/>
      <w:r w:rsidRPr="00DE79DC">
        <w:rPr>
          <w:rFonts w:ascii="Arial Narrow" w:hAnsi="Arial Narrow"/>
          <w:sz w:val="16"/>
          <w:szCs w:val="16"/>
          <w:lang w:eastAsia="en-AU"/>
        </w:rPr>
        <w:t>International Union against Cancer, Geneva, Switzerland, pp 155–157; 6th ed. 2002.</w:t>
      </w:r>
    </w:p>
    <w:p w:rsidR="00234376" w:rsidRPr="00537C3C" w:rsidRDefault="00234376" w:rsidP="008E03A7"/>
    <w:p w:rsidR="00234376" w:rsidRPr="00537C3C" w:rsidRDefault="00234376" w:rsidP="008E03A7">
      <w:pPr>
        <w:sectPr w:rsidR="00234376" w:rsidRPr="00537C3C" w:rsidSect="008E03A7">
          <w:pgSz w:w="11906" w:h="16838"/>
          <w:pgMar w:top="1440" w:right="1440" w:bottom="1440" w:left="1440" w:header="720" w:footer="720" w:gutter="0"/>
          <w:paperSrc w:first="2" w:other="2"/>
          <w:cols w:space="720"/>
        </w:sectPr>
      </w:pPr>
    </w:p>
    <w:p w:rsidR="00234376" w:rsidRPr="00537C3C" w:rsidRDefault="00234376" w:rsidP="008E03A7">
      <w:pPr>
        <w:pStyle w:val="Heading1"/>
        <w:keepNext w:val="0"/>
      </w:pPr>
      <w:bookmarkStart w:id="836" w:name="_Ref209320108"/>
      <w:bookmarkStart w:id="837" w:name="_Toc95971106"/>
      <w:bookmarkStart w:id="838" w:name="_Toc241658204"/>
      <w:bookmarkStart w:id="839" w:name="_Ref207095903"/>
      <w:bookmarkStart w:id="840" w:name="_Ref207095892"/>
      <w:r w:rsidRPr="00537C3C">
        <w:lastRenderedPageBreak/>
        <w:t xml:space="preserve">Appendix </w:t>
      </w:r>
      <w:fldSimple w:instr=" SEQ Appendix \* ALPHABETIC ">
        <w:r w:rsidR="007D3DFF">
          <w:rPr>
            <w:noProof/>
          </w:rPr>
          <w:t>D</w:t>
        </w:r>
      </w:fldSimple>
      <w:r w:rsidRPr="00537C3C">
        <w:tab/>
      </w:r>
      <w:r w:rsidRPr="00BB76D8">
        <w:t>MSAC</w:t>
      </w:r>
      <w:r w:rsidRPr="00537C3C">
        <w:t xml:space="preserve"> 2002 and 2003 reviews</w:t>
      </w:r>
      <w:bookmarkEnd w:id="836"/>
      <w:bookmarkEnd w:id="837"/>
      <w:bookmarkEnd w:id="8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79"/>
        <w:gridCol w:w="2339"/>
        <w:gridCol w:w="2010"/>
        <w:gridCol w:w="248"/>
        <w:gridCol w:w="2067"/>
        <w:gridCol w:w="2619"/>
        <w:gridCol w:w="167"/>
        <w:gridCol w:w="2885"/>
      </w:tblGrid>
      <w:tr w:rsidR="00234376" w:rsidRPr="00537C3C">
        <w:tc>
          <w:tcPr>
            <w:tcW w:w="1679" w:type="dxa"/>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Author/year</w:t>
            </w:r>
          </w:p>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Country</w:t>
            </w:r>
          </w:p>
        </w:tc>
        <w:tc>
          <w:tcPr>
            <w:tcW w:w="2339" w:type="dxa"/>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Objective of report</w:t>
            </w:r>
          </w:p>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Databases &amp; dates searched</w:t>
            </w:r>
          </w:p>
        </w:tc>
        <w:tc>
          <w:tcPr>
            <w:tcW w:w="2010" w:type="dxa"/>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Type of analysis, number &amp; date of included studies</w:t>
            </w:r>
          </w:p>
        </w:tc>
        <w:tc>
          <w:tcPr>
            <w:tcW w:w="2315" w:type="dxa"/>
            <w:gridSpan w:val="2"/>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Population considered in included studies</w:t>
            </w:r>
            <w:r w:rsidRPr="00537C3C">
              <w:rPr>
                <w:rFonts w:ascii="Arial Narrow" w:hAnsi="Arial Narrow"/>
                <w:b/>
                <w:bCs/>
                <w:sz w:val="18"/>
                <w:szCs w:val="18"/>
              </w:rPr>
              <w:br/>
              <w:t>Test comparison</w:t>
            </w:r>
          </w:p>
        </w:tc>
        <w:tc>
          <w:tcPr>
            <w:tcW w:w="2619" w:type="dxa"/>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Conclusions/recommendation</w:t>
            </w:r>
          </w:p>
        </w:tc>
        <w:tc>
          <w:tcPr>
            <w:tcW w:w="3052" w:type="dxa"/>
            <w:gridSpan w:val="2"/>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Quality assessment</w:t>
            </w:r>
          </w:p>
        </w:tc>
      </w:tr>
      <w:tr w:rsidR="00234376" w:rsidRPr="00537C3C">
        <w:tc>
          <w:tcPr>
            <w:tcW w:w="1679" w:type="dxa"/>
          </w:tcPr>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 xml:space="preserve">MSAC </w:t>
            </w:r>
            <w:r w:rsidRPr="00537C3C">
              <w:rPr>
                <w:rFonts w:ascii="Arial Narrow" w:hAnsi="Arial Narrow"/>
                <w:bCs/>
                <w:sz w:val="18"/>
                <w:szCs w:val="18"/>
              </w:rPr>
              <w:fldChar w:fldCharType="begin"/>
            </w:r>
            <w:r w:rsidRPr="00537C3C">
              <w:rPr>
                <w:rFonts w:ascii="Arial Narrow" w:hAnsi="Arial Narrow"/>
                <w:bCs/>
                <w:sz w:val="18"/>
                <w:szCs w:val="18"/>
              </w:rPr>
              <w:instrText xml:space="preserve"> ADDIN REFMGR.CITE &lt;Refman&gt;&lt;Cite&gt;&lt;Author&gt;Medical Services Advisory Committee&lt;/Author&gt;&lt;Year&gt;2003&lt;/Year&gt;&lt;RecNum&gt;2851&lt;/RecNum&gt;&lt;IDText&gt;Computer-assisted image analysis for cervical screening&lt;/IDText&gt;&lt;MDL Ref_Type="Report"&gt;&lt;Ref_Type&gt;Report&lt;/Ref_Type&gt;&lt;Ref_ID&gt;2851&lt;/Ref_ID&gt;&lt;Title_Primary&gt;Computer-assisted image analysis for cervical screening&lt;/Title_Primary&gt;&lt;Authors_Primary&gt;Medical Services Advisory Committee&lt;/Authors_Primary&gt;&lt;Date_Primary&gt;2003&lt;/Date_Primary&gt;&lt;Reprint&gt;In File&lt;/Reprint&gt;&lt;Volume&gt;Reference 12c&lt;/Volume&gt;&lt;Pub_Place&gt;Canberra&lt;/Pub_Place&gt;&lt;Publisher&gt;Commonwealth of Australia&lt;/Publisher&gt;&lt;Web_URL&gt;&lt;u&gt;www.msac.gov.au&lt;/u&gt;&lt;/Web_URL&gt;&lt;ZZ_WorkformID&gt;24&lt;/ZZ_WorkformID&gt;&lt;/MDL&gt;&lt;/Cite&gt;&lt;/Refman&gt;</w:instrText>
            </w:r>
            <w:r w:rsidRPr="00537C3C">
              <w:rPr>
                <w:rFonts w:ascii="Arial Narrow" w:hAnsi="Arial Narrow"/>
                <w:bCs/>
                <w:sz w:val="18"/>
                <w:szCs w:val="18"/>
              </w:rPr>
              <w:fldChar w:fldCharType="separate"/>
            </w:r>
            <w:r w:rsidRPr="00537C3C">
              <w:rPr>
                <w:rFonts w:ascii="Arial Narrow" w:hAnsi="Arial Narrow"/>
                <w:bCs/>
                <w:sz w:val="18"/>
                <w:szCs w:val="18"/>
              </w:rPr>
              <w:t>(Medical Services Advisory Committee 2003)</w:t>
            </w:r>
            <w:r w:rsidRPr="00537C3C">
              <w:rPr>
                <w:rFonts w:ascii="Arial Narrow" w:hAnsi="Arial Narrow"/>
                <w:bCs/>
                <w:sz w:val="18"/>
                <w:szCs w:val="18"/>
              </w:rPr>
              <w:fldChar w:fldCharType="end"/>
            </w: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Reference 12c</w:t>
            </w:r>
          </w:p>
          <w:p w:rsidR="00234376" w:rsidRPr="00537C3C" w:rsidRDefault="00234376" w:rsidP="008E03A7">
            <w:pPr>
              <w:spacing w:before="40" w:after="40"/>
              <w:ind w:left="57" w:right="57"/>
              <w:rPr>
                <w:rFonts w:ascii="Arial Narrow" w:hAnsi="Arial Narrow"/>
                <w:bCs/>
                <w:sz w:val="18"/>
                <w:szCs w:val="18"/>
              </w:rPr>
            </w:pPr>
          </w:p>
          <w:p w:rsidR="00234376" w:rsidRPr="00537C3C" w:rsidRDefault="00234376" w:rsidP="008E03A7">
            <w:pPr>
              <w:spacing w:before="40" w:after="40"/>
              <w:ind w:left="57" w:right="57"/>
              <w:rPr>
                <w:rFonts w:ascii="Arial Narrow" w:hAnsi="Arial Narrow"/>
                <w:bCs/>
                <w:sz w:val="18"/>
                <w:szCs w:val="18"/>
              </w:rPr>
            </w:pPr>
            <w:smartTag w:uri="urn:schemas-microsoft-com:office:smarttags" w:element="place">
              <w:smartTag w:uri="urn:schemas-microsoft-com:office:smarttags" w:element="country-region">
                <w:r w:rsidRPr="00537C3C">
                  <w:rPr>
                    <w:rFonts w:ascii="Arial Narrow" w:hAnsi="Arial Narrow"/>
                    <w:bCs/>
                    <w:sz w:val="18"/>
                    <w:szCs w:val="18"/>
                  </w:rPr>
                  <w:t>Australia</w:t>
                </w:r>
              </w:smartTag>
            </w:smartTag>
          </w:p>
        </w:tc>
        <w:tc>
          <w:tcPr>
            <w:tcW w:w="2339" w:type="dxa"/>
          </w:tcPr>
          <w:p w:rsidR="00234376" w:rsidRPr="00537C3C" w:rsidRDefault="00234376" w:rsidP="008E03A7">
            <w:pPr>
              <w:autoSpaceDE w:val="0"/>
              <w:autoSpaceDN w:val="0"/>
              <w:adjustRightInd w:val="0"/>
              <w:ind w:left="45"/>
              <w:rPr>
                <w:rFonts w:ascii="Arial Narrow" w:hAnsi="Arial Narrow"/>
                <w:bCs/>
                <w:sz w:val="18"/>
                <w:szCs w:val="18"/>
              </w:rPr>
            </w:pPr>
            <w:r w:rsidRPr="00537C3C">
              <w:rPr>
                <w:rFonts w:ascii="Arial Narrow" w:hAnsi="Arial Narrow"/>
                <w:bCs/>
                <w:sz w:val="18"/>
                <w:szCs w:val="18"/>
              </w:rPr>
              <w:t>To conduct a review of the literature on computer-assisted image analysis for cervical screening cytology</w:t>
            </w:r>
          </w:p>
          <w:p w:rsidR="00234376" w:rsidRPr="00537C3C" w:rsidRDefault="00234376" w:rsidP="008E03A7">
            <w:pPr>
              <w:autoSpaceDE w:val="0"/>
              <w:autoSpaceDN w:val="0"/>
              <w:adjustRightInd w:val="0"/>
              <w:ind w:left="45"/>
              <w:rPr>
                <w:rFonts w:ascii="Arial Narrow" w:hAnsi="Arial Narrow"/>
                <w:bCs/>
                <w:sz w:val="18"/>
                <w:szCs w:val="18"/>
              </w:rPr>
            </w:pPr>
          </w:p>
          <w:p w:rsidR="00234376" w:rsidRPr="00537C3C" w:rsidRDefault="00234376" w:rsidP="008E03A7">
            <w:pPr>
              <w:autoSpaceDE w:val="0"/>
              <w:autoSpaceDN w:val="0"/>
              <w:adjustRightInd w:val="0"/>
              <w:ind w:left="45"/>
              <w:rPr>
                <w:rFonts w:ascii="Arial Narrow" w:hAnsi="Arial Narrow"/>
                <w:bCs/>
                <w:sz w:val="18"/>
                <w:szCs w:val="18"/>
                <w:u w:val="single"/>
              </w:rPr>
            </w:pPr>
            <w:r w:rsidRPr="00537C3C">
              <w:rPr>
                <w:rFonts w:ascii="Arial Narrow" w:hAnsi="Arial Narrow"/>
                <w:bCs/>
                <w:sz w:val="18"/>
                <w:szCs w:val="18"/>
                <w:u w:val="single"/>
              </w:rPr>
              <w:t>Search</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To Sept 2002</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 xml:space="preserve">Cochrane Library, MEDLINE, PreMEDLINE, Current Contents, Biological Abstracts, </w:t>
            </w:r>
            <w:bookmarkStart w:id="841" w:name="OLE_LINK288"/>
            <w:r w:rsidRPr="00BB76D8">
              <w:rPr>
                <w:rFonts w:ascii="Arial Narrow" w:hAnsi="Arial Narrow"/>
                <w:bCs/>
                <w:sz w:val="18"/>
                <w:szCs w:val="18"/>
              </w:rPr>
              <w:t>CIN</w:t>
            </w:r>
            <w:r w:rsidRPr="00537C3C">
              <w:rPr>
                <w:rFonts w:ascii="Arial Narrow" w:hAnsi="Arial Narrow"/>
                <w:bCs/>
                <w:sz w:val="18"/>
                <w:szCs w:val="18"/>
              </w:rPr>
              <w:t>AHL</w:t>
            </w:r>
            <w:bookmarkEnd w:id="841"/>
            <w:r w:rsidRPr="00537C3C">
              <w:rPr>
                <w:rFonts w:ascii="Arial Narrow" w:hAnsi="Arial Narrow"/>
                <w:bCs/>
                <w:sz w:val="18"/>
                <w:szCs w:val="18"/>
              </w:rPr>
              <w:t xml:space="preserve">, </w:t>
            </w:r>
            <w:bookmarkStart w:id="842" w:name="OLE_LINK289"/>
            <w:r w:rsidRPr="00537C3C">
              <w:rPr>
                <w:rFonts w:ascii="Arial Narrow" w:hAnsi="Arial Narrow"/>
                <w:bCs/>
                <w:sz w:val="18"/>
                <w:szCs w:val="18"/>
              </w:rPr>
              <w:t xml:space="preserve">EBM </w:t>
            </w:r>
            <w:bookmarkEnd w:id="842"/>
            <w:r w:rsidRPr="00537C3C">
              <w:rPr>
                <w:rFonts w:ascii="Arial Narrow" w:hAnsi="Arial Narrow"/>
                <w:bCs/>
                <w:sz w:val="18"/>
                <w:szCs w:val="18"/>
              </w:rPr>
              <w:t xml:space="preserve">reviews, CancerLit, </w:t>
            </w:r>
            <w:r w:rsidRPr="00BB76D8">
              <w:rPr>
                <w:rFonts w:ascii="Arial Narrow" w:hAnsi="Arial Narrow"/>
                <w:bCs/>
                <w:sz w:val="18"/>
                <w:szCs w:val="18"/>
              </w:rPr>
              <w:t>HTA</w:t>
            </w:r>
            <w:r w:rsidRPr="00537C3C">
              <w:rPr>
                <w:rFonts w:ascii="Arial Narrow" w:hAnsi="Arial Narrow"/>
                <w:bCs/>
                <w:sz w:val="18"/>
                <w:szCs w:val="18"/>
              </w:rPr>
              <w:t xml:space="preserve"> databases &amp; websites</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 xml:space="preserve">AutoCyte SCREEN and PAPNET from 1997 </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AutoPap from 2000</w:t>
            </w:r>
          </w:p>
        </w:tc>
        <w:tc>
          <w:tcPr>
            <w:tcW w:w="2010" w:type="dxa"/>
          </w:tcPr>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Systematic review</w:t>
            </w:r>
          </w:p>
          <w:p w:rsidR="00234376" w:rsidRPr="00537C3C" w:rsidRDefault="00234376" w:rsidP="008E03A7">
            <w:pPr>
              <w:spacing w:before="40" w:after="40"/>
              <w:ind w:left="57" w:right="57"/>
              <w:rPr>
                <w:rFonts w:ascii="Arial Narrow" w:hAnsi="Arial Narrow"/>
                <w:bCs/>
                <w:sz w:val="18"/>
                <w:szCs w:val="18"/>
              </w:rPr>
            </w:pPr>
          </w:p>
          <w:p w:rsidR="00234376" w:rsidRPr="00537C3C" w:rsidRDefault="00234376" w:rsidP="008E03A7">
            <w:pPr>
              <w:spacing w:before="40" w:after="40"/>
              <w:ind w:left="57" w:right="57"/>
              <w:rPr>
                <w:rFonts w:ascii="Arial Narrow" w:hAnsi="Arial Narrow"/>
                <w:bCs/>
                <w:sz w:val="18"/>
                <w:szCs w:val="18"/>
                <w:u w:val="single"/>
              </w:rPr>
            </w:pPr>
            <w:r w:rsidRPr="00537C3C">
              <w:rPr>
                <w:rFonts w:ascii="Arial Narrow" w:hAnsi="Arial Narrow"/>
                <w:bCs/>
                <w:sz w:val="18"/>
                <w:szCs w:val="18"/>
                <w:u w:val="single"/>
              </w:rPr>
              <w:t>Included studies</w:t>
            </w: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Three systematic reviews:</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bookmarkStart w:id="843" w:name="OLE_LINK286"/>
            <w:r w:rsidRPr="00537C3C">
              <w:rPr>
                <w:rFonts w:ascii="Arial Narrow" w:hAnsi="Arial Narrow"/>
                <w:bCs/>
                <w:sz w:val="18"/>
                <w:szCs w:val="18"/>
              </w:rPr>
              <w:t>A</w:t>
            </w:r>
            <w:r w:rsidRPr="00BB76D8">
              <w:rPr>
                <w:rFonts w:ascii="Arial Narrow" w:hAnsi="Arial Narrow"/>
                <w:bCs/>
                <w:sz w:val="18"/>
                <w:szCs w:val="18"/>
              </w:rPr>
              <w:t>HTA</w:t>
            </w:r>
            <w:r w:rsidRPr="00537C3C">
              <w:rPr>
                <w:rFonts w:ascii="Arial Narrow" w:hAnsi="Arial Narrow"/>
                <w:bCs/>
                <w:sz w:val="18"/>
                <w:szCs w:val="18"/>
              </w:rPr>
              <w:t xml:space="preserve">C </w:t>
            </w:r>
            <w:bookmarkEnd w:id="843"/>
            <w:r w:rsidRPr="00537C3C">
              <w:rPr>
                <w:rFonts w:ascii="Arial Narrow" w:hAnsi="Arial Narrow"/>
                <w:bCs/>
                <w:sz w:val="18"/>
                <w:szCs w:val="18"/>
              </w:rPr>
              <w:t>1998</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 xml:space="preserve">Broadstock </w:t>
            </w:r>
            <w:bookmarkStart w:id="844" w:name="OLE_LINK287"/>
            <w:r w:rsidRPr="00537C3C">
              <w:rPr>
                <w:rFonts w:ascii="Arial Narrow" w:hAnsi="Arial Narrow"/>
                <w:bCs/>
                <w:sz w:val="18"/>
                <w:szCs w:val="18"/>
              </w:rPr>
              <w:t>NZ</w:t>
            </w:r>
            <w:r w:rsidRPr="00BB76D8">
              <w:rPr>
                <w:rFonts w:ascii="Arial Narrow" w:hAnsi="Arial Narrow"/>
                <w:bCs/>
                <w:sz w:val="18"/>
                <w:szCs w:val="18"/>
              </w:rPr>
              <w:t>HTA</w:t>
            </w:r>
            <w:r w:rsidRPr="00537C3C">
              <w:rPr>
                <w:rFonts w:ascii="Arial Narrow" w:hAnsi="Arial Narrow"/>
                <w:bCs/>
                <w:sz w:val="18"/>
                <w:szCs w:val="18"/>
              </w:rPr>
              <w:t xml:space="preserve"> </w:t>
            </w:r>
            <w:bookmarkEnd w:id="844"/>
            <w:r w:rsidRPr="00537C3C">
              <w:rPr>
                <w:rFonts w:ascii="Arial Narrow" w:hAnsi="Arial Narrow"/>
                <w:bCs/>
                <w:sz w:val="18"/>
                <w:szCs w:val="18"/>
              </w:rPr>
              <w:t>2000</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Hartmann et al. 2001</w:t>
            </w:r>
          </w:p>
          <w:p w:rsidR="00234376" w:rsidRPr="00537C3C" w:rsidRDefault="00234376" w:rsidP="008E03A7">
            <w:pPr>
              <w:autoSpaceDE w:val="0"/>
              <w:autoSpaceDN w:val="0"/>
              <w:adjustRightInd w:val="0"/>
              <w:rPr>
                <w:rFonts w:ascii="Arial Narrow" w:hAnsi="Arial Narrow"/>
                <w:bCs/>
                <w:sz w:val="18"/>
                <w:szCs w:val="18"/>
              </w:rPr>
            </w:pPr>
          </w:p>
          <w:p w:rsidR="00234376" w:rsidRPr="00537C3C" w:rsidRDefault="00234376" w:rsidP="008E03A7">
            <w:pPr>
              <w:autoSpaceDE w:val="0"/>
              <w:autoSpaceDN w:val="0"/>
              <w:adjustRightInd w:val="0"/>
              <w:ind w:left="57"/>
              <w:rPr>
                <w:rFonts w:ascii="Arial Narrow" w:hAnsi="Arial Narrow"/>
                <w:bCs/>
                <w:sz w:val="18"/>
                <w:szCs w:val="18"/>
              </w:rPr>
            </w:pPr>
            <w:r w:rsidRPr="00537C3C">
              <w:rPr>
                <w:rFonts w:ascii="Arial Narrow" w:hAnsi="Arial Narrow"/>
                <w:bCs/>
                <w:sz w:val="18"/>
                <w:szCs w:val="18"/>
              </w:rPr>
              <w:t xml:space="preserve">Nil primary studies </w:t>
            </w:r>
          </w:p>
        </w:tc>
        <w:tc>
          <w:tcPr>
            <w:tcW w:w="2315" w:type="dxa"/>
            <w:gridSpan w:val="2"/>
          </w:tcPr>
          <w:p w:rsidR="00234376" w:rsidRPr="00537C3C" w:rsidRDefault="00234376" w:rsidP="008E03A7">
            <w:pPr>
              <w:spacing w:before="40" w:after="40"/>
              <w:ind w:left="57" w:right="57"/>
              <w:rPr>
                <w:rFonts w:ascii="Arial Narrow" w:hAnsi="Arial Narrow"/>
                <w:b/>
                <w:bCs/>
                <w:sz w:val="18"/>
                <w:szCs w:val="18"/>
              </w:rPr>
            </w:pPr>
            <w:r w:rsidRPr="00537C3C">
              <w:rPr>
                <w:rFonts w:ascii="Arial Narrow" w:hAnsi="Arial Narrow"/>
                <w:b/>
                <w:bCs/>
                <w:sz w:val="18"/>
                <w:szCs w:val="18"/>
              </w:rPr>
              <w:t>Population</w:t>
            </w: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Women undergoing cervical screening</w:t>
            </w:r>
          </w:p>
          <w:p w:rsidR="00234376" w:rsidRPr="00537C3C" w:rsidRDefault="00234376" w:rsidP="008E03A7">
            <w:pPr>
              <w:spacing w:before="40" w:after="40"/>
              <w:ind w:left="57" w:right="57"/>
              <w:rPr>
                <w:rFonts w:ascii="Arial Narrow" w:hAnsi="Arial Narrow"/>
                <w:b/>
                <w:bCs/>
                <w:sz w:val="18"/>
                <w:szCs w:val="18"/>
              </w:rPr>
            </w:pPr>
            <w:r w:rsidRPr="00537C3C">
              <w:rPr>
                <w:rFonts w:ascii="Arial Narrow" w:hAnsi="Arial Narrow"/>
                <w:b/>
                <w:bCs/>
                <w:sz w:val="18"/>
                <w:szCs w:val="18"/>
              </w:rPr>
              <w:t>Test comparison</w:t>
            </w: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Computer-assisted analysis as an adjunct to, or replacement for, primary manual screening</w:t>
            </w: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vs</w:t>
            </w: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Manual reading alone</w:t>
            </w:r>
          </w:p>
          <w:p w:rsidR="00234376" w:rsidRPr="00537C3C" w:rsidRDefault="00234376" w:rsidP="008E03A7">
            <w:pPr>
              <w:spacing w:before="40" w:after="40"/>
              <w:ind w:left="57" w:right="57"/>
              <w:rPr>
                <w:rFonts w:ascii="Arial Narrow" w:hAnsi="Arial Narrow"/>
                <w:bCs/>
                <w:sz w:val="18"/>
                <w:szCs w:val="18"/>
              </w:rPr>
            </w:pP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Considered use in primary screening, rescreening and triage</w:t>
            </w:r>
          </w:p>
          <w:p w:rsidR="00234376" w:rsidRPr="00537C3C" w:rsidRDefault="00234376" w:rsidP="008E03A7">
            <w:pPr>
              <w:spacing w:before="40" w:after="40"/>
              <w:ind w:left="57" w:right="57"/>
              <w:rPr>
                <w:rFonts w:ascii="Arial Narrow" w:hAnsi="Arial Narrow"/>
                <w:bCs/>
                <w:i/>
                <w:sz w:val="18"/>
                <w:szCs w:val="18"/>
              </w:rPr>
            </w:pPr>
          </w:p>
        </w:tc>
        <w:tc>
          <w:tcPr>
            <w:tcW w:w="2619" w:type="dxa"/>
          </w:tcPr>
          <w:p w:rsidR="00234376" w:rsidRPr="00537C3C" w:rsidRDefault="00234376" w:rsidP="008E03A7">
            <w:pPr>
              <w:spacing w:before="40" w:after="40"/>
              <w:ind w:left="57" w:right="57"/>
              <w:rPr>
                <w:rFonts w:ascii="Arial Narrow" w:hAnsi="Arial Narrow" w:cs="Garamond"/>
                <w:b/>
                <w:sz w:val="18"/>
                <w:szCs w:val="18"/>
                <w:lang w:eastAsia="en-AU"/>
              </w:rPr>
            </w:pPr>
            <w:r w:rsidRPr="00537C3C">
              <w:rPr>
                <w:rFonts w:ascii="Arial Narrow" w:hAnsi="Arial Narrow" w:cs="Garamond"/>
                <w:b/>
                <w:sz w:val="18"/>
                <w:szCs w:val="18"/>
                <w:lang w:eastAsia="en-AU"/>
              </w:rPr>
              <w:t>Authors’ conclusion</w:t>
            </w:r>
          </w:p>
          <w:p w:rsidR="00234376" w:rsidRPr="00537C3C" w:rsidRDefault="00234376" w:rsidP="008E03A7">
            <w:pPr>
              <w:spacing w:before="40" w:after="40"/>
              <w:ind w:left="57" w:right="57"/>
              <w:rPr>
                <w:rFonts w:ascii="Arial Narrow" w:hAnsi="Arial Narrow" w:cs="Garamond"/>
                <w:sz w:val="18"/>
                <w:szCs w:val="18"/>
                <w:lang w:eastAsia="en-AU"/>
              </w:rPr>
            </w:pPr>
            <w:r w:rsidRPr="00537C3C">
              <w:rPr>
                <w:rFonts w:ascii="Arial Narrow" w:hAnsi="Arial Narrow" w:cs="Garamond"/>
                <w:sz w:val="18"/>
                <w:szCs w:val="18"/>
                <w:lang w:eastAsia="en-AU"/>
              </w:rPr>
              <w:t>There is a lack of evidence that computer-assisted image analysis is as effective as conventional manual screening for cervical screening cytology.</w:t>
            </w:r>
          </w:p>
          <w:p w:rsidR="00234376" w:rsidRPr="00537C3C" w:rsidRDefault="00234376" w:rsidP="008E03A7">
            <w:pPr>
              <w:spacing w:before="40" w:after="40"/>
              <w:ind w:left="57" w:right="57"/>
              <w:rPr>
                <w:rFonts w:ascii="Arial Narrow" w:hAnsi="Arial Narrow" w:cs="Garamond"/>
                <w:sz w:val="18"/>
                <w:szCs w:val="18"/>
                <w:lang w:eastAsia="en-AU"/>
              </w:rPr>
            </w:pPr>
          </w:p>
          <w:p w:rsidR="00234376" w:rsidRPr="00537C3C" w:rsidRDefault="00234376" w:rsidP="008E03A7">
            <w:pPr>
              <w:spacing w:before="40" w:after="40"/>
              <w:ind w:left="57" w:right="57"/>
              <w:rPr>
                <w:rFonts w:ascii="Arial Narrow" w:hAnsi="Arial Narrow" w:cs="Garamond"/>
                <w:b/>
                <w:sz w:val="18"/>
                <w:szCs w:val="18"/>
                <w:lang w:eastAsia="en-AU"/>
              </w:rPr>
            </w:pPr>
            <w:r w:rsidRPr="00537C3C">
              <w:rPr>
                <w:rFonts w:ascii="Arial Narrow" w:hAnsi="Arial Narrow" w:cs="Garamond"/>
                <w:b/>
                <w:sz w:val="18"/>
                <w:szCs w:val="18"/>
                <w:lang w:eastAsia="en-AU"/>
              </w:rPr>
              <w:t>Recommendation</w:t>
            </w:r>
          </w:p>
          <w:p w:rsidR="00234376" w:rsidRPr="00537C3C" w:rsidRDefault="00234376" w:rsidP="008E03A7">
            <w:pPr>
              <w:spacing w:before="40" w:after="40"/>
              <w:ind w:left="57" w:right="57"/>
              <w:rPr>
                <w:rFonts w:ascii="Arial Narrow" w:hAnsi="Arial Narrow" w:cs="Garamond"/>
                <w:sz w:val="18"/>
                <w:szCs w:val="18"/>
                <w:lang w:eastAsia="en-AU"/>
              </w:rPr>
            </w:pPr>
            <w:r w:rsidRPr="00537C3C">
              <w:rPr>
                <w:rFonts w:ascii="Arial Narrow" w:hAnsi="Arial Narrow" w:cs="Garamond"/>
                <w:sz w:val="18"/>
                <w:szCs w:val="18"/>
                <w:lang w:eastAsia="en-AU"/>
              </w:rPr>
              <w:t>As there is insufficient evidence to draw conclusions on the appropriate use of computer-assisted image analysis vs manual cytology screening, there are no grounds to change current funding arrangements.</w:t>
            </w:r>
          </w:p>
        </w:tc>
        <w:tc>
          <w:tcPr>
            <w:tcW w:w="3052" w:type="dxa"/>
            <w:gridSpan w:val="2"/>
          </w:tcPr>
          <w:p w:rsidR="00234376" w:rsidRPr="00537C3C" w:rsidRDefault="00234376" w:rsidP="008E03A7">
            <w:pPr>
              <w:spacing w:before="40" w:after="40"/>
              <w:ind w:left="57" w:right="57"/>
              <w:rPr>
                <w:rFonts w:ascii="Arial Narrow" w:hAnsi="Arial Narrow" w:cs="Garamond"/>
                <w:b/>
                <w:sz w:val="18"/>
                <w:szCs w:val="18"/>
                <w:lang w:eastAsia="en-AU"/>
              </w:rPr>
            </w:pPr>
            <w:r w:rsidRPr="00537C3C">
              <w:rPr>
                <w:rFonts w:ascii="Arial Narrow" w:hAnsi="Arial Narrow" w:cs="Garamond"/>
                <w:b/>
                <w:sz w:val="18"/>
                <w:szCs w:val="18"/>
                <w:lang w:eastAsia="en-AU"/>
              </w:rPr>
              <w:t>Quality:</w:t>
            </w:r>
          </w:p>
          <w:p w:rsidR="00234376" w:rsidRPr="00537C3C" w:rsidRDefault="00234376" w:rsidP="008E03A7">
            <w:pPr>
              <w:spacing w:before="40" w:after="40"/>
              <w:ind w:left="57" w:right="57"/>
              <w:rPr>
                <w:rFonts w:ascii="Arial Narrow" w:hAnsi="Arial Narrow" w:cs="Garamond"/>
                <w:sz w:val="18"/>
                <w:szCs w:val="18"/>
                <w:lang w:eastAsia="en-AU"/>
              </w:rPr>
            </w:pPr>
            <w:r w:rsidRPr="00537C3C">
              <w:rPr>
                <w:rFonts w:ascii="Arial Narrow" w:hAnsi="Arial Narrow" w:cs="Garamond"/>
                <w:sz w:val="18"/>
                <w:szCs w:val="18"/>
                <w:lang w:eastAsia="en-AU"/>
              </w:rPr>
              <w:t>Explicit review questions: NR</w:t>
            </w:r>
          </w:p>
          <w:p w:rsidR="00234376" w:rsidRPr="00537C3C" w:rsidRDefault="00234376" w:rsidP="008E03A7">
            <w:pPr>
              <w:pStyle w:val="TableText0"/>
              <w:keepNext w:val="0"/>
              <w:ind w:left="57" w:right="57"/>
              <w:rPr>
                <w:rFonts w:ascii="Arial Narrow" w:hAnsi="Arial Narrow" w:cs="Garamond"/>
                <w:szCs w:val="18"/>
                <w:lang w:eastAsia="en-AU"/>
              </w:rPr>
            </w:pPr>
            <w:r w:rsidRPr="00537C3C">
              <w:rPr>
                <w:rFonts w:ascii="Arial Narrow" w:hAnsi="Arial Narrow" w:cs="Garamond"/>
                <w:szCs w:val="18"/>
                <w:lang w:eastAsia="en-AU"/>
              </w:rPr>
              <w:t xml:space="preserve">Explicit &amp; appropriate eligibility criteria: yes </w:t>
            </w:r>
            <w:r w:rsidRPr="00537C3C">
              <w:rPr>
                <w:rFonts w:ascii="Arial Narrow" w:hAnsi="Arial Narrow" w:cs="Garamond"/>
                <w:szCs w:val="18"/>
                <w:vertAlign w:val="superscript"/>
                <w:lang w:eastAsia="en-AU"/>
              </w:rPr>
              <w:t>a</w:t>
            </w:r>
          </w:p>
          <w:p w:rsidR="00234376" w:rsidRPr="00537C3C" w:rsidRDefault="00234376" w:rsidP="008E03A7">
            <w:pPr>
              <w:pStyle w:val="TableText0"/>
              <w:keepNext w:val="0"/>
              <w:ind w:left="57" w:right="57"/>
              <w:rPr>
                <w:rFonts w:ascii="Arial Narrow" w:hAnsi="Arial Narrow" w:cs="Garamond"/>
                <w:szCs w:val="18"/>
                <w:lang w:eastAsia="en-AU"/>
              </w:rPr>
            </w:pPr>
            <w:r w:rsidRPr="00537C3C">
              <w:rPr>
                <w:rFonts w:ascii="Arial Narrow" w:hAnsi="Arial Narrow" w:cs="Garamond"/>
                <w:szCs w:val="18"/>
                <w:lang w:eastAsia="en-AU"/>
              </w:rPr>
              <w:t>Explicit &amp; comprehensive search strategy: yes</w:t>
            </w:r>
          </w:p>
          <w:p w:rsidR="00234376" w:rsidRPr="00537C3C" w:rsidRDefault="00234376" w:rsidP="008E03A7">
            <w:pPr>
              <w:pStyle w:val="TableText0"/>
              <w:keepNext w:val="0"/>
              <w:ind w:left="57" w:right="57"/>
              <w:rPr>
                <w:rFonts w:ascii="Arial Narrow" w:hAnsi="Arial Narrow" w:cs="Garamond"/>
                <w:szCs w:val="18"/>
                <w:lang w:eastAsia="en-AU"/>
              </w:rPr>
            </w:pPr>
            <w:r w:rsidRPr="00537C3C">
              <w:rPr>
                <w:rFonts w:ascii="Arial Narrow" w:hAnsi="Arial Narrow" w:cs="Garamond"/>
                <w:szCs w:val="18"/>
                <w:lang w:eastAsia="en-AU"/>
              </w:rPr>
              <w:t>Quality of included studies appraised: yes</w:t>
            </w:r>
          </w:p>
          <w:p w:rsidR="00234376" w:rsidRPr="00537C3C" w:rsidRDefault="00234376" w:rsidP="008E03A7">
            <w:pPr>
              <w:pStyle w:val="TableText0"/>
              <w:keepNext w:val="0"/>
              <w:ind w:left="57" w:right="57"/>
              <w:rPr>
                <w:rFonts w:ascii="Arial Narrow" w:hAnsi="Arial Narrow" w:cs="Garamond"/>
                <w:szCs w:val="18"/>
                <w:lang w:eastAsia="en-AU"/>
              </w:rPr>
            </w:pPr>
            <w:r w:rsidRPr="00537C3C">
              <w:rPr>
                <w:rFonts w:ascii="Arial Narrow" w:hAnsi="Arial Narrow" w:cs="Garamond"/>
                <w:szCs w:val="18"/>
                <w:lang w:eastAsia="en-AU"/>
              </w:rPr>
              <w:t>Methods of study appraisal reproducible: yes</w:t>
            </w:r>
          </w:p>
          <w:p w:rsidR="00234376" w:rsidRPr="00537C3C" w:rsidRDefault="00234376" w:rsidP="008E03A7">
            <w:pPr>
              <w:spacing w:before="40" w:after="40"/>
              <w:ind w:left="57" w:right="57"/>
              <w:rPr>
                <w:rFonts w:ascii="Arial Narrow" w:hAnsi="Arial Narrow" w:cs="Garamond"/>
                <w:sz w:val="18"/>
                <w:szCs w:val="18"/>
                <w:lang w:eastAsia="en-AU"/>
              </w:rPr>
            </w:pPr>
            <w:r w:rsidRPr="00537C3C">
              <w:rPr>
                <w:rFonts w:ascii="Arial Narrow" w:hAnsi="Arial Narrow" w:cs="Garamond"/>
                <w:sz w:val="18"/>
                <w:szCs w:val="18"/>
                <w:lang w:eastAsia="en-AU"/>
              </w:rPr>
              <w:t xml:space="preserve">Heterogeneity between studies assessed: </w:t>
            </w:r>
            <w:r w:rsidRPr="00A316F5">
              <w:rPr>
                <w:rFonts w:ascii="Arial Narrow" w:hAnsi="Arial Narrow" w:cs="Garamond"/>
                <w:sz w:val="18"/>
                <w:szCs w:val="18"/>
                <w:lang w:eastAsia="en-AU"/>
              </w:rPr>
              <w:t>N/</w:t>
            </w:r>
            <w:r w:rsidRPr="00537C3C">
              <w:rPr>
                <w:rFonts w:ascii="Arial Narrow" w:hAnsi="Arial Narrow" w:cs="Garamond"/>
                <w:sz w:val="18"/>
                <w:szCs w:val="18"/>
                <w:lang w:eastAsia="en-AU"/>
              </w:rPr>
              <w:t>A</w:t>
            </w:r>
          </w:p>
          <w:p w:rsidR="00234376" w:rsidRPr="00537C3C" w:rsidRDefault="00234376" w:rsidP="008E03A7">
            <w:pPr>
              <w:spacing w:before="40" w:after="40"/>
              <w:ind w:left="57" w:right="57"/>
              <w:rPr>
                <w:rFonts w:ascii="Arial Narrow" w:hAnsi="Arial Narrow" w:cs="Garamond"/>
                <w:sz w:val="18"/>
                <w:szCs w:val="18"/>
                <w:lang w:eastAsia="en-AU"/>
              </w:rPr>
            </w:pPr>
            <w:r w:rsidRPr="00537C3C">
              <w:rPr>
                <w:rFonts w:ascii="Arial Narrow" w:hAnsi="Arial Narrow" w:cs="Garamond"/>
                <w:sz w:val="18"/>
                <w:szCs w:val="18"/>
                <w:lang w:eastAsia="en-AU"/>
              </w:rPr>
              <w:t>Summary of main results clear and appropriate: yes</w:t>
            </w:r>
          </w:p>
          <w:p w:rsidR="00234376" w:rsidRPr="00537C3C" w:rsidRDefault="00234376" w:rsidP="008E03A7">
            <w:pPr>
              <w:spacing w:before="40" w:after="40"/>
              <w:ind w:left="57" w:right="57"/>
              <w:rPr>
                <w:rFonts w:ascii="Arial Narrow" w:hAnsi="Arial Narrow" w:cs="Garamond"/>
                <w:sz w:val="18"/>
                <w:szCs w:val="18"/>
                <w:lang w:eastAsia="en-AU"/>
              </w:rPr>
            </w:pPr>
            <w:r w:rsidRPr="00537C3C">
              <w:rPr>
                <w:rFonts w:ascii="Arial Narrow" w:hAnsi="Arial Narrow" w:cs="Garamond"/>
                <w:b/>
                <w:sz w:val="18"/>
                <w:szCs w:val="18"/>
                <w:lang w:eastAsia="en-AU"/>
              </w:rPr>
              <w:t>Applicability:</w:t>
            </w:r>
          </w:p>
          <w:p w:rsidR="00234376" w:rsidRPr="00537C3C" w:rsidRDefault="00234376" w:rsidP="008E03A7">
            <w:pPr>
              <w:spacing w:before="40" w:after="40"/>
              <w:ind w:left="57" w:right="57"/>
              <w:rPr>
                <w:rFonts w:ascii="Arial Narrow" w:hAnsi="Arial Narrow" w:cs="Garamond"/>
                <w:sz w:val="18"/>
                <w:szCs w:val="18"/>
                <w:lang w:eastAsia="en-AU"/>
              </w:rPr>
            </w:pPr>
            <w:r w:rsidRPr="00537C3C">
              <w:rPr>
                <w:rFonts w:ascii="Arial Narrow" w:hAnsi="Arial Narrow" w:cs="Garamond"/>
                <w:sz w:val="18"/>
                <w:szCs w:val="18"/>
                <w:lang w:eastAsia="en-AU"/>
              </w:rPr>
              <w:t xml:space="preserve">No information presented on currently commercially available, integrated, automated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slide-reading systems</w:t>
            </w:r>
          </w:p>
          <w:p w:rsidR="00234376" w:rsidRPr="00537C3C" w:rsidRDefault="00234376" w:rsidP="008E03A7">
            <w:pPr>
              <w:spacing w:before="40" w:after="40"/>
              <w:ind w:left="57" w:right="57"/>
              <w:rPr>
                <w:rFonts w:ascii="Arial Narrow" w:hAnsi="Arial Narrow" w:cs="Garamond"/>
                <w:sz w:val="18"/>
                <w:szCs w:val="18"/>
                <w:lang w:eastAsia="en-AU"/>
              </w:rPr>
            </w:pPr>
            <w:r w:rsidRPr="00537C3C">
              <w:rPr>
                <w:rFonts w:ascii="Arial Narrow" w:hAnsi="Arial Narrow" w:cs="Garamond"/>
                <w:sz w:val="18"/>
                <w:szCs w:val="18"/>
                <w:lang w:eastAsia="en-AU"/>
              </w:rPr>
              <w:t xml:space="preserve">Excluded studies where computer-assisted image analysis used for triage of patients with </w:t>
            </w:r>
            <w:r w:rsidRPr="00BB76D8">
              <w:rPr>
                <w:rFonts w:ascii="Arial Narrow" w:hAnsi="Arial Narrow" w:cs="Garamond"/>
                <w:sz w:val="18"/>
                <w:szCs w:val="18"/>
                <w:lang w:eastAsia="en-AU"/>
              </w:rPr>
              <w:t>ASCUS</w:t>
            </w:r>
            <w:r w:rsidRPr="00537C3C">
              <w:rPr>
                <w:rFonts w:ascii="Arial Narrow" w:hAnsi="Arial Narrow" w:cs="Garamond"/>
                <w:sz w:val="18"/>
                <w:szCs w:val="18"/>
                <w:lang w:eastAsia="en-AU"/>
              </w:rPr>
              <w:t xml:space="preserve"> or </w:t>
            </w:r>
            <w:r w:rsidRPr="00BB76D8">
              <w:rPr>
                <w:rFonts w:ascii="Arial Narrow" w:hAnsi="Arial Narrow" w:cs="Garamond"/>
                <w:sz w:val="18"/>
                <w:szCs w:val="18"/>
                <w:lang w:eastAsia="en-AU"/>
              </w:rPr>
              <w:t>AGUS</w:t>
            </w:r>
            <w:r w:rsidRPr="00537C3C">
              <w:rPr>
                <w:rFonts w:ascii="Arial Narrow" w:hAnsi="Arial Narrow" w:cs="Garamond"/>
                <w:sz w:val="18"/>
                <w:szCs w:val="18"/>
                <w:lang w:eastAsia="en-AU"/>
              </w:rPr>
              <w:t xml:space="preserve"> result. No studies excluded considered technol</w:t>
            </w:r>
            <w:r w:rsidRPr="00537C3C">
              <w:rPr>
                <w:rFonts w:ascii="Arial Narrow" w:hAnsi="Arial Narrow" w:cs="Garamond"/>
                <w:sz w:val="18"/>
                <w:szCs w:val="18"/>
                <w:lang w:eastAsia="en-AU"/>
              </w:rPr>
              <w:softHyphen/>
              <w:t>ogies currently commercially available</w:t>
            </w:r>
          </w:p>
        </w:tc>
      </w:tr>
      <w:tr w:rsidR="00234376" w:rsidRPr="00537C3C">
        <w:tc>
          <w:tcPr>
            <w:tcW w:w="14014" w:type="dxa"/>
            <w:gridSpan w:val="8"/>
          </w:tcPr>
          <w:p w:rsidR="00234376" w:rsidRPr="00537C3C" w:rsidRDefault="00234376" w:rsidP="008E03A7">
            <w:pPr>
              <w:autoSpaceDE w:val="0"/>
              <w:autoSpaceDN w:val="0"/>
              <w:adjustRightInd w:val="0"/>
              <w:spacing w:after="40"/>
              <w:ind w:left="57"/>
              <w:rPr>
                <w:rFonts w:ascii="Arial Narrow" w:hAnsi="Arial Narrow" w:cs="Garamond"/>
                <w:b/>
                <w:sz w:val="18"/>
                <w:szCs w:val="18"/>
                <w:lang w:eastAsia="en-AU"/>
              </w:rPr>
            </w:pPr>
            <w:r w:rsidRPr="00537C3C">
              <w:rPr>
                <w:rFonts w:ascii="Arial Narrow" w:hAnsi="Arial Narrow" w:cs="Garamond"/>
                <w:b/>
                <w:sz w:val="18"/>
                <w:szCs w:val="18"/>
                <w:lang w:eastAsia="en-AU"/>
              </w:rPr>
              <w:t>Results:</w:t>
            </w:r>
          </w:p>
          <w:p w:rsidR="00234376" w:rsidRPr="00537C3C" w:rsidRDefault="00234376" w:rsidP="008E03A7">
            <w:pPr>
              <w:autoSpaceDE w:val="0"/>
              <w:autoSpaceDN w:val="0"/>
              <w:adjustRightInd w:val="0"/>
              <w:spacing w:after="40"/>
              <w:ind w:left="57"/>
              <w:rPr>
                <w:rFonts w:ascii="Arial Narrow" w:hAnsi="Arial Narrow"/>
                <w:bCs/>
                <w:sz w:val="18"/>
                <w:szCs w:val="18"/>
              </w:rPr>
            </w:pPr>
            <w:r w:rsidRPr="00537C3C">
              <w:rPr>
                <w:rFonts w:ascii="Arial Narrow" w:hAnsi="Arial Narrow" w:cs="Garamond"/>
                <w:sz w:val="18"/>
                <w:szCs w:val="18"/>
                <w:lang w:eastAsia="en-AU"/>
              </w:rPr>
              <w:t xml:space="preserve">The </w:t>
            </w:r>
            <w:r w:rsidRPr="00BB76D8">
              <w:rPr>
                <w:rFonts w:ascii="Arial Narrow" w:hAnsi="Arial Narrow" w:cs="Garamond"/>
                <w:sz w:val="18"/>
                <w:szCs w:val="18"/>
                <w:lang w:eastAsia="en-AU"/>
              </w:rPr>
              <w:t>HTA</w:t>
            </w:r>
            <w:r w:rsidRPr="00537C3C">
              <w:rPr>
                <w:rFonts w:ascii="Arial Narrow" w:hAnsi="Arial Narrow" w:cs="Garamond"/>
                <w:sz w:val="18"/>
                <w:szCs w:val="18"/>
                <w:lang w:eastAsia="en-AU"/>
              </w:rPr>
              <w:t xml:space="preserve"> report by </w:t>
            </w:r>
            <w:r w:rsidRPr="00537C3C">
              <w:rPr>
                <w:rFonts w:ascii="Arial Narrow" w:hAnsi="Arial Narrow"/>
                <w:bCs/>
                <w:sz w:val="18"/>
                <w:szCs w:val="18"/>
              </w:rPr>
              <w:t>Broadstock 2000 (NZ</w:t>
            </w:r>
            <w:r w:rsidRPr="00BB76D8">
              <w:rPr>
                <w:rFonts w:ascii="Arial Narrow" w:hAnsi="Arial Narrow"/>
                <w:bCs/>
                <w:sz w:val="18"/>
                <w:szCs w:val="18"/>
              </w:rPr>
              <w:t>HTA</w:t>
            </w:r>
            <w:r w:rsidRPr="00537C3C">
              <w:rPr>
                <w:rFonts w:ascii="Arial Narrow" w:hAnsi="Arial Narrow"/>
                <w:bCs/>
                <w:sz w:val="18"/>
                <w:szCs w:val="18"/>
              </w:rPr>
              <w:t>) included only studies of AutoPap, system which is used in conjunction with conventional slides.</w:t>
            </w:r>
          </w:p>
          <w:p w:rsidR="00234376" w:rsidRPr="00537C3C" w:rsidRDefault="00234376" w:rsidP="008E03A7">
            <w:pPr>
              <w:autoSpaceDE w:val="0"/>
              <w:autoSpaceDN w:val="0"/>
              <w:adjustRightInd w:val="0"/>
              <w:spacing w:after="40"/>
              <w:ind w:left="57"/>
              <w:rPr>
                <w:rFonts w:ascii="Arial Narrow" w:hAnsi="Arial Narrow"/>
                <w:bCs/>
                <w:sz w:val="18"/>
                <w:szCs w:val="18"/>
              </w:rPr>
            </w:pPr>
            <w:r w:rsidRPr="00537C3C">
              <w:rPr>
                <w:rFonts w:ascii="Arial Narrow" w:hAnsi="Arial Narrow"/>
                <w:bCs/>
                <w:sz w:val="18"/>
                <w:szCs w:val="18"/>
              </w:rPr>
              <w:t>The A</w:t>
            </w:r>
            <w:r w:rsidRPr="00BB76D8">
              <w:rPr>
                <w:rFonts w:ascii="Arial Narrow" w:hAnsi="Arial Narrow"/>
                <w:bCs/>
                <w:sz w:val="18"/>
                <w:szCs w:val="18"/>
              </w:rPr>
              <w:t>HTA</w:t>
            </w:r>
            <w:r w:rsidRPr="00537C3C">
              <w:rPr>
                <w:rFonts w:ascii="Arial Narrow" w:hAnsi="Arial Narrow"/>
                <w:bCs/>
                <w:sz w:val="18"/>
                <w:szCs w:val="18"/>
              </w:rPr>
              <w:t>C 1998 report also reviewed AutoPap, in addition to PAPNET and AutoCyte Screen, which are used for rescreening conventional slides.</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bCs/>
                <w:sz w:val="18"/>
                <w:szCs w:val="18"/>
              </w:rPr>
              <w:t>The systematic review by Hartmann et al. 2001 (</w:t>
            </w:r>
            <w:bookmarkStart w:id="845" w:name="OLE_LINK290"/>
            <w:bookmarkStart w:id="846" w:name="OLE_LINK291"/>
            <w:r w:rsidRPr="00537C3C">
              <w:rPr>
                <w:rFonts w:ascii="Arial Narrow" w:hAnsi="Arial Narrow"/>
                <w:bCs/>
                <w:sz w:val="18"/>
                <w:szCs w:val="18"/>
              </w:rPr>
              <w:t>AHCPR</w:t>
            </w:r>
            <w:bookmarkEnd w:id="845"/>
            <w:bookmarkEnd w:id="846"/>
            <w:r w:rsidRPr="00537C3C">
              <w:rPr>
                <w:rFonts w:ascii="Arial Narrow" w:hAnsi="Arial Narrow"/>
                <w:bCs/>
                <w:sz w:val="18"/>
                <w:szCs w:val="18"/>
              </w:rPr>
              <w:t>) did not identify any studies that met the selection criteria.</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The two included </w:t>
            </w:r>
            <w:r w:rsidRPr="00BB76D8">
              <w:rPr>
                <w:rFonts w:ascii="Arial Narrow" w:hAnsi="Arial Narrow" w:cs="Garamond"/>
                <w:sz w:val="18"/>
                <w:szCs w:val="18"/>
                <w:lang w:eastAsia="en-AU"/>
              </w:rPr>
              <w:t>HTA</w:t>
            </w:r>
            <w:r w:rsidRPr="00537C3C">
              <w:rPr>
                <w:rFonts w:ascii="Arial Narrow" w:hAnsi="Arial Narrow" w:cs="Garamond"/>
                <w:sz w:val="18"/>
                <w:szCs w:val="18"/>
                <w:lang w:eastAsia="en-AU"/>
              </w:rPr>
              <w:t>s by Broadstock 2000 (NZ</w:t>
            </w:r>
            <w:r w:rsidRPr="00BB76D8">
              <w:rPr>
                <w:rFonts w:ascii="Arial Narrow" w:hAnsi="Arial Narrow" w:cs="Garamond"/>
                <w:sz w:val="18"/>
                <w:szCs w:val="18"/>
                <w:lang w:eastAsia="en-AU"/>
              </w:rPr>
              <w:t>HTA</w:t>
            </w:r>
            <w:r w:rsidRPr="00537C3C">
              <w:rPr>
                <w:rFonts w:ascii="Arial Narrow" w:hAnsi="Arial Narrow" w:cs="Garamond"/>
                <w:sz w:val="18"/>
                <w:szCs w:val="18"/>
                <w:lang w:eastAsia="en-AU"/>
              </w:rPr>
              <w:t>) and A</w:t>
            </w:r>
            <w:r w:rsidRPr="00BB76D8">
              <w:rPr>
                <w:rFonts w:ascii="Arial Narrow" w:hAnsi="Arial Narrow" w:cs="Garamond"/>
                <w:sz w:val="18"/>
                <w:szCs w:val="18"/>
                <w:lang w:eastAsia="en-AU"/>
              </w:rPr>
              <w:t>HTA</w:t>
            </w:r>
            <w:r w:rsidRPr="00537C3C">
              <w:rPr>
                <w:rFonts w:ascii="Arial Narrow" w:hAnsi="Arial Narrow" w:cs="Garamond"/>
                <w:sz w:val="18"/>
                <w:szCs w:val="18"/>
                <w:lang w:eastAsia="en-AU"/>
              </w:rPr>
              <w:t>C 1998 both found that there was insufficient evidence to support firm conclusions about the performance of these technologies, and that estimates of test sensitivity and specificity could not be reliably determined.</w:t>
            </w:r>
          </w:p>
        </w:tc>
      </w:tr>
      <w:tr w:rsidR="00234376" w:rsidRPr="00537C3C">
        <w:tc>
          <w:tcPr>
            <w:tcW w:w="1679" w:type="dxa"/>
          </w:tcPr>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 xml:space="preserve">MSAC </w:t>
            </w:r>
            <w:r w:rsidRPr="00537C3C">
              <w:rPr>
                <w:rFonts w:ascii="Arial Narrow" w:hAnsi="Arial Narrow"/>
                <w:bCs/>
                <w:sz w:val="18"/>
                <w:szCs w:val="18"/>
              </w:rPr>
              <w:fldChar w:fldCharType="begin"/>
            </w:r>
            <w:r w:rsidRPr="00537C3C">
              <w:rPr>
                <w:rFonts w:ascii="Arial Narrow" w:hAnsi="Arial Narrow"/>
                <w:bCs/>
                <w:sz w:val="18"/>
                <w:szCs w:val="18"/>
              </w:rPr>
              <w:instrText xml:space="preserve"> ADDIN REFMGR.CITE &lt;Refman&gt;&lt;Cite&gt;&lt;Author&gt;Medical Services Advisory Committee&lt;/Author&gt;&lt;Year&gt;2002&lt;/Year&gt;&lt;RecNum&gt;2850&lt;/RecNum&gt;&lt;IDText&gt;Liquid based cytology for cervical screening&lt;/IDText&gt;&lt;MDL Ref_Type="Report"&gt;&lt;Ref_Type&gt;Report&lt;/Ref_Type&gt;&lt;Ref_ID&gt;2850&lt;/Ref_ID&gt;&lt;Title_Primary&gt;Liquid based cytology for cervical screening&lt;/Title_Primary&gt;&lt;Authors_Primary&gt;Medical Services Advisory Committee&lt;/Authors_Primary&gt;&lt;Date_Primary&gt;2002&lt;/Date_Primary&gt;&lt;Reprint&gt;In File&lt;/Reprint&gt;&lt;Volume&gt;Reference 12a&lt;/Volume&gt;&lt;Pub_Place&gt;Canberra&lt;/Pub_Place&gt;&lt;Publisher&gt;Commonwealth of Australia&lt;/Publisher&gt;&lt;Web_URL&gt;&lt;u&gt;www.msac.gov.au&lt;/u&gt;&lt;/Web_URL&gt;&lt;ZZ_WorkformID&gt;24&lt;/ZZ_WorkformID&gt;&lt;/MDL&gt;&lt;/Cite&gt;&lt;/Refman&gt;</w:instrText>
            </w:r>
            <w:r w:rsidRPr="00537C3C">
              <w:rPr>
                <w:rFonts w:ascii="Arial Narrow" w:hAnsi="Arial Narrow"/>
                <w:bCs/>
                <w:sz w:val="18"/>
                <w:szCs w:val="18"/>
              </w:rPr>
              <w:fldChar w:fldCharType="separate"/>
            </w:r>
            <w:r w:rsidRPr="00537C3C">
              <w:rPr>
                <w:rFonts w:ascii="Arial Narrow" w:hAnsi="Arial Narrow"/>
                <w:bCs/>
                <w:sz w:val="18"/>
                <w:szCs w:val="18"/>
              </w:rPr>
              <w:t>(Medical Services Advisory Committee 2002b)</w:t>
            </w:r>
            <w:r w:rsidRPr="00537C3C">
              <w:rPr>
                <w:rFonts w:ascii="Arial Narrow" w:hAnsi="Arial Narrow"/>
                <w:bCs/>
                <w:sz w:val="18"/>
                <w:szCs w:val="18"/>
              </w:rPr>
              <w:fldChar w:fldCharType="end"/>
            </w: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lastRenderedPageBreak/>
              <w:t>Reference 12a</w:t>
            </w:r>
          </w:p>
          <w:p w:rsidR="00234376" w:rsidRPr="00537C3C" w:rsidRDefault="00234376" w:rsidP="008E03A7">
            <w:pPr>
              <w:spacing w:before="40" w:after="40"/>
              <w:ind w:left="57" w:right="57"/>
              <w:rPr>
                <w:rFonts w:ascii="Arial Narrow" w:hAnsi="Arial Narrow"/>
                <w:bCs/>
                <w:sz w:val="18"/>
                <w:szCs w:val="18"/>
              </w:rPr>
            </w:pPr>
          </w:p>
          <w:p w:rsidR="00234376" w:rsidRPr="00537C3C" w:rsidRDefault="00234376" w:rsidP="008E03A7">
            <w:pPr>
              <w:spacing w:before="40" w:after="40"/>
              <w:ind w:left="57" w:right="57"/>
              <w:rPr>
                <w:rFonts w:ascii="Arial Narrow" w:hAnsi="Arial Narrow"/>
                <w:bCs/>
                <w:sz w:val="18"/>
                <w:szCs w:val="18"/>
              </w:rPr>
            </w:pPr>
            <w:smartTag w:uri="urn:schemas-microsoft-com:office:smarttags" w:element="place">
              <w:smartTag w:uri="urn:schemas-microsoft-com:office:smarttags" w:element="country-region">
                <w:r w:rsidRPr="00537C3C">
                  <w:rPr>
                    <w:rFonts w:ascii="Arial Narrow" w:hAnsi="Arial Narrow"/>
                    <w:bCs/>
                    <w:sz w:val="18"/>
                    <w:szCs w:val="18"/>
                  </w:rPr>
                  <w:t>Australia</w:t>
                </w:r>
              </w:smartTag>
            </w:smartTag>
          </w:p>
        </w:tc>
        <w:tc>
          <w:tcPr>
            <w:tcW w:w="2339" w:type="dxa"/>
          </w:tcPr>
          <w:p w:rsidR="00234376" w:rsidRPr="00537C3C" w:rsidRDefault="00234376" w:rsidP="008E03A7">
            <w:pPr>
              <w:autoSpaceDE w:val="0"/>
              <w:autoSpaceDN w:val="0"/>
              <w:adjustRightInd w:val="0"/>
              <w:ind w:left="45"/>
              <w:rPr>
                <w:rFonts w:ascii="Arial Narrow" w:hAnsi="Arial Narrow"/>
                <w:bCs/>
                <w:sz w:val="18"/>
                <w:szCs w:val="18"/>
              </w:rPr>
            </w:pPr>
            <w:r w:rsidRPr="00537C3C">
              <w:rPr>
                <w:rFonts w:ascii="Arial Narrow" w:hAnsi="Arial Narrow"/>
                <w:bCs/>
                <w:sz w:val="18"/>
                <w:szCs w:val="18"/>
              </w:rPr>
              <w:lastRenderedPageBreak/>
              <w:t xml:space="preserve">To conduct a review of the literature and cost-effectiveness analysis of LBC for cervical </w:t>
            </w:r>
            <w:r w:rsidRPr="00537C3C">
              <w:rPr>
                <w:rFonts w:ascii="Arial Narrow" w:hAnsi="Arial Narrow"/>
                <w:bCs/>
                <w:sz w:val="18"/>
                <w:szCs w:val="18"/>
              </w:rPr>
              <w:lastRenderedPageBreak/>
              <w:t>screening cytology</w:t>
            </w:r>
          </w:p>
          <w:p w:rsidR="00234376" w:rsidRPr="00537C3C" w:rsidRDefault="00234376" w:rsidP="008E03A7">
            <w:pPr>
              <w:autoSpaceDE w:val="0"/>
              <w:autoSpaceDN w:val="0"/>
              <w:adjustRightInd w:val="0"/>
              <w:ind w:left="45"/>
              <w:rPr>
                <w:rFonts w:ascii="Arial Narrow" w:hAnsi="Arial Narrow"/>
                <w:bCs/>
                <w:sz w:val="18"/>
                <w:szCs w:val="18"/>
              </w:rPr>
            </w:pPr>
          </w:p>
          <w:p w:rsidR="00234376" w:rsidRPr="00537C3C" w:rsidRDefault="00234376" w:rsidP="008E03A7">
            <w:pPr>
              <w:autoSpaceDE w:val="0"/>
              <w:autoSpaceDN w:val="0"/>
              <w:adjustRightInd w:val="0"/>
              <w:ind w:left="45"/>
              <w:rPr>
                <w:rFonts w:ascii="Arial Narrow" w:hAnsi="Arial Narrow"/>
                <w:bCs/>
                <w:sz w:val="18"/>
                <w:szCs w:val="18"/>
                <w:u w:val="single"/>
              </w:rPr>
            </w:pPr>
            <w:r w:rsidRPr="00537C3C">
              <w:rPr>
                <w:rFonts w:ascii="Arial Narrow" w:hAnsi="Arial Narrow"/>
                <w:bCs/>
                <w:sz w:val="18"/>
                <w:szCs w:val="18"/>
                <w:u w:val="single"/>
              </w:rPr>
              <w:t>Search</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Jan 2000 to April 2002</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 xml:space="preserve">Cochrane Library, MEDLINE, PreMEDLINE, Current Contents, Biological Abstracts, </w:t>
            </w:r>
            <w:r w:rsidRPr="00BB76D8">
              <w:rPr>
                <w:rFonts w:ascii="Arial Narrow" w:hAnsi="Arial Narrow"/>
                <w:bCs/>
                <w:sz w:val="18"/>
                <w:szCs w:val="18"/>
              </w:rPr>
              <w:t>CIN</w:t>
            </w:r>
            <w:r w:rsidRPr="00537C3C">
              <w:rPr>
                <w:rFonts w:ascii="Arial Narrow" w:hAnsi="Arial Narrow"/>
                <w:bCs/>
                <w:sz w:val="18"/>
                <w:szCs w:val="18"/>
              </w:rPr>
              <w:t xml:space="preserve">AHL, EBM reviews, </w:t>
            </w:r>
            <w:r w:rsidRPr="00BB76D8">
              <w:rPr>
                <w:rFonts w:ascii="Arial Narrow" w:hAnsi="Arial Narrow"/>
                <w:bCs/>
                <w:sz w:val="18"/>
                <w:szCs w:val="18"/>
              </w:rPr>
              <w:t>HTA</w:t>
            </w:r>
            <w:r w:rsidRPr="00537C3C">
              <w:rPr>
                <w:rFonts w:ascii="Arial Narrow" w:hAnsi="Arial Narrow"/>
                <w:bCs/>
                <w:sz w:val="18"/>
                <w:szCs w:val="18"/>
              </w:rPr>
              <w:t xml:space="preserve"> databases &amp; websites</w:t>
            </w:r>
          </w:p>
        </w:tc>
        <w:tc>
          <w:tcPr>
            <w:tcW w:w="2258" w:type="dxa"/>
            <w:gridSpan w:val="2"/>
          </w:tcPr>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lastRenderedPageBreak/>
              <w:t>Systematic review and modelled economic analysis.</w:t>
            </w:r>
          </w:p>
          <w:p w:rsidR="00234376" w:rsidRPr="00537C3C" w:rsidRDefault="00234376" w:rsidP="008E03A7">
            <w:pPr>
              <w:spacing w:before="40" w:after="40"/>
              <w:ind w:left="57" w:right="57"/>
              <w:rPr>
                <w:rFonts w:ascii="Arial Narrow" w:hAnsi="Arial Narrow"/>
                <w:bCs/>
                <w:sz w:val="18"/>
                <w:szCs w:val="18"/>
                <w:u w:val="single"/>
              </w:rPr>
            </w:pPr>
            <w:r w:rsidRPr="00537C3C">
              <w:rPr>
                <w:rFonts w:ascii="Arial Narrow" w:hAnsi="Arial Narrow"/>
                <w:bCs/>
                <w:sz w:val="18"/>
                <w:szCs w:val="18"/>
                <w:u w:val="single"/>
              </w:rPr>
              <w:t>Included studies</w:t>
            </w: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lastRenderedPageBreak/>
              <w:t xml:space="preserve">5 </w:t>
            </w:r>
            <w:r w:rsidRPr="00BB76D8">
              <w:rPr>
                <w:rFonts w:ascii="Arial Narrow" w:hAnsi="Arial Narrow"/>
                <w:bCs/>
                <w:sz w:val="18"/>
                <w:szCs w:val="18"/>
              </w:rPr>
              <w:t>HTA</w:t>
            </w:r>
            <w:r w:rsidRPr="00537C3C">
              <w:rPr>
                <w:rFonts w:ascii="Arial Narrow" w:hAnsi="Arial Narrow"/>
                <w:bCs/>
                <w:sz w:val="18"/>
                <w:szCs w:val="18"/>
              </w:rPr>
              <w:t>s/systematic reviews:</w:t>
            </w:r>
          </w:p>
          <w:p w:rsidR="00234376" w:rsidRPr="00537C3C" w:rsidRDefault="00234376" w:rsidP="00600AC0">
            <w:pPr>
              <w:numPr>
                <w:ilvl w:val="0"/>
                <w:numId w:val="4"/>
              </w:numPr>
              <w:tabs>
                <w:tab w:val="clear" w:pos="170"/>
                <w:tab w:val="num" w:pos="215"/>
              </w:tabs>
              <w:autoSpaceDE w:val="0"/>
              <w:autoSpaceDN w:val="0"/>
              <w:adjustRightInd w:val="0"/>
              <w:spacing w:after="40"/>
              <w:ind w:left="182" w:hanging="137"/>
              <w:rPr>
                <w:rFonts w:ascii="Arial Narrow" w:hAnsi="Arial Narrow"/>
                <w:bCs/>
                <w:sz w:val="18"/>
                <w:szCs w:val="18"/>
              </w:rPr>
            </w:pPr>
            <w:r w:rsidRPr="00537C3C">
              <w:rPr>
                <w:rFonts w:ascii="Arial Narrow" w:hAnsi="Arial Narrow"/>
                <w:bCs/>
                <w:sz w:val="18"/>
                <w:szCs w:val="18"/>
              </w:rPr>
              <w:t>Broadstock NZ</w:t>
            </w:r>
            <w:r w:rsidRPr="00BB76D8">
              <w:rPr>
                <w:rFonts w:ascii="Arial Narrow" w:hAnsi="Arial Narrow"/>
                <w:bCs/>
                <w:sz w:val="18"/>
                <w:szCs w:val="18"/>
              </w:rPr>
              <w:t>HTA</w:t>
            </w:r>
            <w:r w:rsidRPr="00537C3C">
              <w:rPr>
                <w:rFonts w:ascii="Arial Narrow" w:hAnsi="Arial Narrow"/>
                <w:bCs/>
                <w:sz w:val="18"/>
                <w:szCs w:val="18"/>
              </w:rPr>
              <w:t xml:space="preserve"> 2000</w:t>
            </w:r>
          </w:p>
          <w:p w:rsidR="00234376" w:rsidRPr="00537C3C" w:rsidRDefault="00234376" w:rsidP="00600AC0">
            <w:pPr>
              <w:numPr>
                <w:ilvl w:val="0"/>
                <w:numId w:val="4"/>
              </w:numPr>
              <w:tabs>
                <w:tab w:val="clear" w:pos="170"/>
                <w:tab w:val="num" w:pos="215"/>
              </w:tabs>
              <w:autoSpaceDE w:val="0"/>
              <w:autoSpaceDN w:val="0"/>
              <w:adjustRightInd w:val="0"/>
              <w:spacing w:after="40"/>
              <w:ind w:left="182" w:hanging="137"/>
              <w:rPr>
                <w:rFonts w:ascii="Arial Narrow" w:hAnsi="Arial Narrow"/>
                <w:bCs/>
                <w:sz w:val="18"/>
                <w:szCs w:val="18"/>
              </w:rPr>
            </w:pPr>
            <w:r w:rsidRPr="00537C3C">
              <w:rPr>
                <w:rFonts w:ascii="Arial Narrow" w:hAnsi="Arial Narrow"/>
                <w:bCs/>
                <w:sz w:val="18"/>
                <w:szCs w:val="18"/>
              </w:rPr>
              <w:t>Hartmann et al. 2001</w:t>
            </w:r>
          </w:p>
          <w:p w:rsidR="00234376" w:rsidRPr="00537C3C" w:rsidRDefault="00234376" w:rsidP="00600AC0">
            <w:pPr>
              <w:numPr>
                <w:ilvl w:val="0"/>
                <w:numId w:val="4"/>
              </w:numPr>
              <w:tabs>
                <w:tab w:val="clear" w:pos="170"/>
                <w:tab w:val="num" w:pos="215"/>
              </w:tabs>
              <w:autoSpaceDE w:val="0"/>
              <w:autoSpaceDN w:val="0"/>
              <w:adjustRightInd w:val="0"/>
              <w:spacing w:after="40"/>
              <w:ind w:left="182" w:hanging="137"/>
              <w:rPr>
                <w:rFonts w:ascii="Arial Narrow" w:hAnsi="Arial Narrow"/>
                <w:bCs/>
                <w:sz w:val="18"/>
                <w:szCs w:val="18"/>
              </w:rPr>
            </w:pPr>
            <w:bookmarkStart w:id="847" w:name="OLE_LINK433"/>
            <w:bookmarkStart w:id="848" w:name="OLE_LINK434"/>
            <w:r w:rsidRPr="00537C3C">
              <w:rPr>
                <w:rFonts w:ascii="Arial Narrow" w:hAnsi="Arial Narrow"/>
                <w:bCs/>
                <w:sz w:val="18"/>
                <w:szCs w:val="18"/>
              </w:rPr>
              <w:t xml:space="preserve">Sulik </w:t>
            </w:r>
            <w:bookmarkEnd w:id="847"/>
            <w:bookmarkEnd w:id="848"/>
            <w:r w:rsidRPr="00537C3C">
              <w:rPr>
                <w:rFonts w:ascii="Arial Narrow" w:hAnsi="Arial Narrow"/>
                <w:bCs/>
                <w:sz w:val="18"/>
                <w:szCs w:val="18"/>
              </w:rPr>
              <w:t>2001</w:t>
            </w:r>
          </w:p>
          <w:p w:rsidR="00234376" w:rsidRPr="00537C3C" w:rsidRDefault="00234376" w:rsidP="00600AC0">
            <w:pPr>
              <w:numPr>
                <w:ilvl w:val="0"/>
                <w:numId w:val="4"/>
              </w:numPr>
              <w:tabs>
                <w:tab w:val="clear" w:pos="170"/>
                <w:tab w:val="num" w:pos="215"/>
              </w:tabs>
              <w:autoSpaceDE w:val="0"/>
              <w:autoSpaceDN w:val="0"/>
              <w:adjustRightInd w:val="0"/>
              <w:spacing w:after="40"/>
              <w:ind w:left="182" w:hanging="137"/>
              <w:rPr>
                <w:rFonts w:ascii="Arial Narrow" w:hAnsi="Arial Narrow"/>
                <w:bCs/>
                <w:sz w:val="18"/>
                <w:szCs w:val="18"/>
              </w:rPr>
            </w:pPr>
            <w:r w:rsidRPr="00537C3C">
              <w:rPr>
                <w:rFonts w:ascii="Arial Narrow" w:hAnsi="Arial Narrow"/>
                <w:bCs/>
                <w:sz w:val="18"/>
                <w:szCs w:val="18"/>
              </w:rPr>
              <w:t>Moseley &amp; Paget 2002</w:t>
            </w:r>
          </w:p>
          <w:p w:rsidR="00234376" w:rsidRPr="00537C3C" w:rsidRDefault="00234376" w:rsidP="00600AC0">
            <w:pPr>
              <w:numPr>
                <w:ilvl w:val="0"/>
                <w:numId w:val="4"/>
              </w:numPr>
              <w:tabs>
                <w:tab w:val="clear" w:pos="170"/>
                <w:tab w:val="num" w:pos="215"/>
              </w:tabs>
              <w:autoSpaceDE w:val="0"/>
              <w:autoSpaceDN w:val="0"/>
              <w:adjustRightInd w:val="0"/>
              <w:spacing w:after="40"/>
              <w:ind w:left="182" w:hanging="137"/>
              <w:rPr>
                <w:rFonts w:ascii="Arial Narrow" w:hAnsi="Arial Narrow"/>
                <w:bCs/>
                <w:sz w:val="18"/>
                <w:szCs w:val="18"/>
              </w:rPr>
            </w:pPr>
            <w:r w:rsidRPr="00537C3C">
              <w:rPr>
                <w:rFonts w:ascii="Arial Narrow" w:hAnsi="Arial Narrow"/>
                <w:bCs/>
                <w:sz w:val="18"/>
                <w:szCs w:val="18"/>
              </w:rPr>
              <w:t>Bernstein 2001 meta-analysis (ThinPrep)</w:t>
            </w:r>
          </w:p>
          <w:p w:rsidR="00234376" w:rsidRPr="00537C3C" w:rsidRDefault="00234376" w:rsidP="008E03A7">
            <w:pPr>
              <w:autoSpaceDE w:val="0"/>
              <w:autoSpaceDN w:val="0"/>
              <w:adjustRightInd w:val="0"/>
              <w:spacing w:after="40"/>
              <w:ind w:left="57"/>
              <w:rPr>
                <w:rFonts w:ascii="Arial Narrow" w:hAnsi="Arial Narrow"/>
                <w:bCs/>
                <w:sz w:val="18"/>
                <w:szCs w:val="18"/>
              </w:rPr>
            </w:pPr>
            <w:r w:rsidRPr="00537C3C">
              <w:rPr>
                <w:rFonts w:ascii="Arial Narrow" w:hAnsi="Arial Narrow"/>
                <w:bCs/>
                <w:sz w:val="18"/>
                <w:szCs w:val="18"/>
              </w:rPr>
              <w:t>7 primary studies:</w:t>
            </w:r>
          </w:p>
          <w:p w:rsidR="00234376" w:rsidRPr="00537C3C" w:rsidRDefault="00234376" w:rsidP="00600AC0">
            <w:pPr>
              <w:numPr>
                <w:ilvl w:val="0"/>
                <w:numId w:val="4"/>
              </w:numPr>
              <w:tabs>
                <w:tab w:val="clear" w:pos="170"/>
                <w:tab w:val="num" w:pos="215"/>
              </w:tabs>
              <w:autoSpaceDE w:val="0"/>
              <w:autoSpaceDN w:val="0"/>
              <w:adjustRightInd w:val="0"/>
              <w:spacing w:after="40"/>
              <w:ind w:left="182" w:hanging="137"/>
              <w:rPr>
                <w:rFonts w:ascii="Arial Narrow" w:hAnsi="Arial Narrow"/>
                <w:bCs/>
                <w:sz w:val="18"/>
                <w:szCs w:val="18"/>
              </w:rPr>
            </w:pPr>
            <w:r w:rsidRPr="00537C3C">
              <w:rPr>
                <w:rFonts w:ascii="Arial Narrow" w:hAnsi="Arial Narrow"/>
                <w:bCs/>
                <w:sz w:val="18"/>
                <w:szCs w:val="18"/>
              </w:rPr>
              <w:t>2 split-sample studies</w:t>
            </w:r>
          </w:p>
          <w:p w:rsidR="00234376" w:rsidRPr="00537C3C" w:rsidRDefault="00234376" w:rsidP="00600AC0">
            <w:pPr>
              <w:numPr>
                <w:ilvl w:val="0"/>
                <w:numId w:val="4"/>
              </w:numPr>
              <w:tabs>
                <w:tab w:val="clear" w:pos="170"/>
                <w:tab w:val="num" w:pos="215"/>
              </w:tabs>
              <w:autoSpaceDE w:val="0"/>
              <w:autoSpaceDN w:val="0"/>
              <w:adjustRightInd w:val="0"/>
              <w:spacing w:after="40"/>
              <w:ind w:left="182" w:hanging="137"/>
              <w:rPr>
                <w:rFonts w:ascii="Arial Narrow" w:hAnsi="Arial Narrow"/>
                <w:bCs/>
                <w:sz w:val="18"/>
                <w:szCs w:val="18"/>
              </w:rPr>
            </w:pPr>
            <w:r w:rsidRPr="00537C3C">
              <w:rPr>
                <w:rFonts w:ascii="Arial Narrow" w:hAnsi="Arial Narrow"/>
                <w:bCs/>
                <w:sz w:val="18"/>
                <w:szCs w:val="18"/>
              </w:rPr>
              <w:t xml:space="preserve">1 </w:t>
            </w:r>
            <w:r w:rsidRPr="00BB76D8">
              <w:rPr>
                <w:rFonts w:ascii="Arial Narrow" w:hAnsi="Arial Narrow"/>
                <w:bCs/>
                <w:sz w:val="18"/>
                <w:szCs w:val="18"/>
              </w:rPr>
              <w:t>RCT</w:t>
            </w:r>
          </w:p>
          <w:p w:rsidR="00234376" w:rsidRPr="00537C3C" w:rsidRDefault="00234376" w:rsidP="00600AC0">
            <w:pPr>
              <w:numPr>
                <w:ilvl w:val="0"/>
                <w:numId w:val="4"/>
              </w:numPr>
              <w:tabs>
                <w:tab w:val="clear" w:pos="170"/>
                <w:tab w:val="num" w:pos="215"/>
              </w:tabs>
              <w:autoSpaceDE w:val="0"/>
              <w:autoSpaceDN w:val="0"/>
              <w:adjustRightInd w:val="0"/>
              <w:spacing w:after="40"/>
              <w:ind w:left="182" w:hanging="137"/>
              <w:rPr>
                <w:rFonts w:ascii="Arial Narrow" w:hAnsi="Arial Narrow"/>
                <w:bCs/>
                <w:sz w:val="18"/>
                <w:szCs w:val="18"/>
              </w:rPr>
            </w:pPr>
            <w:r w:rsidRPr="00537C3C">
              <w:rPr>
                <w:rFonts w:ascii="Arial Narrow" w:hAnsi="Arial Narrow"/>
                <w:bCs/>
                <w:sz w:val="18"/>
                <w:szCs w:val="18"/>
              </w:rPr>
              <w:t>2 historical control studies</w:t>
            </w:r>
          </w:p>
          <w:p w:rsidR="00234376" w:rsidRPr="00537C3C" w:rsidRDefault="00234376" w:rsidP="00600AC0">
            <w:pPr>
              <w:numPr>
                <w:ilvl w:val="0"/>
                <w:numId w:val="4"/>
              </w:numPr>
              <w:tabs>
                <w:tab w:val="clear" w:pos="170"/>
                <w:tab w:val="num" w:pos="215"/>
              </w:tabs>
              <w:autoSpaceDE w:val="0"/>
              <w:autoSpaceDN w:val="0"/>
              <w:adjustRightInd w:val="0"/>
              <w:spacing w:after="40"/>
              <w:ind w:left="182" w:hanging="137"/>
              <w:rPr>
                <w:rFonts w:ascii="Arial Narrow" w:hAnsi="Arial Narrow"/>
                <w:bCs/>
                <w:sz w:val="18"/>
                <w:szCs w:val="18"/>
              </w:rPr>
            </w:pPr>
            <w:r w:rsidRPr="00537C3C">
              <w:rPr>
                <w:rFonts w:ascii="Arial Narrow" w:hAnsi="Arial Narrow"/>
                <w:bCs/>
                <w:sz w:val="18"/>
                <w:szCs w:val="18"/>
              </w:rPr>
              <w:t>1 study with historical &amp; concurrent controls</w:t>
            </w:r>
          </w:p>
          <w:p w:rsidR="00234376" w:rsidRPr="00537C3C" w:rsidRDefault="00234376" w:rsidP="00600AC0">
            <w:pPr>
              <w:numPr>
                <w:ilvl w:val="0"/>
                <w:numId w:val="4"/>
              </w:numPr>
              <w:tabs>
                <w:tab w:val="clear" w:pos="170"/>
                <w:tab w:val="num" w:pos="215"/>
              </w:tabs>
              <w:autoSpaceDE w:val="0"/>
              <w:autoSpaceDN w:val="0"/>
              <w:adjustRightInd w:val="0"/>
              <w:spacing w:after="40"/>
              <w:ind w:left="182" w:hanging="137"/>
              <w:rPr>
                <w:rFonts w:ascii="Arial Narrow" w:hAnsi="Arial Narrow"/>
                <w:bCs/>
                <w:sz w:val="18"/>
                <w:szCs w:val="18"/>
              </w:rPr>
            </w:pPr>
            <w:r w:rsidRPr="00537C3C">
              <w:rPr>
                <w:rFonts w:ascii="Arial Narrow" w:hAnsi="Arial Narrow"/>
                <w:bCs/>
                <w:sz w:val="18"/>
                <w:szCs w:val="18"/>
              </w:rPr>
              <w:t>1 prospective independent sample study</w:t>
            </w:r>
          </w:p>
        </w:tc>
        <w:tc>
          <w:tcPr>
            <w:tcW w:w="2067" w:type="dxa"/>
          </w:tcPr>
          <w:p w:rsidR="00234376" w:rsidRPr="00537C3C" w:rsidRDefault="00234376" w:rsidP="008E03A7">
            <w:pPr>
              <w:spacing w:before="40" w:after="40"/>
              <w:ind w:left="57" w:right="57"/>
              <w:rPr>
                <w:rFonts w:ascii="Arial Narrow" w:hAnsi="Arial Narrow"/>
                <w:b/>
                <w:bCs/>
                <w:sz w:val="18"/>
                <w:szCs w:val="18"/>
              </w:rPr>
            </w:pPr>
            <w:r w:rsidRPr="00537C3C">
              <w:rPr>
                <w:rFonts w:ascii="Arial Narrow" w:hAnsi="Arial Narrow"/>
                <w:b/>
                <w:bCs/>
                <w:sz w:val="18"/>
                <w:szCs w:val="18"/>
              </w:rPr>
              <w:lastRenderedPageBreak/>
              <w:t>Population</w:t>
            </w: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Women undergoing cervical screening</w:t>
            </w:r>
          </w:p>
          <w:p w:rsidR="00234376" w:rsidRPr="00537C3C" w:rsidRDefault="00234376" w:rsidP="008E03A7">
            <w:pPr>
              <w:autoSpaceDE w:val="0"/>
              <w:autoSpaceDN w:val="0"/>
              <w:adjustRightInd w:val="0"/>
              <w:ind w:left="57"/>
              <w:rPr>
                <w:rFonts w:ascii="Arial Narrow" w:hAnsi="Arial Narrow"/>
                <w:b/>
                <w:bCs/>
                <w:sz w:val="18"/>
                <w:szCs w:val="18"/>
              </w:rPr>
            </w:pPr>
            <w:r w:rsidRPr="00537C3C">
              <w:rPr>
                <w:rFonts w:ascii="Arial Narrow" w:hAnsi="Arial Narrow"/>
                <w:b/>
                <w:bCs/>
                <w:sz w:val="18"/>
                <w:szCs w:val="18"/>
              </w:rPr>
              <w:lastRenderedPageBreak/>
              <w:t>Test comparison</w:t>
            </w:r>
          </w:p>
          <w:p w:rsidR="00234376" w:rsidRDefault="00234376" w:rsidP="00234376">
            <w:pPr>
              <w:autoSpaceDE w:val="0"/>
              <w:autoSpaceDN w:val="0"/>
              <w:adjustRightInd w:val="0"/>
              <w:ind w:left="57"/>
              <w:rPr>
                <w:rFonts w:ascii="Arial Narrow" w:hAnsi="Arial Narrow"/>
                <w:bCs/>
                <w:sz w:val="18"/>
                <w:szCs w:val="18"/>
              </w:rPr>
            </w:pPr>
            <w:r w:rsidRPr="00537C3C">
              <w:rPr>
                <w:rFonts w:ascii="Arial Narrow" w:hAnsi="Arial Narrow"/>
                <w:bCs/>
                <w:sz w:val="18"/>
                <w:szCs w:val="18"/>
              </w:rPr>
              <w:t>LBC with manual reading as a replacement for the Papanicolaou smear</w:t>
            </w:r>
          </w:p>
          <w:p w:rsidR="00234376" w:rsidRPr="00537C3C" w:rsidRDefault="00234376" w:rsidP="008E03A7">
            <w:pPr>
              <w:spacing w:before="40" w:after="40"/>
              <w:ind w:right="57"/>
              <w:rPr>
                <w:rFonts w:ascii="Arial Narrow" w:hAnsi="Arial Narrow"/>
                <w:bCs/>
                <w:i/>
                <w:sz w:val="18"/>
                <w:szCs w:val="18"/>
              </w:rPr>
            </w:pPr>
          </w:p>
        </w:tc>
        <w:tc>
          <w:tcPr>
            <w:tcW w:w="2786" w:type="dxa"/>
            <w:gridSpan w:val="2"/>
          </w:tcPr>
          <w:p w:rsidR="00234376" w:rsidRPr="00537C3C" w:rsidRDefault="00234376" w:rsidP="008E03A7">
            <w:pPr>
              <w:autoSpaceDE w:val="0"/>
              <w:autoSpaceDN w:val="0"/>
              <w:adjustRightInd w:val="0"/>
              <w:ind w:left="57"/>
              <w:rPr>
                <w:rFonts w:ascii="Arial Narrow" w:hAnsi="Arial Narrow" w:cs="Garamond"/>
                <w:b/>
                <w:sz w:val="18"/>
                <w:szCs w:val="18"/>
                <w:lang w:eastAsia="en-AU"/>
              </w:rPr>
            </w:pPr>
            <w:r w:rsidRPr="00537C3C">
              <w:rPr>
                <w:rFonts w:ascii="Arial Narrow" w:hAnsi="Arial Narrow" w:cs="Garamond"/>
                <w:b/>
                <w:sz w:val="18"/>
                <w:szCs w:val="18"/>
                <w:lang w:eastAsia="en-AU"/>
              </w:rPr>
              <w:lastRenderedPageBreak/>
              <w:t>Authors’ conclusion</w:t>
            </w:r>
          </w:p>
          <w:p w:rsidR="00234376" w:rsidRPr="00537C3C" w:rsidRDefault="00234376" w:rsidP="008E03A7">
            <w:pPr>
              <w:autoSpaceDE w:val="0"/>
              <w:autoSpaceDN w:val="0"/>
              <w:adjustRightInd w:val="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There is insufficient evidence to draw conclusions regarding the diagnostic </w:t>
            </w:r>
            <w:r w:rsidRPr="00537C3C">
              <w:rPr>
                <w:rFonts w:ascii="Arial Narrow" w:hAnsi="Arial Narrow" w:cs="Garamond"/>
                <w:sz w:val="18"/>
                <w:szCs w:val="18"/>
                <w:lang w:eastAsia="en-AU"/>
              </w:rPr>
              <w:lastRenderedPageBreak/>
              <w:t xml:space="preserve">characteristics of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and Pap smears for cervical screening. The lack of high-quality evidence on the performance of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does not permit evaluation of whether it is equal or superior in effectiveness to Pap smears.</w:t>
            </w:r>
          </w:p>
          <w:p w:rsidR="00234376" w:rsidRPr="00537C3C" w:rsidRDefault="00234376" w:rsidP="008E03A7">
            <w:pPr>
              <w:autoSpaceDE w:val="0"/>
              <w:autoSpaceDN w:val="0"/>
              <w:adjustRightInd w:val="0"/>
              <w:ind w:left="57"/>
              <w:rPr>
                <w:rFonts w:ascii="Arial Narrow" w:hAnsi="Arial Narrow" w:cs="Garamond"/>
                <w:b/>
                <w:sz w:val="18"/>
                <w:szCs w:val="18"/>
                <w:lang w:eastAsia="en-AU"/>
              </w:rPr>
            </w:pPr>
            <w:r w:rsidRPr="00537C3C">
              <w:rPr>
                <w:rFonts w:ascii="Arial Narrow" w:hAnsi="Arial Narrow" w:cs="Garamond"/>
                <w:b/>
                <w:sz w:val="18"/>
                <w:szCs w:val="18"/>
                <w:lang w:eastAsia="en-AU"/>
              </w:rPr>
              <w:t>Recommendation</w:t>
            </w:r>
          </w:p>
          <w:p w:rsidR="00234376" w:rsidRPr="00537C3C" w:rsidRDefault="00234376" w:rsidP="008E03A7">
            <w:pPr>
              <w:autoSpaceDE w:val="0"/>
              <w:autoSpaceDN w:val="0"/>
              <w:adjustRightInd w:val="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Since there is currently insufficient evidence pertaining to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for cervical screening, the </w:t>
            </w:r>
            <w:r w:rsidRPr="00BB76D8">
              <w:rPr>
                <w:rFonts w:ascii="Arial Narrow" w:hAnsi="Arial Narrow" w:cs="Garamond"/>
                <w:sz w:val="18"/>
                <w:szCs w:val="18"/>
                <w:lang w:eastAsia="en-AU"/>
              </w:rPr>
              <w:t>MSAC</w:t>
            </w:r>
            <w:r w:rsidRPr="00537C3C">
              <w:rPr>
                <w:rFonts w:ascii="Arial Narrow" w:hAnsi="Arial Narrow" w:cs="Garamond"/>
                <w:sz w:val="18"/>
                <w:szCs w:val="18"/>
                <w:lang w:eastAsia="en-AU"/>
              </w:rPr>
              <w:t xml:space="preserve"> recommends that public funding should not be supported at this time for this screening test.</w:t>
            </w:r>
          </w:p>
        </w:tc>
        <w:tc>
          <w:tcPr>
            <w:tcW w:w="2885" w:type="dxa"/>
          </w:tcPr>
          <w:p w:rsidR="00234376" w:rsidRPr="00537C3C" w:rsidRDefault="00234376" w:rsidP="008E03A7">
            <w:pPr>
              <w:autoSpaceDE w:val="0"/>
              <w:autoSpaceDN w:val="0"/>
              <w:adjustRightInd w:val="0"/>
              <w:spacing w:after="40"/>
              <w:ind w:left="57"/>
              <w:rPr>
                <w:rFonts w:ascii="Arial Narrow" w:hAnsi="Arial Narrow" w:cs="Garamond"/>
                <w:b/>
                <w:sz w:val="18"/>
                <w:szCs w:val="18"/>
                <w:lang w:eastAsia="en-AU"/>
              </w:rPr>
            </w:pPr>
            <w:r w:rsidRPr="00537C3C">
              <w:rPr>
                <w:rFonts w:ascii="Arial Narrow" w:hAnsi="Arial Narrow" w:cs="Garamond"/>
                <w:b/>
                <w:sz w:val="18"/>
                <w:szCs w:val="18"/>
                <w:lang w:eastAsia="en-AU"/>
              </w:rPr>
              <w:lastRenderedPageBreak/>
              <w:t>Quality:</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Explicit review questions: NR</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Explicit &amp; appropriate eligibility criteria: </w:t>
            </w:r>
            <w:r w:rsidRPr="00537C3C">
              <w:rPr>
                <w:rFonts w:ascii="Arial Narrow" w:hAnsi="Arial Narrow" w:cs="Garamond"/>
                <w:sz w:val="18"/>
                <w:szCs w:val="18"/>
                <w:lang w:eastAsia="en-AU"/>
              </w:rPr>
              <w:lastRenderedPageBreak/>
              <w:t xml:space="preserve">yes </w:t>
            </w:r>
            <w:r w:rsidRPr="00537C3C">
              <w:rPr>
                <w:rFonts w:ascii="Arial Narrow" w:hAnsi="Arial Narrow" w:cs="Garamond"/>
                <w:sz w:val="18"/>
                <w:szCs w:val="18"/>
                <w:vertAlign w:val="superscript"/>
                <w:lang w:eastAsia="en-AU"/>
              </w:rPr>
              <w:t>a</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Explicit &amp; comprehensive search strategy: yes</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Quality of included studies appraised: yes</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Methods of study appraisal reproducible: yes</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Heterogeneity between studies assessed: </w:t>
            </w:r>
            <w:r w:rsidRPr="00A316F5">
              <w:rPr>
                <w:rFonts w:ascii="Arial Narrow" w:hAnsi="Arial Narrow" w:cs="Garamond"/>
                <w:sz w:val="18"/>
                <w:szCs w:val="18"/>
                <w:lang w:eastAsia="en-AU"/>
              </w:rPr>
              <w:t>N/</w:t>
            </w:r>
            <w:r w:rsidRPr="00537C3C">
              <w:rPr>
                <w:rFonts w:ascii="Arial Narrow" w:hAnsi="Arial Narrow" w:cs="Garamond"/>
                <w:sz w:val="18"/>
                <w:szCs w:val="18"/>
                <w:lang w:eastAsia="en-AU"/>
              </w:rPr>
              <w:t>A</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Summary of main results clear and appropriate: yes</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b/>
                <w:sz w:val="18"/>
                <w:szCs w:val="18"/>
                <w:lang w:eastAsia="en-AU"/>
              </w:rPr>
              <w:t>Applicability:</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Included systematic reviews generally pooled data from different manufacturers and included split-sample studies.</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Sensitivity and specificity from primary studies in high risk populations.</w:t>
            </w:r>
          </w:p>
        </w:tc>
      </w:tr>
      <w:tr w:rsidR="00234376" w:rsidRPr="00E11416">
        <w:tc>
          <w:tcPr>
            <w:tcW w:w="14014" w:type="dxa"/>
            <w:gridSpan w:val="8"/>
          </w:tcPr>
          <w:p w:rsidR="00234376" w:rsidRPr="00E11416" w:rsidRDefault="00234376" w:rsidP="008E03A7">
            <w:pPr>
              <w:autoSpaceDE w:val="0"/>
              <w:autoSpaceDN w:val="0"/>
              <w:adjustRightInd w:val="0"/>
              <w:spacing w:after="40"/>
              <w:ind w:left="57"/>
              <w:rPr>
                <w:rFonts w:ascii="Arial Narrow" w:hAnsi="Arial Narrow" w:cs="Garamond"/>
                <w:b/>
                <w:sz w:val="18"/>
                <w:szCs w:val="18"/>
                <w:lang w:eastAsia="en-AU"/>
              </w:rPr>
            </w:pPr>
            <w:r w:rsidRPr="00E11416">
              <w:rPr>
                <w:rFonts w:ascii="Arial Narrow" w:hAnsi="Arial Narrow" w:cs="Garamond"/>
                <w:b/>
                <w:sz w:val="18"/>
                <w:szCs w:val="18"/>
                <w:lang w:eastAsia="en-AU"/>
              </w:rPr>
              <w:lastRenderedPageBreak/>
              <w:t>Results:</w:t>
            </w:r>
          </w:p>
          <w:p w:rsidR="00234376" w:rsidRPr="00E11416" w:rsidRDefault="00234376" w:rsidP="008E03A7">
            <w:pPr>
              <w:autoSpaceDE w:val="0"/>
              <w:autoSpaceDN w:val="0"/>
              <w:adjustRightInd w:val="0"/>
              <w:spacing w:after="40"/>
              <w:ind w:left="57"/>
              <w:rPr>
                <w:rFonts w:ascii="Arial Narrow" w:hAnsi="Arial Narrow" w:cs="Garamond"/>
                <w:sz w:val="18"/>
                <w:szCs w:val="18"/>
                <w:u w:val="single"/>
                <w:lang w:eastAsia="en-AU"/>
              </w:rPr>
            </w:pPr>
            <w:r w:rsidRPr="00E11416">
              <w:rPr>
                <w:rFonts w:ascii="Arial Narrow" w:hAnsi="Arial Narrow" w:cs="Garamond"/>
                <w:sz w:val="18"/>
                <w:szCs w:val="18"/>
                <w:u w:val="single"/>
                <w:lang w:eastAsia="en-AU"/>
              </w:rPr>
              <w:t>Systematic reviews</w:t>
            </w:r>
          </w:p>
          <w:p w:rsidR="00234376" w:rsidRPr="00E11416" w:rsidRDefault="00234376" w:rsidP="008E03A7">
            <w:pPr>
              <w:autoSpaceDE w:val="0"/>
              <w:autoSpaceDN w:val="0"/>
              <w:adjustRightInd w:val="0"/>
              <w:spacing w:after="40"/>
              <w:ind w:left="57"/>
              <w:rPr>
                <w:rFonts w:ascii="Arial Narrow" w:hAnsi="Arial Narrow" w:cs="Garamond"/>
                <w:sz w:val="18"/>
                <w:szCs w:val="18"/>
                <w:lang w:eastAsia="en-AU"/>
              </w:rPr>
            </w:pPr>
            <w:r w:rsidRPr="00E11416">
              <w:rPr>
                <w:rFonts w:ascii="Arial Narrow" w:hAnsi="Arial Narrow" w:cs="Garamond"/>
                <w:sz w:val="18"/>
                <w:szCs w:val="18"/>
                <w:lang w:eastAsia="en-AU"/>
              </w:rPr>
              <w:t>Secondary studies of LBC concluded that there is insufficient high-quality data or evidence to suggest that LBC is better than the Pap smear for cervical screening.</w:t>
            </w:r>
          </w:p>
          <w:p w:rsidR="00234376" w:rsidRPr="00E11416" w:rsidRDefault="00234376" w:rsidP="008E03A7">
            <w:pPr>
              <w:autoSpaceDE w:val="0"/>
              <w:autoSpaceDN w:val="0"/>
              <w:adjustRightInd w:val="0"/>
              <w:spacing w:after="40"/>
              <w:ind w:left="57"/>
              <w:rPr>
                <w:rFonts w:ascii="Arial Narrow" w:hAnsi="Arial Narrow" w:cs="Garamond"/>
                <w:sz w:val="18"/>
                <w:szCs w:val="18"/>
                <w:lang w:eastAsia="en-AU"/>
              </w:rPr>
            </w:pPr>
            <w:r w:rsidRPr="00E11416">
              <w:rPr>
                <w:rFonts w:ascii="Arial Narrow" w:hAnsi="Arial Narrow" w:cs="Garamond"/>
                <w:sz w:val="18"/>
                <w:szCs w:val="18"/>
                <w:lang w:eastAsia="en-AU"/>
              </w:rPr>
              <w:t xml:space="preserve">However, </w:t>
            </w:r>
            <w:bookmarkStart w:id="849" w:name="OLE_LINK512"/>
            <w:bookmarkStart w:id="850" w:name="OLE_LINK513"/>
            <w:r w:rsidRPr="00E11416">
              <w:rPr>
                <w:rFonts w:ascii="Arial Narrow" w:hAnsi="Arial Narrow" w:cs="Garamond"/>
                <w:sz w:val="18"/>
                <w:szCs w:val="18"/>
                <w:lang w:eastAsia="en-AU"/>
              </w:rPr>
              <w:t>Sulik et al. (2001</w:t>
            </w:r>
            <w:bookmarkEnd w:id="849"/>
            <w:bookmarkEnd w:id="850"/>
            <w:r w:rsidRPr="00E11416">
              <w:rPr>
                <w:rFonts w:ascii="Arial Narrow" w:hAnsi="Arial Narrow" w:cs="Garamond"/>
                <w:sz w:val="18"/>
                <w:szCs w:val="18"/>
                <w:lang w:eastAsia="en-AU"/>
              </w:rPr>
              <w:t xml:space="preserve">) suggest that there may be a role for LBC for women who have had abnormal Pap test results or who are at a high risk of cervical cancer owing to infrequent screening. </w:t>
            </w:r>
            <w:bookmarkStart w:id="851" w:name="OLE_LINK514"/>
            <w:bookmarkStart w:id="852" w:name="OLE_LINK515"/>
            <w:r w:rsidRPr="00E11416">
              <w:rPr>
                <w:rFonts w:ascii="Arial Narrow" w:hAnsi="Arial Narrow" w:cs="Garamond"/>
                <w:sz w:val="18"/>
                <w:szCs w:val="18"/>
                <w:lang w:eastAsia="en-AU"/>
              </w:rPr>
              <w:t>Bernstein et al. (2001</w:t>
            </w:r>
            <w:bookmarkEnd w:id="851"/>
            <w:bookmarkEnd w:id="852"/>
            <w:r w:rsidRPr="00E11416">
              <w:rPr>
                <w:rFonts w:ascii="Arial Narrow" w:hAnsi="Arial Narrow" w:cs="Garamond"/>
                <w:sz w:val="18"/>
                <w:szCs w:val="18"/>
                <w:lang w:eastAsia="en-AU"/>
              </w:rPr>
              <w:t>) deduced that the LBC test improved sample adequacy and led to improved diagnosis of LSIL and HSIL, but results comparing LBC and Pap tests were not evaluated against a histological reference test.</w:t>
            </w:r>
          </w:p>
          <w:p w:rsidR="00234376" w:rsidRPr="00E11416" w:rsidRDefault="00234376" w:rsidP="008E03A7">
            <w:pPr>
              <w:autoSpaceDE w:val="0"/>
              <w:autoSpaceDN w:val="0"/>
              <w:adjustRightInd w:val="0"/>
              <w:spacing w:after="40"/>
              <w:ind w:left="57"/>
              <w:rPr>
                <w:rFonts w:ascii="Arial Narrow" w:hAnsi="Arial Narrow" w:cs="Garamond"/>
                <w:sz w:val="18"/>
                <w:szCs w:val="18"/>
                <w:lang w:eastAsia="en-AU"/>
              </w:rPr>
            </w:pPr>
            <w:r w:rsidRPr="00E11416">
              <w:rPr>
                <w:rFonts w:ascii="Arial Narrow" w:hAnsi="Arial Narrow" w:cs="Garamond"/>
                <w:sz w:val="18"/>
                <w:szCs w:val="18"/>
                <w:lang w:eastAsia="en-AU"/>
              </w:rPr>
              <w:t>All authors noted that the most frequent study design was the split-sample method, and that many of the clinical studies examined were funded partially or completely by manufacturers of LBC technologies.</w:t>
            </w:r>
          </w:p>
          <w:p w:rsidR="00234376" w:rsidRPr="00E11416" w:rsidRDefault="00234376" w:rsidP="008E03A7">
            <w:pPr>
              <w:autoSpaceDE w:val="0"/>
              <w:autoSpaceDN w:val="0"/>
              <w:adjustRightInd w:val="0"/>
              <w:spacing w:after="40"/>
              <w:ind w:left="57"/>
              <w:rPr>
                <w:rFonts w:ascii="Arial Narrow" w:hAnsi="Arial Narrow" w:cs="Garamond"/>
                <w:sz w:val="18"/>
                <w:szCs w:val="18"/>
                <w:u w:val="single"/>
                <w:lang w:eastAsia="en-AU"/>
              </w:rPr>
            </w:pPr>
            <w:r w:rsidRPr="00E11416">
              <w:rPr>
                <w:rFonts w:ascii="Arial Narrow" w:hAnsi="Arial Narrow" w:cs="Garamond"/>
                <w:sz w:val="18"/>
                <w:szCs w:val="18"/>
                <w:u w:val="single"/>
                <w:lang w:eastAsia="en-AU"/>
              </w:rPr>
              <w:t>Primary studies</w:t>
            </w:r>
          </w:p>
          <w:p w:rsidR="00234376" w:rsidRPr="00E11416" w:rsidRDefault="00234376" w:rsidP="008E03A7">
            <w:pPr>
              <w:autoSpaceDE w:val="0"/>
              <w:autoSpaceDN w:val="0"/>
              <w:adjustRightInd w:val="0"/>
              <w:spacing w:after="40"/>
              <w:ind w:left="57"/>
              <w:rPr>
                <w:rFonts w:ascii="Arial Narrow" w:hAnsi="Arial Narrow" w:cs="Garamond"/>
                <w:sz w:val="18"/>
                <w:szCs w:val="18"/>
                <w:lang w:eastAsia="en-AU"/>
              </w:rPr>
            </w:pPr>
            <w:r w:rsidRPr="00E11416">
              <w:rPr>
                <w:rFonts w:ascii="Arial Narrow" w:hAnsi="Arial Narrow" w:cs="Garamond"/>
                <w:sz w:val="18"/>
                <w:szCs w:val="18"/>
                <w:lang w:eastAsia="en-AU"/>
              </w:rPr>
              <w:t>All 7 studies included problems with the calculation of sensitivity and specificity.</w:t>
            </w:r>
          </w:p>
          <w:p w:rsidR="00234376" w:rsidRPr="00E11416" w:rsidRDefault="00234376" w:rsidP="008E03A7">
            <w:pPr>
              <w:autoSpaceDE w:val="0"/>
              <w:autoSpaceDN w:val="0"/>
              <w:adjustRightInd w:val="0"/>
              <w:spacing w:after="40"/>
              <w:ind w:left="57"/>
              <w:rPr>
                <w:rFonts w:ascii="Arial Narrow" w:hAnsi="Arial Narrow" w:cs="Garamond"/>
                <w:sz w:val="18"/>
                <w:szCs w:val="18"/>
                <w:lang w:eastAsia="en-AU"/>
              </w:rPr>
            </w:pPr>
            <w:r w:rsidRPr="00E11416">
              <w:rPr>
                <w:rFonts w:ascii="Arial Narrow" w:hAnsi="Arial Narrow" w:cs="Garamond"/>
                <w:sz w:val="18"/>
                <w:szCs w:val="18"/>
                <w:lang w:eastAsia="en-AU"/>
              </w:rPr>
              <w:t>Authors extracted test parameters from 2 studies with reference standard of cervical histology:</w:t>
            </w:r>
          </w:p>
          <w:p w:rsidR="00234376" w:rsidRPr="00E11416" w:rsidRDefault="00234376" w:rsidP="00600AC0">
            <w:pPr>
              <w:numPr>
                <w:ilvl w:val="0"/>
                <w:numId w:val="21"/>
              </w:numPr>
              <w:tabs>
                <w:tab w:val="clear" w:pos="720"/>
                <w:tab w:val="num" w:pos="284"/>
              </w:tabs>
              <w:autoSpaceDE w:val="0"/>
              <w:autoSpaceDN w:val="0"/>
              <w:adjustRightInd w:val="0"/>
              <w:spacing w:after="40"/>
              <w:ind w:left="284" w:hanging="227"/>
              <w:rPr>
                <w:rFonts w:ascii="Arial Narrow" w:hAnsi="Arial Narrow" w:cs="Garamond"/>
                <w:sz w:val="18"/>
                <w:szCs w:val="18"/>
                <w:lang w:eastAsia="en-AU"/>
              </w:rPr>
            </w:pPr>
            <w:bookmarkStart w:id="853" w:name="OLE_LINK516"/>
            <w:bookmarkStart w:id="854" w:name="OLE_LINK517"/>
            <w:r w:rsidRPr="00E11416">
              <w:rPr>
                <w:rFonts w:ascii="Arial Narrow" w:hAnsi="Arial Narrow" w:cs="Garamond"/>
                <w:sz w:val="18"/>
                <w:szCs w:val="18"/>
                <w:lang w:eastAsia="en-AU"/>
              </w:rPr>
              <w:t>Bergeron et al. (2001</w:t>
            </w:r>
            <w:bookmarkEnd w:id="853"/>
            <w:bookmarkEnd w:id="854"/>
            <w:r w:rsidRPr="00E11416">
              <w:rPr>
                <w:rFonts w:ascii="Arial Narrow" w:hAnsi="Arial Narrow" w:cs="Garamond"/>
                <w:sz w:val="18"/>
                <w:szCs w:val="18"/>
                <w:lang w:eastAsia="en-AU"/>
              </w:rPr>
              <w:t>), AutoCytePrep, HSIL+ test threshold, LBC Se 41.7%–82.6%, Sp 52.2%–90.2%; Pap Se 39.4%–86.8% Sp 47.8%–98.9%; Unsat/ASCUS/AGUS+ LBC Se 82.6%, Sp 52.2%; Pap Se 86.8% Sp 47.8%.</w:t>
            </w:r>
          </w:p>
          <w:p w:rsidR="00234376" w:rsidRPr="00E11416" w:rsidRDefault="00234376" w:rsidP="00600AC0">
            <w:pPr>
              <w:numPr>
                <w:ilvl w:val="0"/>
                <w:numId w:val="21"/>
              </w:numPr>
              <w:tabs>
                <w:tab w:val="clear" w:pos="720"/>
                <w:tab w:val="num" w:pos="284"/>
              </w:tabs>
              <w:autoSpaceDE w:val="0"/>
              <w:autoSpaceDN w:val="0"/>
              <w:adjustRightInd w:val="0"/>
              <w:spacing w:after="40"/>
              <w:ind w:left="284" w:hanging="227"/>
              <w:rPr>
                <w:rFonts w:ascii="Arial Narrow" w:hAnsi="Arial Narrow" w:cs="Garamond"/>
                <w:sz w:val="18"/>
                <w:szCs w:val="18"/>
                <w:lang w:eastAsia="en-AU"/>
              </w:rPr>
            </w:pPr>
            <w:bookmarkStart w:id="855" w:name="OLE_LINK518"/>
            <w:bookmarkStart w:id="856" w:name="OLE_LINK519"/>
            <w:r w:rsidRPr="00E11416">
              <w:rPr>
                <w:rFonts w:ascii="Arial Narrow" w:hAnsi="Arial Narrow" w:cs="Garamond"/>
                <w:sz w:val="18"/>
                <w:szCs w:val="18"/>
                <w:lang w:eastAsia="en-AU"/>
              </w:rPr>
              <w:t>Park et al. (2001</w:t>
            </w:r>
            <w:bookmarkEnd w:id="855"/>
            <w:bookmarkEnd w:id="856"/>
            <w:r w:rsidRPr="00E11416">
              <w:rPr>
                <w:rFonts w:ascii="Arial Narrow" w:hAnsi="Arial Narrow" w:cs="Garamond"/>
                <w:sz w:val="18"/>
                <w:szCs w:val="18"/>
                <w:lang w:eastAsia="en-AU"/>
              </w:rPr>
              <w:t>), ThinPrep, ASCUS+ test threshold, LBC Se 82.8%, Sp 62.0%; Pap Se 89.6%, Sp 52.1%.</w:t>
            </w:r>
          </w:p>
          <w:p w:rsidR="00234376" w:rsidRPr="00E11416" w:rsidRDefault="00234376" w:rsidP="00600AC0">
            <w:pPr>
              <w:numPr>
                <w:ilvl w:val="0"/>
                <w:numId w:val="21"/>
              </w:numPr>
              <w:tabs>
                <w:tab w:val="clear" w:pos="720"/>
                <w:tab w:val="num" w:pos="284"/>
              </w:tabs>
              <w:autoSpaceDE w:val="0"/>
              <w:autoSpaceDN w:val="0"/>
              <w:adjustRightInd w:val="0"/>
              <w:spacing w:after="40"/>
              <w:ind w:left="284" w:hanging="227"/>
              <w:rPr>
                <w:rFonts w:ascii="Arial Narrow" w:hAnsi="Arial Narrow" w:cs="Garamond"/>
                <w:sz w:val="18"/>
                <w:szCs w:val="18"/>
                <w:lang w:eastAsia="en-AU"/>
              </w:rPr>
            </w:pPr>
            <w:r w:rsidRPr="00E11416">
              <w:rPr>
                <w:rFonts w:ascii="Arial Narrow" w:hAnsi="Arial Narrow" w:cs="Garamond"/>
                <w:sz w:val="18"/>
                <w:szCs w:val="18"/>
                <w:lang w:eastAsia="en-AU"/>
              </w:rPr>
              <w:t>Studies failed to meet several validity criteria and had probable presence of non-appraisable bias. Included high-risk populations.</w:t>
            </w:r>
          </w:p>
          <w:p w:rsidR="00234376" w:rsidRPr="00E11416" w:rsidRDefault="00234376" w:rsidP="008E03A7">
            <w:pPr>
              <w:tabs>
                <w:tab w:val="num" w:pos="284"/>
              </w:tabs>
              <w:autoSpaceDE w:val="0"/>
              <w:autoSpaceDN w:val="0"/>
              <w:adjustRightInd w:val="0"/>
              <w:spacing w:after="40"/>
              <w:ind w:left="284" w:hanging="227"/>
              <w:rPr>
                <w:rFonts w:ascii="Arial Narrow" w:hAnsi="Arial Narrow" w:cs="Garamond"/>
                <w:sz w:val="18"/>
                <w:szCs w:val="18"/>
                <w:lang w:eastAsia="en-AU"/>
              </w:rPr>
            </w:pPr>
            <w:r w:rsidRPr="00E11416" w:rsidDel="001E6D1E">
              <w:rPr>
                <w:rFonts w:ascii="Arial Narrow" w:hAnsi="Arial Narrow" w:cs="Garamond"/>
                <w:sz w:val="18"/>
                <w:szCs w:val="18"/>
                <w:lang w:eastAsia="en-AU"/>
              </w:rPr>
              <w:t>Five</w:t>
            </w:r>
            <w:r w:rsidRPr="00E11416">
              <w:rPr>
                <w:rFonts w:ascii="Arial Narrow" w:hAnsi="Arial Narrow" w:cs="Garamond"/>
                <w:sz w:val="18"/>
                <w:szCs w:val="18"/>
                <w:lang w:eastAsia="en-AU"/>
              </w:rPr>
              <w:t xml:space="preserve"> other studies did not include reference standard for negative tests, thus sensitivity &amp; specificity not considered valid. The relative TPR and </w:t>
            </w:r>
            <w:bookmarkStart w:id="857" w:name="OLE_LINK292"/>
            <w:bookmarkStart w:id="858" w:name="OLE_LINK293"/>
            <w:r w:rsidRPr="00E11416">
              <w:rPr>
                <w:rFonts w:ascii="Arial Narrow" w:hAnsi="Arial Narrow" w:cs="Garamond"/>
                <w:sz w:val="18"/>
                <w:szCs w:val="18"/>
                <w:lang w:eastAsia="en-AU"/>
              </w:rPr>
              <w:t xml:space="preserve">FPR </w:t>
            </w:r>
            <w:bookmarkEnd w:id="857"/>
            <w:bookmarkEnd w:id="858"/>
            <w:r w:rsidRPr="00E11416">
              <w:rPr>
                <w:rFonts w:ascii="Arial Narrow" w:hAnsi="Arial Narrow" w:cs="Garamond"/>
                <w:sz w:val="18"/>
                <w:szCs w:val="18"/>
                <w:lang w:eastAsia="en-AU"/>
              </w:rPr>
              <w:t>(LBC/Pap) were:</w:t>
            </w:r>
          </w:p>
          <w:p w:rsidR="00234376" w:rsidRPr="00E11416" w:rsidRDefault="00234376" w:rsidP="00600AC0">
            <w:pPr>
              <w:numPr>
                <w:ilvl w:val="0"/>
                <w:numId w:val="21"/>
              </w:numPr>
              <w:tabs>
                <w:tab w:val="clear" w:pos="720"/>
                <w:tab w:val="num" w:pos="284"/>
              </w:tabs>
              <w:autoSpaceDE w:val="0"/>
              <w:autoSpaceDN w:val="0"/>
              <w:adjustRightInd w:val="0"/>
              <w:spacing w:after="40"/>
              <w:ind w:left="284" w:hanging="227"/>
              <w:rPr>
                <w:rFonts w:ascii="Arial Narrow" w:hAnsi="Arial Narrow" w:cs="Garamond"/>
                <w:sz w:val="18"/>
                <w:szCs w:val="18"/>
                <w:lang w:eastAsia="en-AU"/>
              </w:rPr>
            </w:pPr>
            <w:bookmarkStart w:id="859" w:name="OLE_LINK520"/>
            <w:bookmarkStart w:id="860" w:name="OLE_LINK521"/>
            <w:r w:rsidRPr="00E11416">
              <w:rPr>
                <w:rFonts w:ascii="Arial Narrow" w:hAnsi="Arial Narrow" w:cs="Garamond"/>
                <w:sz w:val="18"/>
                <w:szCs w:val="18"/>
                <w:lang w:eastAsia="en-AU"/>
              </w:rPr>
              <w:t>Anton et al. (2001</w:t>
            </w:r>
            <w:bookmarkEnd w:id="859"/>
            <w:bookmarkEnd w:id="860"/>
            <w:r w:rsidRPr="00E11416">
              <w:rPr>
                <w:rFonts w:ascii="Arial Narrow" w:hAnsi="Arial Narrow" w:cs="Garamond"/>
                <w:sz w:val="18"/>
                <w:szCs w:val="18"/>
                <w:lang w:eastAsia="en-AU"/>
              </w:rPr>
              <w:t>), manufacturer NR, relative TPR 1.17 (</w:t>
            </w:r>
            <w:r w:rsidRPr="00E11416">
              <w:rPr>
                <w:rFonts w:ascii="Arial Narrow" w:hAnsi="Arial Narrow" w:cs="Garamond"/>
                <w:i/>
                <w:sz w:val="18"/>
                <w:szCs w:val="18"/>
                <w:lang w:eastAsia="en-AU"/>
              </w:rPr>
              <w:t>P</w:t>
            </w:r>
            <w:r w:rsidRPr="00E11416">
              <w:rPr>
                <w:rFonts w:ascii="Arial Narrow" w:hAnsi="Arial Narrow" w:cs="Garamond"/>
                <w:sz w:val="18"/>
                <w:szCs w:val="18"/>
                <w:lang w:eastAsia="en-AU"/>
              </w:rPr>
              <w:t xml:space="preserve"> &lt; 0.01), relative FPR 1.73</w:t>
            </w:r>
          </w:p>
          <w:p w:rsidR="00234376" w:rsidRPr="00E11416" w:rsidRDefault="00234376" w:rsidP="00600AC0">
            <w:pPr>
              <w:numPr>
                <w:ilvl w:val="0"/>
                <w:numId w:val="21"/>
              </w:numPr>
              <w:tabs>
                <w:tab w:val="clear" w:pos="720"/>
                <w:tab w:val="num" w:pos="284"/>
              </w:tabs>
              <w:autoSpaceDE w:val="0"/>
              <w:autoSpaceDN w:val="0"/>
              <w:adjustRightInd w:val="0"/>
              <w:spacing w:after="40"/>
              <w:ind w:left="284" w:hanging="227"/>
              <w:rPr>
                <w:rFonts w:ascii="Arial Narrow" w:hAnsi="Arial Narrow" w:cs="Garamond"/>
                <w:sz w:val="18"/>
                <w:szCs w:val="18"/>
                <w:lang w:eastAsia="en-AU"/>
              </w:rPr>
            </w:pPr>
            <w:bookmarkStart w:id="861" w:name="OLE_LINK435"/>
            <w:bookmarkStart w:id="862" w:name="OLE_LINK436"/>
            <w:r w:rsidRPr="00E11416">
              <w:rPr>
                <w:rFonts w:ascii="Arial Narrow" w:hAnsi="Arial Narrow" w:cs="Garamond"/>
                <w:sz w:val="18"/>
                <w:szCs w:val="18"/>
                <w:lang w:eastAsia="en-AU"/>
              </w:rPr>
              <w:t xml:space="preserve">Bai </w:t>
            </w:r>
            <w:bookmarkEnd w:id="861"/>
            <w:bookmarkEnd w:id="862"/>
            <w:r w:rsidRPr="00E11416">
              <w:rPr>
                <w:rFonts w:ascii="Arial Narrow" w:hAnsi="Arial Narrow" w:cs="Garamond"/>
                <w:sz w:val="18"/>
                <w:szCs w:val="18"/>
                <w:lang w:eastAsia="en-AU"/>
              </w:rPr>
              <w:t xml:space="preserve">et al. (2000), ThinPrep, ASCUS+ </w:t>
            </w:r>
            <w:bookmarkStart w:id="863" w:name="OLE_LINK297"/>
            <w:bookmarkStart w:id="864" w:name="OLE_LINK298"/>
            <w:r w:rsidRPr="00E11416">
              <w:rPr>
                <w:rFonts w:ascii="Arial Narrow" w:hAnsi="Arial Narrow" w:cs="Garamond"/>
                <w:sz w:val="18"/>
                <w:szCs w:val="18"/>
                <w:lang w:eastAsia="en-AU"/>
              </w:rPr>
              <w:t xml:space="preserve">rTPR </w:t>
            </w:r>
            <w:bookmarkEnd w:id="863"/>
            <w:bookmarkEnd w:id="864"/>
            <w:r w:rsidRPr="00E11416">
              <w:rPr>
                <w:rFonts w:ascii="Arial Narrow" w:hAnsi="Arial Narrow" w:cs="Garamond"/>
                <w:sz w:val="18"/>
                <w:szCs w:val="18"/>
                <w:lang w:eastAsia="en-AU"/>
              </w:rPr>
              <w:t>1.25 (</w:t>
            </w:r>
            <w:r w:rsidRPr="00E11416">
              <w:rPr>
                <w:rFonts w:ascii="Arial Narrow" w:hAnsi="Arial Narrow" w:cs="Garamond"/>
                <w:i/>
                <w:sz w:val="18"/>
                <w:szCs w:val="18"/>
                <w:lang w:eastAsia="en-AU"/>
              </w:rPr>
              <w:t>P</w:t>
            </w:r>
            <w:r w:rsidRPr="00E11416">
              <w:rPr>
                <w:rFonts w:ascii="Arial Narrow" w:hAnsi="Arial Narrow" w:cs="Garamond"/>
                <w:sz w:val="18"/>
                <w:szCs w:val="18"/>
                <w:lang w:eastAsia="en-AU"/>
              </w:rPr>
              <w:t xml:space="preserve"> &lt; 0.005), </w:t>
            </w:r>
            <w:bookmarkStart w:id="865" w:name="OLE_LINK294"/>
            <w:bookmarkStart w:id="866" w:name="OLE_LINK295"/>
            <w:r w:rsidRPr="00E11416">
              <w:rPr>
                <w:rFonts w:ascii="Arial Narrow" w:hAnsi="Arial Narrow" w:cs="Garamond"/>
                <w:sz w:val="18"/>
                <w:szCs w:val="18"/>
                <w:lang w:eastAsia="en-AU"/>
              </w:rPr>
              <w:t xml:space="preserve">rFPR </w:t>
            </w:r>
            <w:bookmarkEnd w:id="865"/>
            <w:bookmarkEnd w:id="866"/>
            <w:r w:rsidRPr="00E11416">
              <w:rPr>
                <w:rFonts w:ascii="Arial Narrow" w:hAnsi="Arial Narrow" w:cs="Garamond"/>
                <w:sz w:val="18"/>
                <w:szCs w:val="18"/>
                <w:lang w:eastAsia="en-AU"/>
              </w:rPr>
              <w:t>(</w:t>
            </w:r>
            <w:r w:rsidRPr="00E11416">
              <w:rPr>
                <w:rFonts w:ascii="Arial Narrow" w:hAnsi="Arial Narrow" w:cs="Garamond"/>
                <w:i/>
                <w:sz w:val="18"/>
                <w:szCs w:val="18"/>
                <w:lang w:eastAsia="en-AU"/>
              </w:rPr>
              <w:t>P</w:t>
            </w:r>
            <w:r w:rsidRPr="00E11416">
              <w:rPr>
                <w:rFonts w:ascii="Arial Narrow" w:hAnsi="Arial Narrow" w:cs="Garamond"/>
                <w:sz w:val="18"/>
                <w:szCs w:val="18"/>
                <w:lang w:eastAsia="en-AU"/>
              </w:rPr>
              <w:t xml:space="preserve"> &lt; 0.005); HSIL+ </w:t>
            </w:r>
            <w:bookmarkStart w:id="867" w:name="OLE_LINK296"/>
            <w:r w:rsidRPr="00E11416">
              <w:rPr>
                <w:rFonts w:ascii="Arial Narrow" w:hAnsi="Arial Narrow" w:cs="Garamond"/>
                <w:sz w:val="18"/>
                <w:szCs w:val="18"/>
                <w:lang w:eastAsia="en-AU"/>
              </w:rPr>
              <w:t xml:space="preserve">rTPR </w:t>
            </w:r>
            <w:bookmarkEnd w:id="867"/>
            <w:r w:rsidRPr="00E11416">
              <w:rPr>
                <w:rFonts w:ascii="Arial Narrow" w:hAnsi="Arial Narrow" w:cs="Garamond"/>
                <w:sz w:val="18"/>
                <w:szCs w:val="18"/>
                <w:lang w:eastAsia="en-AU"/>
              </w:rPr>
              <w:t>1.52 (</w:t>
            </w:r>
            <w:r w:rsidRPr="00E11416">
              <w:rPr>
                <w:rFonts w:ascii="Arial Narrow" w:hAnsi="Arial Narrow" w:cs="Garamond"/>
                <w:i/>
                <w:sz w:val="18"/>
                <w:szCs w:val="18"/>
                <w:lang w:eastAsia="en-AU"/>
              </w:rPr>
              <w:t>P</w:t>
            </w:r>
            <w:r w:rsidRPr="00E11416">
              <w:rPr>
                <w:rFonts w:ascii="Arial Narrow" w:hAnsi="Arial Narrow" w:cs="Garamond"/>
                <w:sz w:val="18"/>
                <w:szCs w:val="18"/>
                <w:lang w:eastAsia="en-AU"/>
              </w:rPr>
              <w:t xml:space="preserve"> &lt; 0.025), </w:t>
            </w:r>
            <w:bookmarkStart w:id="868" w:name="OLE_LINK439"/>
            <w:bookmarkStart w:id="869" w:name="OLE_LINK440"/>
            <w:r w:rsidRPr="00E11416">
              <w:rPr>
                <w:rFonts w:ascii="Arial Narrow" w:hAnsi="Arial Narrow" w:cs="Garamond"/>
                <w:sz w:val="18"/>
                <w:szCs w:val="18"/>
                <w:lang w:eastAsia="en-AU"/>
              </w:rPr>
              <w:t xml:space="preserve">rFPR </w:t>
            </w:r>
            <w:bookmarkEnd w:id="868"/>
            <w:bookmarkEnd w:id="869"/>
            <w:r w:rsidRPr="00E11416">
              <w:rPr>
                <w:rFonts w:ascii="Arial Narrow" w:hAnsi="Arial Narrow" w:cs="Garamond"/>
                <w:sz w:val="18"/>
                <w:szCs w:val="18"/>
                <w:lang w:eastAsia="en-AU"/>
              </w:rPr>
              <w:t>0.82 (</w:t>
            </w:r>
            <w:r w:rsidRPr="00E11416">
              <w:rPr>
                <w:rFonts w:ascii="Arial Narrow" w:hAnsi="Arial Narrow" w:cs="Garamond"/>
                <w:i/>
                <w:sz w:val="18"/>
                <w:szCs w:val="18"/>
                <w:lang w:eastAsia="en-AU"/>
              </w:rPr>
              <w:t>P</w:t>
            </w:r>
            <w:r w:rsidRPr="00E11416">
              <w:rPr>
                <w:rFonts w:ascii="Arial Narrow" w:hAnsi="Arial Narrow" w:cs="Garamond"/>
                <w:sz w:val="18"/>
                <w:szCs w:val="18"/>
                <w:lang w:eastAsia="en-AU"/>
              </w:rPr>
              <w:t xml:space="preserve"> &lt; 0.025)</w:t>
            </w:r>
          </w:p>
          <w:p w:rsidR="00234376" w:rsidRPr="00E11416" w:rsidRDefault="00234376" w:rsidP="00600AC0">
            <w:pPr>
              <w:numPr>
                <w:ilvl w:val="0"/>
                <w:numId w:val="21"/>
              </w:numPr>
              <w:tabs>
                <w:tab w:val="clear" w:pos="720"/>
                <w:tab w:val="num" w:pos="284"/>
              </w:tabs>
              <w:autoSpaceDE w:val="0"/>
              <w:autoSpaceDN w:val="0"/>
              <w:adjustRightInd w:val="0"/>
              <w:spacing w:after="40"/>
              <w:ind w:left="284" w:hanging="227"/>
              <w:rPr>
                <w:rFonts w:ascii="Arial Narrow" w:hAnsi="Arial Narrow" w:cs="Garamond"/>
                <w:sz w:val="18"/>
                <w:szCs w:val="18"/>
                <w:lang w:eastAsia="en-AU"/>
              </w:rPr>
            </w:pPr>
            <w:bookmarkStart w:id="870" w:name="OLE_LINK437"/>
            <w:bookmarkStart w:id="871" w:name="OLE_LINK438"/>
            <w:bookmarkStart w:id="872" w:name="OLE_LINK441"/>
            <w:r w:rsidRPr="00E11416">
              <w:rPr>
                <w:rFonts w:ascii="Arial Narrow" w:hAnsi="Arial Narrow" w:cs="Garamond"/>
                <w:sz w:val="18"/>
                <w:szCs w:val="18"/>
                <w:lang w:eastAsia="en-AU"/>
              </w:rPr>
              <w:t xml:space="preserve">Obwegeser </w:t>
            </w:r>
            <w:bookmarkEnd w:id="870"/>
            <w:bookmarkEnd w:id="871"/>
            <w:bookmarkEnd w:id="872"/>
            <w:r w:rsidRPr="00E11416">
              <w:rPr>
                <w:rFonts w:ascii="Arial Narrow" w:hAnsi="Arial Narrow" w:cs="Garamond"/>
                <w:sz w:val="18"/>
                <w:szCs w:val="18"/>
                <w:lang w:eastAsia="en-AU"/>
              </w:rPr>
              <w:t>et al. (2001), ThinPrep, HSIL+ rTPR 0.91 (</w:t>
            </w:r>
            <w:r w:rsidRPr="00E11416">
              <w:rPr>
                <w:rFonts w:ascii="Arial Narrow" w:hAnsi="Arial Narrow" w:cs="Garamond"/>
                <w:i/>
                <w:sz w:val="18"/>
                <w:szCs w:val="18"/>
                <w:lang w:eastAsia="en-AU"/>
              </w:rPr>
              <w:t>P</w:t>
            </w:r>
            <w:r w:rsidRPr="00E11416">
              <w:rPr>
                <w:rFonts w:ascii="Arial Narrow" w:hAnsi="Arial Narrow" w:cs="Garamond"/>
                <w:sz w:val="18"/>
                <w:szCs w:val="18"/>
                <w:lang w:eastAsia="en-AU"/>
              </w:rPr>
              <w:t xml:space="preserve"> &lt; 0.0005)</w:t>
            </w:r>
          </w:p>
          <w:p w:rsidR="00234376" w:rsidRPr="00E11416" w:rsidRDefault="00234376" w:rsidP="00600AC0">
            <w:pPr>
              <w:numPr>
                <w:ilvl w:val="0"/>
                <w:numId w:val="21"/>
              </w:numPr>
              <w:tabs>
                <w:tab w:val="clear" w:pos="720"/>
                <w:tab w:val="num" w:pos="284"/>
              </w:tabs>
              <w:autoSpaceDE w:val="0"/>
              <w:autoSpaceDN w:val="0"/>
              <w:adjustRightInd w:val="0"/>
              <w:spacing w:after="40"/>
              <w:ind w:left="284" w:hanging="227"/>
              <w:rPr>
                <w:rFonts w:ascii="Arial Narrow" w:hAnsi="Arial Narrow" w:cs="Garamond"/>
                <w:sz w:val="18"/>
                <w:szCs w:val="18"/>
                <w:lang w:eastAsia="en-AU"/>
              </w:rPr>
            </w:pPr>
            <w:r w:rsidRPr="00E11416">
              <w:rPr>
                <w:rFonts w:ascii="Arial Narrow" w:hAnsi="Arial Narrow" w:cs="Garamond"/>
                <w:sz w:val="18"/>
                <w:szCs w:val="18"/>
                <w:lang w:eastAsia="en-AU"/>
              </w:rPr>
              <w:t xml:space="preserve">Limitations related to several validity criteria, no verification of negative results, lack of definition of time limit for histological verification and interpretation of overseas classification systems. </w:t>
            </w:r>
          </w:p>
        </w:tc>
      </w:tr>
    </w:tbl>
    <w:p w:rsidR="00234376" w:rsidRDefault="00234376" w:rsidP="00234376">
      <w:pPr>
        <w:pStyle w:val="TableNotes"/>
        <w:spacing w:after="0"/>
      </w:pPr>
      <w:r w:rsidRPr="00E11416">
        <w:rPr>
          <w:i/>
        </w:rPr>
        <w:t xml:space="preserve">Abbreviations: </w:t>
      </w:r>
      <w:r w:rsidRPr="00E11416">
        <w:t xml:space="preserve">AHTAC = </w:t>
      </w:r>
      <w:r w:rsidRPr="00E11416">
        <w:rPr>
          <w:lang w:eastAsia="en-AU"/>
        </w:rPr>
        <w:t>Australian Health Technology Advisory Committee,</w:t>
      </w:r>
      <w:r w:rsidRPr="00E11416">
        <w:t xml:space="preserve"> NR = not reported, </w:t>
      </w:r>
      <w:r w:rsidRPr="00E11416">
        <w:rPr>
          <w:bCs/>
        </w:rPr>
        <w:t xml:space="preserve">NZHTA = </w:t>
      </w:r>
      <w:r w:rsidRPr="00E11416">
        <w:rPr>
          <w:lang w:eastAsia="en-AU"/>
        </w:rPr>
        <w:t>New Zealand Health Technology Assessment, Se = selectivity, Sp = specificity; rTPR =</w:t>
      </w:r>
      <w:r w:rsidR="00E11416" w:rsidRPr="00E11416">
        <w:rPr>
          <w:lang w:eastAsia="en-AU"/>
        </w:rPr>
        <w:t>relative true positive rate</w:t>
      </w:r>
      <w:r w:rsidRPr="00E11416">
        <w:rPr>
          <w:lang w:eastAsia="en-AU"/>
        </w:rPr>
        <w:t xml:space="preserve">, rFPR = </w:t>
      </w:r>
      <w:r w:rsidR="00E11416" w:rsidRPr="00E11416">
        <w:rPr>
          <w:lang w:eastAsia="en-AU"/>
        </w:rPr>
        <w:t>relative false positive rate</w:t>
      </w:r>
      <w:r w:rsidR="00E11416" w:rsidRPr="00E11416">
        <w:rPr>
          <w:vertAlign w:val="superscript"/>
        </w:rPr>
        <w:t xml:space="preserve"> </w:t>
      </w:r>
      <w:r w:rsidRPr="00E11416">
        <w:rPr>
          <w:vertAlign w:val="superscript"/>
        </w:rPr>
        <w:t>a</w:t>
      </w:r>
      <w:r w:rsidRPr="00E11416">
        <w:t xml:space="preserve"> Application of criteria unclear—see applicability.</w:t>
      </w:r>
    </w:p>
    <w:p w:rsidR="00234376" w:rsidRPr="00537C3C" w:rsidRDefault="00234376" w:rsidP="008E03A7">
      <w:pPr>
        <w:sectPr w:rsidR="00234376" w:rsidRPr="00537C3C" w:rsidSect="008E03A7">
          <w:pgSz w:w="16838" w:h="11906" w:orient="landscape"/>
          <w:pgMar w:top="1440" w:right="1440" w:bottom="1440" w:left="1440" w:header="720" w:footer="720" w:gutter="0"/>
          <w:paperSrc w:first="15" w:other="15"/>
          <w:cols w:space="720"/>
        </w:sectPr>
      </w:pPr>
    </w:p>
    <w:p w:rsidR="00234376" w:rsidRPr="00537C3C" w:rsidRDefault="00234376" w:rsidP="008E03A7">
      <w:pPr>
        <w:pStyle w:val="Heading1"/>
        <w:ind w:left="-142"/>
        <w:rPr>
          <w:bCs/>
        </w:rPr>
      </w:pPr>
      <w:bookmarkStart w:id="873" w:name="_Ref219868490"/>
      <w:bookmarkStart w:id="874" w:name="_Ref209320227"/>
      <w:bookmarkStart w:id="875" w:name="_Toc95971107"/>
      <w:bookmarkStart w:id="876" w:name="_Toc241658205"/>
      <w:r w:rsidRPr="00537C3C">
        <w:rPr>
          <w:bCs/>
        </w:rPr>
        <w:lastRenderedPageBreak/>
        <w:t xml:space="preserve">Appendix </w:t>
      </w:r>
      <w:r w:rsidRPr="00537C3C">
        <w:rPr>
          <w:bCs/>
        </w:rPr>
        <w:fldChar w:fldCharType="begin"/>
      </w:r>
      <w:r w:rsidRPr="00537C3C">
        <w:rPr>
          <w:bCs/>
        </w:rPr>
        <w:instrText xml:space="preserve"> SEQ Appendix \* ALPHABETIC </w:instrText>
      </w:r>
      <w:r w:rsidRPr="00537C3C">
        <w:rPr>
          <w:bCs/>
        </w:rPr>
        <w:fldChar w:fldCharType="separate"/>
      </w:r>
      <w:r w:rsidR="007D3DFF">
        <w:rPr>
          <w:bCs/>
          <w:noProof/>
        </w:rPr>
        <w:t>E</w:t>
      </w:r>
      <w:r w:rsidRPr="00537C3C">
        <w:rPr>
          <w:bCs/>
        </w:rPr>
        <w:fldChar w:fldCharType="end"/>
      </w:r>
      <w:bookmarkEnd w:id="839"/>
      <w:bookmarkEnd w:id="873"/>
      <w:r w:rsidRPr="00537C3C">
        <w:rPr>
          <w:bCs/>
        </w:rPr>
        <w:tab/>
        <w:t>Databases searched</w:t>
      </w:r>
      <w:bookmarkEnd w:id="840"/>
      <w:bookmarkEnd w:id="874"/>
      <w:bookmarkEnd w:id="875"/>
      <w:bookmarkEnd w:id="876"/>
    </w:p>
    <w:p w:rsidR="00234376" w:rsidRPr="00537C3C" w:rsidRDefault="00234376" w:rsidP="008E03A7">
      <w:pPr>
        <w:pStyle w:val="TableNamea"/>
        <w:ind w:left="1644"/>
      </w:pPr>
      <w:bookmarkStart w:id="877" w:name="_Toc190744105"/>
      <w:bookmarkStart w:id="878" w:name="_Toc190744378"/>
      <w:bookmarkStart w:id="879" w:name="_Toc95971295"/>
      <w:r w:rsidRPr="00537C3C">
        <w:t xml:space="preserve">Table </w:t>
      </w:r>
      <w:fldSimple w:instr=" SEQ Table \* ARABIC ">
        <w:r w:rsidR="007D3DFF">
          <w:rPr>
            <w:noProof/>
          </w:rPr>
          <w:t>59</w:t>
        </w:r>
      </w:fldSimple>
      <w:r w:rsidRPr="00537C3C">
        <w:tab/>
        <w:t>Electronic databases and websites searched</w:t>
      </w:r>
      <w:bookmarkEnd w:id="877"/>
      <w:bookmarkEnd w:id="878"/>
      <w:r w:rsidRPr="00537C3C">
        <w:t>.</w:t>
      </w:r>
      <w:bookmarkEnd w:id="879"/>
    </w:p>
    <w:tbl>
      <w:tblPr>
        <w:tblW w:w="9134" w:type="dxa"/>
        <w:tblLook w:val="01E0" w:firstRow="1" w:lastRow="1" w:firstColumn="1" w:lastColumn="1" w:noHBand="0" w:noVBand="0"/>
      </w:tblPr>
      <w:tblGrid>
        <w:gridCol w:w="9134"/>
      </w:tblGrid>
      <w:tr w:rsidR="00234376" w:rsidRPr="00537C3C">
        <w:tc>
          <w:tcPr>
            <w:tcW w:w="9134" w:type="dxa"/>
            <w:tcBorders>
              <w:top w:val="single" w:sz="4" w:space="0" w:color="auto"/>
              <w:bottom w:val="single" w:sz="4" w:space="0" w:color="auto"/>
            </w:tcBorders>
          </w:tcPr>
          <w:p w:rsidR="00234376" w:rsidRPr="00537C3C" w:rsidRDefault="00234376" w:rsidP="008E03A7">
            <w:pPr>
              <w:pStyle w:val="TableText"/>
              <w:rPr>
                <w:b/>
                <w:noProof/>
                <w:sz w:val="20"/>
              </w:rPr>
            </w:pPr>
            <w:bookmarkStart w:id="880" w:name="_Toc147892639"/>
            <w:r w:rsidRPr="00537C3C">
              <w:rPr>
                <w:b/>
                <w:noProof/>
                <w:sz w:val="20"/>
              </w:rPr>
              <w:t xml:space="preserve">1. International electronic </w:t>
            </w:r>
            <w:bookmarkEnd w:id="880"/>
            <w:r w:rsidRPr="00537C3C">
              <w:rPr>
                <w:b/>
                <w:noProof/>
                <w:sz w:val="20"/>
              </w:rPr>
              <w:t>databases—searched to August 2008</w:t>
            </w:r>
          </w:p>
        </w:tc>
      </w:tr>
      <w:tr w:rsidR="00234376" w:rsidRPr="00537C3C">
        <w:tc>
          <w:tcPr>
            <w:tcW w:w="9134" w:type="dxa"/>
            <w:tcBorders>
              <w:top w:val="single" w:sz="4" w:space="0" w:color="auto"/>
            </w:tcBorders>
          </w:tcPr>
          <w:p w:rsidR="00234376" w:rsidRPr="00537C3C" w:rsidRDefault="00907149" w:rsidP="008E03A7">
            <w:pPr>
              <w:pStyle w:val="TableText"/>
              <w:rPr>
                <w:rFonts w:cs="Arial"/>
                <w:b/>
                <w:noProof/>
                <w:sz w:val="20"/>
              </w:rPr>
            </w:pPr>
            <w:hyperlink r:id="rId71" w:history="1">
              <w:r w:rsidR="00234376" w:rsidRPr="00F31DB0">
                <w:rPr>
                  <w:rStyle w:val="Hyperlink"/>
                  <w:rFonts w:cs="Arial"/>
                  <w:b/>
                  <w:noProof/>
                  <w:sz w:val="20"/>
                </w:rPr>
                <w:t>NHS Centre for Reviews and Dissemination databases/ International Network of Agencies for Health Technology Assessment (INAHTA)</w:t>
              </w:r>
            </w:hyperlink>
          </w:p>
          <w:p w:rsidR="00234376" w:rsidRPr="00537C3C" w:rsidRDefault="00234376" w:rsidP="008E03A7">
            <w:pPr>
              <w:pStyle w:val="TableText"/>
              <w:rPr>
                <w:rFonts w:cs="Arial"/>
                <w:b/>
                <w:noProof/>
                <w:sz w:val="20"/>
              </w:rPr>
            </w:pPr>
            <w:r w:rsidRPr="00537C3C">
              <w:rPr>
                <w:rFonts w:cs="Arial"/>
                <w:b/>
                <w:noProof/>
                <w:sz w:val="20"/>
              </w:rPr>
              <w:tab/>
              <w:t>Economic Evaluation Database (EED)</w:t>
            </w:r>
          </w:p>
          <w:p w:rsidR="00234376" w:rsidRPr="00537C3C" w:rsidRDefault="00234376" w:rsidP="008E03A7">
            <w:pPr>
              <w:pStyle w:val="TableText"/>
              <w:rPr>
                <w:rFonts w:cs="Arial"/>
                <w:b/>
                <w:noProof/>
                <w:sz w:val="20"/>
              </w:rPr>
            </w:pPr>
            <w:r w:rsidRPr="00537C3C">
              <w:rPr>
                <w:rFonts w:cs="Arial"/>
                <w:b/>
                <w:noProof/>
                <w:sz w:val="20"/>
              </w:rPr>
              <w:tab/>
              <w:t>Database of Abstracts of Reviews of Effectiveness (DARE)</w:t>
            </w:r>
          </w:p>
          <w:p w:rsidR="00234376" w:rsidRPr="00537C3C" w:rsidRDefault="00234376" w:rsidP="008E03A7">
            <w:pPr>
              <w:pStyle w:val="TableText"/>
              <w:rPr>
                <w:rFonts w:cs="Arial"/>
                <w:b/>
                <w:noProof/>
                <w:sz w:val="20"/>
              </w:rPr>
            </w:pPr>
            <w:r w:rsidRPr="00537C3C">
              <w:rPr>
                <w:rFonts w:cs="Arial"/>
                <w:b/>
                <w:noProof/>
                <w:sz w:val="20"/>
              </w:rPr>
              <w:tab/>
              <w:t>Heath Technology Assessment (</w:t>
            </w:r>
            <w:r w:rsidRPr="00BB76D8">
              <w:rPr>
                <w:rFonts w:cs="Arial"/>
                <w:b/>
                <w:noProof/>
                <w:sz w:val="20"/>
              </w:rPr>
              <w:t>HTA</w:t>
            </w:r>
            <w:r w:rsidRPr="00537C3C">
              <w:rPr>
                <w:rFonts w:cs="Arial"/>
                <w:b/>
                <w:noProof/>
                <w:sz w:val="20"/>
              </w:rPr>
              <w:t>)</w:t>
            </w:r>
          </w:p>
          <w:p w:rsidR="00234376" w:rsidRPr="00537C3C" w:rsidRDefault="00234376" w:rsidP="008E03A7">
            <w:pPr>
              <w:pStyle w:val="TableText"/>
              <w:rPr>
                <w:rFonts w:cs="Arial"/>
                <w:b/>
                <w:noProof/>
                <w:sz w:val="20"/>
              </w:rPr>
            </w:pPr>
          </w:p>
        </w:tc>
      </w:tr>
      <w:tr w:rsidR="00234376" w:rsidRPr="00537C3C">
        <w:tc>
          <w:tcPr>
            <w:tcW w:w="9134" w:type="dxa"/>
            <w:tcBorders>
              <w:bottom w:val="single" w:sz="4" w:space="0" w:color="auto"/>
            </w:tcBorders>
          </w:tcPr>
          <w:p w:rsidR="00234376" w:rsidRPr="00537C3C" w:rsidRDefault="00907149" w:rsidP="008E03A7">
            <w:pPr>
              <w:pStyle w:val="TableText"/>
              <w:rPr>
                <w:rFonts w:cs="Arial"/>
                <w:b/>
                <w:noProof/>
                <w:sz w:val="20"/>
              </w:rPr>
            </w:pPr>
            <w:hyperlink r:id="rId72" w:history="1">
              <w:r w:rsidR="00234376" w:rsidRPr="00F31DB0">
                <w:rPr>
                  <w:rStyle w:val="Hyperlink"/>
                  <w:rFonts w:cs="Arial"/>
                  <w:b/>
                  <w:noProof/>
                  <w:sz w:val="20"/>
                </w:rPr>
                <w:t>Cochrane Database of Systematic Reviews and Cochrane Controlled Trials Register</w:t>
              </w:r>
            </w:hyperlink>
          </w:p>
          <w:p w:rsidR="00234376" w:rsidRPr="00537C3C" w:rsidRDefault="00234376" w:rsidP="008E03A7">
            <w:pPr>
              <w:pStyle w:val="TableText"/>
              <w:rPr>
                <w:rFonts w:cs="Arial"/>
                <w:b/>
                <w:noProof/>
                <w:sz w:val="20"/>
              </w:rPr>
            </w:pPr>
          </w:p>
        </w:tc>
      </w:tr>
      <w:tr w:rsidR="00234376" w:rsidRPr="00537C3C">
        <w:tc>
          <w:tcPr>
            <w:tcW w:w="9134" w:type="dxa"/>
            <w:tcBorders>
              <w:top w:val="single" w:sz="4" w:space="0" w:color="auto"/>
              <w:bottom w:val="single" w:sz="4" w:space="0" w:color="auto"/>
            </w:tcBorders>
          </w:tcPr>
          <w:p w:rsidR="00234376" w:rsidRPr="00537C3C" w:rsidRDefault="00234376" w:rsidP="008E03A7">
            <w:pPr>
              <w:pStyle w:val="TableText"/>
              <w:rPr>
                <w:rFonts w:cs="Arial"/>
                <w:b/>
                <w:noProof/>
                <w:sz w:val="20"/>
              </w:rPr>
            </w:pPr>
            <w:r w:rsidRPr="00537C3C">
              <w:rPr>
                <w:rFonts w:cs="Arial"/>
                <w:b/>
                <w:noProof/>
                <w:sz w:val="20"/>
              </w:rPr>
              <w:t xml:space="preserve">2. Individual </w:t>
            </w:r>
            <w:r w:rsidRPr="00BB76D8">
              <w:rPr>
                <w:rFonts w:cs="Arial"/>
                <w:b/>
                <w:noProof/>
                <w:sz w:val="20"/>
              </w:rPr>
              <w:t>HTA</w:t>
            </w:r>
            <w:r w:rsidRPr="00537C3C">
              <w:rPr>
                <w:rFonts w:cs="Arial"/>
                <w:b/>
                <w:noProof/>
                <w:sz w:val="20"/>
              </w:rPr>
              <w:t xml:space="preserve"> Agencies—searched to November 2007</w:t>
            </w:r>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smartTag w:uri="urn:schemas-microsoft-com:office:smarttags" w:element="place">
              <w:smartTag w:uri="urn:schemas-microsoft-com:office:smarttags" w:element="country-region">
                <w:r w:rsidRPr="00537C3C">
                  <w:rPr>
                    <w:rFonts w:cs="Arial"/>
                    <w:noProof/>
                    <w:sz w:val="20"/>
                  </w:rPr>
                  <w:t>AUSTRALIA</w:t>
                </w:r>
              </w:smartTag>
            </w:smartTag>
          </w:p>
        </w:tc>
      </w:tr>
      <w:tr w:rsidR="00234376" w:rsidRPr="00537C3C">
        <w:tc>
          <w:tcPr>
            <w:tcW w:w="9134" w:type="dxa"/>
          </w:tcPr>
          <w:p w:rsidR="00234376" w:rsidRPr="00537C3C" w:rsidRDefault="00907149" w:rsidP="008E03A7">
            <w:pPr>
              <w:pStyle w:val="TableText"/>
              <w:rPr>
                <w:rFonts w:cs="Arial"/>
                <w:noProof/>
                <w:sz w:val="20"/>
              </w:rPr>
            </w:pPr>
            <w:hyperlink r:id="rId73" w:history="1">
              <w:r w:rsidR="00F31DB0">
                <w:rPr>
                  <w:rStyle w:val="Hyperlink"/>
                  <w:rFonts w:cs="Arial"/>
                  <w:noProof/>
                  <w:sz w:val="20"/>
                </w:rPr>
                <w:t>Australian Safety and Efficacy Register of New Interventional Procedures—Surgical (ASERNIP-S)</w:t>
              </w:r>
            </w:hyperlink>
            <w:r w:rsidR="00234376" w:rsidRPr="00537C3C">
              <w:rPr>
                <w:rFonts w:cs="Arial"/>
                <w:noProof/>
                <w:sz w:val="20"/>
              </w:rPr>
              <w:t xml:space="preserve"> </w:t>
            </w:r>
          </w:p>
        </w:tc>
      </w:tr>
      <w:tr w:rsidR="00234376" w:rsidRPr="00537C3C">
        <w:tc>
          <w:tcPr>
            <w:tcW w:w="9134" w:type="dxa"/>
          </w:tcPr>
          <w:p w:rsidR="00234376" w:rsidRPr="00537C3C" w:rsidRDefault="00907149" w:rsidP="008E03A7">
            <w:pPr>
              <w:pStyle w:val="TableText"/>
              <w:rPr>
                <w:rFonts w:cs="Arial"/>
                <w:noProof/>
                <w:sz w:val="20"/>
              </w:rPr>
            </w:pPr>
            <w:hyperlink r:id="rId74" w:history="1">
              <w:r w:rsidR="00F31DB0">
                <w:rPr>
                  <w:rStyle w:val="Hyperlink"/>
                  <w:rFonts w:cs="Arial"/>
                  <w:noProof/>
                  <w:sz w:val="20"/>
                </w:rPr>
                <w:t xml:space="preserve">Centre for Clinical Effectiveness, Monash University </w:t>
              </w:r>
            </w:hyperlink>
          </w:p>
        </w:tc>
      </w:tr>
      <w:tr w:rsidR="00234376" w:rsidRPr="00537C3C">
        <w:tc>
          <w:tcPr>
            <w:tcW w:w="9134" w:type="dxa"/>
          </w:tcPr>
          <w:p w:rsidR="00234376" w:rsidRPr="00537C3C" w:rsidRDefault="00907149" w:rsidP="008E03A7">
            <w:pPr>
              <w:pStyle w:val="TableText"/>
              <w:rPr>
                <w:rFonts w:cs="Arial"/>
                <w:noProof/>
                <w:sz w:val="20"/>
              </w:rPr>
            </w:pPr>
            <w:hyperlink r:id="rId75" w:history="1">
              <w:r w:rsidR="00F31DB0">
                <w:rPr>
                  <w:rStyle w:val="Hyperlink"/>
                  <w:rFonts w:cs="Arial"/>
                  <w:noProof/>
                  <w:sz w:val="20"/>
                </w:rPr>
                <w:t xml:space="preserve">Health Economics Unit, Monash University </w:t>
              </w:r>
            </w:hyperlink>
          </w:p>
        </w:tc>
      </w:tr>
      <w:tr w:rsidR="00234376" w:rsidRPr="00537C3C">
        <w:tc>
          <w:tcPr>
            <w:tcW w:w="9134" w:type="dxa"/>
            <w:tcBorders>
              <w:bottom w:val="single" w:sz="4" w:space="0" w:color="auto"/>
            </w:tcBorders>
          </w:tcPr>
          <w:p w:rsidR="00234376" w:rsidRPr="00537C3C" w:rsidRDefault="00907149" w:rsidP="008E03A7">
            <w:pPr>
              <w:pStyle w:val="TableText"/>
              <w:rPr>
                <w:rFonts w:cs="Arial"/>
                <w:noProof/>
                <w:sz w:val="20"/>
              </w:rPr>
            </w:pPr>
            <w:hyperlink r:id="rId76" w:history="1">
              <w:r w:rsidR="00F31DB0">
                <w:rPr>
                  <w:rStyle w:val="Hyperlink"/>
                  <w:rFonts w:cs="Arial"/>
                  <w:noProof/>
                  <w:sz w:val="20"/>
                </w:rPr>
                <w:t xml:space="preserve">Medical Services Advisory Committee </w:t>
              </w:r>
            </w:hyperlink>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bookmarkStart w:id="881" w:name="_Toc147892640"/>
            <w:smartTag w:uri="urn:schemas-microsoft-com:office:smarttags" w:element="place">
              <w:smartTag w:uri="urn:schemas-microsoft-com:office:smarttags" w:element="country-region">
                <w:r w:rsidRPr="00537C3C">
                  <w:rPr>
                    <w:rFonts w:cs="Arial"/>
                    <w:noProof/>
                    <w:sz w:val="20"/>
                  </w:rPr>
                  <w:t>AUSTRIA</w:t>
                </w:r>
              </w:smartTag>
            </w:smartTag>
            <w:bookmarkEnd w:id="881"/>
          </w:p>
        </w:tc>
      </w:tr>
      <w:tr w:rsidR="00234376" w:rsidRPr="00537C3C">
        <w:tc>
          <w:tcPr>
            <w:tcW w:w="9134" w:type="dxa"/>
            <w:tcBorders>
              <w:bottom w:val="single" w:sz="4" w:space="0" w:color="auto"/>
            </w:tcBorders>
          </w:tcPr>
          <w:p w:rsidR="00234376" w:rsidRPr="00537C3C" w:rsidRDefault="00907149" w:rsidP="008E03A7">
            <w:pPr>
              <w:pStyle w:val="TableText"/>
              <w:rPr>
                <w:rFonts w:cs="Arial"/>
                <w:noProof/>
                <w:sz w:val="20"/>
              </w:rPr>
            </w:pPr>
            <w:hyperlink r:id="rId77" w:history="1">
              <w:r w:rsidR="00F31DB0">
                <w:rPr>
                  <w:rStyle w:val="Hyperlink"/>
                  <w:rFonts w:cs="Arial"/>
                  <w:noProof/>
                  <w:sz w:val="20"/>
                </w:rPr>
                <w:t xml:space="preserve">Institute of Technology Assessment / HTA unit </w:t>
              </w:r>
            </w:hyperlink>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bookmarkStart w:id="882" w:name="_Toc147892641"/>
            <w:smartTag w:uri="urn:schemas-microsoft-com:office:smarttags" w:element="place">
              <w:smartTag w:uri="urn:schemas-microsoft-com:office:smarttags" w:element="country-region">
                <w:r w:rsidRPr="00537C3C">
                  <w:rPr>
                    <w:rFonts w:cs="Arial"/>
                    <w:noProof/>
                    <w:sz w:val="20"/>
                  </w:rPr>
                  <w:t>CANADA</w:t>
                </w:r>
              </w:smartTag>
            </w:smartTag>
            <w:bookmarkEnd w:id="882"/>
          </w:p>
        </w:tc>
      </w:tr>
      <w:tr w:rsidR="00234376" w:rsidRPr="00537C3C">
        <w:tc>
          <w:tcPr>
            <w:tcW w:w="9134" w:type="dxa"/>
          </w:tcPr>
          <w:p w:rsidR="00234376" w:rsidRPr="00537C3C" w:rsidRDefault="00907149" w:rsidP="00F31DB0">
            <w:pPr>
              <w:pStyle w:val="TableText"/>
              <w:rPr>
                <w:rFonts w:cs="Arial"/>
                <w:noProof/>
                <w:color w:val="0000FF"/>
                <w:sz w:val="20"/>
                <w:u w:val="single"/>
              </w:rPr>
            </w:pPr>
            <w:hyperlink r:id="rId78" w:history="1">
              <w:r w:rsidR="00234376" w:rsidRPr="00F31DB0">
                <w:rPr>
                  <w:rStyle w:val="Hyperlink"/>
                  <w:rFonts w:cs="Arial"/>
                  <w:noProof/>
                  <w:sz w:val="20"/>
                </w:rPr>
                <w:t>Agence d’Evaluation des Technologies et des Modes d’Intervention en Santé (AETMIS)</w:t>
              </w:r>
            </w:hyperlink>
            <w:r w:rsidR="00234376" w:rsidRPr="00537C3C">
              <w:rPr>
                <w:rFonts w:cs="Arial"/>
                <w:noProof/>
                <w:sz w:val="20"/>
              </w:rPr>
              <w:t xml:space="preserve"> </w:t>
            </w:r>
          </w:p>
        </w:tc>
      </w:tr>
      <w:tr w:rsidR="00234376" w:rsidRPr="00537C3C">
        <w:tc>
          <w:tcPr>
            <w:tcW w:w="9134" w:type="dxa"/>
          </w:tcPr>
          <w:p w:rsidR="00234376" w:rsidRPr="00537C3C" w:rsidRDefault="00907149" w:rsidP="008E03A7">
            <w:pPr>
              <w:pStyle w:val="TableText"/>
              <w:keepNext w:val="0"/>
              <w:rPr>
                <w:rFonts w:cs="Arial"/>
                <w:noProof/>
                <w:sz w:val="20"/>
              </w:rPr>
            </w:pPr>
            <w:hyperlink r:id="rId79" w:history="1">
              <w:r w:rsidR="00F31DB0">
                <w:rPr>
                  <w:rStyle w:val="Hyperlink"/>
                  <w:rFonts w:cs="Arial"/>
                  <w:noProof/>
                  <w:sz w:val="20"/>
                </w:rPr>
                <w:t xml:space="preserve">Canadian Agency for Drugs and Technologies in Health (CADTH) </w:t>
              </w:r>
            </w:hyperlink>
          </w:p>
          <w:p w:rsidR="00234376" w:rsidRPr="00537C3C" w:rsidRDefault="00234376" w:rsidP="008E03A7">
            <w:pPr>
              <w:pStyle w:val="TableText"/>
              <w:keepNext w:val="0"/>
              <w:rPr>
                <w:rFonts w:cs="Arial"/>
                <w:noProof/>
                <w:sz w:val="20"/>
              </w:rPr>
            </w:pPr>
            <w:r w:rsidRPr="00537C3C">
              <w:rPr>
                <w:rFonts w:cs="Arial"/>
                <w:noProof/>
                <w:sz w:val="20"/>
              </w:rPr>
              <w:t>(previously Canadian Coordinating Office for Health Technology Assessment, CCHOTA)</w:t>
            </w:r>
          </w:p>
        </w:tc>
      </w:tr>
      <w:tr w:rsidR="00234376" w:rsidRPr="00537C3C">
        <w:tc>
          <w:tcPr>
            <w:tcW w:w="9134" w:type="dxa"/>
          </w:tcPr>
          <w:p w:rsidR="00234376" w:rsidRPr="00537C3C" w:rsidRDefault="00907149" w:rsidP="008E03A7">
            <w:pPr>
              <w:pStyle w:val="TableText"/>
              <w:keepNext w:val="0"/>
              <w:rPr>
                <w:rFonts w:cs="Arial"/>
                <w:noProof/>
                <w:sz w:val="20"/>
              </w:rPr>
            </w:pPr>
            <w:hyperlink r:id="rId80" w:history="1">
              <w:r w:rsidR="00F31DB0">
                <w:rPr>
                  <w:rStyle w:val="Hyperlink"/>
                  <w:rFonts w:cs="Arial"/>
                  <w:noProof/>
                  <w:sz w:val="20"/>
                </w:rPr>
                <w:t xml:space="preserve">Centre for Health Economics and Policy Analysis (CHEPA), McMaster University </w:t>
              </w:r>
            </w:hyperlink>
          </w:p>
        </w:tc>
      </w:tr>
      <w:tr w:rsidR="00234376" w:rsidRPr="00537C3C">
        <w:tc>
          <w:tcPr>
            <w:tcW w:w="9134" w:type="dxa"/>
          </w:tcPr>
          <w:p w:rsidR="00234376" w:rsidRPr="00537C3C" w:rsidRDefault="00907149" w:rsidP="008E03A7">
            <w:pPr>
              <w:pStyle w:val="TableText"/>
              <w:keepNext w:val="0"/>
              <w:rPr>
                <w:rFonts w:cs="Arial"/>
                <w:noProof/>
                <w:sz w:val="20"/>
              </w:rPr>
            </w:pPr>
            <w:hyperlink r:id="rId81" w:history="1">
              <w:r w:rsidR="00F31DB0">
                <w:rPr>
                  <w:rStyle w:val="Hyperlink"/>
                  <w:rFonts w:cs="Arial"/>
                  <w:noProof/>
                  <w:sz w:val="20"/>
                </w:rPr>
                <w:t xml:space="preserve">Centre for Health Services and Policy Research (CHSPR), University of British Columbia </w:t>
              </w:r>
            </w:hyperlink>
          </w:p>
        </w:tc>
      </w:tr>
      <w:tr w:rsidR="00234376" w:rsidRPr="00537C3C">
        <w:tc>
          <w:tcPr>
            <w:tcW w:w="9134" w:type="dxa"/>
          </w:tcPr>
          <w:p w:rsidR="00234376" w:rsidRPr="00537C3C" w:rsidRDefault="00907149" w:rsidP="008E03A7">
            <w:pPr>
              <w:pStyle w:val="TableText"/>
              <w:keepNext w:val="0"/>
              <w:rPr>
                <w:rFonts w:cs="Arial"/>
                <w:noProof/>
                <w:sz w:val="20"/>
              </w:rPr>
            </w:pPr>
            <w:hyperlink r:id="rId82" w:history="1">
              <w:r w:rsidR="00F31DB0">
                <w:rPr>
                  <w:rStyle w:val="Hyperlink"/>
                  <w:rFonts w:cs="Arial"/>
                  <w:noProof/>
                  <w:sz w:val="20"/>
                </w:rPr>
                <w:t xml:space="preserve">Institute for Clinical and Evaluative Studies (ICES) </w:t>
              </w:r>
            </w:hyperlink>
          </w:p>
        </w:tc>
      </w:tr>
      <w:tr w:rsidR="00234376" w:rsidRPr="00537C3C">
        <w:tc>
          <w:tcPr>
            <w:tcW w:w="9134" w:type="dxa"/>
            <w:tcBorders>
              <w:bottom w:val="single" w:sz="4" w:space="0" w:color="auto"/>
            </w:tcBorders>
          </w:tcPr>
          <w:p w:rsidR="00234376" w:rsidRPr="00537C3C" w:rsidRDefault="00907149" w:rsidP="00F31DB0">
            <w:pPr>
              <w:pStyle w:val="TableText"/>
              <w:keepNext w:val="0"/>
              <w:rPr>
                <w:rFonts w:cs="Arial"/>
                <w:noProof/>
                <w:sz w:val="20"/>
              </w:rPr>
            </w:pPr>
            <w:hyperlink r:id="rId83" w:history="1">
              <w:r w:rsidR="00234376" w:rsidRPr="00F31DB0">
                <w:rPr>
                  <w:rStyle w:val="Hyperlink"/>
                  <w:rFonts w:cs="Arial"/>
                  <w:noProof/>
                  <w:sz w:val="20"/>
                </w:rPr>
                <w:t>Institute of Health Economics (Alberta)</w:t>
              </w:r>
            </w:hyperlink>
            <w:r w:rsidR="00234376" w:rsidRPr="00537C3C">
              <w:rPr>
                <w:rFonts w:cs="Arial"/>
                <w:noProof/>
                <w:sz w:val="20"/>
              </w:rPr>
              <w:t xml:space="preserve"> </w:t>
            </w:r>
          </w:p>
        </w:tc>
      </w:tr>
      <w:tr w:rsidR="00234376" w:rsidRPr="00537C3C">
        <w:tc>
          <w:tcPr>
            <w:tcW w:w="9134" w:type="dxa"/>
            <w:tcBorders>
              <w:top w:val="single" w:sz="4" w:space="0" w:color="auto"/>
            </w:tcBorders>
          </w:tcPr>
          <w:p w:rsidR="00234376" w:rsidRPr="00537C3C" w:rsidRDefault="00234376" w:rsidP="008E03A7">
            <w:pPr>
              <w:pStyle w:val="TableText"/>
              <w:keepNext w:val="0"/>
              <w:rPr>
                <w:rFonts w:cs="Arial"/>
                <w:noProof/>
                <w:sz w:val="20"/>
              </w:rPr>
            </w:pPr>
            <w:bookmarkStart w:id="883" w:name="_Toc147892642"/>
            <w:smartTag w:uri="urn:schemas-microsoft-com:office:smarttags" w:element="place">
              <w:smartTag w:uri="urn:schemas-microsoft-com:office:smarttags" w:element="country-region">
                <w:r w:rsidRPr="00537C3C">
                  <w:rPr>
                    <w:rFonts w:cs="Arial"/>
                    <w:noProof/>
                    <w:sz w:val="20"/>
                  </w:rPr>
                  <w:t>DENMARK</w:t>
                </w:r>
              </w:smartTag>
            </w:smartTag>
            <w:bookmarkEnd w:id="883"/>
          </w:p>
        </w:tc>
      </w:tr>
      <w:tr w:rsidR="00234376" w:rsidRPr="00537C3C">
        <w:tc>
          <w:tcPr>
            <w:tcW w:w="9134" w:type="dxa"/>
            <w:tcBorders>
              <w:bottom w:val="single" w:sz="4" w:space="0" w:color="auto"/>
            </w:tcBorders>
          </w:tcPr>
          <w:p w:rsidR="00234376" w:rsidRPr="00537C3C" w:rsidRDefault="00907149" w:rsidP="008E03A7">
            <w:pPr>
              <w:pStyle w:val="TableText"/>
              <w:keepNext w:val="0"/>
              <w:rPr>
                <w:rFonts w:cs="Arial"/>
                <w:noProof/>
                <w:sz w:val="20"/>
              </w:rPr>
            </w:pPr>
            <w:hyperlink r:id="rId84" w:history="1">
              <w:r w:rsidR="00F31DB0">
                <w:rPr>
                  <w:rFonts w:cs="Arial"/>
                  <w:noProof/>
                  <w:color w:val="0000FF"/>
                  <w:sz w:val="20"/>
                  <w:u w:val="single"/>
                </w:rPr>
                <w:t xml:space="preserve">Danish Institute for Health Technology Assessment (DIHTA) </w:t>
              </w:r>
            </w:hyperlink>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bookmarkStart w:id="884" w:name="_Toc147892643"/>
            <w:smartTag w:uri="urn:schemas-microsoft-com:office:smarttags" w:element="place">
              <w:smartTag w:uri="urn:schemas-microsoft-com:office:smarttags" w:element="country-region">
                <w:r w:rsidRPr="00537C3C">
                  <w:rPr>
                    <w:rFonts w:cs="Arial"/>
                    <w:noProof/>
                    <w:sz w:val="20"/>
                  </w:rPr>
                  <w:t>FINLAND</w:t>
                </w:r>
              </w:smartTag>
            </w:smartTag>
            <w:bookmarkEnd w:id="884"/>
          </w:p>
        </w:tc>
      </w:tr>
      <w:tr w:rsidR="00234376" w:rsidRPr="00537C3C">
        <w:tc>
          <w:tcPr>
            <w:tcW w:w="9134" w:type="dxa"/>
            <w:tcBorders>
              <w:bottom w:val="single" w:sz="4" w:space="0" w:color="auto"/>
            </w:tcBorders>
          </w:tcPr>
          <w:p w:rsidR="00234376" w:rsidRPr="00537C3C" w:rsidRDefault="00907149" w:rsidP="008E03A7">
            <w:pPr>
              <w:pStyle w:val="TableText"/>
              <w:rPr>
                <w:rFonts w:cs="Arial"/>
                <w:noProof/>
                <w:sz w:val="20"/>
              </w:rPr>
            </w:pPr>
            <w:hyperlink r:id="rId85" w:history="1">
              <w:r w:rsidR="00F31DB0">
                <w:rPr>
                  <w:rFonts w:cs="Arial"/>
                  <w:noProof/>
                  <w:color w:val="0000FF"/>
                  <w:sz w:val="20"/>
                  <w:u w:val="single"/>
                </w:rPr>
                <w:t>FINOHTA</w:t>
              </w:r>
            </w:hyperlink>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bookmarkStart w:id="885" w:name="_Toc147892644"/>
            <w:smartTag w:uri="urn:schemas-microsoft-com:office:smarttags" w:element="place">
              <w:smartTag w:uri="urn:schemas-microsoft-com:office:smarttags" w:element="country-region">
                <w:r w:rsidRPr="00537C3C">
                  <w:rPr>
                    <w:rFonts w:cs="Arial"/>
                    <w:noProof/>
                    <w:sz w:val="20"/>
                  </w:rPr>
                  <w:t>FRANCE</w:t>
                </w:r>
              </w:smartTag>
            </w:smartTag>
            <w:bookmarkEnd w:id="885"/>
          </w:p>
        </w:tc>
      </w:tr>
      <w:tr w:rsidR="00234376" w:rsidRPr="00537C3C">
        <w:tc>
          <w:tcPr>
            <w:tcW w:w="9134" w:type="dxa"/>
            <w:tcBorders>
              <w:bottom w:val="single" w:sz="4" w:space="0" w:color="auto"/>
            </w:tcBorders>
          </w:tcPr>
          <w:p w:rsidR="00234376" w:rsidRPr="00537C3C" w:rsidRDefault="00907149" w:rsidP="008E03A7">
            <w:pPr>
              <w:pStyle w:val="TableText"/>
              <w:rPr>
                <w:rFonts w:cs="Arial"/>
                <w:noProof/>
                <w:sz w:val="20"/>
              </w:rPr>
            </w:pPr>
            <w:hyperlink r:id="rId86" w:history="1">
              <w:r w:rsidR="00F31DB0">
                <w:rPr>
                  <w:rStyle w:val="Hyperlink"/>
                  <w:rFonts w:cs="Arial"/>
                  <w:noProof/>
                  <w:sz w:val="20"/>
                </w:rPr>
                <w:t xml:space="preserve">Haute Autorité de Santé (HAS; French National Authority for Health) </w:t>
              </w:r>
            </w:hyperlink>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bookmarkStart w:id="886" w:name="_Toc147892645"/>
            <w:smartTag w:uri="urn:schemas-microsoft-com:office:smarttags" w:element="place">
              <w:smartTag w:uri="urn:schemas-microsoft-com:office:smarttags" w:element="country-region">
                <w:r w:rsidRPr="00537C3C">
                  <w:rPr>
                    <w:rFonts w:cs="Arial"/>
                    <w:noProof/>
                    <w:sz w:val="20"/>
                  </w:rPr>
                  <w:t>GERMANY</w:t>
                </w:r>
              </w:smartTag>
            </w:smartTag>
            <w:bookmarkEnd w:id="886"/>
          </w:p>
        </w:tc>
      </w:tr>
      <w:tr w:rsidR="00234376" w:rsidRPr="00537C3C">
        <w:tc>
          <w:tcPr>
            <w:tcW w:w="9134" w:type="dxa"/>
            <w:tcBorders>
              <w:bottom w:val="single" w:sz="4" w:space="0" w:color="auto"/>
            </w:tcBorders>
          </w:tcPr>
          <w:p w:rsidR="00234376" w:rsidRPr="00537C3C" w:rsidRDefault="00907149" w:rsidP="008E03A7">
            <w:pPr>
              <w:pStyle w:val="TableText"/>
              <w:rPr>
                <w:rFonts w:cs="Arial"/>
                <w:noProof/>
                <w:sz w:val="20"/>
              </w:rPr>
            </w:pPr>
            <w:hyperlink r:id="rId87" w:history="1">
              <w:r w:rsidR="00F31DB0">
                <w:rPr>
                  <w:rStyle w:val="Hyperlink"/>
                  <w:rFonts w:cs="Arial"/>
                  <w:noProof/>
                  <w:sz w:val="20"/>
                </w:rPr>
                <w:t xml:space="preserve">German Institute for Medical Documentation and Information (DIMDI) / HTA </w:t>
              </w:r>
            </w:hyperlink>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bookmarkStart w:id="887" w:name="_Toc147892646"/>
            <w:r w:rsidRPr="00537C3C">
              <w:rPr>
                <w:rFonts w:cs="Arial"/>
                <w:noProof/>
                <w:sz w:val="20"/>
              </w:rPr>
              <w:t xml:space="preserve">THE </w:t>
            </w:r>
            <w:smartTag w:uri="urn:schemas-microsoft-com:office:smarttags" w:element="place">
              <w:smartTag w:uri="urn:schemas-microsoft-com:office:smarttags" w:element="country-region">
                <w:r w:rsidRPr="00537C3C">
                  <w:rPr>
                    <w:rFonts w:cs="Arial"/>
                    <w:noProof/>
                    <w:sz w:val="20"/>
                  </w:rPr>
                  <w:t>NETHERLANDS</w:t>
                </w:r>
              </w:smartTag>
            </w:smartTag>
            <w:bookmarkEnd w:id="887"/>
          </w:p>
        </w:tc>
      </w:tr>
      <w:tr w:rsidR="00234376" w:rsidRPr="00537C3C">
        <w:tc>
          <w:tcPr>
            <w:tcW w:w="9134" w:type="dxa"/>
            <w:tcBorders>
              <w:bottom w:val="single" w:sz="4" w:space="0" w:color="auto"/>
            </w:tcBorders>
          </w:tcPr>
          <w:p w:rsidR="00234376" w:rsidRPr="00537C3C" w:rsidRDefault="00907149" w:rsidP="008E03A7">
            <w:pPr>
              <w:pStyle w:val="TableText"/>
              <w:keepNext w:val="0"/>
              <w:rPr>
                <w:rFonts w:cs="Arial"/>
                <w:noProof/>
                <w:sz w:val="20"/>
              </w:rPr>
            </w:pPr>
            <w:hyperlink r:id="rId88" w:history="1">
              <w:r w:rsidR="00F31DB0">
                <w:rPr>
                  <w:rStyle w:val="Hyperlink"/>
                  <w:rFonts w:cs="Arial"/>
                  <w:noProof/>
                  <w:sz w:val="20"/>
                </w:rPr>
                <w:t xml:space="preserve">Health Council of the Netherlands Gezondheidsraad </w:t>
              </w:r>
            </w:hyperlink>
            <w:r w:rsidR="00234376" w:rsidRPr="00537C3C">
              <w:rPr>
                <w:rFonts w:cs="Arial"/>
                <w:noProof/>
                <w:sz w:val="20"/>
              </w:rPr>
              <w:t xml:space="preserve"> </w:t>
            </w:r>
          </w:p>
        </w:tc>
      </w:tr>
      <w:tr w:rsidR="00234376" w:rsidRPr="00537C3C">
        <w:tc>
          <w:tcPr>
            <w:tcW w:w="9134" w:type="dxa"/>
            <w:tcBorders>
              <w:top w:val="single" w:sz="4" w:space="0" w:color="auto"/>
            </w:tcBorders>
          </w:tcPr>
          <w:p w:rsidR="00234376" w:rsidRPr="00537C3C" w:rsidRDefault="00234376" w:rsidP="008E03A7">
            <w:pPr>
              <w:pStyle w:val="TableText"/>
              <w:keepNext w:val="0"/>
              <w:rPr>
                <w:rFonts w:cs="Arial"/>
                <w:noProof/>
                <w:sz w:val="20"/>
              </w:rPr>
            </w:pPr>
            <w:bookmarkStart w:id="888" w:name="_Toc147892647"/>
            <w:smartTag w:uri="urn:schemas-microsoft-com:office:smarttags" w:element="place">
              <w:smartTag w:uri="urn:schemas-microsoft-com:office:smarttags" w:element="country-region">
                <w:r w:rsidRPr="00537C3C">
                  <w:rPr>
                    <w:rFonts w:cs="Arial"/>
                    <w:noProof/>
                    <w:sz w:val="20"/>
                  </w:rPr>
                  <w:t>NEW ZEALAND</w:t>
                </w:r>
              </w:smartTag>
            </w:smartTag>
            <w:bookmarkEnd w:id="888"/>
          </w:p>
        </w:tc>
      </w:tr>
      <w:tr w:rsidR="00234376" w:rsidRPr="00537C3C">
        <w:tc>
          <w:tcPr>
            <w:tcW w:w="9134" w:type="dxa"/>
            <w:tcBorders>
              <w:bottom w:val="single" w:sz="4" w:space="0" w:color="auto"/>
            </w:tcBorders>
          </w:tcPr>
          <w:p w:rsidR="00234376" w:rsidRPr="00537C3C" w:rsidRDefault="00907149" w:rsidP="008E03A7">
            <w:pPr>
              <w:pStyle w:val="TableText"/>
              <w:keepNext w:val="0"/>
              <w:rPr>
                <w:rFonts w:cs="Arial"/>
                <w:noProof/>
                <w:sz w:val="20"/>
              </w:rPr>
            </w:pPr>
            <w:hyperlink r:id="rId89" w:history="1">
              <w:r w:rsidR="00F31DB0">
                <w:rPr>
                  <w:rStyle w:val="Hyperlink"/>
                  <w:rFonts w:cs="Arial"/>
                  <w:noProof/>
                  <w:sz w:val="20"/>
                </w:rPr>
                <w:t xml:space="preserve">New Zealand Health Technology Assessment (NZHTA) </w:t>
              </w:r>
            </w:hyperlink>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bookmarkStart w:id="889" w:name="_Toc147892648"/>
            <w:smartTag w:uri="urn:schemas-microsoft-com:office:smarttags" w:element="place">
              <w:smartTag w:uri="urn:schemas-microsoft-com:office:smarttags" w:element="country-region">
                <w:r w:rsidRPr="00537C3C">
                  <w:rPr>
                    <w:rFonts w:cs="Arial"/>
                    <w:noProof/>
                    <w:sz w:val="20"/>
                  </w:rPr>
                  <w:t>NORWAY</w:t>
                </w:r>
              </w:smartTag>
            </w:smartTag>
            <w:bookmarkEnd w:id="889"/>
          </w:p>
        </w:tc>
      </w:tr>
      <w:tr w:rsidR="00234376" w:rsidRPr="00537C3C">
        <w:tc>
          <w:tcPr>
            <w:tcW w:w="9134" w:type="dxa"/>
            <w:tcBorders>
              <w:bottom w:val="single" w:sz="4" w:space="0" w:color="auto"/>
            </w:tcBorders>
          </w:tcPr>
          <w:p w:rsidR="00234376" w:rsidRPr="00537C3C" w:rsidRDefault="00907149" w:rsidP="00F31DB0">
            <w:pPr>
              <w:pStyle w:val="TableText"/>
              <w:keepNext w:val="0"/>
              <w:rPr>
                <w:rFonts w:cs="Arial"/>
                <w:noProof/>
                <w:sz w:val="20"/>
              </w:rPr>
            </w:pPr>
            <w:hyperlink r:id="rId90" w:history="1">
              <w:r w:rsidR="00234376" w:rsidRPr="00F31DB0">
                <w:rPr>
                  <w:rStyle w:val="Hyperlink"/>
                  <w:rFonts w:cs="Arial"/>
                  <w:noProof/>
                  <w:sz w:val="20"/>
                </w:rPr>
                <w:t>Norwegian Centre for Health Technology Assessment (SMM)</w:t>
              </w:r>
            </w:hyperlink>
            <w:r w:rsidR="00234376" w:rsidRPr="00537C3C">
              <w:rPr>
                <w:rFonts w:cs="Arial"/>
                <w:noProof/>
                <w:sz w:val="20"/>
              </w:rPr>
              <w:t xml:space="preserve"> </w:t>
            </w:r>
          </w:p>
        </w:tc>
      </w:tr>
      <w:tr w:rsidR="00234376" w:rsidRPr="00537C3C">
        <w:tc>
          <w:tcPr>
            <w:tcW w:w="9134" w:type="dxa"/>
            <w:tcBorders>
              <w:top w:val="single" w:sz="4" w:space="0" w:color="auto"/>
            </w:tcBorders>
          </w:tcPr>
          <w:p w:rsidR="00234376" w:rsidRPr="00537C3C" w:rsidRDefault="00234376" w:rsidP="008E03A7">
            <w:pPr>
              <w:pStyle w:val="TableText"/>
              <w:keepNext w:val="0"/>
              <w:rPr>
                <w:rFonts w:cs="Arial"/>
                <w:noProof/>
                <w:sz w:val="20"/>
              </w:rPr>
            </w:pPr>
            <w:bookmarkStart w:id="890" w:name="_Toc147892649"/>
            <w:smartTag w:uri="urn:schemas-microsoft-com:office:smarttags" w:element="place">
              <w:smartTag w:uri="urn:schemas-microsoft-com:office:smarttags" w:element="country-region">
                <w:r w:rsidRPr="00537C3C">
                  <w:rPr>
                    <w:rFonts w:cs="Arial"/>
                    <w:noProof/>
                    <w:sz w:val="20"/>
                  </w:rPr>
                  <w:t>SPAIN</w:t>
                </w:r>
              </w:smartTag>
            </w:smartTag>
            <w:bookmarkEnd w:id="890"/>
          </w:p>
        </w:tc>
      </w:tr>
      <w:tr w:rsidR="00234376" w:rsidRPr="00537C3C">
        <w:tc>
          <w:tcPr>
            <w:tcW w:w="9134" w:type="dxa"/>
            <w:tcBorders>
              <w:bottom w:val="single" w:sz="4" w:space="0" w:color="auto"/>
            </w:tcBorders>
          </w:tcPr>
          <w:p w:rsidR="00234376" w:rsidRPr="00537C3C" w:rsidRDefault="00907149" w:rsidP="008E03A7">
            <w:pPr>
              <w:pStyle w:val="TableText"/>
              <w:keepNext w:val="0"/>
              <w:rPr>
                <w:rFonts w:cs="Arial"/>
                <w:noProof/>
                <w:sz w:val="20"/>
              </w:rPr>
            </w:pPr>
            <w:hyperlink r:id="rId91" w:history="1">
              <w:r w:rsidR="00F31DB0">
                <w:rPr>
                  <w:rStyle w:val="Hyperlink"/>
                  <w:rFonts w:cs="Arial"/>
                  <w:noProof/>
                  <w:sz w:val="20"/>
                </w:rPr>
                <w:t xml:space="preserve">Catalan Agency for Health Technology Assessment (CAHTA) </w:t>
              </w:r>
            </w:hyperlink>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bookmarkStart w:id="891" w:name="_Toc147892650"/>
            <w:smartTag w:uri="urn:schemas-microsoft-com:office:smarttags" w:element="place">
              <w:smartTag w:uri="urn:schemas-microsoft-com:office:smarttags" w:element="country-region">
                <w:r w:rsidRPr="00537C3C">
                  <w:rPr>
                    <w:rFonts w:cs="Arial"/>
                    <w:noProof/>
                    <w:sz w:val="20"/>
                  </w:rPr>
                  <w:lastRenderedPageBreak/>
                  <w:t>SWEDEN</w:t>
                </w:r>
              </w:smartTag>
            </w:smartTag>
            <w:bookmarkEnd w:id="891"/>
          </w:p>
        </w:tc>
      </w:tr>
      <w:tr w:rsidR="00234376" w:rsidRPr="00537C3C">
        <w:tc>
          <w:tcPr>
            <w:tcW w:w="9134" w:type="dxa"/>
          </w:tcPr>
          <w:p w:rsidR="00234376" w:rsidRPr="00537C3C" w:rsidRDefault="00907149" w:rsidP="008E03A7">
            <w:pPr>
              <w:pStyle w:val="TableText"/>
              <w:rPr>
                <w:rFonts w:cs="Arial"/>
                <w:noProof/>
                <w:sz w:val="20"/>
              </w:rPr>
            </w:pPr>
            <w:hyperlink r:id="rId92" w:history="1">
              <w:r w:rsidR="00F31DB0">
                <w:rPr>
                  <w:rStyle w:val="Hyperlink"/>
                  <w:rFonts w:cs="Arial"/>
                  <w:noProof/>
                  <w:sz w:val="20"/>
                </w:rPr>
                <w:t xml:space="preserve">Swedish Council on Technology Assessment in Health Care (SBU) </w:t>
              </w:r>
            </w:hyperlink>
          </w:p>
        </w:tc>
      </w:tr>
      <w:tr w:rsidR="00234376" w:rsidRPr="00537C3C">
        <w:tc>
          <w:tcPr>
            <w:tcW w:w="9134" w:type="dxa"/>
            <w:tcBorders>
              <w:bottom w:val="single" w:sz="4" w:space="0" w:color="auto"/>
            </w:tcBorders>
          </w:tcPr>
          <w:p w:rsidR="00234376" w:rsidRPr="00537C3C" w:rsidRDefault="00907149" w:rsidP="008E03A7">
            <w:pPr>
              <w:pStyle w:val="TableText"/>
              <w:rPr>
                <w:rFonts w:cs="Arial"/>
                <w:noProof/>
                <w:sz w:val="20"/>
              </w:rPr>
            </w:pPr>
            <w:hyperlink r:id="rId93" w:history="1">
              <w:r w:rsidR="00DD13C2">
                <w:rPr>
                  <w:rStyle w:val="Hyperlink"/>
                  <w:rFonts w:cs="Arial"/>
                  <w:noProof/>
                  <w:sz w:val="20"/>
                </w:rPr>
                <w:t xml:space="preserve">Center for Medical Health Technology Assessment </w:t>
              </w:r>
            </w:hyperlink>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bookmarkStart w:id="892" w:name="_Toc147892651"/>
            <w:smartTag w:uri="urn:schemas-microsoft-com:office:smarttags" w:element="place">
              <w:smartTag w:uri="urn:schemas-microsoft-com:office:smarttags" w:element="country-region">
                <w:r w:rsidRPr="00537C3C">
                  <w:rPr>
                    <w:rFonts w:cs="Arial"/>
                    <w:noProof/>
                    <w:sz w:val="20"/>
                  </w:rPr>
                  <w:t>SWITZERLAND</w:t>
                </w:r>
              </w:smartTag>
            </w:smartTag>
            <w:bookmarkEnd w:id="892"/>
          </w:p>
        </w:tc>
      </w:tr>
      <w:tr w:rsidR="00234376" w:rsidRPr="00537C3C">
        <w:tc>
          <w:tcPr>
            <w:tcW w:w="9134" w:type="dxa"/>
            <w:tcBorders>
              <w:bottom w:val="single" w:sz="4" w:space="0" w:color="auto"/>
            </w:tcBorders>
          </w:tcPr>
          <w:p w:rsidR="00234376" w:rsidRPr="00537C3C" w:rsidRDefault="00907149" w:rsidP="008E03A7">
            <w:pPr>
              <w:pStyle w:val="TableText"/>
              <w:rPr>
                <w:rFonts w:cs="Arial"/>
                <w:noProof/>
                <w:sz w:val="20"/>
              </w:rPr>
            </w:pPr>
            <w:hyperlink r:id="rId94" w:history="1">
              <w:r w:rsidR="00DD13C2">
                <w:rPr>
                  <w:rStyle w:val="Hyperlink"/>
                  <w:rFonts w:cs="Arial"/>
                  <w:noProof/>
                  <w:sz w:val="20"/>
                </w:rPr>
                <w:t xml:space="preserve">Swiss Network on Health Technology Assessment (SNHTA) </w:t>
              </w:r>
            </w:hyperlink>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bookmarkStart w:id="893" w:name="_Toc147892652"/>
            <w:smartTag w:uri="urn:schemas-microsoft-com:office:smarttags" w:element="place">
              <w:smartTag w:uri="urn:schemas-microsoft-com:office:smarttags" w:element="country-region">
                <w:r w:rsidRPr="00537C3C">
                  <w:rPr>
                    <w:rFonts w:cs="Arial"/>
                    <w:noProof/>
                    <w:sz w:val="20"/>
                  </w:rPr>
                  <w:t>UNITED KINGDOM</w:t>
                </w:r>
              </w:smartTag>
            </w:smartTag>
            <w:bookmarkEnd w:id="893"/>
          </w:p>
        </w:tc>
      </w:tr>
      <w:tr w:rsidR="00234376" w:rsidRPr="00537C3C">
        <w:tc>
          <w:tcPr>
            <w:tcW w:w="9134" w:type="dxa"/>
          </w:tcPr>
          <w:p w:rsidR="00234376" w:rsidRPr="00537C3C" w:rsidRDefault="00907149" w:rsidP="008E03A7">
            <w:pPr>
              <w:pStyle w:val="TableText"/>
              <w:rPr>
                <w:rFonts w:cs="Arial"/>
                <w:noProof/>
                <w:sz w:val="20"/>
              </w:rPr>
            </w:pPr>
            <w:hyperlink r:id="rId95" w:history="1">
              <w:r w:rsidR="00DD13C2">
                <w:rPr>
                  <w:rStyle w:val="Hyperlink"/>
                  <w:rFonts w:cs="Arial"/>
                  <w:noProof/>
                  <w:sz w:val="20"/>
                </w:rPr>
                <w:t xml:space="preserve">Health Technology Board for Scotland </w:t>
              </w:r>
            </w:hyperlink>
          </w:p>
        </w:tc>
      </w:tr>
      <w:tr w:rsidR="00234376" w:rsidRPr="00537C3C">
        <w:tc>
          <w:tcPr>
            <w:tcW w:w="9134" w:type="dxa"/>
          </w:tcPr>
          <w:p w:rsidR="00234376" w:rsidRPr="00537C3C" w:rsidRDefault="00907149" w:rsidP="008E03A7">
            <w:pPr>
              <w:pStyle w:val="TableText"/>
              <w:rPr>
                <w:rFonts w:cs="Arial"/>
                <w:noProof/>
                <w:sz w:val="20"/>
              </w:rPr>
            </w:pPr>
            <w:hyperlink r:id="rId96" w:history="1">
              <w:r w:rsidR="00DD13C2">
                <w:rPr>
                  <w:rStyle w:val="Hyperlink"/>
                  <w:rFonts w:cs="Arial"/>
                  <w:noProof/>
                  <w:sz w:val="20"/>
                </w:rPr>
                <w:t xml:space="preserve">National Health Service Health Technology Assessment (UK) / National Coordinating Centre for Health Technology Assessment (NCCHTA) </w:t>
              </w:r>
            </w:hyperlink>
          </w:p>
        </w:tc>
      </w:tr>
      <w:tr w:rsidR="00234376" w:rsidRPr="00537C3C">
        <w:tc>
          <w:tcPr>
            <w:tcW w:w="9134" w:type="dxa"/>
          </w:tcPr>
          <w:p w:rsidR="00234376" w:rsidRPr="00537C3C" w:rsidRDefault="00907149" w:rsidP="008E03A7">
            <w:pPr>
              <w:pStyle w:val="TableText"/>
              <w:rPr>
                <w:rFonts w:cs="Arial"/>
                <w:noProof/>
                <w:sz w:val="20"/>
              </w:rPr>
            </w:pPr>
            <w:hyperlink r:id="rId97" w:history="1">
              <w:r w:rsidR="00DD13C2">
                <w:rPr>
                  <w:rStyle w:val="Hyperlink"/>
                  <w:rFonts w:cs="Arial"/>
                  <w:noProof/>
                  <w:sz w:val="20"/>
                </w:rPr>
                <w:t xml:space="preserve">University of York NHS Centre for Reviews and Dissemination (NHS CRD) </w:t>
              </w:r>
            </w:hyperlink>
          </w:p>
        </w:tc>
      </w:tr>
      <w:tr w:rsidR="00234376" w:rsidRPr="00537C3C">
        <w:tc>
          <w:tcPr>
            <w:tcW w:w="9134" w:type="dxa"/>
            <w:tcBorders>
              <w:bottom w:val="single" w:sz="4" w:space="0" w:color="auto"/>
            </w:tcBorders>
          </w:tcPr>
          <w:p w:rsidR="00234376" w:rsidRPr="00537C3C" w:rsidRDefault="00907149" w:rsidP="008E03A7">
            <w:pPr>
              <w:pStyle w:val="TableText"/>
              <w:rPr>
                <w:rFonts w:cs="Arial"/>
                <w:noProof/>
                <w:sz w:val="20"/>
              </w:rPr>
            </w:pPr>
            <w:hyperlink r:id="rId98" w:history="1">
              <w:r w:rsidR="00DD13C2">
                <w:rPr>
                  <w:rStyle w:val="Hyperlink"/>
                  <w:rFonts w:cs="Arial"/>
                  <w:noProof/>
                  <w:sz w:val="20"/>
                </w:rPr>
                <w:t xml:space="preserve">National Institute for Clinical Excellence (NICE) </w:t>
              </w:r>
            </w:hyperlink>
          </w:p>
        </w:tc>
      </w:tr>
      <w:tr w:rsidR="00234376" w:rsidRPr="00537C3C">
        <w:tc>
          <w:tcPr>
            <w:tcW w:w="9134" w:type="dxa"/>
            <w:tcBorders>
              <w:top w:val="single" w:sz="4" w:space="0" w:color="auto"/>
            </w:tcBorders>
          </w:tcPr>
          <w:p w:rsidR="00234376" w:rsidRPr="00537C3C" w:rsidRDefault="00234376" w:rsidP="008E03A7">
            <w:pPr>
              <w:pStyle w:val="TableText"/>
              <w:rPr>
                <w:rFonts w:cs="Arial"/>
                <w:noProof/>
                <w:sz w:val="20"/>
              </w:rPr>
            </w:pPr>
            <w:bookmarkStart w:id="894" w:name="_Toc147892653"/>
            <w:r w:rsidRPr="00537C3C">
              <w:rPr>
                <w:rFonts w:cs="Arial"/>
                <w:noProof/>
                <w:sz w:val="20"/>
              </w:rPr>
              <w:t>UNITED STATES</w:t>
            </w:r>
            <w:bookmarkEnd w:id="894"/>
          </w:p>
        </w:tc>
      </w:tr>
      <w:tr w:rsidR="00234376" w:rsidRPr="00537C3C">
        <w:tc>
          <w:tcPr>
            <w:tcW w:w="9134" w:type="dxa"/>
          </w:tcPr>
          <w:p w:rsidR="00234376" w:rsidRPr="00537C3C" w:rsidRDefault="00907149" w:rsidP="008E03A7">
            <w:pPr>
              <w:pStyle w:val="TableText"/>
              <w:rPr>
                <w:rFonts w:cs="Arial"/>
                <w:noProof/>
                <w:sz w:val="20"/>
              </w:rPr>
            </w:pPr>
            <w:hyperlink r:id="rId99" w:history="1">
              <w:r w:rsidR="00DD13C2">
                <w:rPr>
                  <w:rFonts w:cs="Arial"/>
                  <w:noProof/>
                  <w:color w:val="0000FF"/>
                  <w:sz w:val="20"/>
                  <w:u w:val="single"/>
                </w:rPr>
                <w:t xml:space="preserve">Agency for Healthcare Research and Quality (AHRQ) </w:t>
              </w:r>
            </w:hyperlink>
          </w:p>
        </w:tc>
      </w:tr>
      <w:tr w:rsidR="00234376" w:rsidRPr="00537C3C">
        <w:tc>
          <w:tcPr>
            <w:tcW w:w="9134" w:type="dxa"/>
          </w:tcPr>
          <w:p w:rsidR="00234376" w:rsidRPr="00537C3C" w:rsidRDefault="00234376" w:rsidP="008E03A7">
            <w:pPr>
              <w:pStyle w:val="TableText"/>
              <w:rPr>
                <w:rFonts w:cs="Arial"/>
                <w:noProof/>
                <w:sz w:val="20"/>
              </w:rPr>
            </w:pPr>
          </w:p>
        </w:tc>
      </w:tr>
      <w:tr w:rsidR="00234376" w:rsidRPr="00537C3C">
        <w:tc>
          <w:tcPr>
            <w:tcW w:w="9134" w:type="dxa"/>
            <w:tcBorders>
              <w:bottom w:val="single" w:sz="4" w:space="0" w:color="auto"/>
            </w:tcBorders>
          </w:tcPr>
          <w:p w:rsidR="00234376" w:rsidRPr="00537C3C" w:rsidRDefault="00907149" w:rsidP="00DD13C2">
            <w:pPr>
              <w:pStyle w:val="TableText"/>
              <w:rPr>
                <w:rFonts w:cs="Arial"/>
                <w:noProof/>
                <w:sz w:val="20"/>
              </w:rPr>
            </w:pPr>
            <w:hyperlink r:id="rId100" w:history="1">
              <w:r w:rsidR="00DD13C2">
                <w:rPr>
                  <w:rStyle w:val="Hyperlink"/>
                  <w:rFonts w:cs="Arial"/>
                  <w:noProof/>
                  <w:sz w:val="20"/>
                </w:rPr>
                <w:t>US Blue Cross / Blue Shield Association Technology Evaluation Center (TEC)</w:t>
              </w:r>
            </w:hyperlink>
          </w:p>
        </w:tc>
      </w:tr>
      <w:tr w:rsidR="00234376" w:rsidRPr="00537C3C">
        <w:tc>
          <w:tcPr>
            <w:tcW w:w="9134" w:type="dxa"/>
            <w:tcBorders>
              <w:top w:val="single" w:sz="4" w:space="0" w:color="auto"/>
              <w:bottom w:val="single" w:sz="4" w:space="0" w:color="auto"/>
            </w:tcBorders>
          </w:tcPr>
          <w:p w:rsidR="00234376" w:rsidRPr="00537C3C" w:rsidRDefault="00234376" w:rsidP="008E03A7">
            <w:pPr>
              <w:pStyle w:val="TableText"/>
              <w:rPr>
                <w:rFonts w:cs="Arial"/>
                <w:b/>
                <w:noProof/>
                <w:sz w:val="20"/>
              </w:rPr>
            </w:pPr>
            <w:r w:rsidRPr="00537C3C">
              <w:rPr>
                <w:rFonts w:cs="Arial"/>
                <w:b/>
                <w:noProof/>
                <w:sz w:val="20"/>
              </w:rPr>
              <w:t>3. Trials registries</w:t>
            </w:r>
          </w:p>
        </w:tc>
      </w:tr>
      <w:tr w:rsidR="00234376" w:rsidRPr="00537C3C">
        <w:tc>
          <w:tcPr>
            <w:tcW w:w="9134" w:type="dxa"/>
            <w:tcBorders>
              <w:top w:val="single" w:sz="4" w:space="0" w:color="auto"/>
            </w:tcBorders>
          </w:tcPr>
          <w:p w:rsidR="00234376" w:rsidRPr="00537C3C" w:rsidRDefault="00907149" w:rsidP="008E03A7">
            <w:pPr>
              <w:pStyle w:val="TableText"/>
              <w:rPr>
                <w:rFonts w:cs="Arial"/>
                <w:noProof/>
                <w:color w:val="0000FF"/>
                <w:sz w:val="20"/>
                <w:u w:val="single"/>
              </w:rPr>
            </w:pPr>
            <w:hyperlink r:id="rId101" w:history="1">
              <w:r w:rsidR="00DD13C2">
                <w:rPr>
                  <w:rFonts w:cs="Arial"/>
                  <w:noProof/>
                  <w:color w:val="0000FF"/>
                  <w:sz w:val="20"/>
                  <w:u w:val="single"/>
                </w:rPr>
                <w:t xml:space="preserve">Clinical trials </w:t>
              </w:r>
            </w:hyperlink>
          </w:p>
          <w:p w:rsidR="00234376" w:rsidRPr="00537C3C" w:rsidRDefault="00234376" w:rsidP="008E03A7">
            <w:pPr>
              <w:pStyle w:val="TableText"/>
              <w:rPr>
                <w:rFonts w:cs="Arial"/>
                <w:noProof/>
                <w:sz w:val="20"/>
              </w:rPr>
            </w:pPr>
            <w:r w:rsidRPr="00537C3C">
              <w:rPr>
                <w:rFonts w:cs="Arial"/>
                <w:noProof/>
                <w:sz w:val="20"/>
              </w:rPr>
              <w:t>Searched February 2008</w:t>
            </w:r>
          </w:p>
        </w:tc>
      </w:tr>
      <w:tr w:rsidR="00234376" w:rsidRPr="00537C3C">
        <w:tc>
          <w:tcPr>
            <w:tcW w:w="9134" w:type="dxa"/>
          </w:tcPr>
          <w:p w:rsidR="00234376" w:rsidRPr="00537C3C" w:rsidRDefault="00907149" w:rsidP="008E03A7">
            <w:pPr>
              <w:pStyle w:val="TableText"/>
              <w:rPr>
                <w:rFonts w:cs="Arial"/>
                <w:noProof/>
                <w:color w:val="0000FF"/>
                <w:sz w:val="20"/>
                <w:u w:val="single"/>
              </w:rPr>
            </w:pPr>
            <w:hyperlink r:id="rId102" w:history="1">
              <w:r w:rsidR="00DD13C2">
                <w:rPr>
                  <w:rStyle w:val="Hyperlink"/>
                  <w:rFonts w:cs="Arial"/>
                  <w:noProof/>
                  <w:sz w:val="20"/>
                </w:rPr>
                <w:t xml:space="preserve">NIHR Health Technology Assessment Programme—research in progress </w:t>
              </w:r>
            </w:hyperlink>
          </w:p>
          <w:p w:rsidR="00234376" w:rsidRPr="00537C3C" w:rsidRDefault="00234376" w:rsidP="008E03A7">
            <w:pPr>
              <w:pStyle w:val="TableText"/>
              <w:rPr>
                <w:rFonts w:cs="Arial"/>
                <w:b/>
                <w:noProof/>
                <w:sz w:val="20"/>
              </w:rPr>
            </w:pPr>
            <w:r w:rsidRPr="00537C3C">
              <w:rPr>
                <w:rFonts w:cs="Arial"/>
                <w:noProof/>
                <w:sz w:val="20"/>
              </w:rPr>
              <w:t>Searched February 2008</w:t>
            </w:r>
          </w:p>
        </w:tc>
      </w:tr>
      <w:tr w:rsidR="00234376" w:rsidRPr="00537C3C">
        <w:tc>
          <w:tcPr>
            <w:tcW w:w="9134" w:type="dxa"/>
            <w:tcBorders>
              <w:bottom w:val="single" w:sz="4" w:space="0" w:color="auto"/>
            </w:tcBorders>
          </w:tcPr>
          <w:p w:rsidR="00234376" w:rsidRPr="00537C3C" w:rsidRDefault="00907149" w:rsidP="008E03A7">
            <w:pPr>
              <w:pStyle w:val="TableText"/>
              <w:rPr>
                <w:rFonts w:cs="Arial"/>
                <w:noProof/>
                <w:color w:val="0000FF"/>
                <w:sz w:val="20"/>
                <w:u w:val="single"/>
              </w:rPr>
            </w:pPr>
            <w:hyperlink r:id="rId103" w:history="1">
              <w:r w:rsidR="00234376" w:rsidRPr="00DD13C2">
                <w:rPr>
                  <w:rStyle w:val="Hyperlink"/>
                  <w:rFonts w:cs="Arial"/>
                  <w:noProof/>
                  <w:sz w:val="20"/>
                </w:rPr>
                <w:t>World Health Organization International Clinical Trials Registry Platform (ICTRP)</w:t>
              </w:r>
            </w:hyperlink>
            <w:r w:rsidR="00234376" w:rsidRPr="00537C3C">
              <w:rPr>
                <w:noProof/>
              </w:rPr>
              <w:t xml:space="preserve"> </w:t>
            </w:r>
          </w:p>
          <w:p w:rsidR="00234376" w:rsidRPr="00537C3C" w:rsidRDefault="00234376" w:rsidP="008E03A7">
            <w:pPr>
              <w:pStyle w:val="TableText"/>
              <w:rPr>
                <w:noProof/>
              </w:rPr>
            </w:pPr>
            <w:r w:rsidRPr="00537C3C">
              <w:rPr>
                <w:rFonts w:cs="Arial"/>
                <w:noProof/>
                <w:sz w:val="20"/>
              </w:rPr>
              <w:t>Searched November 2007</w:t>
            </w:r>
          </w:p>
        </w:tc>
      </w:tr>
    </w:tbl>
    <w:p w:rsidR="00234376" w:rsidRPr="00537C3C" w:rsidRDefault="00234376" w:rsidP="008E03A7"/>
    <w:p w:rsidR="00234376" w:rsidRPr="00537C3C" w:rsidRDefault="00234376">
      <w:pPr>
        <w:pStyle w:val="TableNotes"/>
        <w:spacing w:after="0"/>
        <w:rPr>
          <w:rFonts w:ascii="Arial" w:hAnsi="Arial" w:cs="Arial"/>
          <w:szCs w:val="16"/>
        </w:rPr>
        <w:sectPr w:rsidR="00234376" w:rsidRPr="00537C3C" w:rsidSect="008E03A7">
          <w:pgSz w:w="11906" w:h="16838"/>
          <w:pgMar w:top="1440" w:right="1440" w:bottom="1440" w:left="1440" w:header="720" w:footer="720" w:gutter="0"/>
          <w:paperSrc w:first="2" w:other="2"/>
          <w:cols w:space="720"/>
        </w:sectPr>
      </w:pPr>
    </w:p>
    <w:p w:rsidR="00234376" w:rsidRPr="00537C3C" w:rsidRDefault="00234376" w:rsidP="008E03A7">
      <w:pPr>
        <w:pStyle w:val="Heading1"/>
      </w:pPr>
      <w:bookmarkStart w:id="895" w:name="_Ref219868752"/>
      <w:bookmarkStart w:id="896" w:name="_Ref214951539"/>
      <w:bookmarkStart w:id="897" w:name="_Toc95971108"/>
      <w:bookmarkStart w:id="898" w:name="_Toc241658206"/>
      <w:r w:rsidRPr="00537C3C">
        <w:lastRenderedPageBreak/>
        <w:t xml:space="preserve">Appendix </w:t>
      </w:r>
      <w:fldSimple w:instr=" SEQ Appendix \* ALPHABETIC ">
        <w:r w:rsidR="007D3DFF">
          <w:rPr>
            <w:noProof/>
          </w:rPr>
          <w:t>F</w:t>
        </w:r>
      </w:fldSimple>
      <w:bookmarkEnd w:id="895"/>
      <w:r w:rsidRPr="00537C3C">
        <w:tab/>
        <w:t>Included studies</w:t>
      </w:r>
      <w:bookmarkEnd w:id="896"/>
      <w:bookmarkEnd w:id="897"/>
      <w:bookmarkEnd w:id="898"/>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2623"/>
        <w:gridCol w:w="2124"/>
        <w:gridCol w:w="2305"/>
        <w:gridCol w:w="298"/>
        <w:gridCol w:w="2212"/>
        <w:gridCol w:w="3249"/>
      </w:tblGrid>
      <w:tr w:rsidR="00234376" w:rsidRPr="00537C3C">
        <w:trPr>
          <w:cantSplit/>
          <w:tblHeader/>
        </w:trPr>
        <w:tc>
          <w:tcPr>
            <w:tcW w:w="1756" w:type="dxa"/>
            <w:shd w:val="clear" w:color="auto" w:fill="E6E6E6"/>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Author/year</w:t>
            </w:r>
          </w:p>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Country</w:t>
            </w:r>
          </w:p>
        </w:tc>
        <w:tc>
          <w:tcPr>
            <w:tcW w:w="2623" w:type="dxa"/>
            <w:shd w:val="clear" w:color="auto" w:fill="E6E6E6"/>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Objective of report</w:t>
            </w:r>
          </w:p>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Databases &amp; dates searched</w:t>
            </w:r>
          </w:p>
        </w:tc>
        <w:tc>
          <w:tcPr>
            <w:tcW w:w="2124" w:type="dxa"/>
            <w:shd w:val="clear" w:color="auto" w:fill="E6E6E6"/>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Type of analysis, number &amp; date of included studies</w:t>
            </w:r>
          </w:p>
        </w:tc>
        <w:tc>
          <w:tcPr>
            <w:tcW w:w="2305" w:type="dxa"/>
            <w:shd w:val="clear" w:color="auto" w:fill="E6E6E6"/>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Population considered in included studies</w:t>
            </w:r>
            <w:r w:rsidRPr="00537C3C">
              <w:rPr>
                <w:rFonts w:ascii="Arial Narrow" w:hAnsi="Arial Narrow"/>
                <w:b/>
                <w:bCs/>
                <w:sz w:val="18"/>
                <w:szCs w:val="18"/>
              </w:rPr>
              <w:br/>
              <w:t>Test comparison</w:t>
            </w:r>
          </w:p>
        </w:tc>
        <w:tc>
          <w:tcPr>
            <w:tcW w:w="2510" w:type="dxa"/>
            <w:gridSpan w:val="2"/>
            <w:shd w:val="clear" w:color="auto" w:fill="E6E6E6"/>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Conclusions/recommendation</w:t>
            </w:r>
          </w:p>
        </w:tc>
        <w:tc>
          <w:tcPr>
            <w:tcW w:w="3249" w:type="dxa"/>
            <w:shd w:val="clear" w:color="auto" w:fill="E6E6E6"/>
          </w:tcPr>
          <w:p w:rsidR="00234376" w:rsidRPr="00537C3C" w:rsidRDefault="00234376" w:rsidP="008E03A7">
            <w:pPr>
              <w:spacing w:before="60" w:after="60"/>
              <w:ind w:left="57" w:right="57"/>
              <w:rPr>
                <w:rFonts w:ascii="Arial Narrow" w:hAnsi="Arial Narrow"/>
                <w:b/>
                <w:bCs/>
                <w:sz w:val="18"/>
                <w:szCs w:val="18"/>
              </w:rPr>
            </w:pPr>
            <w:r w:rsidRPr="00537C3C">
              <w:rPr>
                <w:rFonts w:ascii="Arial Narrow" w:hAnsi="Arial Narrow"/>
                <w:b/>
                <w:bCs/>
                <w:sz w:val="18"/>
                <w:szCs w:val="18"/>
              </w:rPr>
              <w:t>Quality assessment</w:t>
            </w:r>
          </w:p>
        </w:tc>
      </w:tr>
      <w:tr w:rsidR="00234376" w:rsidRPr="00537C3C">
        <w:trPr>
          <w:cantSplit/>
        </w:trPr>
        <w:tc>
          <w:tcPr>
            <w:tcW w:w="14567" w:type="dxa"/>
            <w:gridSpan w:val="7"/>
          </w:tcPr>
          <w:p w:rsidR="00234376" w:rsidRPr="00537C3C" w:rsidRDefault="00234376" w:rsidP="008E03A7">
            <w:pPr>
              <w:spacing w:before="60" w:after="60"/>
              <w:ind w:left="57" w:right="57"/>
              <w:rPr>
                <w:rFonts w:ascii="Arial Narrow" w:hAnsi="Arial Narrow"/>
                <w:b/>
                <w:bCs/>
                <w:sz w:val="18"/>
                <w:szCs w:val="18"/>
              </w:rPr>
            </w:pPr>
            <w:r w:rsidRPr="00BB76D8">
              <w:rPr>
                <w:rFonts w:ascii="Arial Narrow" w:hAnsi="Arial Narrow"/>
                <w:b/>
                <w:bCs/>
                <w:sz w:val="18"/>
                <w:szCs w:val="18"/>
              </w:rPr>
              <w:t>HTA</w:t>
            </w:r>
            <w:r w:rsidRPr="00537C3C">
              <w:rPr>
                <w:rFonts w:ascii="Arial Narrow" w:hAnsi="Arial Narrow"/>
                <w:b/>
                <w:bCs/>
                <w:sz w:val="18"/>
                <w:szCs w:val="18"/>
              </w:rPr>
              <w:t>s and systematic reviews</w:t>
            </w:r>
          </w:p>
        </w:tc>
      </w:tr>
      <w:tr w:rsidR="00234376" w:rsidRPr="00537C3C">
        <w:trPr>
          <w:cantSplit/>
        </w:trPr>
        <w:tc>
          <w:tcPr>
            <w:tcW w:w="1756" w:type="dxa"/>
          </w:tcPr>
          <w:p w:rsidR="00234376" w:rsidRPr="00FB56F0" w:rsidRDefault="00234376" w:rsidP="008E03A7">
            <w:pPr>
              <w:spacing w:before="40" w:after="40"/>
              <w:ind w:left="57" w:right="57"/>
              <w:rPr>
                <w:rFonts w:ascii="Arial Narrow" w:hAnsi="Arial Narrow"/>
                <w:bCs/>
                <w:sz w:val="18"/>
                <w:szCs w:val="18"/>
              </w:rPr>
            </w:pPr>
            <w:bookmarkStart w:id="899" w:name="OLE_LINK522"/>
            <w:bookmarkStart w:id="900" w:name="OLE_LINK523"/>
            <w:r w:rsidRPr="00BB76D8">
              <w:rPr>
                <w:rFonts w:ascii="Arial Narrow" w:hAnsi="Arial Narrow"/>
                <w:b/>
                <w:bCs/>
                <w:sz w:val="18"/>
                <w:szCs w:val="18"/>
              </w:rPr>
              <w:t>CADTH</w:t>
            </w:r>
            <w:r w:rsidRPr="00537C3C">
              <w:rPr>
                <w:rFonts w:ascii="Arial Narrow" w:hAnsi="Arial Narrow"/>
                <w:b/>
                <w:bCs/>
                <w:sz w:val="18"/>
                <w:szCs w:val="18"/>
              </w:rPr>
              <w:t xml:space="preserve"> (2008</w:t>
            </w:r>
            <w:bookmarkEnd w:id="899"/>
            <w:bookmarkEnd w:id="900"/>
            <w:r w:rsidRPr="00537C3C">
              <w:rPr>
                <w:rFonts w:ascii="Arial Narrow" w:hAnsi="Arial Narrow"/>
                <w:b/>
                <w:bCs/>
                <w:sz w:val="18"/>
                <w:szCs w:val="18"/>
              </w:rPr>
              <w:t>)</w:t>
            </w:r>
            <w:r w:rsidR="00FB56F0">
              <w:rPr>
                <w:rFonts w:ascii="Arial Narrow" w:hAnsi="Arial Narrow"/>
                <w:b/>
                <w:bCs/>
                <w:sz w:val="18"/>
                <w:szCs w:val="18"/>
              </w:rPr>
              <w:t xml:space="preserve"> </w:t>
            </w:r>
            <w:r w:rsidR="00FB56F0" w:rsidRPr="00FB56F0">
              <w:rPr>
                <w:rFonts w:ascii="Arial Narrow" w:hAnsi="Arial Narrow"/>
                <w:bCs/>
                <w:sz w:val="18"/>
                <w:szCs w:val="18"/>
              </w:rPr>
              <w:t>(Krahn et al 2008)</w:t>
            </w: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Technology Report Issue 103</w:t>
            </w:r>
          </w:p>
          <w:p w:rsidR="00234376" w:rsidRPr="00537C3C" w:rsidRDefault="00234376" w:rsidP="008E03A7">
            <w:pPr>
              <w:spacing w:before="40" w:after="40"/>
              <w:ind w:left="57" w:right="57"/>
              <w:rPr>
                <w:rFonts w:ascii="Arial Narrow" w:hAnsi="Arial Narrow"/>
                <w:bCs/>
                <w:sz w:val="18"/>
                <w:szCs w:val="18"/>
              </w:rPr>
            </w:pPr>
          </w:p>
          <w:p w:rsidR="00234376" w:rsidRPr="00537C3C" w:rsidRDefault="00234376" w:rsidP="008E03A7">
            <w:pPr>
              <w:spacing w:before="40" w:after="40"/>
              <w:ind w:left="57" w:right="57"/>
              <w:rPr>
                <w:rFonts w:ascii="Arial Narrow" w:hAnsi="Arial Narrow"/>
                <w:bCs/>
                <w:sz w:val="18"/>
                <w:szCs w:val="18"/>
              </w:rPr>
            </w:pPr>
            <w:smartTag w:uri="urn:schemas-microsoft-com:office:smarttags" w:element="place">
              <w:smartTag w:uri="urn:schemas-microsoft-com:office:smarttags" w:element="country-region">
                <w:r w:rsidRPr="00537C3C">
                  <w:rPr>
                    <w:rFonts w:ascii="Arial Narrow" w:hAnsi="Arial Narrow"/>
                    <w:bCs/>
                    <w:sz w:val="18"/>
                    <w:szCs w:val="18"/>
                  </w:rPr>
                  <w:t>Canada</w:t>
                </w:r>
              </w:smartTag>
            </w:smartTag>
          </w:p>
        </w:tc>
        <w:tc>
          <w:tcPr>
            <w:tcW w:w="2623" w:type="dxa"/>
          </w:tcPr>
          <w:p w:rsidR="00234376" w:rsidRPr="00537C3C" w:rsidRDefault="00234376" w:rsidP="008E03A7">
            <w:pPr>
              <w:autoSpaceDE w:val="0"/>
              <w:autoSpaceDN w:val="0"/>
              <w:adjustRightInd w:val="0"/>
              <w:ind w:left="45"/>
              <w:rPr>
                <w:rFonts w:ascii="Arial Narrow" w:hAnsi="Arial Narrow"/>
                <w:bCs/>
                <w:sz w:val="18"/>
                <w:szCs w:val="18"/>
              </w:rPr>
            </w:pPr>
            <w:r w:rsidRPr="00537C3C">
              <w:rPr>
                <w:rFonts w:ascii="Arial Narrow" w:hAnsi="Arial Narrow"/>
                <w:bCs/>
                <w:sz w:val="18"/>
                <w:szCs w:val="18"/>
              </w:rPr>
              <w:t>To assess:</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 xml:space="preserve">the effectiveness and cost-effectiveness of </w:t>
            </w:r>
            <w:r w:rsidRPr="00BB76D8">
              <w:rPr>
                <w:rFonts w:ascii="Arial Narrow" w:hAnsi="Arial Narrow"/>
                <w:bCs/>
                <w:sz w:val="18"/>
                <w:szCs w:val="18"/>
              </w:rPr>
              <w:t>LBC</w:t>
            </w:r>
            <w:r w:rsidRPr="00537C3C">
              <w:rPr>
                <w:rFonts w:ascii="Arial Narrow" w:hAnsi="Arial Narrow"/>
                <w:bCs/>
                <w:sz w:val="18"/>
                <w:szCs w:val="18"/>
              </w:rPr>
              <w:t xml:space="preserve"> compared </w:t>
            </w:r>
            <w:r w:rsidR="00FB56F0">
              <w:rPr>
                <w:rFonts w:ascii="Arial Narrow" w:hAnsi="Arial Narrow"/>
                <w:bCs/>
                <w:sz w:val="18"/>
                <w:szCs w:val="18"/>
              </w:rPr>
              <w:t>to conventional cytology</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 xml:space="preserve">which subpopulations and population-based parameters influence estimates of effectiveness or cost-effectiveness (screening participation rates, </w:t>
            </w:r>
            <w:r w:rsidRPr="00BB76D8">
              <w:rPr>
                <w:rFonts w:ascii="Arial Narrow" w:hAnsi="Arial Narrow"/>
                <w:bCs/>
                <w:sz w:val="18"/>
                <w:szCs w:val="18"/>
              </w:rPr>
              <w:t>HPV</w:t>
            </w:r>
            <w:r w:rsidRPr="00537C3C">
              <w:rPr>
                <w:rFonts w:ascii="Arial Narrow" w:hAnsi="Arial Narrow"/>
                <w:bCs/>
                <w:sz w:val="18"/>
                <w:szCs w:val="18"/>
              </w:rPr>
              <w:t xml:space="preserve"> prevalence)</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 xml:space="preserve">how </w:t>
            </w:r>
            <w:r w:rsidRPr="00BB76D8">
              <w:rPr>
                <w:rFonts w:ascii="Arial Narrow" w:hAnsi="Arial Narrow"/>
                <w:bCs/>
                <w:sz w:val="18"/>
                <w:szCs w:val="18"/>
              </w:rPr>
              <w:t>HPV</w:t>
            </w:r>
            <w:r w:rsidRPr="00537C3C">
              <w:rPr>
                <w:rFonts w:ascii="Arial Narrow" w:hAnsi="Arial Narrow"/>
                <w:bCs/>
                <w:sz w:val="18"/>
                <w:szCs w:val="18"/>
              </w:rPr>
              <w:t xml:space="preserve"> testing affects the cost-effectiveness of </w:t>
            </w:r>
            <w:r w:rsidRPr="00BB76D8">
              <w:rPr>
                <w:rFonts w:ascii="Arial Narrow" w:hAnsi="Arial Narrow"/>
                <w:bCs/>
                <w:sz w:val="18"/>
                <w:szCs w:val="18"/>
              </w:rPr>
              <w:t>LBC</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 xml:space="preserve">the budget impact of adopting </w:t>
            </w:r>
            <w:r w:rsidRPr="00BB76D8">
              <w:rPr>
                <w:rFonts w:ascii="Arial Narrow" w:hAnsi="Arial Narrow"/>
                <w:bCs/>
                <w:sz w:val="18"/>
                <w:szCs w:val="18"/>
              </w:rPr>
              <w:t>LBC</w:t>
            </w:r>
            <w:r w:rsidRPr="00537C3C">
              <w:rPr>
                <w:rFonts w:ascii="Arial Narrow" w:hAnsi="Arial Narrow"/>
                <w:bCs/>
                <w:sz w:val="18"/>
                <w:szCs w:val="18"/>
              </w:rPr>
              <w:t xml:space="preserve"> + </w:t>
            </w:r>
            <w:r w:rsidRPr="00BB76D8">
              <w:rPr>
                <w:rFonts w:ascii="Arial Narrow" w:hAnsi="Arial Narrow"/>
                <w:bCs/>
                <w:sz w:val="18"/>
                <w:szCs w:val="18"/>
              </w:rPr>
              <w:t>HPV</w:t>
            </w:r>
            <w:r w:rsidRPr="00537C3C">
              <w:rPr>
                <w:rFonts w:ascii="Arial Narrow" w:hAnsi="Arial Narrow"/>
                <w:bCs/>
                <w:sz w:val="18"/>
                <w:szCs w:val="18"/>
              </w:rPr>
              <w:t xml:space="preserve"> triage</w:t>
            </w:r>
          </w:p>
          <w:p w:rsidR="00234376" w:rsidRPr="00537C3C" w:rsidRDefault="00234376" w:rsidP="008E03A7">
            <w:pPr>
              <w:autoSpaceDE w:val="0"/>
              <w:autoSpaceDN w:val="0"/>
              <w:adjustRightInd w:val="0"/>
              <w:ind w:left="45"/>
              <w:rPr>
                <w:rFonts w:ascii="Arial Narrow" w:hAnsi="Arial Narrow"/>
                <w:bCs/>
                <w:sz w:val="18"/>
                <w:szCs w:val="18"/>
              </w:rPr>
            </w:pPr>
            <w:r w:rsidRPr="00537C3C">
              <w:rPr>
                <w:rFonts w:ascii="Arial Narrow" w:hAnsi="Arial Narrow"/>
                <w:bCs/>
                <w:sz w:val="18"/>
                <w:szCs w:val="18"/>
              </w:rPr>
              <w:t>for cervical cancer screening</w:t>
            </w:r>
          </w:p>
          <w:p w:rsidR="00234376" w:rsidRPr="00537C3C" w:rsidRDefault="00234376" w:rsidP="008E03A7">
            <w:pPr>
              <w:autoSpaceDE w:val="0"/>
              <w:autoSpaceDN w:val="0"/>
              <w:adjustRightInd w:val="0"/>
              <w:ind w:left="45"/>
              <w:rPr>
                <w:rFonts w:ascii="Arial Narrow" w:hAnsi="Arial Narrow"/>
                <w:bCs/>
                <w:sz w:val="18"/>
                <w:szCs w:val="18"/>
              </w:rPr>
            </w:pPr>
          </w:p>
          <w:p w:rsidR="00234376" w:rsidRPr="00537C3C" w:rsidRDefault="00234376" w:rsidP="008E03A7">
            <w:pPr>
              <w:autoSpaceDE w:val="0"/>
              <w:autoSpaceDN w:val="0"/>
              <w:adjustRightInd w:val="0"/>
              <w:ind w:left="45"/>
              <w:rPr>
                <w:rFonts w:ascii="Arial Narrow" w:hAnsi="Arial Narrow"/>
                <w:bCs/>
                <w:sz w:val="18"/>
                <w:szCs w:val="18"/>
                <w:u w:val="single"/>
              </w:rPr>
            </w:pPr>
            <w:r w:rsidRPr="00537C3C">
              <w:rPr>
                <w:rFonts w:ascii="Arial Narrow" w:hAnsi="Arial Narrow"/>
                <w:bCs/>
                <w:sz w:val="18"/>
                <w:szCs w:val="18"/>
                <w:u w:val="single"/>
              </w:rPr>
              <w:t>Search</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Nov 2002 to June 2006</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BIOSIS Previews, CancerLit, EMBASE, MEDLINE, Cochrane Library</w:t>
            </w:r>
          </w:p>
        </w:tc>
        <w:tc>
          <w:tcPr>
            <w:tcW w:w="2124" w:type="dxa"/>
          </w:tcPr>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Update systematic review, Bayesian meta-analysis and modelled economic analysis</w:t>
            </w:r>
          </w:p>
          <w:p w:rsidR="00234376" w:rsidRPr="00537C3C" w:rsidRDefault="00234376" w:rsidP="008E03A7">
            <w:pPr>
              <w:spacing w:before="40" w:after="40"/>
              <w:ind w:left="57" w:right="57"/>
              <w:rPr>
                <w:rFonts w:ascii="Arial Narrow" w:hAnsi="Arial Narrow"/>
                <w:bCs/>
                <w:sz w:val="18"/>
                <w:szCs w:val="18"/>
              </w:rPr>
            </w:pP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u w:val="single"/>
              </w:rPr>
              <w:t>Included studies</w:t>
            </w:r>
          </w:p>
          <w:p w:rsidR="00234376" w:rsidRPr="00537C3C" w:rsidRDefault="00234376" w:rsidP="008E03A7">
            <w:pPr>
              <w:autoSpaceDE w:val="0"/>
              <w:autoSpaceDN w:val="0"/>
              <w:adjustRightInd w:val="0"/>
              <w:spacing w:before="40" w:after="40"/>
              <w:ind w:left="57"/>
              <w:rPr>
                <w:rFonts w:ascii="Arial Narrow" w:hAnsi="Arial Narrow"/>
                <w:sz w:val="18"/>
              </w:rPr>
            </w:pPr>
            <w:r w:rsidRPr="00537C3C">
              <w:rPr>
                <w:rFonts w:ascii="Arial Narrow" w:hAnsi="Arial Narrow"/>
                <w:sz w:val="18"/>
              </w:rPr>
              <w:t>21 secondary studies:</w:t>
            </w:r>
          </w:p>
          <w:p w:rsidR="00234376"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 xml:space="preserve">19 </w:t>
            </w:r>
            <w:r w:rsidRPr="00BB76D8">
              <w:rPr>
                <w:rFonts w:ascii="Arial Narrow" w:hAnsi="Arial Narrow"/>
                <w:sz w:val="18"/>
              </w:rPr>
              <w:t>HTA</w:t>
            </w:r>
            <w:r w:rsidRPr="00537C3C">
              <w:rPr>
                <w:rFonts w:ascii="Arial Narrow" w:hAnsi="Arial Narrow"/>
                <w:sz w:val="18"/>
              </w:rPr>
              <w:t>s/systematic reviews/economic evalu</w:t>
            </w:r>
            <w:r w:rsidRPr="00537C3C">
              <w:rPr>
                <w:rFonts w:ascii="Arial Narrow" w:hAnsi="Arial Narrow"/>
                <w:sz w:val="18"/>
              </w:rPr>
              <w:softHyphen/>
              <w:t>ations identified in update</w:t>
            </w:r>
          </w:p>
          <w:p w:rsidR="00234376" w:rsidRDefault="00234376" w:rsidP="00234376">
            <w:pPr>
              <w:autoSpaceDE w:val="0"/>
              <w:autoSpaceDN w:val="0"/>
              <w:adjustRightInd w:val="0"/>
              <w:spacing w:before="40" w:after="40"/>
              <w:ind w:left="45"/>
              <w:rPr>
                <w:rFonts w:ascii="Arial Narrow" w:hAnsi="Arial Narrow"/>
                <w:sz w:val="18"/>
              </w:rPr>
            </w:pPr>
            <w:r w:rsidRPr="00537C3C">
              <w:rPr>
                <w:rFonts w:ascii="Arial Narrow" w:hAnsi="Arial Narrow"/>
                <w:sz w:val="18"/>
              </w:rPr>
              <w:t>108 primary studies:</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44 identified in update</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20 direct comparison studies</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 xml:space="preserve">49 </w:t>
            </w:r>
            <w:r w:rsidRPr="00BB76D8">
              <w:rPr>
                <w:rFonts w:ascii="Arial Narrow" w:hAnsi="Arial Narrow"/>
                <w:sz w:val="18"/>
              </w:rPr>
              <w:t>LBC</w:t>
            </w:r>
            <w:r w:rsidRPr="00537C3C">
              <w:rPr>
                <w:rFonts w:ascii="Arial Narrow" w:hAnsi="Arial Narrow"/>
                <w:sz w:val="18"/>
              </w:rPr>
              <w:t xml:space="preserve"> studies</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47 split-sample</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sz w:val="18"/>
              </w:rPr>
            </w:pPr>
            <w:r w:rsidRPr="00537C3C">
              <w:rPr>
                <w:rFonts w:ascii="Arial Narrow" w:hAnsi="Arial Narrow"/>
                <w:sz w:val="18"/>
              </w:rPr>
              <w:t>31 two-cohort studies</w:t>
            </w:r>
          </w:p>
          <w:p w:rsidR="00234376" w:rsidRPr="00537C3C" w:rsidRDefault="00234376" w:rsidP="00600AC0">
            <w:pPr>
              <w:keepNext/>
              <w:numPr>
                <w:ilvl w:val="0"/>
                <w:numId w:val="4"/>
              </w:numPr>
              <w:tabs>
                <w:tab w:val="num" w:pos="360"/>
              </w:tabs>
              <w:autoSpaceDE w:val="0"/>
              <w:autoSpaceDN w:val="0"/>
              <w:adjustRightInd w:val="0"/>
              <w:spacing w:before="40" w:after="0"/>
              <w:ind w:left="181" w:hanging="136"/>
              <w:rPr>
                <w:rFonts w:ascii="Arial Narrow" w:hAnsi="Arial Narrow"/>
                <w:bCs/>
                <w:sz w:val="18"/>
                <w:szCs w:val="18"/>
              </w:rPr>
            </w:pPr>
            <w:r w:rsidRPr="00537C3C">
              <w:rPr>
                <w:rFonts w:ascii="Arial Narrow" w:hAnsi="Arial Narrow"/>
                <w:sz w:val="18"/>
              </w:rPr>
              <w:t>66 studies with unsatisfactory rate</w:t>
            </w:r>
            <w:r w:rsidRPr="00537C3C">
              <w:rPr>
                <w:rFonts w:ascii="Arial Narrow" w:hAnsi="Arial Narrow"/>
                <w:bCs/>
                <w:sz w:val="18"/>
                <w:szCs w:val="18"/>
              </w:rPr>
              <w:t xml:space="preserve"> </w:t>
            </w:r>
          </w:p>
        </w:tc>
        <w:tc>
          <w:tcPr>
            <w:tcW w:w="2305" w:type="dxa"/>
          </w:tcPr>
          <w:p w:rsidR="00234376" w:rsidRPr="00537C3C" w:rsidRDefault="00234376" w:rsidP="008E03A7">
            <w:pPr>
              <w:spacing w:before="40" w:after="40"/>
              <w:ind w:left="57" w:right="57"/>
              <w:rPr>
                <w:rFonts w:ascii="Arial Narrow" w:hAnsi="Arial Narrow"/>
                <w:b/>
                <w:bCs/>
                <w:sz w:val="18"/>
                <w:szCs w:val="18"/>
              </w:rPr>
            </w:pPr>
            <w:r w:rsidRPr="00537C3C">
              <w:rPr>
                <w:rFonts w:ascii="Arial Narrow" w:hAnsi="Arial Narrow"/>
                <w:b/>
                <w:bCs/>
                <w:sz w:val="18"/>
                <w:szCs w:val="18"/>
              </w:rPr>
              <w:t>Population</w:t>
            </w:r>
          </w:p>
          <w:p w:rsidR="00234376" w:rsidRPr="00537C3C" w:rsidRDefault="00234376" w:rsidP="008E03A7">
            <w:pPr>
              <w:spacing w:before="40" w:after="40"/>
              <w:ind w:left="57" w:right="57"/>
              <w:rPr>
                <w:rFonts w:ascii="Arial Narrow" w:hAnsi="Arial Narrow"/>
                <w:bCs/>
                <w:sz w:val="18"/>
                <w:szCs w:val="18"/>
              </w:rPr>
            </w:pPr>
            <w:r w:rsidRPr="00537C3C">
              <w:rPr>
                <w:rFonts w:ascii="Arial Narrow" w:hAnsi="Arial Narrow"/>
                <w:bCs/>
                <w:sz w:val="18"/>
                <w:szCs w:val="18"/>
              </w:rPr>
              <w:t>Women undergoing cervical screening, sexually active and ≥ 15 years</w:t>
            </w:r>
          </w:p>
          <w:p w:rsidR="00234376" w:rsidRPr="00537C3C" w:rsidRDefault="00234376" w:rsidP="008E03A7">
            <w:pPr>
              <w:spacing w:before="40" w:after="40"/>
              <w:ind w:left="57" w:right="57"/>
              <w:rPr>
                <w:rFonts w:ascii="Arial Narrow" w:hAnsi="Arial Narrow"/>
                <w:bCs/>
                <w:sz w:val="18"/>
                <w:szCs w:val="18"/>
              </w:rPr>
            </w:pPr>
          </w:p>
          <w:p w:rsidR="00234376" w:rsidRPr="00537C3C" w:rsidRDefault="00234376" w:rsidP="008E03A7">
            <w:pPr>
              <w:autoSpaceDE w:val="0"/>
              <w:autoSpaceDN w:val="0"/>
              <w:adjustRightInd w:val="0"/>
              <w:spacing w:before="40" w:after="40"/>
              <w:ind w:left="57"/>
              <w:rPr>
                <w:rFonts w:ascii="Arial Narrow" w:hAnsi="Arial Narrow"/>
                <w:b/>
                <w:bCs/>
                <w:sz w:val="18"/>
                <w:szCs w:val="18"/>
              </w:rPr>
            </w:pPr>
            <w:r w:rsidRPr="00537C3C">
              <w:rPr>
                <w:rFonts w:ascii="Arial Narrow" w:hAnsi="Arial Narrow"/>
                <w:b/>
                <w:bCs/>
                <w:sz w:val="18"/>
                <w:szCs w:val="18"/>
              </w:rPr>
              <w:t>Test comparison</w:t>
            </w:r>
          </w:p>
          <w:p w:rsidR="00234376" w:rsidRPr="00537C3C" w:rsidRDefault="00234376" w:rsidP="008E03A7">
            <w:pPr>
              <w:autoSpaceDE w:val="0"/>
              <w:autoSpaceDN w:val="0"/>
              <w:adjustRightInd w:val="0"/>
              <w:spacing w:before="40" w:after="40"/>
              <w:ind w:left="57"/>
              <w:rPr>
                <w:rFonts w:ascii="Arial Narrow" w:hAnsi="Arial Narrow"/>
                <w:bCs/>
                <w:sz w:val="18"/>
                <w:szCs w:val="18"/>
              </w:rPr>
            </w:pPr>
            <w:r w:rsidRPr="00537C3C">
              <w:rPr>
                <w:rFonts w:ascii="Arial Narrow" w:hAnsi="Arial Narrow"/>
                <w:bCs/>
                <w:sz w:val="18"/>
                <w:szCs w:val="18"/>
              </w:rPr>
              <w:t xml:space="preserve">LBC with manual reading, or </w:t>
            </w:r>
            <w:r w:rsidRPr="00BB76D8">
              <w:rPr>
                <w:rFonts w:ascii="Arial Narrow" w:hAnsi="Arial Narrow"/>
                <w:bCs/>
                <w:sz w:val="18"/>
                <w:szCs w:val="18"/>
              </w:rPr>
              <w:t>LBC</w:t>
            </w:r>
            <w:r w:rsidRPr="00537C3C">
              <w:rPr>
                <w:rFonts w:ascii="Arial Narrow" w:hAnsi="Arial Narrow"/>
                <w:bCs/>
                <w:sz w:val="18"/>
                <w:szCs w:val="18"/>
              </w:rPr>
              <w:t xml:space="preserve"> with </w:t>
            </w:r>
            <w:r w:rsidRPr="00BB76D8">
              <w:rPr>
                <w:rFonts w:ascii="Arial Narrow" w:hAnsi="Arial Narrow"/>
                <w:bCs/>
                <w:sz w:val="18"/>
                <w:szCs w:val="18"/>
              </w:rPr>
              <w:t>HPV</w:t>
            </w:r>
            <w:r w:rsidRPr="00537C3C">
              <w:rPr>
                <w:rFonts w:ascii="Arial Narrow" w:hAnsi="Arial Narrow"/>
                <w:bCs/>
                <w:sz w:val="18"/>
                <w:szCs w:val="18"/>
              </w:rPr>
              <w:t xml:space="preserve"> triage of </w:t>
            </w:r>
            <w:r w:rsidRPr="00BB76D8">
              <w:rPr>
                <w:rFonts w:ascii="Arial Narrow" w:hAnsi="Arial Narrow"/>
                <w:bCs/>
                <w:sz w:val="18"/>
                <w:szCs w:val="18"/>
              </w:rPr>
              <w:t>ASCUS</w:t>
            </w:r>
            <w:r w:rsidRPr="00537C3C">
              <w:rPr>
                <w:rFonts w:ascii="Arial Narrow" w:hAnsi="Arial Narrow"/>
                <w:bCs/>
                <w:sz w:val="18"/>
                <w:szCs w:val="18"/>
              </w:rPr>
              <w:t xml:space="preserve"> or </w:t>
            </w:r>
            <w:r w:rsidRPr="00BB76D8">
              <w:rPr>
                <w:rFonts w:ascii="Arial Narrow" w:hAnsi="Arial Narrow"/>
                <w:bCs/>
                <w:sz w:val="18"/>
                <w:szCs w:val="18"/>
              </w:rPr>
              <w:t>AGUS</w:t>
            </w:r>
          </w:p>
          <w:p w:rsidR="00234376" w:rsidRPr="00537C3C" w:rsidRDefault="00234376" w:rsidP="008E03A7">
            <w:pPr>
              <w:autoSpaceDE w:val="0"/>
              <w:autoSpaceDN w:val="0"/>
              <w:adjustRightInd w:val="0"/>
              <w:spacing w:before="40" w:after="40"/>
              <w:ind w:left="57"/>
              <w:rPr>
                <w:rFonts w:ascii="Arial Narrow" w:hAnsi="Arial Narrow"/>
                <w:bCs/>
                <w:sz w:val="18"/>
                <w:szCs w:val="18"/>
              </w:rPr>
            </w:pPr>
            <w:r w:rsidRPr="00537C3C">
              <w:rPr>
                <w:rFonts w:ascii="Arial Narrow" w:hAnsi="Arial Narrow"/>
                <w:bCs/>
                <w:sz w:val="18"/>
                <w:szCs w:val="18"/>
              </w:rPr>
              <w:t>versus</w:t>
            </w:r>
          </w:p>
          <w:p w:rsidR="00234376" w:rsidRPr="00537C3C" w:rsidRDefault="00234376" w:rsidP="008E03A7">
            <w:pPr>
              <w:autoSpaceDE w:val="0"/>
              <w:autoSpaceDN w:val="0"/>
              <w:adjustRightInd w:val="0"/>
              <w:spacing w:before="40" w:after="40"/>
              <w:ind w:left="57"/>
              <w:rPr>
                <w:rFonts w:ascii="Arial Narrow" w:hAnsi="Arial Narrow"/>
                <w:bCs/>
                <w:sz w:val="18"/>
                <w:szCs w:val="18"/>
              </w:rPr>
            </w:pPr>
            <w:r w:rsidRPr="00537C3C">
              <w:rPr>
                <w:rFonts w:ascii="Arial Narrow" w:hAnsi="Arial Narrow"/>
                <w:bCs/>
                <w:sz w:val="18"/>
                <w:szCs w:val="18"/>
              </w:rPr>
              <w:t>conventional cytology with manual reading</w:t>
            </w:r>
          </w:p>
          <w:p w:rsidR="00234376" w:rsidRPr="00537C3C" w:rsidRDefault="00234376" w:rsidP="008E03A7">
            <w:pPr>
              <w:autoSpaceDE w:val="0"/>
              <w:autoSpaceDN w:val="0"/>
              <w:adjustRightInd w:val="0"/>
              <w:spacing w:before="40" w:after="40"/>
              <w:ind w:left="57"/>
              <w:rPr>
                <w:rFonts w:ascii="Arial Narrow" w:hAnsi="Arial Narrow"/>
                <w:bCs/>
                <w:sz w:val="18"/>
                <w:szCs w:val="18"/>
              </w:rPr>
            </w:pPr>
          </w:p>
          <w:p w:rsidR="00234376" w:rsidRPr="00537C3C" w:rsidRDefault="00234376" w:rsidP="008E03A7">
            <w:pPr>
              <w:spacing w:before="40" w:after="40"/>
              <w:ind w:right="57"/>
              <w:rPr>
                <w:rFonts w:ascii="Arial Narrow" w:hAnsi="Arial Narrow"/>
                <w:bCs/>
                <w:i/>
                <w:sz w:val="18"/>
                <w:szCs w:val="18"/>
              </w:rPr>
            </w:pPr>
          </w:p>
        </w:tc>
        <w:tc>
          <w:tcPr>
            <w:tcW w:w="2510" w:type="dxa"/>
            <w:gridSpan w:val="2"/>
          </w:tcPr>
          <w:p w:rsidR="00234376" w:rsidRPr="00537C3C" w:rsidRDefault="00234376" w:rsidP="008E03A7">
            <w:pPr>
              <w:autoSpaceDE w:val="0"/>
              <w:autoSpaceDN w:val="0"/>
              <w:adjustRightInd w:val="0"/>
              <w:spacing w:before="40" w:after="40"/>
              <w:ind w:left="57"/>
              <w:rPr>
                <w:rFonts w:ascii="Arial Narrow" w:hAnsi="Arial Narrow" w:cs="Garamond"/>
                <w:b/>
                <w:sz w:val="18"/>
                <w:szCs w:val="18"/>
                <w:lang w:eastAsia="en-AU"/>
              </w:rPr>
            </w:pPr>
            <w:r w:rsidRPr="00537C3C">
              <w:rPr>
                <w:rFonts w:ascii="Arial Narrow" w:hAnsi="Arial Narrow" w:cs="Garamond"/>
                <w:b/>
                <w:sz w:val="18"/>
                <w:szCs w:val="18"/>
                <w:lang w:eastAsia="en-AU"/>
              </w:rPr>
              <w:t>Authors’ conclusion (</w:t>
            </w:r>
            <w:r w:rsidRPr="00BB76D8">
              <w:rPr>
                <w:rFonts w:ascii="Arial Narrow" w:hAnsi="Arial Narrow" w:cs="Garamond"/>
                <w:b/>
                <w:sz w:val="18"/>
                <w:szCs w:val="18"/>
                <w:lang w:eastAsia="en-AU"/>
              </w:rPr>
              <w:t>LBC</w:t>
            </w:r>
            <w:r w:rsidRPr="00537C3C">
              <w:rPr>
                <w:rFonts w:ascii="Arial Narrow" w:hAnsi="Arial Narrow" w:cs="Garamond"/>
                <w:b/>
                <w:sz w:val="18"/>
                <w:szCs w:val="18"/>
                <w:lang w:eastAsia="en-AU"/>
              </w:rPr>
              <w:t xml:space="preserve"> only)</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No statistical differences in sensitivity and specificity between </w:t>
            </w:r>
            <w:r w:rsidRPr="00BB76D8">
              <w:rPr>
                <w:rFonts w:ascii="Arial Narrow" w:hAnsi="Arial Narrow" w:cs="Garamond"/>
                <w:sz w:val="18"/>
                <w:szCs w:val="18"/>
                <w:lang w:eastAsia="en-AU"/>
              </w:rPr>
              <w:t xml:space="preserve">LBC </w:t>
            </w:r>
            <w:r w:rsidRPr="00537C3C">
              <w:rPr>
                <w:rFonts w:ascii="Arial Narrow" w:hAnsi="Arial Narrow" w:cs="Garamond"/>
                <w:sz w:val="18"/>
                <w:szCs w:val="18"/>
                <w:lang w:eastAsia="en-AU"/>
              </w:rPr>
              <w:t xml:space="preserve">and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is estimated to be on average 6% more sensitive and 4% less specific than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across a range of cytological thresholds.</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The health economic evidence suggests that two-year screening strategies using </w:t>
            </w:r>
            <w:r w:rsidRPr="00BB76D8">
              <w:rPr>
                <w:rFonts w:ascii="Arial Narrow" w:hAnsi="Arial Narrow" w:cs="Garamond"/>
                <w:sz w:val="18"/>
                <w:szCs w:val="18"/>
                <w:lang w:eastAsia="en-AU"/>
              </w:rPr>
              <w:t>HPV</w:t>
            </w:r>
            <w:r w:rsidRPr="00537C3C">
              <w:rPr>
                <w:rFonts w:ascii="Arial Narrow" w:hAnsi="Arial Narrow" w:cs="Garamond"/>
                <w:sz w:val="18"/>
                <w:szCs w:val="18"/>
                <w:lang w:eastAsia="en-AU"/>
              </w:rPr>
              <w:t xml:space="preserve"> triage, ±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represents the best use of resources for cervical cancer screening</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p>
        </w:tc>
        <w:tc>
          <w:tcPr>
            <w:tcW w:w="3249" w:type="dxa"/>
          </w:tcPr>
          <w:p w:rsidR="00234376" w:rsidRPr="00537C3C" w:rsidRDefault="00234376" w:rsidP="008E03A7">
            <w:pPr>
              <w:autoSpaceDE w:val="0"/>
              <w:autoSpaceDN w:val="0"/>
              <w:adjustRightInd w:val="0"/>
              <w:spacing w:before="40" w:after="40"/>
              <w:ind w:left="57"/>
              <w:rPr>
                <w:rFonts w:ascii="Arial Narrow" w:hAnsi="Arial Narrow" w:cs="Garamond"/>
                <w:b/>
                <w:sz w:val="18"/>
                <w:szCs w:val="18"/>
                <w:lang w:eastAsia="en-AU"/>
              </w:rPr>
            </w:pPr>
            <w:r w:rsidRPr="00537C3C">
              <w:rPr>
                <w:rFonts w:ascii="Arial Narrow" w:hAnsi="Arial Narrow" w:cs="Garamond"/>
                <w:b/>
                <w:sz w:val="18"/>
                <w:szCs w:val="18"/>
                <w:lang w:eastAsia="en-AU"/>
              </w:rPr>
              <w:t>Quality: high</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Explicit review questions: yes</w:t>
            </w:r>
          </w:p>
          <w:p w:rsidR="00234376" w:rsidRPr="00537C3C" w:rsidRDefault="00234376" w:rsidP="008E03A7">
            <w:pPr>
              <w:pStyle w:val="TableText0"/>
              <w:keepNext w:val="0"/>
              <w:autoSpaceDE w:val="0"/>
              <w:autoSpaceDN w:val="0"/>
              <w:adjustRightInd w:val="0"/>
              <w:ind w:left="57"/>
              <w:rPr>
                <w:rFonts w:ascii="Arial Narrow" w:hAnsi="Arial Narrow" w:cs="Garamond"/>
                <w:szCs w:val="18"/>
                <w:lang w:eastAsia="en-AU"/>
              </w:rPr>
            </w:pPr>
            <w:r w:rsidRPr="00537C3C">
              <w:rPr>
                <w:rFonts w:ascii="Arial Narrow" w:hAnsi="Arial Narrow" w:cs="Garamond"/>
                <w:szCs w:val="18"/>
                <w:lang w:eastAsia="en-AU"/>
              </w:rPr>
              <w:t>Explicit &amp; appropriate eligibility criteria: yes</w:t>
            </w:r>
          </w:p>
          <w:p w:rsidR="00234376" w:rsidRPr="00537C3C" w:rsidRDefault="00234376" w:rsidP="008E03A7">
            <w:pPr>
              <w:pStyle w:val="TableText0"/>
              <w:keepNext w:val="0"/>
              <w:autoSpaceDE w:val="0"/>
              <w:autoSpaceDN w:val="0"/>
              <w:adjustRightInd w:val="0"/>
              <w:ind w:left="57"/>
              <w:rPr>
                <w:rFonts w:ascii="Arial Narrow" w:hAnsi="Arial Narrow" w:cs="Garamond"/>
                <w:szCs w:val="18"/>
                <w:lang w:eastAsia="en-AU"/>
              </w:rPr>
            </w:pPr>
            <w:r w:rsidRPr="00537C3C">
              <w:rPr>
                <w:rFonts w:ascii="Arial Narrow" w:hAnsi="Arial Narrow" w:cs="Garamond"/>
                <w:szCs w:val="18"/>
                <w:lang w:eastAsia="en-AU"/>
              </w:rPr>
              <w:t>Explicit &amp; comprehensive search strategy: yes</w:t>
            </w:r>
          </w:p>
          <w:p w:rsidR="00234376" w:rsidRPr="00537C3C" w:rsidRDefault="00234376" w:rsidP="008E03A7">
            <w:pPr>
              <w:pStyle w:val="TableText0"/>
              <w:keepNext w:val="0"/>
              <w:autoSpaceDE w:val="0"/>
              <w:autoSpaceDN w:val="0"/>
              <w:adjustRightInd w:val="0"/>
              <w:ind w:left="57"/>
              <w:rPr>
                <w:rFonts w:ascii="Arial Narrow" w:hAnsi="Arial Narrow" w:cs="Garamond"/>
                <w:szCs w:val="18"/>
                <w:lang w:eastAsia="en-AU"/>
              </w:rPr>
            </w:pPr>
            <w:r w:rsidRPr="00537C3C">
              <w:rPr>
                <w:rFonts w:ascii="Arial Narrow" w:hAnsi="Arial Narrow" w:cs="Garamond"/>
                <w:szCs w:val="18"/>
                <w:lang w:eastAsia="en-AU"/>
              </w:rPr>
              <w:t>Quality of included studies appraised: yes (no requirement of histology reference standard for high quality)</w:t>
            </w:r>
          </w:p>
          <w:p w:rsidR="00234376" w:rsidRPr="00537C3C" w:rsidRDefault="00234376" w:rsidP="008E03A7">
            <w:pPr>
              <w:pStyle w:val="TableText0"/>
              <w:keepNext w:val="0"/>
              <w:autoSpaceDE w:val="0"/>
              <w:autoSpaceDN w:val="0"/>
              <w:adjustRightInd w:val="0"/>
              <w:ind w:left="57"/>
              <w:rPr>
                <w:rFonts w:ascii="Arial Narrow" w:hAnsi="Arial Narrow" w:cs="Garamond"/>
                <w:szCs w:val="18"/>
                <w:lang w:eastAsia="en-AU"/>
              </w:rPr>
            </w:pPr>
            <w:r w:rsidRPr="00537C3C">
              <w:rPr>
                <w:rFonts w:ascii="Arial Narrow" w:hAnsi="Arial Narrow" w:cs="Garamond"/>
                <w:szCs w:val="18"/>
                <w:lang w:eastAsia="en-AU"/>
              </w:rPr>
              <w:t>Methods of study appraisal reproducible: yes</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Heterogeneity between studies assessed: yes</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Summary of main results clear and appropriate: yes</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b/>
                <w:sz w:val="18"/>
                <w:szCs w:val="18"/>
                <w:lang w:eastAsia="en-AU"/>
              </w:rPr>
              <w:t>Applicability:</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manufacturer data not pooled</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Accuracy data has limited applicability, as main analysis includes studies of any quality with cytology or consensus reading as a reference standard. Influence of reference standard validity and quality studies only explored separately. High-quality studies did not require histology as a reference standard</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No subgroup analyses for unsatisfactory rates by study quality/design, and non-comparative studies included</w:t>
            </w:r>
          </w:p>
        </w:tc>
      </w:tr>
      <w:tr w:rsidR="00234376" w:rsidRPr="00537C3C">
        <w:trPr>
          <w:cantSplit/>
        </w:trPr>
        <w:tc>
          <w:tcPr>
            <w:tcW w:w="14567" w:type="dxa"/>
            <w:gridSpan w:val="7"/>
          </w:tcPr>
          <w:p w:rsidR="00234376" w:rsidRPr="00537C3C" w:rsidRDefault="00234376" w:rsidP="008E03A7">
            <w:pPr>
              <w:autoSpaceDE w:val="0"/>
              <w:autoSpaceDN w:val="0"/>
              <w:adjustRightInd w:val="0"/>
              <w:spacing w:before="40" w:after="40"/>
              <w:ind w:left="57"/>
              <w:rPr>
                <w:rFonts w:ascii="Arial Narrow" w:hAnsi="Arial Narrow" w:cs="Garamond"/>
                <w:b/>
                <w:sz w:val="18"/>
                <w:szCs w:val="18"/>
                <w:lang w:eastAsia="en-AU"/>
              </w:rPr>
            </w:pPr>
            <w:r w:rsidRPr="00537C3C">
              <w:rPr>
                <w:rFonts w:ascii="Arial Narrow" w:hAnsi="Arial Narrow" w:cs="Garamond"/>
                <w:b/>
                <w:sz w:val="18"/>
                <w:szCs w:val="18"/>
                <w:lang w:eastAsia="en-AU"/>
              </w:rPr>
              <w:lastRenderedPageBreak/>
              <w:t>Results:</w:t>
            </w:r>
          </w:p>
          <w:p w:rsidR="00234376" w:rsidRPr="00537C3C" w:rsidRDefault="00234376" w:rsidP="008E03A7">
            <w:pPr>
              <w:autoSpaceDE w:val="0"/>
              <w:autoSpaceDN w:val="0"/>
              <w:adjustRightInd w:val="0"/>
              <w:spacing w:before="40" w:after="40"/>
              <w:ind w:left="57"/>
              <w:rPr>
                <w:rFonts w:ascii="Arial Narrow" w:hAnsi="Arial Narrow" w:cs="Garamond"/>
                <w:sz w:val="18"/>
                <w:szCs w:val="18"/>
                <w:u w:val="single"/>
                <w:lang w:eastAsia="en-AU"/>
              </w:rPr>
            </w:pPr>
            <w:r w:rsidRPr="00537C3C">
              <w:rPr>
                <w:rFonts w:ascii="Arial Narrow" w:hAnsi="Arial Narrow" w:cs="Garamond"/>
                <w:sz w:val="18"/>
                <w:szCs w:val="18"/>
                <w:u w:val="single"/>
                <w:lang w:eastAsia="en-AU"/>
              </w:rPr>
              <w:t xml:space="preserve">Previous </w:t>
            </w:r>
            <w:bookmarkStart w:id="901" w:name="OLE_LINK617"/>
            <w:bookmarkStart w:id="902" w:name="OLE_LINK618"/>
            <w:r w:rsidRPr="006C24DD">
              <w:rPr>
                <w:rFonts w:ascii="Arial Narrow" w:hAnsi="Arial Narrow" w:cs="Garamond"/>
                <w:sz w:val="18"/>
                <w:szCs w:val="18"/>
                <w:u w:val="single"/>
                <w:lang w:eastAsia="en-AU"/>
              </w:rPr>
              <w:t>systematic review</w:t>
            </w:r>
            <w:bookmarkEnd w:id="901"/>
            <w:bookmarkEnd w:id="902"/>
            <w:r w:rsidRPr="006C24DD">
              <w:rPr>
                <w:rFonts w:ascii="Arial Narrow" w:hAnsi="Arial Narrow" w:cs="Garamond"/>
                <w:sz w:val="18"/>
                <w:szCs w:val="18"/>
                <w:u w:val="single"/>
                <w:lang w:eastAsia="en-AU"/>
              </w:rPr>
              <w:t>s</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Six </w:t>
            </w:r>
            <w:bookmarkStart w:id="903" w:name="OLE_LINK299"/>
            <w:bookmarkStart w:id="904" w:name="OLE_LINK300"/>
            <w:r w:rsidRPr="006C24DD">
              <w:rPr>
                <w:rFonts w:ascii="Arial Narrow" w:hAnsi="Arial Narrow" w:cs="Garamond"/>
                <w:sz w:val="18"/>
                <w:szCs w:val="18"/>
                <w:lang w:eastAsia="en-AU"/>
              </w:rPr>
              <w:t>systematic review</w:t>
            </w:r>
            <w:bookmarkEnd w:id="903"/>
            <w:bookmarkEnd w:id="904"/>
            <w:r w:rsidRPr="00537C3C" w:rsidDel="006C24DD">
              <w:rPr>
                <w:rFonts w:ascii="Arial Narrow" w:hAnsi="Arial Narrow" w:cs="Garamond"/>
                <w:sz w:val="18"/>
                <w:szCs w:val="18"/>
                <w:lang w:eastAsia="en-AU"/>
              </w:rPr>
              <w:t xml:space="preserve">s </w:t>
            </w:r>
            <w:r w:rsidRPr="00537C3C">
              <w:rPr>
                <w:rFonts w:ascii="Arial Narrow" w:hAnsi="Arial Narrow" w:cs="Garamond"/>
                <w:sz w:val="18"/>
                <w:szCs w:val="18"/>
                <w:lang w:eastAsia="en-AU"/>
              </w:rPr>
              <w:t xml:space="preserve">concluded that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is more effective than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5 concluded that there was insufficient evidence to draw conclusions about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effectiveness; 3 were equivocal in their conclusion</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p>
          <w:p w:rsidR="00234376" w:rsidRPr="00537C3C" w:rsidRDefault="00234376" w:rsidP="008E03A7">
            <w:pPr>
              <w:autoSpaceDE w:val="0"/>
              <w:autoSpaceDN w:val="0"/>
              <w:adjustRightInd w:val="0"/>
              <w:spacing w:before="40" w:after="40"/>
              <w:ind w:left="57"/>
              <w:rPr>
                <w:rFonts w:ascii="Arial Narrow" w:hAnsi="Arial Narrow" w:cs="Garamond"/>
                <w:sz w:val="18"/>
                <w:szCs w:val="18"/>
                <w:u w:val="single"/>
                <w:lang w:eastAsia="en-AU"/>
              </w:rPr>
            </w:pPr>
            <w:r w:rsidRPr="00537C3C">
              <w:rPr>
                <w:rFonts w:ascii="Arial Narrow" w:hAnsi="Arial Narrow" w:cs="Garamond"/>
                <w:sz w:val="18"/>
                <w:szCs w:val="18"/>
                <w:u w:val="single"/>
                <w:lang w:eastAsia="en-AU"/>
              </w:rPr>
              <w:t>Meta-analysis—accuracy</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The meta-analysis of data from 20 head-to-head studies including 68 114 participants showed no statistical differences in sensitivity and specificity between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and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The average sensitivity difference for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relative to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was 6.4% (95% </w:t>
            </w:r>
            <w:r w:rsidRPr="00BB76D8">
              <w:rPr>
                <w:rFonts w:ascii="Arial Narrow" w:hAnsi="Arial Narrow" w:cs="Garamond"/>
                <w:sz w:val="18"/>
                <w:szCs w:val="18"/>
                <w:lang w:eastAsia="en-AU"/>
              </w:rPr>
              <w:t>CI</w:t>
            </w:r>
            <w:r w:rsidRPr="00537C3C">
              <w:rPr>
                <w:rFonts w:ascii="Arial Narrow" w:hAnsi="Arial Narrow" w:cs="Garamond"/>
                <w:sz w:val="18"/>
                <w:szCs w:val="18"/>
                <w:lang w:eastAsia="en-AU"/>
              </w:rPr>
              <w:t xml:space="preserve">: –6.5% to +18.8%). The average specificity difference for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relative to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was –4.0% (–19.8% to +10.6%). Neither trade-off estimate was statistically significant as indicated by the </w:t>
            </w:r>
            <w:r w:rsidRPr="00BB76D8">
              <w:rPr>
                <w:rFonts w:ascii="Arial Narrow" w:hAnsi="Arial Narrow" w:cs="Garamond"/>
                <w:sz w:val="18"/>
                <w:szCs w:val="18"/>
                <w:lang w:eastAsia="en-AU"/>
              </w:rPr>
              <w:t>CI</w:t>
            </w:r>
            <w:r w:rsidRPr="00537C3C">
              <w:rPr>
                <w:rFonts w:ascii="Arial Narrow" w:hAnsi="Arial Narrow" w:cs="Garamond"/>
                <w:sz w:val="18"/>
                <w:szCs w:val="18"/>
                <w:lang w:eastAsia="en-AU"/>
              </w:rPr>
              <w:t xml:space="preserve"> boundaries that included the value of zero (i.e. no difference). Sensitivity analyses were conducted considering high-quality studies, studies with histology as a reference standard, ThinPrep, and different test and reference standard thresholds.</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The trade-off estimates from the main analysis were similar to those from the sensitivity analysis that was restricted to 6 high-quality studies. One of these studies used independent cytological review rather than histology as a reference standard. Restricting data to the 13 studies in which a histology classification from a combination of colposcopy and biopsy was used as a reference standard changed the trade-off estimates. In this sensitivity analysis, the average sensitivity difference for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relative to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was 1.2% (–16.6% to +16.4%), and the average specificity difference was –0.6% (–18.9%</w:t>
            </w:r>
            <w:r w:rsidRPr="00537C3C" w:rsidDel="001E6D1E">
              <w:rPr>
                <w:rFonts w:ascii="Arial Narrow" w:hAnsi="Arial Narrow" w:cs="Garamond"/>
                <w:sz w:val="18"/>
                <w:szCs w:val="18"/>
                <w:lang w:eastAsia="en-AU"/>
              </w:rPr>
              <w:t xml:space="preserve"> to</w:t>
            </w:r>
            <w:r w:rsidRPr="00537C3C">
              <w:rPr>
                <w:rFonts w:ascii="Arial Narrow" w:hAnsi="Arial Narrow" w:cs="Garamond"/>
                <w:sz w:val="18"/>
                <w:szCs w:val="18"/>
                <w:lang w:eastAsia="en-AU"/>
              </w:rPr>
              <w:t xml:space="preserve"> +17.3%). The trade-off estimates for ThinPrep (</w:t>
            </w:r>
            <w:r w:rsidRPr="0030078D">
              <w:rPr>
                <w:rFonts w:ascii="Arial Narrow" w:hAnsi="Arial Narrow" w:cs="Garamond"/>
                <w:i/>
                <w:sz w:val="18"/>
                <w:szCs w:val="18"/>
                <w:lang w:eastAsia="en-AU"/>
              </w:rPr>
              <w:t>n</w:t>
            </w:r>
            <w:r w:rsidRPr="00537C3C">
              <w:rPr>
                <w:rFonts w:ascii="Arial Narrow" w:hAnsi="Arial Narrow" w:cs="Garamond"/>
                <w:sz w:val="18"/>
                <w:szCs w:val="18"/>
                <w:lang w:eastAsia="en-AU"/>
              </w:rPr>
              <w:t xml:space="preserve"> = 17) were consistent with those of the main analysis, most likely because most of the data came from studies of this technique.</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p>
          <w:p w:rsidR="00234376" w:rsidRPr="00537C3C" w:rsidRDefault="00234376" w:rsidP="008E03A7">
            <w:pPr>
              <w:autoSpaceDE w:val="0"/>
              <w:autoSpaceDN w:val="0"/>
              <w:adjustRightInd w:val="0"/>
              <w:spacing w:before="40" w:after="40"/>
              <w:ind w:left="57"/>
              <w:rPr>
                <w:rFonts w:ascii="Arial Narrow" w:hAnsi="Arial Narrow" w:cs="Garamond"/>
                <w:i/>
                <w:sz w:val="18"/>
                <w:szCs w:val="18"/>
                <w:lang w:eastAsia="en-AU"/>
              </w:rPr>
            </w:pPr>
            <w:r w:rsidRPr="00537C3C">
              <w:rPr>
                <w:rFonts w:ascii="Arial Narrow" w:hAnsi="Arial Narrow" w:cs="Garamond"/>
                <w:sz w:val="18"/>
                <w:szCs w:val="18"/>
                <w:u w:val="single"/>
                <w:lang w:eastAsia="en-AU"/>
              </w:rPr>
              <w:t>Meta-analysis—unsatisfactory rates</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Data from 44 ThinPrep studies. Overall 0.95% (6674/704 813)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slides and 1.04% (13 664/1 316 318) conventional slides were unsatisfactory. A Bayesian meta-analysis gave pooled unsatisfactory estimates of 2.24% (95% </w:t>
            </w:r>
            <w:r w:rsidRPr="00BB76D8">
              <w:rPr>
                <w:rFonts w:ascii="Arial Narrow" w:hAnsi="Arial Narrow" w:cs="Garamond"/>
                <w:sz w:val="18"/>
                <w:szCs w:val="18"/>
                <w:lang w:eastAsia="en-AU"/>
              </w:rPr>
              <w:t>CI</w:t>
            </w:r>
            <w:r w:rsidRPr="00537C3C">
              <w:rPr>
                <w:rFonts w:ascii="Arial Narrow" w:hAnsi="Arial Narrow" w:cs="Garamond"/>
                <w:sz w:val="18"/>
                <w:szCs w:val="18"/>
                <w:lang w:eastAsia="en-AU"/>
              </w:rPr>
              <w:t xml:space="preserve"> 1.20%–3.29%) for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and 3.04% (1.92%–4.16%) for conventional slides, with a difference of –0.81 (–1.87% to +0.24%). Statistically significant heterogeneity was observed between studies in this outcome.</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Data from 15 studies of SurePath. Overall, 2539 (0.42%) of 597 565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slides were unsatisfactory, whereas 9598 (1.39%) of 692 406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slides were unsatisfactory. A Bayesian meta-analysis gave pooled unsatisfactory estimates of 0.82% (95% </w:t>
            </w:r>
            <w:r w:rsidRPr="00BB76D8">
              <w:rPr>
                <w:rFonts w:ascii="Arial Narrow" w:hAnsi="Arial Narrow" w:cs="Garamond"/>
                <w:sz w:val="18"/>
                <w:szCs w:val="18"/>
                <w:lang w:eastAsia="en-AU"/>
              </w:rPr>
              <w:t>CI</w:t>
            </w:r>
            <w:r w:rsidRPr="00537C3C">
              <w:rPr>
                <w:rFonts w:ascii="Arial Narrow" w:hAnsi="Arial Narrow" w:cs="Garamond"/>
                <w:sz w:val="18"/>
                <w:szCs w:val="18"/>
                <w:lang w:eastAsia="en-AU"/>
              </w:rPr>
              <w:t xml:space="preserve"> 0.14%–1.51%) for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and 3.31% (0.97%–5.67%) for conventional slides, with a difference of –2.49 (–4.43% to –0.55%).</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On average, the percentage of unsatisfactory slides from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samples was less compared with that from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samples. The estimates from individual studies were heterogeneous, reflecting differences in screening programs, smear settings, and practices. In studies with large sample sizes (i.e. small </w:t>
            </w:r>
            <w:r w:rsidRPr="00BB76D8">
              <w:rPr>
                <w:rFonts w:ascii="Arial Narrow" w:hAnsi="Arial Narrow" w:cs="Garamond"/>
                <w:sz w:val="18"/>
                <w:szCs w:val="18"/>
                <w:lang w:eastAsia="en-AU"/>
              </w:rPr>
              <w:t>CI</w:t>
            </w:r>
            <w:r w:rsidRPr="00537C3C">
              <w:rPr>
                <w:rFonts w:ascii="Arial Narrow" w:hAnsi="Arial Narrow" w:cs="Garamond"/>
                <w:sz w:val="18"/>
                <w:szCs w:val="18"/>
                <w:lang w:eastAsia="en-AU"/>
              </w:rPr>
              <w:t xml:space="preserve">s around the difference estimates of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vs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the difference estimates between the two techniques were close to zero.</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p>
          <w:p w:rsidR="00234376" w:rsidRPr="00537C3C" w:rsidRDefault="00234376" w:rsidP="008E03A7">
            <w:pPr>
              <w:autoSpaceDE w:val="0"/>
              <w:autoSpaceDN w:val="0"/>
              <w:adjustRightInd w:val="0"/>
              <w:spacing w:before="40" w:after="40"/>
              <w:ind w:left="57"/>
              <w:rPr>
                <w:rFonts w:ascii="Arial Narrow" w:hAnsi="Arial Narrow" w:cs="Garamond"/>
                <w:sz w:val="18"/>
                <w:szCs w:val="18"/>
                <w:u w:val="single"/>
                <w:lang w:eastAsia="en-AU"/>
              </w:rPr>
            </w:pPr>
            <w:r w:rsidRPr="00537C3C">
              <w:rPr>
                <w:rFonts w:ascii="Arial Narrow" w:hAnsi="Arial Narrow" w:cs="Garamond"/>
                <w:sz w:val="18"/>
                <w:szCs w:val="18"/>
                <w:u w:val="single"/>
                <w:lang w:eastAsia="en-AU"/>
              </w:rPr>
              <w:t>Economic analysis</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Utilises accuracy data from meta-analysis of 20 studies, considering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increase in sensitivity of 6.4% (95% </w:t>
            </w:r>
            <w:r w:rsidRPr="00BB76D8">
              <w:rPr>
                <w:rFonts w:ascii="Arial Narrow" w:hAnsi="Arial Narrow" w:cs="Garamond"/>
                <w:sz w:val="18"/>
                <w:szCs w:val="18"/>
                <w:lang w:eastAsia="en-AU"/>
              </w:rPr>
              <w:t>CI</w:t>
            </w:r>
            <w:r w:rsidRPr="00537C3C">
              <w:rPr>
                <w:rFonts w:ascii="Arial Narrow" w:hAnsi="Arial Narrow" w:cs="Garamond"/>
                <w:sz w:val="18"/>
                <w:szCs w:val="18"/>
                <w:lang w:eastAsia="en-AU"/>
              </w:rPr>
              <w:t>: –6.5% to +18.8%), decrease in specificity of 4.0% (–19.8% to +10.6%).</w:t>
            </w:r>
          </w:p>
          <w:p w:rsidR="00234376" w:rsidRPr="00537C3C" w:rsidRDefault="00234376" w:rsidP="008E03A7">
            <w:pPr>
              <w:autoSpaceDE w:val="0"/>
              <w:autoSpaceDN w:val="0"/>
              <w:adjustRightInd w:val="0"/>
              <w:spacing w:before="40" w:after="40"/>
              <w:ind w:left="57"/>
              <w:rPr>
                <w:rFonts w:ascii="Arial Narrow" w:hAnsi="Arial Narrow" w:cs="Garamond"/>
                <w:sz w:val="18"/>
                <w:szCs w:val="18"/>
                <w:lang w:eastAsia="en-AU"/>
              </w:rPr>
            </w:pP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screening every 2 years was the least expensive option, but life expectancy was reduced compared with annual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screening. Two-yearly screening with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vs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2-yearly cost ~$31 000 per </w:t>
            </w:r>
            <w:smartTag w:uri="urn:schemas-microsoft-com:office:smarttags" w:element="place">
              <w:r w:rsidRPr="00537C3C">
                <w:rPr>
                  <w:rFonts w:ascii="Arial Narrow" w:hAnsi="Arial Narrow" w:cs="Garamond"/>
                  <w:sz w:val="18"/>
                  <w:szCs w:val="18"/>
                  <w:lang w:eastAsia="en-AU"/>
                </w:rPr>
                <w:t>LYS</w:t>
              </w:r>
            </w:smartTag>
            <w:r w:rsidRPr="00537C3C">
              <w:rPr>
                <w:rFonts w:ascii="Arial Narrow" w:hAnsi="Arial Narrow" w:cs="Garamond"/>
                <w:sz w:val="18"/>
                <w:szCs w:val="18"/>
                <w:lang w:eastAsia="en-AU"/>
              </w:rPr>
              <w:t xml:space="preserve"> or $29 000 per QALY gained. Annual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screening would be the next best option to be considered an improvement from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screening every 2 years. Compared with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screening every 2 years, annual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screening was more expensive than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screening every 2 years but extended life expectancy by a small margin. Annual </w:t>
            </w:r>
            <w:r w:rsidRPr="00BB76D8">
              <w:rPr>
                <w:rFonts w:ascii="Arial Narrow" w:hAnsi="Arial Narrow" w:cs="Garamond"/>
                <w:sz w:val="18"/>
                <w:szCs w:val="18"/>
                <w:lang w:eastAsia="en-AU"/>
              </w:rPr>
              <w:t>CC</w:t>
            </w:r>
            <w:r w:rsidRPr="00537C3C">
              <w:rPr>
                <w:rFonts w:ascii="Arial Narrow" w:hAnsi="Arial Narrow" w:cs="Garamond"/>
                <w:sz w:val="18"/>
                <w:szCs w:val="18"/>
                <w:lang w:eastAsia="en-AU"/>
              </w:rPr>
              <w:t xml:space="preserve"> screening dominated other screening strategies. The next most effective option was annual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screening, at an incremental cost of $147 000 per </w:t>
            </w:r>
            <w:bookmarkStart w:id="905" w:name="OLE_LINK301"/>
            <w:bookmarkStart w:id="906" w:name="OLE_LINK302"/>
            <w:smartTag w:uri="urn:schemas-microsoft-com:office:smarttags" w:element="place">
              <w:r w:rsidRPr="006C24DD">
                <w:rPr>
                  <w:rFonts w:ascii="Arial Narrow" w:hAnsi="Arial Narrow" w:cs="Garamond"/>
                  <w:sz w:val="18"/>
                  <w:szCs w:val="18"/>
                  <w:lang w:eastAsia="en-AU"/>
                </w:rPr>
                <w:t>LYS</w:t>
              </w:r>
            </w:smartTag>
            <w:r w:rsidRPr="00537C3C">
              <w:rPr>
                <w:rFonts w:ascii="Arial Narrow" w:hAnsi="Arial Narrow" w:cs="Garamond"/>
                <w:sz w:val="18"/>
                <w:szCs w:val="18"/>
                <w:lang w:eastAsia="en-AU"/>
              </w:rPr>
              <w:t xml:space="preserve"> </w:t>
            </w:r>
            <w:bookmarkEnd w:id="905"/>
            <w:bookmarkEnd w:id="906"/>
            <w:r w:rsidRPr="00537C3C">
              <w:rPr>
                <w:rFonts w:ascii="Arial Narrow" w:hAnsi="Arial Narrow" w:cs="Garamond"/>
                <w:sz w:val="18"/>
                <w:szCs w:val="18"/>
                <w:lang w:eastAsia="en-AU"/>
              </w:rPr>
              <w:t xml:space="preserve">vs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every 2 years, or $149 000 per QALY.</w:t>
            </w:r>
          </w:p>
        </w:tc>
      </w:tr>
      <w:tr w:rsidR="00234376" w:rsidRPr="00537C3C">
        <w:trPr>
          <w:cantSplit/>
        </w:trPr>
        <w:tc>
          <w:tcPr>
            <w:tcW w:w="1756" w:type="dxa"/>
          </w:tcPr>
          <w:p w:rsidR="00234376" w:rsidRPr="00537C3C" w:rsidRDefault="00234376" w:rsidP="008E03A7">
            <w:pPr>
              <w:spacing w:before="40" w:after="40"/>
              <w:ind w:left="57" w:right="57"/>
              <w:rPr>
                <w:rFonts w:ascii="Arial Narrow" w:hAnsi="Arial Narrow"/>
                <w:b/>
                <w:bCs/>
                <w:sz w:val="18"/>
                <w:szCs w:val="18"/>
              </w:rPr>
            </w:pPr>
            <w:r w:rsidRPr="00537C3C">
              <w:rPr>
                <w:rFonts w:ascii="Arial Narrow" w:hAnsi="Arial Narrow"/>
                <w:b/>
                <w:bCs/>
                <w:sz w:val="18"/>
                <w:szCs w:val="18"/>
              </w:rPr>
              <w:lastRenderedPageBreak/>
              <w:t>Arbyn et al. 2008</w:t>
            </w:r>
          </w:p>
          <w:p w:rsidR="00234376" w:rsidRPr="00537C3C" w:rsidRDefault="00234376" w:rsidP="008E03A7">
            <w:pPr>
              <w:spacing w:before="40" w:after="40"/>
              <w:ind w:left="57" w:right="57"/>
              <w:rPr>
                <w:rFonts w:ascii="Arial Narrow" w:hAnsi="Arial Narrow"/>
                <w:bCs/>
                <w:sz w:val="18"/>
                <w:szCs w:val="18"/>
              </w:rPr>
            </w:pPr>
          </w:p>
          <w:p w:rsidR="00234376" w:rsidRPr="00537C3C" w:rsidRDefault="00234376" w:rsidP="008E03A7">
            <w:pPr>
              <w:pStyle w:val="TableText"/>
              <w:rPr>
                <w:bCs/>
                <w:szCs w:val="18"/>
              </w:rPr>
            </w:pPr>
            <w:smartTag w:uri="urn:schemas-microsoft-com:office:smarttags" w:element="place">
              <w:smartTag w:uri="urn:schemas-microsoft-com:office:smarttags" w:element="country-region">
                <w:r w:rsidRPr="00537C3C">
                  <w:rPr>
                    <w:bCs/>
                    <w:szCs w:val="18"/>
                  </w:rPr>
                  <w:t>Belgium</w:t>
                </w:r>
              </w:smartTag>
            </w:smartTag>
          </w:p>
          <w:p w:rsidR="00234376" w:rsidRPr="00537C3C" w:rsidRDefault="00234376" w:rsidP="008E03A7">
            <w:pPr>
              <w:spacing w:before="40" w:after="40"/>
              <w:ind w:left="57" w:right="57"/>
              <w:rPr>
                <w:rFonts w:ascii="Arial Narrow" w:hAnsi="Arial Narrow"/>
                <w:bCs/>
                <w:sz w:val="18"/>
                <w:szCs w:val="18"/>
              </w:rPr>
            </w:pPr>
          </w:p>
          <w:p w:rsidR="00234376" w:rsidRPr="00537C3C" w:rsidRDefault="00234376" w:rsidP="008E03A7">
            <w:pPr>
              <w:spacing w:before="40" w:after="40"/>
              <w:ind w:left="57" w:right="57"/>
              <w:rPr>
                <w:rFonts w:ascii="Arial Narrow" w:hAnsi="Arial Narrow"/>
                <w:bCs/>
                <w:sz w:val="18"/>
                <w:szCs w:val="18"/>
              </w:rPr>
            </w:pPr>
          </w:p>
        </w:tc>
        <w:tc>
          <w:tcPr>
            <w:tcW w:w="2623" w:type="dxa"/>
          </w:tcPr>
          <w:p w:rsidR="00234376" w:rsidRPr="00537C3C" w:rsidRDefault="00234376" w:rsidP="008E03A7">
            <w:pPr>
              <w:autoSpaceDE w:val="0"/>
              <w:autoSpaceDN w:val="0"/>
              <w:adjustRightInd w:val="0"/>
              <w:spacing w:after="40"/>
              <w:ind w:left="57"/>
              <w:rPr>
                <w:rFonts w:ascii="Arial Narrow" w:hAnsi="Arial Narrow"/>
                <w:bCs/>
                <w:sz w:val="18"/>
                <w:szCs w:val="18"/>
              </w:rPr>
            </w:pPr>
            <w:r w:rsidRPr="00537C3C">
              <w:rPr>
                <w:rFonts w:ascii="Arial Narrow" w:hAnsi="Arial Narrow"/>
                <w:bCs/>
                <w:sz w:val="18"/>
                <w:szCs w:val="18"/>
              </w:rPr>
              <w:t xml:space="preserve">To compare test performance characteristics (accuracy) of conventional Pap tests and </w:t>
            </w:r>
            <w:r w:rsidRPr="00BB76D8">
              <w:rPr>
                <w:rFonts w:ascii="Arial Narrow" w:hAnsi="Arial Narrow"/>
                <w:bCs/>
                <w:sz w:val="18"/>
                <w:szCs w:val="18"/>
              </w:rPr>
              <w:t>LBC</w:t>
            </w:r>
            <w:r w:rsidRPr="00537C3C">
              <w:rPr>
                <w:rFonts w:ascii="Arial Narrow" w:hAnsi="Arial Narrow"/>
                <w:bCs/>
                <w:sz w:val="18"/>
                <w:szCs w:val="18"/>
              </w:rPr>
              <w:t xml:space="preserve"> cervical samples</w:t>
            </w:r>
          </w:p>
          <w:p w:rsidR="00234376" w:rsidRPr="00537C3C" w:rsidRDefault="00234376" w:rsidP="008E03A7">
            <w:pPr>
              <w:autoSpaceDE w:val="0"/>
              <w:autoSpaceDN w:val="0"/>
              <w:adjustRightInd w:val="0"/>
              <w:spacing w:after="40"/>
              <w:ind w:left="57"/>
              <w:rPr>
                <w:rFonts w:ascii="Arial Narrow" w:hAnsi="Arial Narrow"/>
                <w:bCs/>
                <w:sz w:val="18"/>
                <w:szCs w:val="18"/>
                <w:u w:val="single"/>
              </w:rPr>
            </w:pPr>
            <w:r w:rsidRPr="00234376">
              <w:rPr>
                <w:rFonts w:ascii="Arial Narrow" w:hAnsi="Arial Narrow"/>
                <w:bCs/>
                <w:i/>
                <w:sz w:val="18"/>
                <w:szCs w:val="18"/>
              </w:rPr>
              <w:t>Search</w:t>
            </w:r>
          </w:p>
          <w:p w:rsidR="00234376" w:rsidRDefault="00234376" w:rsidP="00600AC0">
            <w:pPr>
              <w:numPr>
                <w:ilvl w:val="0"/>
                <w:numId w:val="4"/>
              </w:numPr>
              <w:tabs>
                <w:tab w:val="clear" w:pos="170"/>
                <w:tab w:val="num" w:pos="215"/>
              </w:tabs>
              <w:autoSpaceDE w:val="0"/>
              <w:autoSpaceDN w:val="0"/>
              <w:adjustRightInd w:val="0"/>
              <w:spacing w:after="40"/>
              <w:ind w:left="230" w:hanging="230"/>
              <w:rPr>
                <w:rFonts w:ascii="Arial Narrow" w:hAnsi="Arial Narrow"/>
                <w:bCs/>
                <w:sz w:val="18"/>
                <w:szCs w:val="18"/>
              </w:rPr>
            </w:pPr>
            <w:r w:rsidRPr="00537C3C">
              <w:rPr>
                <w:rFonts w:ascii="Arial Narrow" w:hAnsi="Arial Narrow"/>
                <w:bCs/>
                <w:sz w:val="18"/>
                <w:szCs w:val="18"/>
              </w:rPr>
              <w:t>PubMed (MEDLINE &amp; PreMEDLINE) &amp; EMBASE Jan 1991 – May 2007</w:t>
            </w:r>
          </w:p>
          <w:p w:rsidR="00234376" w:rsidRDefault="00234376" w:rsidP="00600AC0">
            <w:pPr>
              <w:numPr>
                <w:ilvl w:val="0"/>
                <w:numId w:val="4"/>
              </w:numPr>
              <w:tabs>
                <w:tab w:val="clear" w:pos="170"/>
                <w:tab w:val="num" w:pos="215"/>
              </w:tabs>
              <w:autoSpaceDE w:val="0"/>
              <w:autoSpaceDN w:val="0"/>
              <w:adjustRightInd w:val="0"/>
              <w:spacing w:after="40"/>
              <w:ind w:left="230" w:hanging="230"/>
              <w:rPr>
                <w:rFonts w:ascii="Arial Narrow" w:hAnsi="Arial Narrow"/>
                <w:bCs/>
                <w:sz w:val="18"/>
                <w:szCs w:val="18"/>
              </w:rPr>
            </w:pPr>
            <w:r w:rsidRPr="00537C3C">
              <w:rPr>
                <w:rFonts w:ascii="Arial Narrow" w:hAnsi="Arial Narrow"/>
                <w:bCs/>
                <w:sz w:val="18"/>
                <w:szCs w:val="18"/>
              </w:rPr>
              <w:t>tables of contents of 5 gynaecol</w:t>
            </w:r>
            <w:r w:rsidRPr="00537C3C">
              <w:rPr>
                <w:rFonts w:ascii="Arial Narrow" w:hAnsi="Arial Narrow"/>
                <w:bCs/>
                <w:sz w:val="18"/>
                <w:szCs w:val="18"/>
              </w:rPr>
              <w:softHyphen/>
              <w:t>og</w:t>
            </w:r>
            <w:r w:rsidRPr="00537C3C" w:rsidDel="001E6D1E">
              <w:rPr>
                <w:rFonts w:ascii="Arial Narrow" w:hAnsi="Arial Narrow"/>
                <w:bCs/>
                <w:sz w:val="18"/>
                <w:szCs w:val="18"/>
              </w:rPr>
              <w:t>y</w:t>
            </w:r>
            <w:r w:rsidRPr="00537C3C">
              <w:rPr>
                <w:rFonts w:ascii="Arial Narrow" w:hAnsi="Arial Narrow"/>
                <w:bCs/>
                <w:sz w:val="18"/>
                <w:szCs w:val="18"/>
              </w:rPr>
              <w:t xml:space="preserve"> &amp; 4 cytopathology journals</w:t>
            </w:r>
          </w:p>
          <w:p w:rsidR="00234376" w:rsidRDefault="00234376" w:rsidP="00600AC0">
            <w:pPr>
              <w:numPr>
                <w:ilvl w:val="0"/>
                <w:numId w:val="4"/>
              </w:numPr>
              <w:tabs>
                <w:tab w:val="clear" w:pos="170"/>
                <w:tab w:val="num" w:pos="215"/>
              </w:tabs>
              <w:autoSpaceDE w:val="0"/>
              <w:autoSpaceDN w:val="0"/>
              <w:adjustRightInd w:val="0"/>
              <w:spacing w:after="40"/>
              <w:ind w:left="230" w:hanging="230"/>
              <w:rPr>
                <w:rFonts w:ascii="Arial Narrow" w:hAnsi="Arial Narrow"/>
                <w:bCs/>
                <w:sz w:val="18"/>
                <w:szCs w:val="18"/>
              </w:rPr>
            </w:pPr>
            <w:r w:rsidRPr="00537C3C">
              <w:rPr>
                <w:rFonts w:ascii="Arial Narrow" w:hAnsi="Arial Narrow"/>
                <w:bCs/>
                <w:sz w:val="18"/>
                <w:szCs w:val="18"/>
              </w:rPr>
              <w:t>reference lists</w:t>
            </w:r>
          </w:p>
          <w:p w:rsidR="00234376" w:rsidRPr="00537C3C" w:rsidRDefault="00234376" w:rsidP="008E03A7">
            <w:pPr>
              <w:autoSpaceDE w:val="0"/>
              <w:autoSpaceDN w:val="0"/>
              <w:adjustRightInd w:val="0"/>
              <w:spacing w:after="40"/>
              <w:ind w:left="57"/>
              <w:rPr>
                <w:rFonts w:ascii="Arial Narrow" w:hAnsi="Arial Narrow"/>
                <w:bCs/>
                <w:i/>
                <w:sz w:val="18"/>
                <w:szCs w:val="18"/>
              </w:rPr>
            </w:pPr>
            <w:r w:rsidRPr="00537C3C">
              <w:rPr>
                <w:rFonts w:ascii="Arial Narrow" w:hAnsi="Arial Narrow"/>
                <w:bCs/>
                <w:i/>
                <w:sz w:val="18"/>
                <w:szCs w:val="18"/>
              </w:rPr>
              <w:t>Inclusion criteria</w:t>
            </w:r>
          </w:p>
          <w:p w:rsidR="00234376" w:rsidRPr="00537C3C" w:rsidRDefault="00234376" w:rsidP="00600AC0">
            <w:pPr>
              <w:numPr>
                <w:ilvl w:val="0"/>
                <w:numId w:val="4"/>
              </w:numPr>
              <w:tabs>
                <w:tab w:val="clear" w:pos="170"/>
                <w:tab w:val="num" w:pos="215"/>
              </w:tabs>
              <w:autoSpaceDE w:val="0"/>
              <w:autoSpaceDN w:val="0"/>
              <w:adjustRightInd w:val="0"/>
              <w:spacing w:after="40"/>
              <w:ind w:left="230" w:hanging="230"/>
              <w:rPr>
                <w:rFonts w:ascii="Arial Narrow" w:hAnsi="Arial Narrow"/>
                <w:bCs/>
                <w:sz w:val="18"/>
                <w:szCs w:val="18"/>
              </w:rPr>
            </w:pPr>
            <w:r w:rsidRPr="00537C3C">
              <w:rPr>
                <w:rFonts w:ascii="Arial Narrow" w:hAnsi="Arial Narrow"/>
                <w:bCs/>
                <w:sz w:val="18"/>
                <w:szCs w:val="18"/>
              </w:rPr>
              <w:t>Comparative studies (concomitant split-sample or direct-to-vial, or 2-cohort design)</w:t>
            </w:r>
          </w:p>
          <w:p w:rsidR="00234376" w:rsidRPr="00537C3C" w:rsidRDefault="00234376" w:rsidP="00600AC0">
            <w:pPr>
              <w:numPr>
                <w:ilvl w:val="0"/>
                <w:numId w:val="4"/>
              </w:numPr>
              <w:tabs>
                <w:tab w:val="clear" w:pos="170"/>
                <w:tab w:val="num" w:pos="215"/>
              </w:tabs>
              <w:autoSpaceDE w:val="0"/>
              <w:autoSpaceDN w:val="0"/>
              <w:adjustRightInd w:val="0"/>
              <w:spacing w:after="40"/>
              <w:ind w:left="230" w:hanging="230"/>
              <w:rPr>
                <w:rFonts w:ascii="Arial Narrow" w:hAnsi="Arial Narrow"/>
                <w:bCs/>
                <w:sz w:val="18"/>
                <w:szCs w:val="18"/>
              </w:rPr>
            </w:pPr>
            <w:r w:rsidRPr="00537C3C">
              <w:rPr>
                <w:rFonts w:ascii="Arial Narrow" w:hAnsi="Arial Narrow"/>
                <w:bCs/>
                <w:sz w:val="18"/>
                <w:szCs w:val="18"/>
              </w:rPr>
              <w:t xml:space="preserve">All subjects receive reference standard verification by colposcopy ± biopsy for </w:t>
            </w:r>
            <w:r w:rsidRPr="00BB76D8">
              <w:rPr>
                <w:rFonts w:ascii="Arial Narrow" w:hAnsi="Arial Narrow"/>
                <w:bCs/>
                <w:sz w:val="18"/>
                <w:szCs w:val="18"/>
              </w:rPr>
              <w:t>CIN</w:t>
            </w:r>
            <w:r w:rsidRPr="00537C3C">
              <w:rPr>
                <w:rFonts w:ascii="Arial Narrow" w:hAnsi="Arial Narrow"/>
                <w:bCs/>
                <w:sz w:val="18"/>
                <w:szCs w:val="18"/>
              </w:rPr>
              <w:t xml:space="preserve"> 2+ if indicated</w:t>
            </w:r>
          </w:p>
          <w:p w:rsidR="00234376" w:rsidRPr="00537C3C" w:rsidRDefault="00234376" w:rsidP="00600AC0">
            <w:pPr>
              <w:numPr>
                <w:ilvl w:val="0"/>
                <w:numId w:val="4"/>
              </w:numPr>
              <w:tabs>
                <w:tab w:val="clear" w:pos="170"/>
                <w:tab w:val="num" w:pos="215"/>
              </w:tabs>
              <w:autoSpaceDE w:val="0"/>
              <w:autoSpaceDN w:val="0"/>
              <w:adjustRightInd w:val="0"/>
              <w:spacing w:after="40"/>
              <w:ind w:left="230" w:hanging="230"/>
              <w:rPr>
                <w:rFonts w:ascii="Arial Narrow" w:hAnsi="Arial Narrow"/>
                <w:bCs/>
                <w:sz w:val="18"/>
                <w:szCs w:val="18"/>
              </w:rPr>
            </w:pPr>
            <w:r w:rsidRPr="00BB76D8">
              <w:rPr>
                <w:rFonts w:ascii="Arial Narrow" w:hAnsi="Arial Narrow"/>
                <w:bCs/>
                <w:sz w:val="18"/>
                <w:szCs w:val="18"/>
              </w:rPr>
              <w:t>RCT</w:t>
            </w:r>
            <w:r w:rsidRPr="00537C3C">
              <w:rPr>
                <w:rFonts w:ascii="Arial Narrow" w:hAnsi="Arial Narrow"/>
                <w:bCs/>
                <w:sz w:val="18"/>
                <w:szCs w:val="18"/>
              </w:rPr>
              <w:t>s with ≥ 90% complete follow-up confirmation of positive women</w:t>
            </w:r>
          </w:p>
          <w:p w:rsidR="00234376" w:rsidRPr="00537C3C" w:rsidRDefault="00234376" w:rsidP="00600AC0">
            <w:pPr>
              <w:numPr>
                <w:ilvl w:val="0"/>
                <w:numId w:val="4"/>
              </w:numPr>
              <w:tabs>
                <w:tab w:val="clear" w:pos="170"/>
                <w:tab w:val="num" w:pos="215"/>
              </w:tabs>
              <w:autoSpaceDE w:val="0"/>
              <w:autoSpaceDN w:val="0"/>
              <w:adjustRightInd w:val="0"/>
              <w:spacing w:after="40"/>
              <w:ind w:left="230" w:hanging="230"/>
              <w:rPr>
                <w:rFonts w:ascii="Arial Narrow" w:hAnsi="Arial Narrow"/>
                <w:bCs/>
                <w:sz w:val="18"/>
                <w:szCs w:val="18"/>
              </w:rPr>
            </w:pPr>
            <w:r w:rsidRPr="00537C3C">
              <w:rPr>
                <w:rFonts w:ascii="Arial Narrow" w:hAnsi="Arial Narrow"/>
                <w:bCs/>
                <w:sz w:val="18"/>
                <w:szCs w:val="18"/>
              </w:rPr>
              <w:t>No language restrictions</w:t>
            </w:r>
          </w:p>
        </w:tc>
        <w:tc>
          <w:tcPr>
            <w:tcW w:w="2124" w:type="dxa"/>
          </w:tcPr>
          <w:p w:rsidR="00234376" w:rsidRPr="00537C3C" w:rsidRDefault="00234376" w:rsidP="008E03A7">
            <w:pPr>
              <w:autoSpaceDE w:val="0"/>
              <w:autoSpaceDN w:val="0"/>
              <w:adjustRightInd w:val="0"/>
              <w:spacing w:after="40"/>
              <w:ind w:left="57"/>
              <w:rPr>
                <w:rFonts w:ascii="Arial Narrow" w:hAnsi="Arial Narrow"/>
                <w:bCs/>
                <w:sz w:val="18"/>
                <w:szCs w:val="18"/>
              </w:rPr>
            </w:pPr>
            <w:r w:rsidRPr="00537C3C">
              <w:rPr>
                <w:rFonts w:ascii="Arial Narrow" w:hAnsi="Arial Narrow"/>
                <w:bCs/>
                <w:sz w:val="18"/>
                <w:szCs w:val="18"/>
              </w:rPr>
              <w:t>9 primary studies:</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7 with concomitant testing (4 split-sample)</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1 two-cohort study</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 xml:space="preserve">1 </w:t>
            </w:r>
            <w:r w:rsidRPr="00BB76D8">
              <w:rPr>
                <w:rFonts w:ascii="Arial Narrow" w:hAnsi="Arial Narrow"/>
                <w:bCs/>
                <w:sz w:val="18"/>
                <w:szCs w:val="18"/>
              </w:rPr>
              <w:t>RCT</w:t>
            </w:r>
          </w:p>
          <w:p w:rsidR="00234376" w:rsidRPr="00537C3C" w:rsidRDefault="00234376" w:rsidP="00600AC0">
            <w:pPr>
              <w:numPr>
                <w:ilvl w:val="0"/>
                <w:numId w:val="4"/>
              </w:numPr>
              <w:tabs>
                <w:tab w:val="clear" w:pos="170"/>
                <w:tab w:val="num" w:pos="215"/>
              </w:tabs>
              <w:autoSpaceDE w:val="0"/>
              <w:autoSpaceDN w:val="0"/>
              <w:adjustRightInd w:val="0"/>
              <w:spacing w:after="0"/>
              <w:ind w:left="182" w:hanging="137"/>
              <w:rPr>
                <w:rFonts w:ascii="Arial Narrow" w:hAnsi="Arial Narrow"/>
                <w:bCs/>
                <w:sz w:val="18"/>
                <w:szCs w:val="18"/>
              </w:rPr>
            </w:pPr>
            <w:r w:rsidRPr="00537C3C">
              <w:rPr>
                <w:rFonts w:ascii="Arial Narrow" w:hAnsi="Arial Narrow"/>
                <w:bCs/>
                <w:sz w:val="18"/>
                <w:szCs w:val="18"/>
              </w:rPr>
              <w:t xml:space="preserve">6 ThinPrep, 1 AutoCyte, 1 </w:t>
            </w:r>
            <w:r w:rsidRPr="00BB76D8">
              <w:rPr>
                <w:rFonts w:ascii="Arial Narrow" w:hAnsi="Arial Narrow"/>
                <w:bCs/>
                <w:sz w:val="18"/>
                <w:szCs w:val="18"/>
              </w:rPr>
              <w:t>DNA</w:t>
            </w:r>
            <w:r w:rsidRPr="00537C3C">
              <w:rPr>
                <w:rFonts w:ascii="Arial Narrow" w:hAnsi="Arial Narrow"/>
                <w:bCs/>
                <w:sz w:val="18"/>
                <w:szCs w:val="18"/>
              </w:rPr>
              <w:t xml:space="preserve"> Citoliq, 1 CellSlide</w:t>
            </w:r>
          </w:p>
          <w:p w:rsidR="00234376" w:rsidRPr="00537C3C" w:rsidRDefault="00234376" w:rsidP="008E03A7">
            <w:pPr>
              <w:autoSpaceDE w:val="0"/>
              <w:autoSpaceDN w:val="0"/>
              <w:adjustRightInd w:val="0"/>
              <w:rPr>
                <w:rFonts w:ascii="Arial Narrow" w:hAnsi="Arial Narrow"/>
                <w:bCs/>
                <w:sz w:val="18"/>
                <w:szCs w:val="18"/>
              </w:rPr>
            </w:pPr>
          </w:p>
          <w:p w:rsidR="00234376" w:rsidRPr="00537C3C" w:rsidRDefault="00234376" w:rsidP="008E03A7">
            <w:pPr>
              <w:autoSpaceDE w:val="0"/>
              <w:autoSpaceDN w:val="0"/>
              <w:adjustRightInd w:val="0"/>
              <w:rPr>
                <w:rFonts w:ascii="Arial Narrow" w:hAnsi="Arial Narrow"/>
                <w:bCs/>
                <w:sz w:val="18"/>
                <w:szCs w:val="18"/>
              </w:rPr>
            </w:pPr>
          </w:p>
          <w:p w:rsidR="00234376" w:rsidRPr="00537C3C" w:rsidRDefault="00234376" w:rsidP="008E03A7">
            <w:pPr>
              <w:autoSpaceDE w:val="0"/>
              <w:autoSpaceDN w:val="0"/>
              <w:adjustRightInd w:val="0"/>
              <w:rPr>
                <w:rFonts w:ascii="Arial Narrow" w:hAnsi="Arial Narrow"/>
                <w:bCs/>
                <w:sz w:val="18"/>
                <w:szCs w:val="18"/>
              </w:rPr>
            </w:pPr>
          </w:p>
        </w:tc>
        <w:tc>
          <w:tcPr>
            <w:tcW w:w="2305" w:type="dxa"/>
          </w:tcPr>
          <w:p w:rsidR="00234376" w:rsidRPr="00537C3C" w:rsidRDefault="00234376" w:rsidP="008E03A7">
            <w:pPr>
              <w:autoSpaceDE w:val="0"/>
              <w:autoSpaceDN w:val="0"/>
              <w:adjustRightInd w:val="0"/>
              <w:spacing w:after="40"/>
              <w:ind w:left="57"/>
              <w:rPr>
                <w:rFonts w:ascii="Arial Narrow" w:hAnsi="Arial Narrow"/>
                <w:b/>
                <w:bCs/>
                <w:sz w:val="18"/>
                <w:szCs w:val="18"/>
              </w:rPr>
            </w:pPr>
            <w:r w:rsidRPr="00537C3C">
              <w:rPr>
                <w:rFonts w:ascii="Arial Narrow" w:hAnsi="Arial Narrow"/>
                <w:b/>
                <w:bCs/>
                <w:sz w:val="18"/>
                <w:szCs w:val="18"/>
              </w:rPr>
              <w:t>Population</w:t>
            </w:r>
          </w:p>
          <w:p w:rsidR="00234376" w:rsidRDefault="00234376" w:rsidP="00600AC0">
            <w:pPr>
              <w:numPr>
                <w:ilvl w:val="0"/>
                <w:numId w:val="4"/>
              </w:numPr>
              <w:tabs>
                <w:tab w:val="clear" w:pos="170"/>
                <w:tab w:val="num" w:pos="306"/>
              </w:tabs>
              <w:autoSpaceDE w:val="0"/>
              <w:autoSpaceDN w:val="0"/>
              <w:adjustRightInd w:val="0"/>
              <w:spacing w:after="40"/>
              <w:ind w:left="306" w:hanging="284"/>
              <w:rPr>
                <w:rFonts w:ascii="Arial Narrow" w:hAnsi="Arial Narrow"/>
                <w:bCs/>
                <w:sz w:val="18"/>
                <w:szCs w:val="18"/>
              </w:rPr>
            </w:pPr>
            <w:r w:rsidRPr="00537C3C">
              <w:rPr>
                <w:rFonts w:ascii="Arial Narrow" w:hAnsi="Arial Narrow"/>
                <w:bCs/>
                <w:sz w:val="18"/>
                <w:szCs w:val="18"/>
              </w:rPr>
              <w:t>Most studies: women with previous cervical abnormalities</w:t>
            </w:r>
          </w:p>
          <w:p w:rsidR="00234376" w:rsidRDefault="00234376" w:rsidP="00600AC0">
            <w:pPr>
              <w:numPr>
                <w:ilvl w:val="0"/>
                <w:numId w:val="4"/>
              </w:numPr>
              <w:tabs>
                <w:tab w:val="clear" w:pos="170"/>
                <w:tab w:val="num" w:pos="306"/>
              </w:tabs>
              <w:autoSpaceDE w:val="0"/>
              <w:autoSpaceDN w:val="0"/>
              <w:adjustRightInd w:val="0"/>
              <w:spacing w:after="40"/>
              <w:ind w:left="306" w:hanging="284"/>
              <w:rPr>
                <w:rFonts w:ascii="Arial Narrow" w:hAnsi="Arial Narrow"/>
                <w:bCs/>
                <w:sz w:val="18"/>
                <w:szCs w:val="18"/>
              </w:rPr>
            </w:pPr>
            <w:r w:rsidRPr="00537C3C">
              <w:rPr>
                <w:rFonts w:ascii="Arial Narrow" w:hAnsi="Arial Narrow"/>
                <w:bCs/>
                <w:sz w:val="18"/>
                <w:szCs w:val="18"/>
              </w:rPr>
              <w:t>2 studies: screening population</w:t>
            </w:r>
          </w:p>
          <w:p w:rsidR="00234376" w:rsidRPr="00537C3C" w:rsidRDefault="00234376" w:rsidP="008E03A7">
            <w:pPr>
              <w:autoSpaceDE w:val="0"/>
              <w:autoSpaceDN w:val="0"/>
              <w:adjustRightInd w:val="0"/>
              <w:spacing w:after="40"/>
              <w:ind w:left="57"/>
              <w:rPr>
                <w:rFonts w:ascii="Arial Narrow" w:hAnsi="Arial Narrow"/>
                <w:b/>
                <w:bCs/>
                <w:sz w:val="18"/>
                <w:szCs w:val="18"/>
              </w:rPr>
            </w:pPr>
          </w:p>
          <w:p w:rsidR="00234376" w:rsidRPr="00537C3C" w:rsidRDefault="00234376" w:rsidP="008E03A7">
            <w:pPr>
              <w:autoSpaceDE w:val="0"/>
              <w:autoSpaceDN w:val="0"/>
              <w:adjustRightInd w:val="0"/>
              <w:spacing w:after="40"/>
              <w:ind w:left="57"/>
              <w:rPr>
                <w:rFonts w:ascii="Arial Narrow" w:hAnsi="Arial Narrow"/>
                <w:b/>
                <w:bCs/>
                <w:sz w:val="18"/>
                <w:szCs w:val="18"/>
              </w:rPr>
            </w:pPr>
            <w:r w:rsidRPr="00537C3C">
              <w:rPr>
                <w:rFonts w:ascii="Arial Narrow" w:hAnsi="Arial Narrow"/>
                <w:b/>
                <w:bCs/>
                <w:sz w:val="18"/>
                <w:szCs w:val="18"/>
              </w:rPr>
              <w:t>Test comparison</w:t>
            </w:r>
          </w:p>
          <w:p w:rsidR="00234376" w:rsidRDefault="00234376" w:rsidP="00FB56F0">
            <w:pPr>
              <w:numPr>
                <w:ilvl w:val="0"/>
                <w:numId w:val="8"/>
              </w:numPr>
              <w:autoSpaceDE w:val="0"/>
              <w:autoSpaceDN w:val="0"/>
              <w:adjustRightInd w:val="0"/>
              <w:spacing w:after="40"/>
              <w:ind w:left="57" w:hanging="137"/>
              <w:rPr>
                <w:rFonts w:ascii="Arial Narrow" w:hAnsi="Arial Narrow"/>
                <w:b/>
                <w:bCs/>
                <w:sz w:val="18"/>
                <w:szCs w:val="18"/>
              </w:rPr>
            </w:pPr>
            <w:r w:rsidRPr="00537C3C">
              <w:rPr>
                <w:rFonts w:ascii="Arial Narrow" w:hAnsi="Arial Narrow"/>
                <w:bCs/>
                <w:sz w:val="18"/>
                <w:szCs w:val="18"/>
              </w:rPr>
              <w:t xml:space="preserve">Direct comparison of </w:t>
            </w:r>
            <w:r w:rsidRPr="00BB76D8">
              <w:rPr>
                <w:rFonts w:ascii="Arial Narrow" w:hAnsi="Arial Narrow"/>
                <w:bCs/>
                <w:sz w:val="18"/>
                <w:szCs w:val="18"/>
              </w:rPr>
              <w:t>LBC</w:t>
            </w:r>
            <w:r w:rsidRPr="00537C3C">
              <w:rPr>
                <w:rFonts w:ascii="Arial Narrow" w:hAnsi="Arial Narrow"/>
                <w:bCs/>
                <w:sz w:val="18"/>
                <w:szCs w:val="18"/>
              </w:rPr>
              <w:t xml:space="preserve"> vs conventional cytology, both with manual reading</w:t>
            </w:r>
          </w:p>
          <w:p w:rsidR="00234376" w:rsidRDefault="00234376" w:rsidP="00FB56F0">
            <w:pPr>
              <w:numPr>
                <w:ilvl w:val="0"/>
                <w:numId w:val="8"/>
              </w:numPr>
              <w:autoSpaceDE w:val="0"/>
              <w:autoSpaceDN w:val="0"/>
              <w:adjustRightInd w:val="0"/>
              <w:spacing w:after="40"/>
              <w:ind w:left="57" w:hanging="137"/>
              <w:rPr>
                <w:rFonts w:ascii="Arial Narrow" w:hAnsi="Arial Narrow"/>
                <w:b/>
                <w:bCs/>
                <w:sz w:val="18"/>
                <w:szCs w:val="18"/>
              </w:rPr>
            </w:pPr>
            <w:r w:rsidRPr="00537C3C">
              <w:rPr>
                <w:rFonts w:ascii="Arial Narrow" w:hAnsi="Arial Narrow"/>
                <w:bCs/>
                <w:sz w:val="18"/>
                <w:szCs w:val="18"/>
              </w:rPr>
              <w:t xml:space="preserve">3 test thresholds: </w:t>
            </w:r>
            <w:r w:rsidRPr="00BB76D8">
              <w:rPr>
                <w:rFonts w:ascii="Arial Narrow" w:hAnsi="Arial Narrow"/>
                <w:bCs/>
                <w:sz w:val="18"/>
                <w:szCs w:val="18"/>
              </w:rPr>
              <w:t>ASCUS</w:t>
            </w:r>
            <w:r w:rsidRPr="00537C3C">
              <w:rPr>
                <w:rFonts w:ascii="Arial Narrow" w:hAnsi="Arial Narrow"/>
                <w:bCs/>
                <w:sz w:val="18"/>
                <w:szCs w:val="18"/>
              </w:rPr>
              <w:t xml:space="preserve">+, </w:t>
            </w:r>
            <w:r w:rsidRPr="00BB76D8">
              <w:rPr>
                <w:rFonts w:ascii="Arial Narrow" w:hAnsi="Arial Narrow"/>
                <w:bCs/>
                <w:sz w:val="18"/>
                <w:szCs w:val="18"/>
              </w:rPr>
              <w:t>LSIL</w:t>
            </w:r>
            <w:r w:rsidRPr="00537C3C">
              <w:rPr>
                <w:rFonts w:ascii="Arial Narrow" w:hAnsi="Arial Narrow"/>
                <w:bCs/>
                <w:sz w:val="18"/>
                <w:szCs w:val="18"/>
              </w:rPr>
              <w:t xml:space="preserve">+, </w:t>
            </w:r>
            <w:r w:rsidRPr="00BB76D8">
              <w:rPr>
                <w:rFonts w:ascii="Arial Narrow" w:hAnsi="Arial Narrow"/>
                <w:bCs/>
                <w:sz w:val="18"/>
                <w:szCs w:val="18"/>
              </w:rPr>
              <w:t>HSIL</w:t>
            </w:r>
            <w:r w:rsidRPr="00537C3C">
              <w:rPr>
                <w:rFonts w:ascii="Arial Narrow" w:hAnsi="Arial Narrow"/>
                <w:bCs/>
                <w:sz w:val="18"/>
                <w:szCs w:val="18"/>
              </w:rPr>
              <w:t>+</w:t>
            </w:r>
          </w:p>
          <w:p w:rsidR="00234376" w:rsidRPr="00537C3C" w:rsidRDefault="00234376" w:rsidP="008E03A7">
            <w:pPr>
              <w:autoSpaceDE w:val="0"/>
              <w:autoSpaceDN w:val="0"/>
              <w:adjustRightInd w:val="0"/>
              <w:spacing w:after="40"/>
              <w:ind w:left="57"/>
              <w:rPr>
                <w:rFonts w:ascii="Arial Narrow" w:hAnsi="Arial Narrow"/>
                <w:b/>
                <w:bCs/>
                <w:sz w:val="18"/>
                <w:szCs w:val="18"/>
              </w:rPr>
            </w:pPr>
          </w:p>
          <w:p w:rsidR="00234376" w:rsidRPr="00537C3C" w:rsidRDefault="00234376" w:rsidP="008E03A7">
            <w:pPr>
              <w:autoSpaceDE w:val="0"/>
              <w:autoSpaceDN w:val="0"/>
              <w:adjustRightInd w:val="0"/>
              <w:spacing w:after="40"/>
              <w:ind w:left="57"/>
              <w:rPr>
                <w:rFonts w:ascii="Arial Narrow" w:hAnsi="Arial Narrow"/>
                <w:b/>
                <w:bCs/>
                <w:sz w:val="18"/>
                <w:szCs w:val="18"/>
              </w:rPr>
            </w:pPr>
            <w:r w:rsidRPr="00537C3C">
              <w:rPr>
                <w:rFonts w:ascii="Arial Narrow" w:hAnsi="Arial Narrow"/>
                <w:b/>
                <w:bCs/>
                <w:sz w:val="18"/>
                <w:szCs w:val="18"/>
              </w:rPr>
              <w:t>Outcomes</w:t>
            </w:r>
          </w:p>
          <w:p w:rsidR="00234376" w:rsidRDefault="00234376" w:rsidP="00FB56F0">
            <w:pPr>
              <w:numPr>
                <w:ilvl w:val="0"/>
                <w:numId w:val="8"/>
              </w:numPr>
              <w:autoSpaceDE w:val="0"/>
              <w:autoSpaceDN w:val="0"/>
              <w:adjustRightInd w:val="0"/>
              <w:spacing w:after="40"/>
              <w:ind w:left="57" w:hanging="137"/>
              <w:rPr>
                <w:rFonts w:ascii="Arial Narrow" w:hAnsi="Arial Narrow"/>
                <w:bCs/>
                <w:sz w:val="18"/>
                <w:szCs w:val="18"/>
              </w:rPr>
            </w:pPr>
            <w:r w:rsidRPr="00537C3C">
              <w:rPr>
                <w:rFonts w:ascii="Arial Narrow" w:hAnsi="Arial Narrow"/>
                <w:bCs/>
                <w:sz w:val="18"/>
                <w:szCs w:val="18"/>
              </w:rPr>
              <w:t xml:space="preserve">Accuracy for </w:t>
            </w:r>
            <w:r w:rsidRPr="00BB76D8">
              <w:rPr>
                <w:rFonts w:ascii="Arial Narrow" w:hAnsi="Arial Narrow"/>
                <w:bCs/>
                <w:sz w:val="18"/>
                <w:szCs w:val="18"/>
              </w:rPr>
              <w:t>CIN</w:t>
            </w:r>
            <w:r w:rsidRPr="00537C3C">
              <w:rPr>
                <w:rFonts w:ascii="Arial Narrow" w:hAnsi="Arial Narrow"/>
                <w:bCs/>
                <w:sz w:val="18"/>
                <w:szCs w:val="18"/>
              </w:rPr>
              <w:t xml:space="preserve"> 2+: absolute &amp; relative sensitivity &amp; specificity</w:t>
            </w:r>
          </w:p>
          <w:p w:rsidR="00234376" w:rsidRPr="00537C3C" w:rsidRDefault="00234376" w:rsidP="008E03A7">
            <w:pPr>
              <w:spacing w:before="40" w:after="40"/>
              <w:ind w:right="57"/>
              <w:rPr>
                <w:rFonts w:ascii="Arial Narrow" w:hAnsi="Arial Narrow"/>
                <w:bCs/>
                <w:i/>
                <w:sz w:val="18"/>
                <w:szCs w:val="18"/>
              </w:rPr>
            </w:pPr>
          </w:p>
        </w:tc>
        <w:tc>
          <w:tcPr>
            <w:tcW w:w="2510" w:type="dxa"/>
            <w:gridSpan w:val="2"/>
          </w:tcPr>
          <w:p w:rsidR="00234376" w:rsidRPr="00537C3C" w:rsidRDefault="00234376" w:rsidP="008E03A7">
            <w:pPr>
              <w:autoSpaceDE w:val="0"/>
              <w:autoSpaceDN w:val="0"/>
              <w:adjustRightInd w:val="0"/>
              <w:spacing w:after="40"/>
              <w:ind w:left="57"/>
              <w:rPr>
                <w:rFonts w:ascii="Arial Narrow" w:hAnsi="Arial Narrow" w:cs="Garamond"/>
                <w:b/>
                <w:sz w:val="18"/>
                <w:szCs w:val="18"/>
                <w:lang w:eastAsia="en-AU"/>
              </w:rPr>
            </w:pPr>
            <w:r w:rsidRPr="00537C3C">
              <w:rPr>
                <w:rFonts w:ascii="Arial Narrow" w:hAnsi="Arial Narrow" w:cs="Garamond"/>
                <w:b/>
                <w:sz w:val="18"/>
                <w:szCs w:val="18"/>
                <w:lang w:eastAsia="en-AU"/>
              </w:rPr>
              <w:t>Authors’ conclusion</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Liquid-based cervical cytology is neither more sensitive nor more specific for detection of high-grade CIN than the conventional Pap test.</w:t>
            </w:r>
          </w:p>
        </w:tc>
        <w:tc>
          <w:tcPr>
            <w:tcW w:w="3249" w:type="dxa"/>
          </w:tcPr>
          <w:p w:rsidR="00234376" w:rsidRPr="00537C3C" w:rsidRDefault="00234376" w:rsidP="008E03A7">
            <w:pPr>
              <w:autoSpaceDE w:val="0"/>
              <w:autoSpaceDN w:val="0"/>
              <w:adjustRightInd w:val="0"/>
              <w:spacing w:after="40"/>
              <w:ind w:left="57"/>
              <w:rPr>
                <w:rFonts w:ascii="Arial Narrow" w:hAnsi="Arial Narrow" w:cs="Garamond"/>
                <w:b/>
                <w:sz w:val="18"/>
                <w:szCs w:val="18"/>
                <w:lang w:eastAsia="en-AU"/>
              </w:rPr>
            </w:pPr>
            <w:r w:rsidRPr="00537C3C">
              <w:rPr>
                <w:rFonts w:ascii="Arial Narrow" w:hAnsi="Arial Narrow" w:cs="Garamond"/>
                <w:b/>
                <w:sz w:val="18"/>
                <w:szCs w:val="18"/>
                <w:lang w:eastAsia="en-AU"/>
              </w:rPr>
              <w:t>Quality: high</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Explicit review questions: yes</w:t>
            </w:r>
          </w:p>
          <w:p w:rsidR="00234376" w:rsidRPr="00537C3C" w:rsidRDefault="00234376" w:rsidP="008E03A7">
            <w:pPr>
              <w:pStyle w:val="TableText0"/>
              <w:keepNext w:val="0"/>
              <w:autoSpaceDE w:val="0"/>
              <w:autoSpaceDN w:val="0"/>
              <w:adjustRightInd w:val="0"/>
              <w:spacing w:before="0"/>
              <w:ind w:left="57"/>
              <w:rPr>
                <w:rFonts w:ascii="Arial Narrow" w:hAnsi="Arial Narrow" w:cs="Garamond"/>
                <w:szCs w:val="18"/>
                <w:lang w:eastAsia="en-AU"/>
              </w:rPr>
            </w:pPr>
            <w:r w:rsidRPr="00537C3C">
              <w:rPr>
                <w:rFonts w:ascii="Arial Narrow" w:hAnsi="Arial Narrow" w:cs="Garamond"/>
                <w:szCs w:val="18"/>
                <w:lang w:eastAsia="en-AU"/>
              </w:rPr>
              <w:t>Explicit &amp; appropriate eligibility criteria: yes</w:t>
            </w:r>
          </w:p>
          <w:p w:rsidR="00234376" w:rsidRPr="00537C3C" w:rsidRDefault="00234376" w:rsidP="008E03A7">
            <w:pPr>
              <w:pStyle w:val="TableText0"/>
              <w:keepNext w:val="0"/>
              <w:autoSpaceDE w:val="0"/>
              <w:autoSpaceDN w:val="0"/>
              <w:adjustRightInd w:val="0"/>
              <w:spacing w:before="0"/>
              <w:ind w:left="57"/>
              <w:rPr>
                <w:rFonts w:ascii="Arial Narrow" w:hAnsi="Arial Narrow" w:cs="Garamond"/>
                <w:szCs w:val="18"/>
                <w:lang w:eastAsia="en-AU"/>
              </w:rPr>
            </w:pPr>
            <w:r w:rsidRPr="00537C3C">
              <w:rPr>
                <w:rFonts w:ascii="Arial Narrow" w:hAnsi="Arial Narrow" w:cs="Garamond"/>
                <w:szCs w:val="18"/>
                <w:lang w:eastAsia="en-AU"/>
              </w:rPr>
              <w:t>Explicit &amp; comprehensive search strategy: yes</w:t>
            </w:r>
          </w:p>
          <w:p w:rsidR="00234376" w:rsidRPr="00537C3C" w:rsidRDefault="00234376" w:rsidP="008E03A7">
            <w:pPr>
              <w:pStyle w:val="TableText0"/>
              <w:keepNext w:val="0"/>
              <w:autoSpaceDE w:val="0"/>
              <w:autoSpaceDN w:val="0"/>
              <w:adjustRightInd w:val="0"/>
              <w:spacing w:before="0"/>
              <w:ind w:left="57"/>
              <w:rPr>
                <w:rFonts w:ascii="Arial Narrow" w:hAnsi="Arial Narrow" w:cs="Garamond"/>
                <w:szCs w:val="18"/>
                <w:lang w:eastAsia="en-AU"/>
              </w:rPr>
            </w:pPr>
            <w:r w:rsidRPr="00537C3C">
              <w:rPr>
                <w:rFonts w:ascii="Arial Narrow" w:hAnsi="Arial Narrow" w:cs="Garamond"/>
                <w:szCs w:val="18"/>
                <w:lang w:eastAsia="en-AU"/>
              </w:rPr>
              <w:t>Quality of included studies appraised: yes</w:t>
            </w:r>
          </w:p>
          <w:p w:rsidR="00234376" w:rsidRPr="00537C3C" w:rsidRDefault="00234376" w:rsidP="008E03A7">
            <w:pPr>
              <w:pStyle w:val="TableText0"/>
              <w:keepNext w:val="0"/>
              <w:autoSpaceDE w:val="0"/>
              <w:autoSpaceDN w:val="0"/>
              <w:adjustRightInd w:val="0"/>
              <w:spacing w:before="0"/>
              <w:ind w:left="57"/>
              <w:rPr>
                <w:rFonts w:ascii="Arial Narrow" w:hAnsi="Arial Narrow" w:cs="Garamond"/>
                <w:szCs w:val="18"/>
                <w:lang w:eastAsia="en-AU"/>
              </w:rPr>
            </w:pPr>
            <w:r w:rsidRPr="00537C3C">
              <w:rPr>
                <w:rFonts w:ascii="Arial Narrow" w:hAnsi="Arial Narrow" w:cs="Garamond"/>
                <w:szCs w:val="18"/>
                <w:lang w:eastAsia="en-AU"/>
              </w:rPr>
              <w:t>Methods of study appraisal reproducible: yes</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Heterogeneity between studies assessed: yes</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Summary of main results clear and appropriate: yes</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p>
          <w:p w:rsidR="00234376" w:rsidRPr="00537C3C" w:rsidRDefault="00234376" w:rsidP="008E03A7">
            <w:pPr>
              <w:autoSpaceDE w:val="0"/>
              <w:autoSpaceDN w:val="0"/>
              <w:adjustRightInd w:val="0"/>
              <w:spacing w:after="40"/>
              <w:ind w:left="57"/>
              <w:rPr>
                <w:rFonts w:ascii="Arial Narrow" w:hAnsi="Arial Narrow" w:cs="Garamond"/>
                <w:b/>
                <w:sz w:val="18"/>
                <w:szCs w:val="18"/>
                <w:lang w:eastAsia="en-AU"/>
              </w:rPr>
            </w:pPr>
            <w:r w:rsidRPr="00537C3C">
              <w:rPr>
                <w:rFonts w:ascii="Arial Narrow" w:hAnsi="Arial Narrow" w:cs="Garamond"/>
                <w:b/>
                <w:sz w:val="18"/>
                <w:szCs w:val="18"/>
                <w:lang w:eastAsia="en-AU"/>
              </w:rPr>
              <w:t>Applicability:</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 xml:space="preserve">Most studies in women with previous abnormalities </w:t>
            </w:r>
            <w:r w:rsidR="00FB56F0">
              <w:rPr>
                <w:rFonts w:ascii="Arial Narrow" w:hAnsi="Arial Narrow" w:cs="Garamond"/>
                <w:sz w:val="18"/>
                <w:szCs w:val="18"/>
                <w:lang w:eastAsia="en-AU"/>
              </w:rPr>
              <w:t>due</w:t>
            </w:r>
            <w:r w:rsidRPr="00537C3C">
              <w:rPr>
                <w:rFonts w:ascii="Arial Narrow" w:hAnsi="Arial Narrow" w:cs="Garamond"/>
                <w:sz w:val="18"/>
                <w:szCs w:val="18"/>
                <w:lang w:eastAsia="en-AU"/>
              </w:rPr>
              <w:t xml:space="preserve"> to criteria for all subjects receiving high-quality reference standard. Subgroup analysis conducted.</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p>
        </w:tc>
      </w:tr>
      <w:tr w:rsidR="00234376" w:rsidRPr="00537C3C">
        <w:tc>
          <w:tcPr>
            <w:tcW w:w="14567" w:type="dxa"/>
            <w:gridSpan w:val="7"/>
          </w:tcPr>
          <w:p w:rsidR="00234376" w:rsidRPr="00537C3C" w:rsidRDefault="00234376" w:rsidP="008E03A7">
            <w:pPr>
              <w:autoSpaceDE w:val="0"/>
              <w:autoSpaceDN w:val="0"/>
              <w:adjustRightInd w:val="0"/>
              <w:spacing w:after="40"/>
              <w:ind w:left="57"/>
              <w:rPr>
                <w:rFonts w:ascii="Arial Narrow" w:hAnsi="Arial Narrow" w:cs="Garamond"/>
                <w:sz w:val="18"/>
                <w:szCs w:val="18"/>
                <w:u w:val="single"/>
                <w:lang w:eastAsia="en-AU"/>
              </w:rPr>
            </w:pPr>
            <w:r w:rsidRPr="00537C3C">
              <w:rPr>
                <w:rFonts w:ascii="Arial Narrow" w:hAnsi="Arial Narrow" w:cs="Garamond"/>
                <w:sz w:val="18"/>
                <w:szCs w:val="18"/>
                <w:u w:val="single"/>
                <w:lang w:eastAsia="en-AU"/>
              </w:rPr>
              <w:t>Study quality</w:t>
            </w:r>
          </w:p>
          <w:p w:rsidR="00234376" w:rsidRPr="00537C3C" w:rsidRDefault="00234376" w:rsidP="00600AC0">
            <w:pPr>
              <w:numPr>
                <w:ilvl w:val="0"/>
                <w:numId w:val="22"/>
              </w:numPr>
              <w:autoSpaceDE w:val="0"/>
              <w:autoSpaceDN w:val="0"/>
              <w:adjustRightInd w:val="0"/>
              <w:spacing w:after="40"/>
              <w:ind w:left="57" w:firstLine="0"/>
              <w:rPr>
                <w:rFonts w:ascii="Arial Narrow" w:hAnsi="Arial Narrow" w:cs="Garamond"/>
                <w:sz w:val="18"/>
                <w:szCs w:val="18"/>
                <w:lang w:eastAsia="en-AU"/>
              </w:rPr>
            </w:pPr>
            <w:r w:rsidRPr="00537C3C">
              <w:rPr>
                <w:rFonts w:ascii="Arial Narrow" w:hAnsi="Arial Narrow" w:cs="Garamond"/>
                <w:sz w:val="18"/>
                <w:szCs w:val="18"/>
                <w:lang w:eastAsia="en-AU"/>
              </w:rPr>
              <w:t xml:space="preserve">Studies appropriately addressed 14 to 22 of 25 quality items in </w:t>
            </w:r>
            <w:bookmarkStart w:id="907" w:name="OLE_LINK303"/>
            <w:bookmarkStart w:id="908" w:name="OLE_LINK304"/>
            <w:r w:rsidRPr="006C24DD">
              <w:rPr>
                <w:rFonts w:ascii="Arial Narrow" w:hAnsi="Arial Narrow" w:cs="Garamond"/>
                <w:sz w:val="18"/>
                <w:szCs w:val="18"/>
                <w:lang w:eastAsia="en-AU"/>
              </w:rPr>
              <w:t>Standards for Reporting of Diagnostic Accuracy</w:t>
            </w:r>
            <w:bookmarkEnd w:id="907"/>
            <w:bookmarkEnd w:id="908"/>
          </w:p>
          <w:p w:rsidR="00234376" w:rsidRPr="00537C3C" w:rsidRDefault="00234376" w:rsidP="008E03A7">
            <w:pPr>
              <w:autoSpaceDE w:val="0"/>
              <w:autoSpaceDN w:val="0"/>
              <w:adjustRightInd w:val="0"/>
              <w:spacing w:after="40"/>
              <w:ind w:left="57"/>
              <w:rPr>
                <w:rFonts w:ascii="Arial Narrow" w:hAnsi="Arial Narrow" w:cs="Garamond"/>
                <w:sz w:val="18"/>
                <w:szCs w:val="18"/>
                <w:u w:val="single"/>
                <w:lang w:eastAsia="en-AU"/>
              </w:rPr>
            </w:pPr>
            <w:r w:rsidRPr="00537C3C">
              <w:rPr>
                <w:rFonts w:ascii="Arial Narrow" w:hAnsi="Arial Narrow" w:cs="Garamond"/>
                <w:sz w:val="18"/>
                <w:szCs w:val="18"/>
                <w:u w:val="single"/>
                <w:lang w:eastAsia="en-AU"/>
              </w:rPr>
              <w:t>Accuracy (</w:t>
            </w:r>
            <w:r w:rsidRPr="00BB76D8">
              <w:rPr>
                <w:rFonts w:ascii="Arial Narrow" w:hAnsi="Arial Narrow" w:cs="Garamond"/>
                <w:sz w:val="18"/>
                <w:szCs w:val="18"/>
                <w:u w:val="single"/>
                <w:lang w:eastAsia="en-AU"/>
              </w:rPr>
              <w:t>CIN</w:t>
            </w:r>
            <w:r w:rsidRPr="00537C3C">
              <w:rPr>
                <w:rFonts w:ascii="Arial Narrow" w:hAnsi="Arial Narrow" w:cs="Garamond"/>
                <w:sz w:val="18"/>
                <w:szCs w:val="18"/>
                <w:u w:val="single"/>
                <w:lang w:eastAsia="en-AU"/>
              </w:rPr>
              <w:t xml:space="preserve"> 2+)</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i/>
                <w:sz w:val="18"/>
                <w:szCs w:val="18"/>
                <w:lang w:eastAsia="en-AU"/>
              </w:rPr>
              <w:t>Absolute sensitivity, specificity, DOR [7 studies]</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BB76D8">
              <w:rPr>
                <w:rFonts w:ascii="Arial Narrow" w:hAnsi="Arial Narrow" w:cs="Garamond"/>
                <w:sz w:val="18"/>
                <w:szCs w:val="18"/>
                <w:lang w:eastAsia="en-AU"/>
              </w:rPr>
              <w:t>HSIL</w:t>
            </w:r>
            <w:r w:rsidRPr="00537C3C">
              <w:rPr>
                <w:rFonts w:ascii="Arial Narrow" w:hAnsi="Arial Narrow" w:cs="Garamond"/>
                <w:sz w:val="18"/>
                <w:szCs w:val="18"/>
                <w:lang w:eastAsia="en-AU"/>
              </w:rPr>
              <w:t>+:</w:t>
            </w:r>
            <w:r w:rsidRPr="00537C3C">
              <w:rPr>
                <w:rFonts w:ascii="Arial Narrow" w:hAnsi="Arial Narrow" w:cs="Garamond"/>
                <w:i/>
                <w:sz w:val="18"/>
                <w:szCs w:val="18"/>
                <w:lang w:eastAsia="en-AU"/>
              </w:rPr>
              <w:t xml:space="preserve">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Se 57.1 (46.3–67.2), Sp 97.0 (93.8–98.6), DOR 42.9 (20.6–89.2); conventional Se 55.2 (45.5–64.7), Sp 96.7 (95.6–97.5), DOR 36.2 (21.2–61.9)</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BB76D8">
              <w:rPr>
                <w:rFonts w:ascii="Arial Narrow" w:hAnsi="Arial Narrow" w:cs="Garamond"/>
                <w:sz w:val="18"/>
                <w:szCs w:val="18"/>
                <w:lang w:eastAsia="en-AU"/>
              </w:rPr>
              <w:t>LSIL</w:t>
            </w:r>
            <w:r w:rsidRPr="00537C3C">
              <w:rPr>
                <w:rFonts w:ascii="Arial Narrow" w:hAnsi="Arial Narrow" w:cs="Garamond"/>
                <w:sz w:val="18"/>
                <w:szCs w:val="18"/>
                <w:lang w:eastAsia="en-AU"/>
              </w:rPr>
              <w:t xml:space="preserve">+: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Se 79.1 (70.1–86.0), Sp 78.8 (69.8–85.7), DOR 14.1 (7.7–25.7); conventional Se 75.6 (66.5–83.0), Sp 81.2 (71.9–88.0), DOR 13.4 (7.1–25.4)</w:t>
            </w:r>
          </w:p>
          <w:p w:rsidR="00234376" w:rsidRPr="00537C3C" w:rsidRDefault="00234376" w:rsidP="008E03A7">
            <w:pPr>
              <w:autoSpaceDE w:val="0"/>
              <w:autoSpaceDN w:val="0"/>
              <w:adjustRightInd w:val="0"/>
              <w:spacing w:after="40"/>
              <w:ind w:left="57"/>
              <w:rPr>
                <w:rFonts w:ascii="BaskervilleBE-Regular" w:hAnsi="BaskervilleBE-Regular" w:cs="BaskervilleBE-Regular"/>
                <w:sz w:val="20"/>
                <w:lang w:eastAsia="en-AU"/>
              </w:rPr>
            </w:pPr>
            <w:r w:rsidRPr="00BB76D8">
              <w:rPr>
                <w:rFonts w:ascii="Arial Narrow" w:hAnsi="Arial Narrow" w:cs="Garamond"/>
                <w:sz w:val="18"/>
                <w:szCs w:val="18"/>
                <w:lang w:eastAsia="en-AU"/>
              </w:rPr>
              <w:t>ASCUS</w:t>
            </w:r>
            <w:r w:rsidRPr="00537C3C">
              <w:rPr>
                <w:rFonts w:ascii="Arial Narrow" w:hAnsi="Arial Narrow" w:cs="Garamond"/>
                <w:sz w:val="18"/>
                <w:szCs w:val="18"/>
                <w:lang w:eastAsia="en-AU"/>
              </w:rPr>
              <w:t xml:space="preserve">+: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Se </w:t>
            </w:r>
            <w:r w:rsidRPr="00537C3C">
              <w:rPr>
                <w:rFonts w:ascii="BaskervilleBE-Regular" w:hAnsi="BaskervilleBE-Regular" w:cs="BaskervilleBE-Regular"/>
                <w:sz w:val="17"/>
                <w:szCs w:val="17"/>
                <w:lang w:eastAsia="en-AU"/>
              </w:rPr>
              <w:t>90.4 (82.5–95.0), Sp 64.6 (50.1–76.8)</w:t>
            </w:r>
            <w:r w:rsidRPr="00537C3C">
              <w:rPr>
                <w:rFonts w:ascii="BaskervilleBE-Regular" w:hAnsi="BaskervilleBE-Regular" w:cs="BaskervilleBE-Regular"/>
                <w:sz w:val="20"/>
                <w:lang w:eastAsia="en-AU"/>
              </w:rPr>
              <w:t xml:space="preserve">, DOR </w:t>
            </w:r>
            <w:r w:rsidRPr="00537C3C">
              <w:rPr>
                <w:rFonts w:ascii="BaskervilleBE-Regular" w:hAnsi="BaskervilleBE-Regular" w:cs="BaskervilleBE-Regular"/>
                <w:sz w:val="17"/>
                <w:szCs w:val="17"/>
                <w:lang w:eastAsia="en-AU"/>
              </w:rPr>
              <w:t>17.3 (8.9–33.5)</w:t>
            </w:r>
            <w:r w:rsidRPr="00537C3C">
              <w:rPr>
                <w:rFonts w:ascii="Arial Narrow" w:hAnsi="Arial Narrow" w:cs="Garamond"/>
                <w:sz w:val="18"/>
                <w:szCs w:val="18"/>
                <w:lang w:eastAsia="en-AU"/>
              </w:rPr>
              <w:t xml:space="preserve"> ; conventional Se </w:t>
            </w:r>
            <w:r w:rsidRPr="00537C3C">
              <w:rPr>
                <w:rFonts w:ascii="BaskervilleBE-Regular" w:hAnsi="BaskervilleBE-Regular" w:cs="BaskervilleBE-Regular"/>
                <w:sz w:val="17"/>
                <w:szCs w:val="17"/>
                <w:lang w:eastAsia="en-AU"/>
              </w:rPr>
              <w:t>88.2 (80.2–93.2), Sp 71.3 (58.3–81.6), DOR 18.5 (9.8–35.0)</w:t>
            </w:r>
          </w:p>
          <w:p w:rsidR="00234376" w:rsidRDefault="00234376" w:rsidP="00014112">
            <w:pPr>
              <w:numPr>
                <w:ilvl w:val="0"/>
                <w:numId w:val="34"/>
              </w:numPr>
              <w:tabs>
                <w:tab w:val="num" w:pos="170"/>
              </w:tabs>
              <w:autoSpaceDE w:val="0"/>
              <w:autoSpaceDN w:val="0"/>
              <w:adjustRightInd w:val="0"/>
              <w:spacing w:after="40"/>
              <w:ind w:left="57" w:hanging="137"/>
              <w:rPr>
                <w:rFonts w:ascii="BaskervilleBE-Regular" w:hAnsi="BaskervilleBE-Regular" w:cs="BaskervilleBE-Regular"/>
                <w:sz w:val="20"/>
              </w:rPr>
            </w:pPr>
            <w:r w:rsidRPr="00537C3C">
              <w:rPr>
                <w:rFonts w:ascii="Arial Narrow" w:hAnsi="Arial Narrow" w:cs="Garamond"/>
                <w:sz w:val="18"/>
                <w:szCs w:val="18"/>
                <w:lang w:eastAsia="en-AU"/>
              </w:rPr>
              <w:t xml:space="preserve">Pooled sensitivity varied substantially by cytologic cutoff. The pooled sensitivities for conventional Pap were not significantly lower. The specificity of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dropped by decreasing cutoff.</w:t>
            </w:r>
          </w:p>
          <w:p w:rsidR="00234376" w:rsidRDefault="00234376" w:rsidP="00014112">
            <w:pPr>
              <w:numPr>
                <w:ilvl w:val="0"/>
                <w:numId w:val="34"/>
              </w:numPr>
              <w:tabs>
                <w:tab w:val="num" w:pos="170"/>
              </w:tabs>
              <w:autoSpaceDE w:val="0"/>
              <w:autoSpaceDN w:val="0"/>
              <w:adjustRightInd w:val="0"/>
              <w:spacing w:after="40"/>
              <w:ind w:left="57" w:hanging="137"/>
              <w:rPr>
                <w:rFonts w:ascii="Arial Narrow" w:hAnsi="Arial Narrow" w:cs="Garamond"/>
                <w:sz w:val="18"/>
                <w:szCs w:val="18"/>
                <w:lang w:eastAsia="en-AU"/>
              </w:rPr>
            </w:pPr>
            <w:r w:rsidRPr="00537C3C">
              <w:rPr>
                <w:rFonts w:ascii="Arial Narrow" w:hAnsi="Arial Narrow" w:cs="Garamond"/>
                <w:sz w:val="18"/>
                <w:szCs w:val="18"/>
                <w:lang w:eastAsia="en-AU"/>
              </w:rPr>
              <w:t xml:space="preserve">Specificities of conventional Pap at cutoff </w:t>
            </w:r>
            <w:r w:rsidRPr="00BB76D8">
              <w:rPr>
                <w:rFonts w:ascii="Arial Narrow" w:hAnsi="Arial Narrow" w:cs="Garamond"/>
                <w:sz w:val="18"/>
                <w:szCs w:val="18"/>
                <w:lang w:eastAsia="en-AU"/>
              </w:rPr>
              <w:t>HSIL</w:t>
            </w:r>
            <w:r w:rsidRPr="00537C3C">
              <w:rPr>
                <w:rFonts w:ascii="Arial Narrow" w:hAnsi="Arial Narrow" w:cs="Garamond"/>
                <w:sz w:val="18"/>
                <w:szCs w:val="18"/>
                <w:lang w:eastAsia="en-AU"/>
              </w:rPr>
              <w:t xml:space="preserve">+ and </w:t>
            </w:r>
            <w:r w:rsidRPr="00BB76D8">
              <w:rPr>
                <w:rFonts w:ascii="Arial Narrow" w:hAnsi="Arial Narrow" w:cs="Garamond"/>
                <w:sz w:val="18"/>
                <w:szCs w:val="18"/>
                <w:lang w:eastAsia="en-AU"/>
              </w:rPr>
              <w:t>LSIL</w:t>
            </w:r>
            <w:r w:rsidRPr="00537C3C">
              <w:rPr>
                <w:rFonts w:ascii="Arial Narrow" w:hAnsi="Arial Narrow" w:cs="Garamond"/>
                <w:sz w:val="18"/>
                <w:szCs w:val="18"/>
                <w:lang w:eastAsia="en-AU"/>
              </w:rPr>
              <w:t xml:space="preserve">+ were in the same range as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537C3C">
              <w:rPr>
                <w:rFonts w:ascii="Arial Narrow" w:hAnsi="Arial Narrow" w:cs="Garamond"/>
                <w:sz w:val="18"/>
                <w:szCs w:val="18"/>
                <w:lang w:eastAsia="en-AU"/>
              </w:rPr>
              <w:t>[REVIEWER COMMENTS: These value</w:t>
            </w:r>
            <w:r w:rsidR="00014112">
              <w:rPr>
                <w:rFonts w:ascii="Arial Narrow" w:hAnsi="Arial Narrow" w:cs="Garamond"/>
                <w:sz w:val="18"/>
                <w:szCs w:val="18"/>
                <w:lang w:eastAsia="en-AU"/>
              </w:rPr>
              <w:t>s were</w:t>
            </w:r>
            <w:r w:rsidRPr="00537C3C">
              <w:rPr>
                <w:rFonts w:ascii="Arial Narrow" w:hAnsi="Arial Narrow" w:cs="Garamond"/>
                <w:sz w:val="18"/>
                <w:szCs w:val="18"/>
                <w:lang w:eastAsia="en-AU"/>
              </w:rPr>
              <w:t xml:space="preserve"> not considered accurate]</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p>
          <w:p w:rsidR="00234376" w:rsidRPr="00537C3C" w:rsidRDefault="00234376" w:rsidP="008E03A7">
            <w:pPr>
              <w:autoSpaceDE w:val="0"/>
              <w:autoSpaceDN w:val="0"/>
              <w:adjustRightInd w:val="0"/>
              <w:spacing w:after="40"/>
              <w:ind w:left="57"/>
              <w:rPr>
                <w:rFonts w:ascii="Arial Narrow" w:hAnsi="Arial Narrow" w:cs="Garamond"/>
                <w:i/>
                <w:sz w:val="18"/>
                <w:szCs w:val="18"/>
                <w:lang w:eastAsia="en-AU"/>
              </w:rPr>
            </w:pPr>
            <w:r w:rsidRPr="00537C3C">
              <w:rPr>
                <w:rFonts w:ascii="Arial Narrow" w:hAnsi="Arial Narrow" w:cs="Garamond"/>
                <w:i/>
                <w:sz w:val="18"/>
                <w:szCs w:val="18"/>
                <w:lang w:eastAsia="en-AU"/>
              </w:rPr>
              <w:lastRenderedPageBreak/>
              <w:t xml:space="preserve">Relative sensitivity [9 studies] and specificity [8 studies], </w:t>
            </w:r>
            <w:r w:rsidRPr="00BB76D8">
              <w:rPr>
                <w:rFonts w:ascii="Arial Narrow" w:hAnsi="Arial Narrow" w:cs="Garamond"/>
                <w:i/>
                <w:sz w:val="18"/>
                <w:szCs w:val="18"/>
                <w:lang w:eastAsia="en-AU"/>
              </w:rPr>
              <w:t>LBC</w:t>
            </w:r>
            <w:r w:rsidRPr="00537C3C">
              <w:rPr>
                <w:rFonts w:ascii="Arial Narrow" w:hAnsi="Arial Narrow" w:cs="Garamond"/>
                <w:i/>
                <w:sz w:val="18"/>
                <w:szCs w:val="18"/>
                <w:lang w:eastAsia="en-AU"/>
              </w:rPr>
              <w:t xml:space="preserve"> : conventional</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BB76D8">
              <w:rPr>
                <w:rFonts w:ascii="Arial Narrow" w:hAnsi="Arial Narrow" w:cs="Garamond"/>
                <w:sz w:val="18"/>
                <w:szCs w:val="18"/>
                <w:lang w:eastAsia="en-AU"/>
              </w:rPr>
              <w:t>HSIL</w:t>
            </w:r>
            <w:r w:rsidRPr="00537C3C">
              <w:rPr>
                <w:rFonts w:ascii="Arial Narrow" w:hAnsi="Arial Narrow" w:cs="Garamond"/>
                <w:sz w:val="18"/>
                <w:szCs w:val="18"/>
                <w:lang w:eastAsia="en-AU"/>
              </w:rPr>
              <w:t xml:space="preserve">+: Se 1.05 (0.95–1.16), Sp 0.99 (0.98–1.01); Italian trial: Se 1.07 (95% </w:t>
            </w:r>
            <w:r w:rsidRPr="00BB76D8">
              <w:rPr>
                <w:rFonts w:ascii="Arial Narrow" w:hAnsi="Arial Narrow" w:cs="Garamond"/>
                <w:sz w:val="18"/>
                <w:szCs w:val="18"/>
                <w:lang w:eastAsia="en-AU"/>
              </w:rPr>
              <w:t>CI</w:t>
            </w:r>
            <w:r w:rsidRPr="00537C3C">
              <w:rPr>
                <w:rFonts w:ascii="Arial Narrow" w:hAnsi="Arial Narrow" w:cs="Garamond"/>
                <w:sz w:val="18"/>
                <w:szCs w:val="18"/>
                <w:lang w:eastAsia="en-AU"/>
              </w:rPr>
              <w:t xml:space="preserve"> 0.71–1.26)</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BB76D8">
              <w:rPr>
                <w:rFonts w:ascii="Arial Narrow" w:hAnsi="Arial Narrow" w:cs="Garamond"/>
                <w:sz w:val="18"/>
                <w:szCs w:val="18"/>
                <w:lang w:eastAsia="en-AU"/>
              </w:rPr>
              <w:t>LSIL</w:t>
            </w:r>
            <w:r w:rsidRPr="00537C3C">
              <w:rPr>
                <w:rFonts w:ascii="Arial Narrow" w:hAnsi="Arial Narrow" w:cs="Garamond"/>
                <w:sz w:val="18"/>
                <w:szCs w:val="18"/>
                <w:lang w:eastAsia="en-AU"/>
              </w:rPr>
              <w:t xml:space="preserve">+: Se 1.03 (0.96–1.11), Sp 0.97 (0.94–1.01); Italian trial: Se 1.03 (95% </w:t>
            </w:r>
            <w:r w:rsidRPr="00BB76D8">
              <w:rPr>
                <w:rFonts w:ascii="Arial Narrow" w:hAnsi="Arial Narrow" w:cs="Garamond"/>
                <w:sz w:val="18"/>
                <w:szCs w:val="18"/>
                <w:lang w:eastAsia="en-AU"/>
              </w:rPr>
              <w:t>CI</w:t>
            </w:r>
            <w:r w:rsidRPr="00537C3C">
              <w:rPr>
                <w:rFonts w:ascii="Arial Narrow" w:hAnsi="Arial Narrow" w:cs="Garamond"/>
                <w:sz w:val="18"/>
                <w:szCs w:val="18"/>
                <w:lang w:eastAsia="en-AU"/>
              </w:rPr>
              <w:t xml:space="preserve"> 0.74–1.43)</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r w:rsidRPr="00BB76D8">
              <w:rPr>
                <w:rFonts w:ascii="Arial Narrow" w:hAnsi="Arial Narrow" w:cs="Garamond"/>
                <w:sz w:val="18"/>
                <w:szCs w:val="18"/>
                <w:lang w:eastAsia="en-AU"/>
              </w:rPr>
              <w:t>ASCUS</w:t>
            </w:r>
            <w:r w:rsidRPr="00537C3C">
              <w:rPr>
                <w:rFonts w:ascii="Arial Narrow" w:hAnsi="Arial Narrow" w:cs="Garamond"/>
                <w:sz w:val="18"/>
                <w:szCs w:val="18"/>
                <w:lang w:eastAsia="en-AU"/>
              </w:rPr>
              <w:t>+: Se 1.03 (0.97–1.09) [7 studies], Sp 0.91 (0.84–0.98) [6 studies]</w:t>
            </w:r>
          </w:p>
          <w:p w:rsidR="00234376" w:rsidRDefault="00234376" w:rsidP="00600AC0">
            <w:pPr>
              <w:numPr>
                <w:ilvl w:val="0"/>
                <w:numId w:val="22"/>
              </w:numPr>
              <w:tabs>
                <w:tab w:val="clear" w:pos="720"/>
                <w:tab w:val="num" w:pos="426"/>
              </w:tabs>
              <w:autoSpaceDE w:val="0"/>
              <w:autoSpaceDN w:val="0"/>
              <w:adjustRightInd w:val="0"/>
              <w:spacing w:after="40"/>
              <w:ind w:left="426" w:hanging="369"/>
              <w:rPr>
                <w:rFonts w:ascii="Arial Narrow" w:hAnsi="Arial Narrow" w:cs="Garamond"/>
                <w:sz w:val="18"/>
                <w:szCs w:val="18"/>
                <w:lang w:eastAsia="en-AU"/>
              </w:rPr>
            </w:pPr>
            <w:r w:rsidRPr="00537C3C">
              <w:rPr>
                <w:rFonts w:ascii="Arial Narrow" w:hAnsi="Arial Narrow" w:cs="Garamond"/>
                <w:sz w:val="18"/>
                <w:szCs w:val="18"/>
                <w:lang w:eastAsia="en-AU"/>
              </w:rPr>
              <w:t xml:space="preserve">Overall,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was minimally, but not significantly, more sensitive in detecting underlying </w:t>
            </w:r>
            <w:r w:rsidRPr="00BB76D8">
              <w:rPr>
                <w:rFonts w:ascii="Arial Narrow" w:hAnsi="Arial Narrow" w:cs="Garamond"/>
                <w:sz w:val="18"/>
                <w:szCs w:val="18"/>
                <w:lang w:eastAsia="en-AU"/>
              </w:rPr>
              <w:t>CIN</w:t>
            </w:r>
            <w:r w:rsidRPr="00537C3C">
              <w:rPr>
                <w:rFonts w:ascii="Arial Narrow" w:hAnsi="Arial Narrow" w:cs="Garamond"/>
                <w:sz w:val="18"/>
                <w:szCs w:val="18"/>
                <w:lang w:eastAsia="en-AU"/>
              </w:rPr>
              <w:t xml:space="preserve"> 2+ than conventional Pap</w:t>
            </w:r>
          </w:p>
          <w:p w:rsidR="00234376" w:rsidRDefault="00234376" w:rsidP="00600AC0">
            <w:pPr>
              <w:numPr>
                <w:ilvl w:val="0"/>
                <w:numId w:val="22"/>
              </w:numPr>
              <w:tabs>
                <w:tab w:val="clear" w:pos="720"/>
                <w:tab w:val="num" w:pos="426"/>
              </w:tabs>
              <w:autoSpaceDE w:val="0"/>
              <w:autoSpaceDN w:val="0"/>
              <w:adjustRightInd w:val="0"/>
              <w:spacing w:after="40"/>
              <w:ind w:left="426" w:hanging="369"/>
              <w:rPr>
                <w:rFonts w:ascii="Arial Narrow" w:hAnsi="Arial Narrow" w:cs="Garamond"/>
                <w:sz w:val="18"/>
                <w:szCs w:val="18"/>
                <w:lang w:eastAsia="en-AU"/>
              </w:rPr>
            </w:pPr>
            <w:r w:rsidRPr="00537C3C">
              <w:rPr>
                <w:rFonts w:ascii="Arial Narrow" w:hAnsi="Arial Narrow" w:cs="Garamond"/>
                <w:sz w:val="18"/>
                <w:szCs w:val="18"/>
                <w:lang w:eastAsia="en-AU"/>
              </w:rPr>
              <w:t>Clinical setting, split-sample vs direct-to-vial design and type of reference standard did not contribute to explaining inter-study variation in test accuracy</w:t>
            </w:r>
          </w:p>
          <w:p w:rsidR="00234376" w:rsidRDefault="00234376" w:rsidP="00600AC0">
            <w:pPr>
              <w:numPr>
                <w:ilvl w:val="0"/>
                <w:numId w:val="22"/>
              </w:numPr>
              <w:tabs>
                <w:tab w:val="clear" w:pos="720"/>
                <w:tab w:val="num" w:pos="426"/>
              </w:tabs>
              <w:autoSpaceDE w:val="0"/>
              <w:autoSpaceDN w:val="0"/>
              <w:adjustRightInd w:val="0"/>
              <w:spacing w:after="40"/>
              <w:ind w:left="426" w:hanging="369"/>
              <w:rPr>
                <w:rFonts w:ascii="Arial Narrow" w:hAnsi="Arial Narrow" w:cs="Garamond"/>
                <w:sz w:val="18"/>
                <w:szCs w:val="18"/>
                <w:lang w:eastAsia="en-AU"/>
              </w:rPr>
            </w:pPr>
            <w:r w:rsidRPr="00537C3C">
              <w:rPr>
                <w:rFonts w:ascii="Arial Narrow" w:hAnsi="Arial Narrow" w:cs="Garamond"/>
                <w:sz w:val="18"/>
                <w:szCs w:val="18"/>
                <w:lang w:eastAsia="en-AU"/>
              </w:rPr>
              <w:t xml:space="preserve">Significant heterogeneity for relative specificity due to study design and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—this was due to one study: higher specificity ratio in the two-cohort study (1.01, 95% </w:t>
            </w:r>
            <w:r w:rsidRPr="00BB76D8">
              <w:rPr>
                <w:rFonts w:ascii="Arial Narrow" w:hAnsi="Arial Narrow" w:cs="Garamond"/>
                <w:sz w:val="18"/>
                <w:szCs w:val="18"/>
                <w:lang w:eastAsia="en-AU"/>
              </w:rPr>
              <w:t>CI</w:t>
            </w:r>
            <w:r w:rsidRPr="00537C3C">
              <w:rPr>
                <w:rFonts w:ascii="Arial Narrow" w:hAnsi="Arial Narrow" w:cs="Garamond"/>
                <w:sz w:val="18"/>
                <w:szCs w:val="18"/>
                <w:lang w:eastAsia="en-AU"/>
              </w:rPr>
              <w:t xml:space="preserve"> 1.00–1.02; </w:t>
            </w:r>
            <w:bookmarkStart w:id="909" w:name="OLE_LINK524"/>
            <w:bookmarkStart w:id="910" w:name="OLE_LINK525"/>
            <w:r w:rsidRPr="00537C3C">
              <w:rPr>
                <w:rFonts w:ascii="Arial Narrow" w:hAnsi="Arial Narrow" w:cs="Garamond"/>
                <w:sz w:val="18"/>
                <w:szCs w:val="18"/>
                <w:lang w:eastAsia="en-AU"/>
              </w:rPr>
              <w:t>Taylor et al. 2006</w:t>
            </w:r>
            <w:bookmarkEnd w:id="909"/>
            <w:bookmarkEnd w:id="910"/>
            <w:r w:rsidRPr="00537C3C">
              <w:rPr>
                <w:rFonts w:ascii="Arial Narrow" w:hAnsi="Arial Narrow" w:cs="Garamond"/>
                <w:sz w:val="18"/>
                <w:szCs w:val="18"/>
                <w:lang w:eastAsia="en-AU"/>
              </w:rPr>
              <w:t xml:space="preserve">) and lower specificity ratio with the </w:t>
            </w:r>
            <w:r w:rsidRPr="00BB76D8">
              <w:rPr>
                <w:rFonts w:ascii="Arial Narrow" w:hAnsi="Arial Narrow" w:cs="Garamond"/>
                <w:sz w:val="18"/>
                <w:szCs w:val="18"/>
                <w:lang w:eastAsia="en-AU"/>
              </w:rPr>
              <w:t>DNA</w:t>
            </w:r>
            <w:r w:rsidRPr="00537C3C">
              <w:rPr>
                <w:rFonts w:ascii="Arial Narrow" w:hAnsi="Arial Narrow" w:cs="Garamond"/>
                <w:sz w:val="18"/>
                <w:szCs w:val="18"/>
                <w:lang w:eastAsia="en-AU"/>
              </w:rPr>
              <w:t xml:space="preserve"> Citoliq system (0.97, 95% </w:t>
            </w:r>
            <w:r w:rsidRPr="00BB76D8">
              <w:rPr>
                <w:rFonts w:ascii="Arial Narrow" w:hAnsi="Arial Narrow" w:cs="Garamond"/>
                <w:sz w:val="18"/>
                <w:szCs w:val="18"/>
                <w:lang w:eastAsia="en-AU"/>
              </w:rPr>
              <w:t>CI</w:t>
            </w:r>
            <w:r w:rsidRPr="00537C3C">
              <w:rPr>
                <w:rFonts w:ascii="Arial Narrow" w:hAnsi="Arial Narrow" w:cs="Garamond"/>
                <w:sz w:val="18"/>
                <w:szCs w:val="18"/>
                <w:lang w:eastAsia="en-AU"/>
              </w:rPr>
              <w:t xml:space="preserve"> 0.95–0.99; </w:t>
            </w:r>
            <w:bookmarkStart w:id="911" w:name="OLE_LINK442"/>
            <w:bookmarkStart w:id="912" w:name="OLE_LINK443"/>
            <w:r w:rsidRPr="00537C3C">
              <w:rPr>
                <w:rFonts w:ascii="Arial Narrow" w:hAnsi="Arial Narrow" w:cs="Garamond"/>
                <w:sz w:val="18"/>
                <w:szCs w:val="18"/>
                <w:lang w:eastAsia="en-AU"/>
              </w:rPr>
              <w:t>Longatto</w:t>
            </w:r>
            <w:bookmarkEnd w:id="911"/>
            <w:bookmarkEnd w:id="912"/>
            <w:r w:rsidRPr="00537C3C">
              <w:rPr>
                <w:rFonts w:ascii="Arial Narrow" w:hAnsi="Arial Narrow" w:cs="Garamond"/>
                <w:sz w:val="18"/>
                <w:szCs w:val="18"/>
                <w:lang w:eastAsia="en-AU"/>
              </w:rPr>
              <w:t>-</w:t>
            </w:r>
            <w:bookmarkStart w:id="913" w:name="OLE_LINK444"/>
            <w:bookmarkStart w:id="914" w:name="OLE_LINK445"/>
            <w:r w:rsidRPr="00537C3C">
              <w:rPr>
                <w:rFonts w:ascii="Arial Narrow" w:hAnsi="Arial Narrow" w:cs="Garamond"/>
                <w:sz w:val="18"/>
                <w:szCs w:val="18"/>
                <w:lang w:eastAsia="en-AU"/>
              </w:rPr>
              <w:t xml:space="preserve">Filho </w:t>
            </w:r>
            <w:bookmarkEnd w:id="913"/>
            <w:bookmarkEnd w:id="914"/>
            <w:r w:rsidRPr="00537C3C">
              <w:rPr>
                <w:rFonts w:ascii="Arial Narrow" w:hAnsi="Arial Narrow" w:cs="Garamond"/>
                <w:sz w:val="18"/>
                <w:szCs w:val="18"/>
                <w:lang w:eastAsia="en-AU"/>
              </w:rPr>
              <w:t>et al. 2005).</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p>
        </w:tc>
      </w:tr>
      <w:tr w:rsidR="00234376" w:rsidRPr="00537C3C">
        <w:tblPrEx>
          <w:tblCellMar>
            <w:left w:w="28" w:type="dxa"/>
            <w:right w:w="28" w:type="dxa"/>
          </w:tblCellMar>
        </w:tblPrEx>
        <w:tc>
          <w:tcPr>
            <w:tcW w:w="9106" w:type="dxa"/>
            <w:gridSpan w:val="5"/>
            <w:tcBorders>
              <w:right w:val="nil"/>
            </w:tcBorders>
          </w:tcPr>
          <w:p w:rsidR="00234376" w:rsidRPr="00537C3C" w:rsidRDefault="006F242B" w:rsidP="008E03A7">
            <w:pPr>
              <w:autoSpaceDE w:val="0"/>
              <w:autoSpaceDN w:val="0"/>
              <w:adjustRightInd w:val="0"/>
              <w:spacing w:after="40"/>
              <w:ind w:left="57"/>
              <w:rPr>
                <w:rFonts w:ascii="Arial Narrow" w:hAnsi="Arial Narrow" w:cs="Garamond"/>
                <w:sz w:val="18"/>
                <w:szCs w:val="18"/>
                <w:u w:val="single"/>
                <w:lang w:eastAsia="en-AU"/>
              </w:rPr>
            </w:pPr>
            <w:r>
              <w:rPr>
                <w:rFonts w:ascii="BaskervilleBE-Regular" w:hAnsi="BaskervilleBE-Regular" w:cs="BaskervilleBE-Regular"/>
                <w:noProof/>
                <w:sz w:val="20"/>
                <w:lang w:eastAsia="en-AU"/>
              </w:rPr>
              <w:lastRenderedPageBreak/>
              <w:drawing>
                <wp:inline distT="0" distB="0" distL="0" distR="0" wp14:anchorId="2C4368C2" wp14:editId="3116B092">
                  <wp:extent cx="5518150" cy="3753485"/>
                  <wp:effectExtent l="0" t="0" r="6350" b="0"/>
                  <wp:docPr id="31" name="Picture 31" title="Subgroup Meta-Analyses: Variation of Relative Accuracy of Liquid Compared with Conventional Cytology* According to Study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18150" cy="3753485"/>
                          </a:xfrm>
                          <a:prstGeom prst="rect">
                            <a:avLst/>
                          </a:prstGeom>
                          <a:noFill/>
                          <a:ln>
                            <a:noFill/>
                          </a:ln>
                        </pic:spPr>
                      </pic:pic>
                    </a:graphicData>
                  </a:graphic>
                </wp:inline>
              </w:drawing>
            </w:r>
          </w:p>
        </w:tc>
        <w:tc>
          <w:tcPr>
            <w:tcW w:w="5461" w:type="dxa"/>
            <w:gridSpan w:val="2"/>
            <w:tcBorders>
              <w:left w:val="nil"/>
            </w:tcBorders>
          </w:tcPr>
          <w:p w:rsidR="00234376" w:rsidRPr="00537C3C" w:rsidRDefault="00234376" w:rsidP="008E03A7">
            <w:pPr>
              <w:autoSpaceDE w:val="0"/>
              <w:autoSpaceDN w:val="0"/>
              <w:adjustRightInd w:val="0"/>
              <w:spacing w:after="40"/>
              <w:ind w:left="57"/>
              <w:rPr>
                <w:rFonts w:ascii="Arial Narrow" w:hAnsi="Arial Narrow" w:cs="Garamond"/>
                <w:i/>
                <w:sz w:val="18"/>
                <w:szCs w:val="18"/>
                <w:lang w:eastAsia="en-AU"/>
              </w:rPr>
            </w:pPr>
            <w:bookmarkStart w:id="915" w:name="OLE_LINK305"/>
            <w:bookmarkStart w:id="916" w:name="OLE_LINK306"/>
            <w:r w:rsidRPr="006C24DD">
              <w:rPr>
                <w:rFonts w:ascii="Arial Narrow" w:hAnsi="Arial Narrow" w:cs="Garamond"/>
                <w:i/>
                <w:sz w:val="18"/>
                <w:szCs w:val="18"/>
                <w:lang w:eastAsia="en-AU"/>
              </w:rPr>
              <w:t>Summary receiver operating characteristic (SROC)</w:t>
            </w:r>
            <w:r w:rsidRPr="00537C3C">
              <w:rPr>
                <w:rFonts w:ascii="Arial Narrow" w:hAnsi="Arial Narrow" w:cs="Garamond"/>
                <w:i/>
                <w:sz w:val="18"/>
                <w:szCs w:val="18"/>
                <w:lang w:eastAsia="en-AU"/>
              </w:rPr>
              <w:t xml:space="preserve"> </w:t>
            </w:r>
            <w:bookmarkEnd w:id="915"/>
            <w:bookmarkEnd w:id="916"/>
            <w:r w:rsidRPr="00537C3C">
              <w:rPr>
                <w:rFonts w:ascii="Arial Narrow" w:hAnsi="Arial Narrow" w:cs="Garamond"/>
                <w:i/>
                <w:sz w:val="18"/>
                <w:szCs w:val="18"/>
                <w:lang w:eastAsia="en-AU"/>
              </w:rPr>
              <w:t>regression</w:t>
            </w:r>
          </w:p>
          <w:p w:rsidR="00234376" w:rsidRDefault="00234376" w:rsidP="00600AC0">
            <w:pPr>
              <w:numPr>
                <w:ilvl w:val="0"/>
                <w:numId w:val="22"/>
              </w:numPr>
              <w:tabs>
                <w:tab w:val="clear" w:pos="720"/>
                <w:tab w:val="num" w:pos="398"/>
              </w:tabs>
              <w:autoSpaceDE w:val="0"/>
              <w:autoSpaceDN w:val="0"/>
              <w:adjustRightInd w:val="0"/>
              <w:spacing w:after="40"/>
              <w:ind w:left="398" w:hanging="341"/>
              <w:rPr>
                <w:rFonts w:ascii="Arial Narrow" w:hAnsi="Arial Narrow" w:cs="Garamond"/>
                <w:sz w:val="18"/>
                <w:szCs w:val="18"/>
                <w:lang w:eastAsia="en-AU"/>
              </w:rPr>
            </w:pPr>
            <w:r w:rsidRPr="00537C3C">
              <w:rPr>
                <w:rFonts w:ascii="Arial Narrow" w:hAnsi="Arial Narrow" w:cs="Garamond"/>
                <w:sz w:val="18"/>
                <w:szCs w:val="18"/>
                <w:lang w:eastAsia="en-AU"/>
              </w:rPr>
              <w:t xml:space="preserve">SROC regression, using ThinPrep as reference, identified a lower DOR for AutoCyte at cut-off </w:t>
            </w:r>
            <w:r w:rsidRPr="00BB76D8">
              <w:rPr>
                <w:rFonts w:ascii="Arial Narrow" w:hAnsi="Arial Narrow" w:cs="Garamond"/>
                <w:sz w:val="18"/>
                <w:szCs w:val="18"/>
                <w:lang w:eastAsia="en-AU"/>
              </w:rPr>
              <w:t>HSIL</w:t>
            </w:r>
            <w:r w:rsidRPr="00537C3C">
              <w:rPr>
                <w:rFonts w:ascii="Arial Narrow" w:hAnsi="Arial Narrow" w:cs="Garamond"/>
                <w:sz w:val="18"/>
                <w:szCs w:val="18"/>
                <w:lang w:eastAsia="en-AU"/>
              </w:rPr>
              <w:t>+</w:t>
            </w:r>
          </w:p>
          <w:p w:rsidR="00234376" w:rsidRDefault="00234376" w:rsidP="00600AC0">
            <w:pPr>
              <w:numPr>
                <w:ilvl w:val="0"/>
                <w:numId w:val="22"/>
              </w:numPr>
              <w:tabs>
                <w:tab w:val="clear" w:pos="720"/>
                <w:tab w:val="num" w:pos="398"/>
              </w:tabs>
              <w:autoSpaceDE w:val="0"/>
              <w:autoSpaceDN w:val="0"/>
              <w:adjustRightInd w:val="0"/>
              <w:spacing w:after="40"/>
              <w:ind w:left="398" w:hanging="341"/>
              <w:rPr>
                <w:rFonts w:ascii="Arial Narrow" w:hAnsi="Arial Narrow" w:cs="Garamond"/>
                <w:sz w:val="18"/>
                <w:szCs w:val="18"/>
                <w:lang w:eastAsia="en-AU"/>
              </w:rPr>
            </w:pPr>
            <w:r w:rsidRPr="00537C3C">
              <w:rPr>
                <w:rFonts w:ascii="Arial Narrow" w:hAnsi="Arial Narrow" w:cs="Garamond"/>
                <w:sz w:val="18"/>
                <w:szCs w:val="18"/>
                <w:lang w:eastAsia="en-AU"/>
              </w:rPr>
              <w:t xml:space="preserve">The contrast in DOR between CC and </w:t>
            </w:r>
            <w:r w:rsidRPr="00BB76D8">
              <w:rPr>
                <w:rFonts w:ascii="Arial Narrow" w:hAnsi="Arial Narrow" w:cs="Garamond"/>
                <w:sz w:val="18"/>
                <w:szCs w:val="18"/>
                <w:lang w:eastAsia="en-AU"/>
              </w:rPr>
              <w:t>LBC</w:t>
            </w:r>
            <w:r w:rsidRPr="00537C3C">
              <w:rPr>
                <w:rFonts w:ascii="Arial Narrow" w:hAnsi="Arial Narrow" w:cs="Garamond"/>
                <w:sz w:val="18"/>
                <w:szCs w:val="18"/>
                <w:lang w:eastAsia="en-AU"/>
              </w:rPr>
              <w:t xml:space="preserve"> was not influenced by the number of quality issues of </w:t>
            </w:r>
            <w:r w:rsidRPr="006C24DD">
              <w:rPr>
                <w:rFonts w:ascii="Arial Narrow" w:hAnsi="Arial Narrow" w:cs="Garamond"/>
                <w:sz w:val="18"/>
                <w:szCs w:val="18"/>
                <w:lang w:eastAsia="en-AU"/>
              </w:rPr>
              <w:t>Standards for Reporting of Diagnostic Accuracy</w:t>
            </w:r>
            <w:r w:rsidRPr="00537C3C">
              <w:rPr>
                <w:rFonts w:ascii="Arial Narrow" w:hAnsi="Arial Narrow" w:cs="Garamond"/>
                <w:sz w:val="18"/>
                <w:szCs w:val="18"/>
                <w:lang w:eastAsia="en-AU"/>
              </w:rPr>
              <w:t xml:space="preserve"> addressed in the individual reports (</w:t>
            </w:r>
            <w:r w:rsidRPr="00BB76D8">
              <w:rPr>
                <w:rFonts w:ascii="Arial Narrow" w:hAnsi="Arial Narrow" w:cs="Garamond"/>
                <w:sz w:val="18"/>
                <w:szCs w:val="18"/>
                <w:lang w:eastAsia="en-AU"/>
              </w:rPr>
              <w:t>HSIL</w:t>
            </w:r>
            <w:r w:rsidRPr="00537C3C">
              <w:rPr>
                <w:rFonts w:ascii="Arial Narrow" w:hAnsi="Arial Narrow" w:cs="Garamond"/>
                <w:sz w:val="18"/>
                <w:szCs w:val="18"/>
                <w:lang w:eastAsia="en-AU"/>
              </w:rPr>
              <w:t xml:space="preserve">+ </w:t>
            </w:r>
            <w:r w:rsidRPr="0030078D">
              <w:rPr>
                <w:rFonts w:ascii="Arial Narrow" w:hAnsi="Arial Narrow" w:cs="Garamond"/>
                <w:i/>
                <w:sz w:val="18"/>
                <w:szCs w:val="18"/>
                <w:lang w:eastAsia="en-AU"/>
              </w:rPr>
              <w:t>P</w:t>
            </w:r>
            <w:r w:rsidRPr="00537C3C">
              <w:rPr>
                <w:rFonts w:ascii="Arial Narrow" w:hAnsi="Arial Narrow" w:cs="Garamond"/>
                <w:sz w:val="18"/>
                <w:szCs w:val="18"/>
                <w:lang w:eastAsia="en-AU"/>
              </w:rPr>
              <w:t xml:space="preserve"> = 0.84, </w:t>
            </w:r>
            <w:r w:rsidRPr="00BB76D8">
              <w:rPr>
                <w:rFonts w:ascii="Arial Narrow" w:hAnsi="Arial Narrow" w:cs="Garamond"/>
                <w:sz w:val="18"/>
                <w:szCs w:val="18"/>
                <w:lang w:eastAsia="en-AU"/>
              </w:rPr>
              <w:t>LSIL</w:t>
            </w:r>
            <w:r w:rsidRPr="00537C3C">
              <w:rPr>
                <w:rFonts w:ascii="Arial Narrow" w:hAnsi="Arial Narrow" w:cs="Garamond"/>
                <w:sz w:val="18"/>
                <w:szCs w:val="18"/>
                <w:lang w:eastAsia="en-AU"/>
              </w:rPr>
              <w:t xml:space="preserve">+ </w:t>
            </w:r>
            <w:r w:rsidRPr="0030078D">
              <w:rPr>
                <w:rFonts w:ascii="Arial Narrow" w:hAnsi="Arial Narrow" w:cs="Garamond"/>
                <w:i/>
                <w:sz w:val="18"/>
                <w:szCs w:val="18"/>
                <w:lang w:eastAsia="en-AU"/>
              </w:rPr>
              <w:t>P</w:t>
            </w:r>
            <w:r w:rsidRPr="00537C3C">
              <w:rPr>
                <w:rFonts w:ascii="Arial Narrow" w:hAnsi="Arial Narrow" w:cs="Garamond"/>
                <w:sz w:val="18"/>
                <w:szCs w:val="18"/>
                <w:lang w:eastAsia="en-AU"/>
              </w:rPr>
              <w:t xml:space="preserve"> = 0.37, </w:t>
            </w:r>
            <w:r w:rsidRPr="00BB76D8">
              <w:rPr>
                <w:rFonts w:ascii="Arial Narrow" w:hAnsi="Arial Narrow" w:cs="Garamond"/>
                <w:sz w:val="18"/>
                <w:szCs w:val="18"/>
                <w:lang w:eastAsia="en-AU"/>
              </w:rPr>
              <w:t>ASCUS</w:t>
            </w:r>
            <w:r w:rsidRPr="00537C3C">
              <w:rPr>
                <w:rFonts w:ascii="Arial Narrow" w:hAnsi="Arial Narrow" w:cs="Garamond"/>
                <w:sz w:val="18"/>
                <w:szCs w:val="18"/>
                <w:lang w:eastAsia="en-AU"/>
              </w:rPr>
              <w:t xml:space="preserve">+ </w:t>
            </w:r>
            <w:r w:rsidRPr="0030078D">
              <w:rPr>
                <w:rFonts w:ascii="Arial Narrow" w:hAnsi="Arial Narrow" w:cs="Garamond"/>
                <w:i/>
                <w:sz w:val="18"/>
                <w:szCs w:val="18"/>
                <w:lang w:eastAsia="en-AU"/>
              </w:rPr>
              <w:t>P</w:t>
            </w:r>
            <w:r w:rsidRPr="00537C3C">
              <w:rPr>
                <w:rFonts w:ascii="Arial Narrow" w:hAnsi="Arial Narrow" w:cs="Garamond"/>
                <w:sz w:val="18"/>
                <w:szCs w:val="18"/>
                <w:lang w:eastAsia="en-AU"/>
              </w:rPr>
              <w:t xml:space="preserve"> = 0.65)</w:t>
            </w:r>
          </w:p>
          <w:p w:rsidR="00234376" w:rsidRPr="00537C3C" w:rsidRDefault="00234376" w:rsidP="008E03A7">
            <w:pPr>
              <w:autoSpaceDE w:val="0"/>
              <w:autoSpaceDN w:val="0"/>
              <w:adjustRightInd w:val="0"/>
              <w:spacing w:after="40"/>
              <w:ind w:left="57"/>
              <w:rPr>
                <w:rFonts w:ascii="Arial Narrow" w:hAnsi="Arial Narrow" w:cs="Garamond"/>
                <w:sz w:val="18"/>
                <w:szCs w:val="18"/>
                <w:lang w:eastAsia="en-AU"/>
              </w:rPr>
            </w:pPr>
          </w:p>
          <w:p w:rsidR="00234376" w:rsidRPr="00537C3C" w:rsidRDefault="00234376" w:rsidP="008E03A7">
            <w:pPr>
              <w:autoSpaceDE w:val="0"/>
              <w:autoSpaceDN w:val="0"/>
              <w:adjustRightInd w:val="0"/>
              <w:spacing w:after="40"/>
              <w:ind w:left="57"/>
              <w:rPr>
                <w:rFonts w:ascii="Arial Narrow" w:hAnsi="Arial Narrow" w:cs="Garamond"/>
                <w:i/>
                <w:sz w:val="18"/>
                <w:szCs w:val="18"/>
                <w:lang w:eastAsia="en-AU"/>
              </w:rPr>
            </w:pPr>
            <w:r w:rsidRPr="00537C3C">
              <w:rPr>
                <w:rFonts w:ascii="Arial Narrow" w:hAnsi="Arial Narrow" w:cs="Garamond"/>
                <w:i/>
                <w:sz w:val="18"/>
                <w:szCs w:val="18"/>
                <w:lang w:eastAsia="en-AU"/>
              </w:rPr>
              <w:t>Previous meta-analysis</w:t>
            </w:r>
          </w:p>
          <w:p w:rsidR="00234376" w:rsidRPr="00537C3C" w:rsidRDefault="00234376" w:rsidP="008E03A7">
            <w:pPr>
              <w:autoSpaceDE w:val="0"/>
              <w:autoSpaceDN w:val="0"/>
              <w:adjustRightInd w:val="0"/>
              <w:spacing w:after="40"/>
              <w:ind w:left="57"/>
              <w:rPr>
                <w:rFonts w:ascii="Arial Narrow" w:hAnsi="Arial Narrow" w:cs="Garamond"/>
                <w:sz w:val="18"/>
                <w:szCs w:val="18"/>
                <w:u w:val="single"/>
                <w:lang w:eastAsia="en-AU"/>
              </w:rPr>
            </w:pPr>
            <w:r w:rsidRPr="00537C3C">
              <w:rPr>
                <w:rFonts w:ascii="Arial Narrow" w:hAnsi="Arial Narrow" w:cs="Garamond"/>
                <w:sz w:val="18"/>
                <w:szCs w:val="18"/>
                <w:lang w:eastAsia="en-AU"/>
              </w:rPr>
              <w:t xml:space="preserve">The authors report that </w:t>
            </w:r>
            <w:r w:rsidRPr="00234376">
              <w:rPr>
                <w:rFonts w:ascii="Arial Narrow" w:hAnsi="Arial Narrow" w:cs="Garamond"/>
                <w:sz w:val="18"/>
                <w:szCs w:val="18"/>
                <w:lang w:eastAsia="en-AU"/>
              </w:rPr>
              <w:t>a previous meta-analysis (2003)</w:t>
            </w:r>
            <w:r w:rsidRPr="00537C3C">
              <w:rPr>
                <w:rFonts w:ascii="Arial Narrow" w:hAnsi="Arial Narrow" w:cs="Garamond"/>
                <w:sz w:val="18"/>
                <w:szCs w:val="18"/>
                <w:lang w:eastAsia="en-AU"/>
              </w:rPr>
              <w:t>, which included studies with incomplete verification (confirmation of ≥ 80% positive, ≥ 5% normal results), with boot-strapping found no significant difference in sensitivity or specificity (data not shown).</w:t>
            </w:r>
          </w:p>
        </w:tc>
      </w:tr>
    </w:tbl>
    <w:p w:rsidR="00234376" w:rsidRPr="00537C3C" w:rsidRDefault="00234376" w:rsidP="00DE79DC">
      <w:pPr>
        <w:ind w:left="0"/>
        <w:rPr>
          <w:vanish/>
          <w:color w:val="0000FF"/>
        </w:rPr>
        <w:sectPr w:rsidR="00234376" w:rsidRPr="00537C3C" w:rsidSect="008E03A7">
          <w:pgSz w:w="16838" w:h="11906" w:orient="landscape"/>
          <w:pgMar w:top="1440" w:right="1440" w:bottom="1440" w:left="1440" w:header="720" w:footer="720" w:gutter="0"/>
          <w:paperSrc w:first="15" w:other="15"/>
          <w:cols w:space="720"/>
        </w:sectPr>
      </w:pPr>
    </w:p>
    <w:tbl>
      <w:tblPr>
        <w:tblW w:w="14799" w:type="dxa"/>
        <w:tblLayout w:type="fixed"/>
        <w:tblCellMar>
          <w:left w:w="57" w:type="dxa"/>
          <w:right w:w="57" w:type="dxa"/>
        </w:tblCellMar>
        <w:tblLook w:val="01E0" w:firstRow="1" w:lastRow="1" w:firstColumn="1" w:lastColumn="1" w:noHBand="0" w:noVBand="0"/>
      </w:tblPr>
      <w:tblGrid>
        <w:gridCol w:w="1723"/>
        <w:gridCol w:w="5459"/>
        <w:gridCol w:w="3214"/>
        <w:gridCol w:w="767"/>
        <w:gridCol w:w="3178"/>
        <w:gridCol w:w="33"/>
        <w:gridCol w:w="11"/>
        <w:gridCol w:w="397"/>
        <w:gridCol w:w="17"/>
      </w:tblGrid>
      <w:tr w:rsidR="00234376" w:rsidRPr="00537C3C">
        <w:trPr>
          <w:gridAfter w:val="1"/>
          <w:wAfter w:w="17" w:type="dxa"/>
          <w:cantSplit/>
        </w:trPr>
        <w:tc>
          <w:tcPr>
            <w:tcW w:w="1723" w:type="dxa"/>
            <w:tcBorders>
              <w:top w:val="single" w:sz="4" w:space="0" w:color="auto"/>
              <w:left w:val="single" w:sz="4" w:space="0" w:color="auto"/>
            </w:tcBorders>
            <w:shd w:val="clear" w:color="auto" w:fill="E6E6E6"/>
          </w:tcPr>
          <w:p w:rsidR="00234376" w:rsidRPr="00537C3C" w:rsidRDefault="00234376" w:rsidP="008E03A7">
            <w:pPr>
              <w:spacing w:before="40" w:after="40"/>
              <w:ind w:left="20"/>
              <w:jc w:val="center"/>
              <w:rPr>
                <w:rFonts w:ascii="Arial" w:hAnsi="Arial" w:cs="Arial"/>
                <w:b/>
                <w:sz w:val="18"/>
                <w:szCs w:val="18"/>
              </w:rPr>
            </w:pPr>
            <w:r w:rsidRPr="00537C3C">
              <w:rPr>
                <w:rFonts w:ascii="Arial" w:hAnsi="Arial" w:cs="Arial"/>
                <w:b/>
                <w:sz w:val="18"/>
                <w:szCs w:val="18"/>
              </w:rPr>
              <w:lastRenderedPageBreak/>
              <w:t>Author &amp; year</w:t>
            </w:r>
          </w:p>
          <w:p w:rsidR="00234376" w:rsidRPr="00537C3C" w:rsidRDefault="00234376" w:rsidP="008E03A7">
            <w:pPr>
              <w:spacing w:before="40" w:after="40"/>
              <w:ind w:left="20"/>
              <w:jc w:val="center"/>
              <w:rPr>
                <w:rFonts w:ascii="Arial" w:hAnsi="Arial" w:cs="Arial"/>
                <w:b/>
                <w:sz w:val="18"/>
                <w:szCs w:val="18"/>
              </w:rPr>
            </w:pPr>
            <w:r w:rsidRPr="00537C3C">
              <w:rPr>
                <w:rFonts w:ascii="Arial" w:hAnsi="Arial" w:cs="Arial"/>
                <w:b/>
                <w:sz w:val="18"/>
                <w:szCs w:val="18"/>
              </w:rPr>
              <w:t xml:space="preserve">Setting, </w:t>
            </w:r>
            <w:r w:rsidRPr="0030078D">
              <w:rPr>
                <w:rFonts w:ascii="Arial" w:hAnsi="Arial" w:cs="Arial"/>
                <w:b/>
                <w:i/>
                <w:sz w:val="18"/>
                <w:szCs w:val="18"/>
              </w:rPr>
              <w:t>N</w:t>
            </w:r>
          </w:p>
        </w:tc>
        <w:tc>
          <w:tcPr>
            <w:tcW w:w="5459" w:type="dxa"/>
            <w:tcBorders>
              <w:top w:val="single" w:sz="4" w:space="0" w:color="auto"/>
            </w:tcBorders>
            <w:shd w:val="clear" w:color="auto" w:fill="E6E6E6"/>
          </w:tcPr>
          <w:p w:rsidR="00234376" w:rsidRDefault="00234376" w:rsidP="00234376">
            <w:pPr>
              <w:spacing w:before="40" w:after="40"/>
              <w:ind w:left="20"/>
              <w:rPr>
                <w:rFonts w:ascii="Arial" w:hAnsi="Arial" w:cs="Arial"/>
                <w:b/>
                <w:sz w:val="18"/>
                <w:szCs w:val="18"/>
              </w:rPr>
            </w:pPr>
            <w:r w:rsidRPr="00537C3C">
              <w:rPr>
                <w:rFonts w:ascii="Arial" w:hAnsi="Arial" w:cs="Arial"/>
                <w:b/>
                <w:sz w:val="18"/>
                <w:szCs w:val="18"/>
              </w:rPr>
              <w:t>Study objective &amp; design</w:t>
            </w:r>
          </w:p>
        </w:tc>
        <w:tc>
          <w:tcPr>
            <w:tcW w:w="3214" w:type="dxa"/>
            <w:tcBorders>
              <w:top w:val="single" w:sz="4" w:space="0" w:color="auto"/>
            </w:tcBorders>
            <w:shd w:val="clear" w:color="auto" w:fill="E6E6E6"/>
          </w:tcPr>
          <w:p w:rsidR="00234376" w:rsidRDefault="00234376" w:rsidP="00234376">
            <w:pPr>
              <w:spacing w:before="40" w:after="40"/>
              <w:ind w:left="20"/>
              <w:rPr>
                <w:rFonts w:ascii="Arial" w:hAnsi="Arial" w:cs="Arial"/>
                <w:b/>
                <w:sz w:val="18"/>
                <w:szCs w:val="18"/>
              </w:rPr>
            </w:pPr>
            <w:r w:rsidRPr="00537C3C">
              <w:rPr>
                <w:rFonts w:ascii="Arial" w:hAnsi="Arial" w:cs="Arial"/>
                <w:b/>
                <w:sz w:val="18"/>
                <w:szCs w:val="18"/>
              </w:rPr>
              <w:t>Study population</w:t>
            </w:r>
          </w:p>
        </w:tc>
        <w:tc>
          <w:tcPr>
            <w:tcW w:w="4386" w:type="dxa"/>
            <w:gridSpan w:val="5"/>
            <w:tcBorders>
              <w:top w:val="single" w:sz="4" w:space="0" w:color="auto"/>
              <w:right w:val="single" w:sz="4" w:space="0" w:color="auto"/>
            </w:tcBorders>
            <w:shd w:val="clear" w:color="auto" w:fill="E6E6E6"/>
          </w:tcPr>
          <w:p w:rsidR="00234376" w:rsidRDefault="00234376" w:rsidP="00234376">
            <w:pPr>
              <w:spacing w:before="60" w:after="40"/>
              <w:ind w:left="20"/>
              <w:rPr>
                <w:rFonts w:ascii="Arial" w:hAnsi="Arial" w:cs="Arial"/>
                <w:b/>
                <w:sz w:val="18"/>
                <w:szCs w:val="18"/>
              </w:rPr>
            </w:pPr>
            <w:r w:rsidRPr="00537C3C">
              <w:rPr>
                <w:rFonts w:ascii="Arial" w:hAnsi="Arial" w:cs="Arial"/>
                <w:b/>
                <w:sz w:val="18"/>
                <w:szCs w:val="18"/>
              </w:rPr>
              <w:t>Study quality and applicability</w:t>
            </w:r>
          </w:p>
        </w:tc>
      </w:tr>
      <w:tr w:rsidR="00234376" w:rsidRPr="00537C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7"/>
        </w:trPr>
        <w:tc>
          <w:tcPr>
            <w:tcW w:w="14799" w:type="dxa"/>
            <w:gridSpan w:val="9"/>
          </w:tcPr>
          <w:p w:rsidR="00234376" w:rsidRPr="006C24DD" w:rsidRDefault="00234376" w:rsidP="008E03A7">
            <w:pPr>
              <w:spacing w:before="40" w:after="20"/>
              <w:ind w:left="20"/>
              <w:rPr>
                <w:rFonts w:ascii="Arial Narrow" w:hAnsi="Arial Narrow" w:cs="Arial"/>
                <w:b/>
                <w:i/>
                <w:sz w:val="18"/>
                <w:szCs w:val="18"/>
              </w:rPr>
            </w:pPr>
            <w:r w:rsidRPr="00537C3C">
              <w:rPr>
                <w:rFonts w:ascii="Arial Narrow" w:hAnsi="Arial Narrow" w:cs="Arial"/>
                <w:b/>
                <w:i/>
                <w:sz w:val="18"/>
                <w:szCs w:val="18"/>
              </w:rPr>
              <w:t xml:space="preserve">Primary studies: Auto </w:t>
            </w:r>
            <w:r w:rsidRPr="00BB76D8">
              <w:rPr>
                <w:rFonts w:ascii="Arial Narrow" w:hAnsi="Arial Narrow" w:cs="Arial"/>
                <w:b/>
                <w:i/>
                <w:sz w:val="18"/>
                <w:szCs w:val="18"/>
              </w:rPr>
              <w:t>LBC</w:t>
            </w:r>
            <w:r w:rsidRPr="00537C3C">
              <w:rPr>
                <w:rFonts w:ascii="Arial Narrow" w:hAnsi="Arial Narrow" w:cs="Arial"/>
                <w:b/>
                <w:i/>
                <w:sz w:val="18"/>
                <w:szCs w:val="18"/>
              </w:rPr>
              <w:t xml:space="preserve"> vs conventional cytology</w:t>
            </w:r>
          </w:p>
        </w:tc>
      </w:tr>
      <w:tr w:rsidR="00234376" w:rsidRPr="00537C3C">
        <w:trPr>
          <w:gridAfter w:val="1"/>
          <w:wAfter w:w="17" w:type="dxa"/>
          <w:trHeight w:val="127"/>
        </w:trPr>
        <w:tc>
          <w:tcPr>
            <w:tcW w:w="1723" w:type="dxa"/>
            <w:tcBorders>
              <w:left w:val="single" w:sz="4" w:space="0" w:color="auto"/>
              <w:bottom w:val="single" w:sz="4" w:space="0" w:color="auto"/>
              <w:right w:val="single" w:sz="4" w:space="0" w:color="auto"/>
            </w:tcBorders>
          </w:tcPr>
          <w:p w:rsidR="00234376" w:rsidRPr="00537C3C" w:rsidRDefault="00234376" w:rsidP="008E03A7">
            <w:pPr>
              <w:spacing w:before="40" w:after="20"/>
              <w:ind w:left="20"/>
              <w:rPr>
                <w:rFonts w:ascii="Arial Narrow" w:hAnsi="Arial Narrow" w:cs="Arial"/>
                <w:b/>
                <w:sz w:val="18"/>
                <w:szCs w:val="18"/>
              </w:rPr>
            </w:pPr>
            <w:r w:rsidRPr="00537C3C">
              <w:rPr>
                <w:rFonts w:ascii="Arial Narrow" w:hAnsi="Arial Narrow" w:cs="Arial"/>
                <w:b/>
                <w:sz w:val="18"/>
                <w:szCs w:val="18"/>
              </w:rPr>
              <w:t>Davey et al. 2007</w:t>
            </w:r>
            <w:r w:rsidR="00DE79DC">
              <w:rPr>
                <w:rFonts w:ascii="Arial Narrow" w:hAnsi="Arial Narrow" w:cs="Arial"/>
                <w:b/>
                <w:sz w:val="18"/>
                <w:szCs w:val="18"/>
              </w:rPr>
              <w:t>a</w:t>
            </w:r>
          </w:p>
          <w:p w:rsidR="00234376" w:rsidRPr="00537C3C" w:rsidRDefault="00234376" w:rsidP="008E03A7">
            <w:pPr>
              <w:spacing w:before="40" w:after="20"/>
              <w:ind w:left="20"/>
              <w:rPr>
                <w:rFonts w:ascii="Arial Narrow" w:hAnsi="Arial Narrow" w:cs="Arial"/>
                <w:sz w:val="18"/>
                <w:szCs w:val="18"/>
              </w:rPr>
            </w:pPr>
          </w:p>
          <w:p w:rsidR="00234376" w:rsidRPr="00537C3C" w:rsidRDefault="00234376" w:rsidP="008E03A7">
            <w:pPr>
              <w:spacing w:before="40" w:after="20"/>
              <w:ind w:left="20"/>
              <w:rPr>
                <w:rFonts w:ascii="Arial Narrow" w:hAnsi="Arial Narrow" w:cs="Arial"/>
                <w:sz w:val="18"/>
                <w:szCs w:val="18"/>
              </w:rPr>
            </w:pPr>
            <w:smartTag w:uri="urn:schemas-microsoft-com:office:smarttags" w:element="place">
              <w:smartTag w:uri="urn:schemas-microsoft-com:office:smarttags" w:element="country-region">
                <w:r w:rsidRPr="00537C3C">
                  <w:rPr>
                    <w:rFonts w:ascii="Arial Narrow" w:hAnsi="Arial Narrow" w:cs="Arial"/>
                    <w:sz w:val="18"/>
                    <w:szCs w:val="18"/>
                  </w:rPr>
                  <w:t>Australia</w:t>
                </w:r>
              </w:smartTag>
            </w:smartTag>
          </w:p>
          <w:p w:rsidR="00234376" w:rsidRPr="00537C3C" w:rsidRDefault="00234376" w:rsidP="008E03A7">
            <w:pPr>
              <w:spacing w:before="40" w:after="20"/>
              <w:ind w:left="20"/>
              <w:rPr>
                <w:rFonts w:ascii="Arial Narrow" w:hAnsi="Arial Narrow" w:cs="Arial"/>
                <w:sz w:val="18"/>
                <w:szCs w:val="18"/>
              </w:rPr>
            </w:pPr>
            <w:r w:rsidRPr="00537C3C">
              <w:rPr>
                <w:rFonts w:ascii="Arial Narrow" w:hAnsi="Arial Narrow" w:cs="Arial"/>
                <w:sz w:val="18"/>
                <w:szCs w:val="18"/>
              </w:rPr>
              <w:t>One pathology laboratory</w:t>
            </w:r>
          </w:p>
          <w:p w:rsidR="00234376" w:rsidRPr="00537C3C" w:rsidRDefault="00234376" w:rsidP="008E03A7">
            <w:pPr>
              <w:spacing w:before="40" w:after="20"/>
              <w:ind w:left="20"/>
              <w:rPr>
                <w:rFonts w:ascii="Arial Narrow" w:hAnsi="Arial Narrow" w:cs="Arial"/>
                <w:sz w:val="18"/>
                <w:szCs w:val="18"/>
              </w:rPr>
            </w:pPr>
            <w:r w:rsidRPr="00537C3C">
              <w:rPr>
                <w:rFonts w:ascii="Arial Narrow" w:hAnsi="Arial Narrow" w:cs="Arial"/>
                <w:sz w:val="18"/>
                <w:szCs w:val="18"/>
              </w:rPr>
              <w:t>Aug 2004 – June 2005</w:t>
            </w:r>
          </w:p>
          <w:p w:rsidR="00234376" w:rsidRPr="00537C3C" w:rsidRDefault="00234376" w:rsidP="008E03A7">
            <w:pPr>
              <w:spacing w:before="40" w:after="20"/>
              <w:ind w:left="20"/>
              <w:rPr>
                <w:rFonts w:ascii="Arial Narrow" w:hAnsi="Arial Narrow" w:cs="Arial"/>
                <w:sz w:val="18"/>
                <w:szCs w:val="18"/>
              </w:rPr>
            </w:pPr>
          </w:p>
          <w:p w:rsidR="00234376" w:rsidRPr="00537C3C" w:rsidRDefault="00234376" w:rsidP="008E03A7">
            <w:pPr>
              <w:spacing w:before="40" w:after="20"/>
              <w:ind w:left="20"/>
              <w:rPr>
                <w:rFonts w:ascii="Arial Narrow" w:hAnsi="Arial Narrow" w:cs="Arial"/>
                <w:sz w:val="18"/>
                <w:szCs w:val="18"/>
              </w:rPr>
            </w:pPr>
            <w:r w:rsidRPr="0030078D">
              <w:rPr>
                <w:rFonts w:ascii="Arial Narrow" w:hAnsi="Arial Narrow" w:cs="Arial"/>
                <w:i/>
                <w:sz w:val="18"/>
                <w:szCs w:val="18"/>
              </w:rPr>
              <w:t>N</w:t>
            </w:r>
            <w:r w:rsidRPr="00537C3C">
              <w:rPr>
                <w:rFonts w:ascii="Arial Narrow" w:hAnsi="Arial Narrow" w:cs="Arial"/>
                <w:sz w:val="18"/>
                <w:szCs w:val="18"/>
              </w:rPr>
              <w:t xml:space="preserve"> = 55 164 consecutive samples</w:t>
            </w:r>
          </w:p>
          <w:p w:rsidR="00234376" w:rsidRPr="00537C3C" w:rsidRDefault="00234376" w:rsidP="008E03A7">
            <w:pPr>
              <w:spacing w:before="40" w:after="20"/>
              <w:ind w:left="20"/>
              <w:rPr>
                <w:rFonts w:ascii="Arial Narrow" w:hAnsi="Arial Narrow" w:cs="Arial"/>
                <w:sz w:val="18"/>
                <w:szCs w:val="18"/>
              </w:rPr>
            </w:pPr>
          </w:p>
          <w:p w:rsidR="00234376" w:rsidRPr="00537C3C" w:rsidRDefault="00234376" w:rsidP="008E03A7">
            <w:pPr>
              <w:spacing w:before="40" w:after="20"/>
              <w:ind w:left="20"/>
              <w:rPr>
                <w:rFonts w:ascii="Arial Narrow" w:hAnsi="Arial Narrow" w:cs="Arial"/>
                <w:b/>
                <w:sz w:val="18"/>
                <w:szCs w:val="18"/>
              </w:rPr>
            </w:pPr>
          </w:p>
        </w:tc>
        <w:tc>
          <w:tcPr>
            <w:tcW w:w="5459" w:type="dxa"/>
            <w:tcBorders>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Objective:</w:t>
            </w:r>
          </w:p>
          <w:p w:rsidR="00234376" w:rsidRPr="006C24DD"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To compare the accuracy of </w:t>
            </w:r>
            <w:r w:rsidRPr="00BB76D8">
              <w:rPr>
                <w:rFonts w:ascii="Arial Narrow" w:hAnsi="Arial Narrow" w:cs="Arial"/>
                <w:sz w:val="18"/>
                <w:szCs w:val="18"/>
              </w:rPr>
              <w:t>LBC</w:t>
            </w:r>
            <w:r w:rsidRPr="00537C3C">
              <w:rPr>
                <w:rFonts w:ascii="Arial Narrow" w:hAnsi="Arial Narrow" w:cs="Arial"/>
                <w:sz w:val="18"/>
                <w:szCs w:val="18"/>
              </w:rPr>
              <w:t xml:space="preserve"> using computerised TPI with manually read </w:t>
            </w:r>
            <w:r w:rsidR="00014112">
              <w:rPr>
                <w:rFonts w:ascii="Arial Narrow" w:hAnsi="Arial Narrow" w:cs="Arial"/>
                <w:sz w:val="18"/>
                <w:szCs w:val="18"/>
              </w:rPr>
              <w:t>conventional cytology</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Study design</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Diagnostic accuracy study with split-sample pairs</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Index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ThinPrep </w:t>
            </w:r>
            <w:r w:rsidRPr="00BB76D8">
              <w:rPr>
                <w:rFonts w:ascii="Arial Narrow" w:hAnsi="Arial Narrow" w:cs="Arial"/>
                <w:sz w:val="18"/>
                <w:szCs w:val="18"/>
              </w:rPr>
              <w:t>LBC</w:t>
            </w:r>
            <w:r w:rsidRPr="00537C3C">
              <w:rPr>
                <w:rFonts w:ascii="Arial Narrow" w:hAnsi="Arial Narrow" w:cs="Arial"/>
                <w:sz w:val="18"/>
                <w:szCs w:val="18"/>
              </w:rPr>
              <w:t xml:space="preserve"> with computerised TPI reading</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Comparator test</w:t>
            </w:r>
          </w:p>
          <w:p w:rsidR="00234376" w:rsidRPr="00537C3C" w:rsidRDefault="00234376" w:rsidP="008E03A7">
            <w:pPr>
              <w:spacing w:before="40" w:after="0"/>
              <w:ind w:left="0"/>
              <w:rPr>
                <w:rFonts w:ascii="Arial Narrow" w:hAnsi="Arial Narrow" w:cs="Arial"/>
                <w:sz w:val="18"/>
                <w:szCs w:val="18"/>
              </w:rPr>
            </w:pPr>
            <w:r w:rsidRPr="006C24DD">
              <w:rPr>
                <w:rFonts w:ascii="Arial Narrow" w:hAnsi="Arial Narrow" w:cs="Arial"/>
                <w:sz w:val="18"/>
                <w:szCs w:val="18"/>
              </w:rPr>
              <w:t>CC</w:t>
            </w:r>
            <w:r w:rsidRPr="00537C3C">
              <w:rPr>
                <w:rFonts w:ascii="Arial Narrow" w:hAnsi="Arial Narrow" w:cs="Arial"/>
                <w:sz w:val="18"/>
                <w:szCs w:val="18"/>
              </w:rPr>
              <w:t xml:space="preserve"> with manual reading</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Reference standard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Histology for discordant cytology to 6 months, using (1) register results; (2) blinded (to cytology and register results) re-reading of histology slides; and (3) more severe result from (1) or (2)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No reference standard for 254/844 discordant samples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Test threshold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Test: </w:t>
            </w:r>
            <w:r w:rsidRPr="00BB76D8">
              <w:rPr>
                <w:rFonts w:ascii="Arial Narrow" w:hAnsi="Arial Narrow" w:cs="Arial"/>
                <w:sz w:val="18"/>
                <w:szCs w:val="18"/>
              </w:rPr>
              <w:t>CIN</w:t>
            </w:r>
            <w:r w:rsidRPr="00537C3C">
              <w:rPr>
                <w:rFonts w:ascii="Arial Narrow" w:hAnsi="Arial Narrow" w:cs="Arial"/>
                <w:sz w:val="18"/>
                <w:szCs w:val="18"/>
              </w:rPr>
              <w:t xml:space="preserve"> 1+</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Reference standard: </w:t>
            </w:r>
            <w:r w:rsidRPr="00BB76D8">
              <w:rPr>
                <w:rFonts w:ascii="Arial Narrow" w:hAnsi="Arial Narrow" w:cs="Arial"/>
                <w:sz w:val="18"/>
                <w:szCs w:val="18"/>
              </w:rPr>
              <w:t>CIN</w:t>
            </w:r>
            <w:r w:rsidRPr="00537C3C">
              <w:rPr>
                <w:rFonts w:ascii="Arial Narrow" w:hAnsi="Arial Narrow" w:cs="Arial"/>
                <w:sz w:val="18"/>
                <w:szCs w:val="18"/>
              </w:rPr>
              <w:t xml:space="preserve"> 2+</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Primary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Accuracy for squamous lesions</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Secondary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Unsatisfactory rate, distribution of squamous cytology, accuracy for glandular lesions</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Relevant subgroups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Nil</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Cytological classification</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AMBS 1994</w:t>
            </w:r>
          </w:p>
        </w:tc>
        <w:tc>
          <w:tcPr>
            <w:tcW w:w="3214" w:type="dxa"/>
            <w:tcBorders>
              <w:left w:val="single" w:sz="4" w:space="0" w:color="auto"/>
              <w:bottom w:val="single" w:sz="4" w:space="0" w:color="auto"/>
              <w:right w:val="single" w:sz="4" w:space="0" w:color="auto"/>
            </w:tcBorders>
          </w:tcPr>
          <w:p w:rsidR="00234376" w:rsidRPr="00537C3C" w:rsidRDefault="00234376" w:rsidP="008E03A7">
            <w:pPr>
              <w:spacing w:before="40" w:after="20"/>
              <w:ind w:left="20"/>
              <w:rPr>
                <w:rFonts w:ascii="Arial Narrow" w:hAnsi="Arial Narrow" w:cs="Arial"/>
                <w:b/>
                <w:i/>
                <w:sz w:val="18"/>
                <w:szCs w:val="18"/>
              </w:rPr>
            </w:pPr>
            <w:r w:rsidRPr="00537C3C">
              <w:rPr>
                <w:rFonts w:ascii="Arial Narrow" w:hAnsi="Arial Narrow" w:cs="Arial"/>
                <w:b/>
                <w:i/>
                <w:sz w:val="18"/>
                <w:szCs w:val="18"/>
              </w:rPr>
              <w:t>Inclusion criteria</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Any age</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 xml:space="preserve">Electing </w:t>
            </w:r>
            <w:r w:rsidRPr="00BB76D8">
              <w:rPr>
                <w:rFonts w:ascii="Arial Narrow" w:hAnsi="Arial Narrow" w:cs="Arial"/>
                <w:sz w:val="18"/>
                <w:szCs w:val="18"/>
              </w:rPr>
              <w:t>LBC</w:t>
            </w:r>
            <w:r w:rsidRPr="00537C3C">
              <w:rPr>
                <w:rFonts w:ascii="Arial Narrow" w:hAnsi="Arial Narrow" w:cs="Arial"/>
                <w:sz w:val="18"/>
                <w:szCs w:val="18"/>
              </w:rPr>
              <w:t xml:space="preserve"> sample</w:t>
            </w:r>
          </w:p>
          <w:p w:rsidR="00234376" w:rsidRPr="00537C3C" w:rsidRDefault="00234376" w:rsidP="008E03A7">
            <w:pPr>
              <w:numPr>
                <w:ilvl w:val="0"/>
                <w:numId w:val="16"/>
              </w:numPr>
              <w:spacing w:before="40" w:after="0"/>
              <w:rPr>
                <w:rFonts w:ascii="Arial Narrow" w:hAnsi="Arial Narrow" w:cs="Arial"/>
                <w:i/>
                <w:sz w:val="18"/>
                <w:szCs w:val="18"/>
              </w:rPr>
            </w:pPr>
            <w:r w:rsidRPr="00537C3C">
              <w:rPr>
                <w:rFonts w:ascii="Arial Narrow" w:hAnsi="Arial Narrow" w:cs="Arial"/>
                <w:sz w:val="18"/>
                <w:szCs w:val="18"/>
              </w:rPr>
              <w:t>Screening and diagnostic population</w:t>
            </w:r>
          </w:p>
          <w:p w:rsidR="00234376" w:rsidRPr="00537C3C" w:rsidRDefault="00234376" w:rsidP="008E03A7">
            <w:pPr>
              <w:spacing w:before="40" w:after="20"/>
              <w:ind w:left="20"/>
              <w:rPr>
                <w:rFonts w:ascii="Arial Narrow" w:hAnsi="Arial Narrow" w:cs="Arial"/>
                <w:i/>
                <w:sz w:val="18"/>
                <w:szCs w:val="18"/>
              </w:rPr>
            </w:pPr>
          </w:p>
          <w:p w:rsidR="00234376" w:rsidRPr="00537C3C" w:rsidRDefault="00234376" w:rsidP="008E03A7">
            <w:pPr>
              <w:spacing w:before="40" w:after="20"/>
              <w:ind w:left="20"/>
              <w:rPr>
                <w:rFonts w:ascii="Arial Narrow" w:hAnsi="Arial Narrow" w:cs="Arial"/>
                <w:b/>
                <w:i/>
                <w:sz w:val="18"/>
                <w:szCs w:val="18"/>
              </w:rPr>
            </w:pPr>
            <w:r w:rsidRPr="00537C3C">
              <w:rPr>
                <w:rFonts w:ascii="Arial Narrow" w:hAnsi="Arial Narrow" w:cs="Arial"/>
                <w:b/>
                <w:i/>
                <w:sz w:val="18"/>
                <w:szCs w:val="18"/>
              </w:rPr>
              <w:t>Exclusion criteria</w:t>
            </w:r>
          </w:p>
          <w:p w:rsidR="00234376" w:rsidRPr="00537C3C" w:rsidRDefault="00234376" w:rsidP="008E03A7">
            <w:pPr>
              <w:numPr>
                <w:ilvl w:val="0"/>
                <w:numId w:val="16"/>
              </w:numPr>
              <w:spacing w:before="40" w:after="0"/>
              <w:rPr>
                <w:rFonts w:ascii="Arial Narrow" w:hAnsi="Arial Narrow" w:cs="Arial"/>
                <w:i/>
                <w:sz w:val="18"/>
                <w:szCs w:val="18"/>
              </w:rPr>
            </w:pPr>
            <w:r w:rsidRPr="00537C3C">
              <w:rPr>
                <w:rFonts w:ascii="Arial Narrow" w:hAnsi="Arial Narrow" w:cs="Arial"/>
                <w:sz w:val="18"/>
                <w:szCs w:val="18"/>
              </w:rPr>
              <w:t>Nil</w:t>
            </w:r>
          </w:p>
          <w:p w:rsidR="00234376" w:rsidRPr="00537C3C" w:rsidRDefault="00234376" w:rsidP="008E03A7">
            <w:pPr>
              <w:spacing w:before="40" w:after="20"/>
              <w:ind w:left="20"/>
              <w:rPr>
                <w:rFonts w:ascii="Arial Narrow" w:hAnsi="Arial Narrow" w:cs="Arial"/>
                <w:b/>
                <w:i/>
                <w:sz w:val="18"/>
                <w:szCs w:val="18"/>
              </w:rPr>
            </w:pPr>
            <w:r w:rsidRPr="00537C3C">
              <w:rPr>
                <w:rFonts w:ascii="Arial Narrow" w:hAnsi="Arial Narrow" w:cs="Arial"/>
                <w:b/>
                <w:i/>
                <w:sz w:val="18"/>
                <w:szCs w:val="18"/>
              </w:rPr>
              <w:t>Patient characteristics</w:t>
            </w:r>
          </w:p>
          <w:p w:rsidR="00234376" w:rsidRPr="00537C3C" w:rsidRDefault="00234376" w:rsidP="008E03A7">
            <w:pPr>
              <w:spacing w:before="40" w:after="20"/>
              <w:ind w:left="20"/>
              <w:rPr>
                <w:rFonts w:ascii="Arial Narrow" w:hAnsi="Arial Narrow" w:cs="Arial"/>
                <w:sz w:val="18"/>
                <w:szCs w:val="18"/>
              </w:rPr>
            </w:pPr>
            <w:r w:rsidRPr="001E6D1E">
              <w:rPr>
                <w:rFonts w:ascii="Arial Narrow" w:hAnsi="Arial Narrow" w:cs="Arial"/>
                <w:sz w:val="18"/>
                <w:szCs w:val="18"/>
              </w:rPr>
              <w:t>NR</w:t>
            </w:r>
          </w:p>
        </w:tc>
        <w:tc>
          <w:tcPr>
            <w:tcW w:w="4386" w:type="dxa"/>
            <w:gridSpan w:val="5"/>
            <w:tcBorders>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Quality: fair Q2</w:t>
            </w:r>
          </w:p>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 xml:space="preserve">Accuracy data level </w:t>
            </w:r>
            <w:r w:rsidRPr="00BB76D8">
              <w:rPr>
                <w:rFonts w:ascii="Arial Narrow" w:hAnsi="Arial Narrow" w:cs="Arial"/>
                <w:b/>
                <w:sz w:val="18"/>
                <w:szCs w:val="18"/>
              </w:rPr>
              <w:t>III</w:t>
            </w:r>
            <w:r w:rsidRPr="00537C3C">
              <w:rPr>
                <w:rFonts w:ascii="Arial Narrow" w:hAnsi="Arial Narrow" w:cs="Arial"/>
                <w:b/>
                <w:sz w:val="18"/>
                <w:szCs w:val="18"/>
              </w:rPr>
              <w:t>-2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Prospective: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Consecutive: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Explicit selection criteria: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threshold specified: yes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Reference standard</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valid</w:t>
            </w:r>
          </w:p>
          <w:p w:rsidR="00234376" w:rsidRDefault="00234376" w:rsidP="00234376">
            <w:pPr>
              <w:numPr>
                <w:ilvl w:val="0"/>
                <w:numId w:val="16"/>
              </w:numPr>
              <w:spacing w:before="40" w:after="0"/>
              <w:rPr>
                <w:rFonts w:ascii="Arial Narrow" w:hAnsi="Arial Narrow" w:cs="Arial"/>
                <w:sz w:val="18"/>
                <w:szCs w:val="18"/>
              </w:rPr>
            </w:pPr>
            <w:r w:rsidRPr="00537C3C">
              <w:rPr>
                <w:rFonts w:ascii="Arial Narrow" w:hAnsi="Arial Narrow" w:cs="Arial"/>
                <w:sz w:val="18"/>
                <w:szCs w:val="18"/>
              </w:rPr>
              <w:t>not applied to all participants; applied to most discordant participants with bias testing</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interval adequate for reference standard and comparator (6 months)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Tests reported blinded to ref standard &amp; comparator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 standard reported blinded to tests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Uninterpretable/intermediate results reported: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Study withdrawals explained: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Sufficient data for relative </w:t>
            </w:r>
            <w:r w:rsidRPr="00BB76D8">
              <w:rPr>
                <w:rFonts w:ascii="Arial Narrow" w:hAnsi="Arial Narrow" w:cs="Arial"/>
                <w:sz w:val="18"/>
                <w:szCs w:val="18"/>
              </w:rPr>
              <w:t>TP</w:t>
            </w:r>
            <w:r w:rsidRPr="00537C3C">
              <w:rPr>
                <w:rFonts w:ascii="Arial Narrow" w:hAnsi="Arial Narrow" w:cs="Arial"/>
                <w:sz w:val="18"/>
                <w:szCs w:val="18"/>
              </w:rPr>
              <w:t xml:space="preserve"> &amp; </w:t>
            </w:r>
            <w:r w:rsidRPr="00BB76D8">
              <w:rPr>
                <w:rFonts w:ascii="Arial Narrow" w:hAnsi="Arial Narrow" w:cs="Arial"/>
                <w:sz w:val="18"/>
                <w:szCs w:val="18"/>
              </w:rPr>
              <w:t>FP</w:t>
            </w:r>
            <w:r w:rsidRPr="00537C3C">
              <w:rPr>
                <w:rFonts w:ascii="Arial Narrow" w:hAnsi="Arial Narrow" w:cs="Arial"/>
                <w:sz w:val="18"/>
                <w:szCs w:val="18"/>
              </w:rPr>
              <w:t>: yes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Applicability: applicable P1</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population</w:t>
            </w:r>
          </w:p>
          <w:p w:rsidR="00234376" w:rsidRPr="00537C3C" w:rsidRDefault="00234376" w:rsidP="008E03A7">
            <w:pPr>
              <w:numPr>
                <w:ilvl w:val="0"/>
                <w:numId w:val="19"/>
              </w:numPr>
              <w:spacing w:before="40" w:after="0"/>
              <w:rPr>
                <w:rFonts w:ascii="Arial Narrow" w:hAnsi="Arial Narrow" w:cs="Arial"/>
                <w:sz w:val="18"/>
                <w:szCs w:val="18"/>
              </w:rPr>
            </w:pPr>
            <w:r w:rsidRPr="00537C3C">
              <w:rPr>
                <w:rFonts w:ascii="Arial Narrow" w:hAnsi="Arial Narrow" w:cs="Arial"/>
                <w:sz w:val="18"/>
                <w:szCs w:val="18"/>
              </w:rPr>
              <w:t>mixed screening &amp; diagnostic population</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comparator: yes</w:t>
            </w:r>
          </w:p>
          <w:p w:rsidR="00234376" w:rsidRPr="00537C3C" w:rsidRDefault="00234376" w:rsidP="008E03A7">
            <w:pPr>
              <w:spacing w:before="40" w:after="20"/>
              <w:ind w:left="20"/>
              <w:rPr>
                <w:rFonts w:ascii="Arial Narrow" w:hAnsi="Arial Narrow" w:cs="Arial"/>
                <w:sz w:val="18"/>
                <w:szCs w:val="18"/>
              </w:rPr>
            </w:pPr>
            <w:r w:rsidRPr="00537C3C">
              <w:rPr>
                <w:rFonts w:ascii="Arial Narrow" w:hAnsi="Arial Narrow" w:cs="Arial"/>
                <w:sz w:val="18"/>
                <w:szCs w:val="18"/>
              </w:rPr>
              <w:t>Applicable intervention: yes</w:t>
            </w:r>
          </w:p>
        </w:tc>
      </w:tr>
      <w:tr w:rsidR="00234376" w:rsidRPr="00537C3C">
        <w:trPr>
          <w:gridAfter w:val="1"/>
          <w:wAfter w:w="17" w:type="dxa"/>
          <w:trHeight w:val="127"/>
        </w:trPr>
        <w:tc>
          <w:tcPr>
            <w:tcW w:w="14782" w:type="dxa"/>
            <w:gridSpan w:val="8"/>
            <w:tcBorders>
              <w:top w:val="single" w:sz="4" w:space="0" w:color="auto"/>
              <w:left w:val="single" w:sz="4" w:space="0" w:color="auto"/>
              <w:bottom w:val="single" w:sz="4" w:space="0" w:color="auto"/>
              <w:right w:val="single" w:sz="4" w:space="0" w:color="auto"/>
            </w:tcBorders>
          </w:tcPr>
          <w:p w:rsidR="00234376" w:rsidRPr="00537C3C" w:rsidRDefault="00234376" w:rsidP="008E03A7">
            <w:pPr>
              <w:keepNext/>
              <w:spacing w:before="40" w:after="40"/>
              <w:ind w:left="23"/>
              <w:rPr>
                <w:rFonts w:ascii="Arial Narrow" w:hAnsi="Arial Narrow" w:cs="Arial"/>
                <w:b/>
                <w:sz w:val="18"/>
                <w:szCs w:val="18"/>
              </w:rPr>
            </w:pPr>
            <w:r w:rsidRPr="00537C3C">
              <w:rPr>
                <w:rFonts w:ascii="Arial Narrow" w:hAnsi="Arial Narrow" w:cs="Arial"/>
                <w:b/>
                <w:sz w:val="18"/>
                <w:szCs w:val="18"/>
              </w:rPr>
              <w:lastRenderedPageBreak/>
              <w:t>RESULTS:</w:t>
            </w:r>
          </w:p>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t>Test accuracy</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On-line appendix: Logistic modelling showed no evidence that the proportions of discordant slides (with at least one result of </w:t>
            </w:r>
            <w:r w:rsidRPr="00BB76D8">
              <w:rPr>
                <w:rFonts w:ascii="Arial Narrow" w:hAnsi="Arial Narrow" w:cs="Arial"/>
                <w:sz w:val="18"/>
                <w:szCs w:val="18"/>
              </w:rPr>
              <w:t>CIN</w:t>
            </w:r>
            <w:r w:rsidRPr="00537C3C">
              <w:rPr>
                <w:rFonts w:ascii="Arial Narrow" w:hAnsi="Arial Narrow" w:cs="Arial"/>
                <w:sz w:val="18"/>
                <w:szCs w:val="18"/>
              </w:rPr>
              <w:t xml:space="preserve"> 1 or more severe) that were verified were associated with whichever test (</w:t>
            </w:r>
            <w:r w:rsidRPr="00BB76D8">
              <w:rPr>
                <w:rFonts w:ascii="Arial Narrow" w:hAnsi="Arial Narrow" w:cs="Arial"/>
                <w:sz w:val="18"/>
                <w:szCs w:val="18"/>
              </w:rPr>
              <w:t>TPI</w:t>
            </w:r>
            <w:r w:rsidRPr="00537C3C">
              <w:rPr>
                <w:rFonts w:ascii="Arial Narrow" w:hAnsi="Arial Narrow" w:cs="Arial"/>
                <w:sz w:val="18"/>
                <w:szCs w:val="18"/>
              </w:rPr>
              <w:t xml:space="preserve"> or </w:t>
            </w:r>
            <w:r w:rsidRPr="00BB76D8">
              <w:rPr>
                <w:rFonts w:ascii="Arial Narrow" w:hAnsi="Arial Narrow" w:cs="Arial"/>
                <w:sz w:val="18"/>
                <w:szCs w:val="18"/>
              </w:rPr>
              <w:t>CC</w:t>
            </w:r>
            <w:r w:rsidRPr="00537C3C">
              <w:rPr>
                <w:rFonts w:ascii="Arial Narrow" w:hAnsi="Arial Narrow" w:cs="Arial"/>
                <w:sz w:val="18"/>
                <w:szCs w:val="18"/>
              </w:rPr>
              <w:t>) gave the more severe result (</w:t>
            </w:r>
            <w:r w:rsidRPr="00537C3C">
              <w:rPr>
                <w:rFonts w:ascii="Arial Narrow" w:hAnsi="Arial Narrow" w:cs="Arial"/>
                <w:sz w:val="18"/>
                <w:szCs w:val="18"/>
              </w:rPr>
              <w:sym w:font="Symbol" w:char="F063"/>
            </w:r>
            <w:r w:rsidRPr="00234376">
              <w:rPr>
                <w:rFonts w:ascii="Arial Narrow" w:hAnsi="Arial Narrow" w:cs="Arial"/>
                <w:sz w:val="18"/>
                <w:szCs w:val="18"/>
                <w:vertAlign w:val="superscript"/>
              </w:rPr>
              <w:t>2</w:t>
            </w:r>
            <w:r w:rsidRPr="00537C3C">
              <w:rPr>
                <w:rFonts w:ascii="Arial Narrow" w:hAnsi="Arial Narrow" w:cs="Arial"/>
                <w:sz w:val="18"/>
                <w:szCs w:val="18"/>
              </w:rPr>
              <w:t xml:space="preserve"> = 0.34, 1 df, </w:t>
            </w:r>
            <w:r w:rsidRPr="0030078D">
              <w:rPr>
                <w:rFonts w:ascii="Arial Narrow" w:hAnsi="Arial Narrow" w:cs="Arial"/>
                <w:i/>
                <w:sz w:val="18"/>
                <w:szCs w:val="18"/>
              </w:rPr>
              <w:t>P</w:t>
            </w:r>
            <w:r w:rsidRPr="00537C3C">
              <w:rPr>
                <w:rFonts w:ascii="Arial Narrow" w:hAnsi="Arial Narrow" w:cs="Arial"/>
                <w:sz w:val="18"/>
                <w:szCs w:val="18"/>
              </w:rPr>
              <w:t xml:space="preserve"> = 0.56). A test for interaction showed no evidence that the relative odds of verification varied across categories of discordance (</w:t>
            </w:r>
            <w:r w:rsidRPr="00537C3C">
              <w:rPr>
                <w:rFonts w:ascii="Arial Narrow" w:hAnsi="Arial Narrow" w:cs="Arial"/>
                <w:sz w:val="18"/>
                <w:szCs w:val="18"/>
              </w:rPr>
              <w:sym w:font="Symbol" w:char="F063"/>
            </w:r>
            <w:r w:rsidRPr="00234376">
              <w:rPr>
                <w:rFonts w:ascii="Arial Narrow" w:hAnsi="Arial Narrow" w:cs="Arial"/>
                <w:sz w:val="18"/>
                <w:szCs w:val="18"/>
                <w:vertAlign w:val="superscript"/>
              </w:rPr>
              <w:t>2</w:t>
            </w:r>
            <w:r w:rsidRPr="00537C3C">
              <w:rPr>
                <w:rFonts w:ascii="Arial Narrow" w:hAnsi="Arial Narrow" w:cs="Arial"/>
                <w:sz w:val="18"/>
                <w:szCs w:val="18"/>
              </w:rPr>
              <w:t xml:space="preserve"> = 3.7, 10 df, </w:t>
            </w:r>
            <w:r w:rsidRPr="0030078D">
              <w:rPr>
                <w:rFonts w:ascii="Arial Narrow" w:hAnsi="Arial Narrow" w:cs="Arial"/>
                <w:i/>
                <w:sz w:val="18"/>
                <w:szCs w:val="18"/>
              </w:rPr>
              <w:t>P</w:t>
            </w:r>
            <w:r w:rsidRPr="00537C3C">
              <w:rPr>
                <w:rFonts w:ascii="Arial Narrow" w:hAnsi="Arial Narrow" w:cs="Arial"/>
                <w:sz w:val="18"/>
                <w:szCs w:val="18"/>
              </w:rPr>
              <w:t xml:space="preserve"> = 0.96).</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There was no evidence that knowledge of which test gave the abnormal result was associated with the odds of verification (</w:t>
            </w:r>
            <w:r w:rsidRPr="00537C3C">
              <w:rPr>
                <w:rFonts w:ascii="Arial Narrow" w:hAnsi="Arial Narrow" w:cs="Arial"/>
                <w:sz w:val="18"/>
                <w:szCs w:val="18"/>
              </w:rPr>
              <w:sym w:font="Symbol" w:char="F063"/>
            </w:r>
            <w:r w:rsidRPr="00234376">
              <w:rPr>
                <w:rFonts w:ascii="Arial Narrow" w:hAnsi="Arial Narrow" w:cs="Arial"/>
                <w:sz w:val="18"/>
                <w:szCs w:val="18"/>
                <w:vertAlign w:val="superscript"/>
              </w:rPr>
              <w:t>2</w:t>
            </w:r>
            <w:r w:rsidRPr="00537C3C">
              <w:rPr>
                <w:rFonts w:ascii="Arial Narrow" w:hAnsi="Arial Narrow" w:cs="Arial"/>
                <w:sz w:val="18"/>
                <w:szCs w:val="18"/>
              </w:rPr>
              <w:t xml:space="preserve"> = 0.50, 1 df, </w:t>
            </w:r>
            <w:r w:rsidRPr="0030078D">
              <w:rPr>
                <w:rFonts w:ascii="Arial Narrow" w:hAnsi="Arial Narrow" w:cs="Arial"/>
                <w:i/>
                <w:sz w:val="18"/>
                <w:szCs w:val="18"/>
              </w:rPr>
              <w:t>P</w:t>
            </w:r>
            <w:r w:rsidRPr="00537C3C">
              <w:rPr>
                <w:rFonts w:ascii="Arial Narrow" w:hAnsi="Arial Narrow" w:cs="Arial"/>
                <w:sz w:val="18"/>
                <w:szCs w:val="18"/>
              </w:rPr>
              <w:t xml:space="preserve"> = 0.48).</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u w:val="single"/>
              </w:rPr>
              <w:t xml:space="preserve">Accuracy for </w:t>
            </w:r>
            <w:r w:rsidRPr="00BB76D8">
              <w:rPr>
                <w:rFonts w:ascii="Arial Narrow" w:hAnsi="Arial Narrow" w:cs="Arial"/>
                <w:sz w:val="18"/>
                <w:szCs w:val="18"/>
                <w:u w:val="single"/>
              </w:rPr>
              <w:t>CIN</w:t>
            </w:r>
            <w:r w:rsidRPr="00537C3C">
              <w:rPr>
                <w:rFonts w:ascii="Arial Narrow" w:hAnsi="Arial Narrow" w:cs="Arial"/>
                <w:sz w:val="18"/>
                <w:szCs w:val="18"/>
                <w:u w:val="single"/>
              </w:rPr>
              <w:t xml:space="preserve"> 2+ lesions</w:t>
            </w:r>
          </w:p>
          <w:p w:rsidR="00234376" w:rsidRPr="00537C3C" w:rsidRDefault="00234376" w:rsidP="008E03A7">
            <w:pPr>
              <w:pStyle w:val="TableTextCharCharChar"/>
              <w:rPr>
                <w:rFonts w:cs="Arial"/>
                <w:i/>
                <w:szCs w:val="18"/>
              </w:rPr>
            </w:pPr>
            <w:r w:rsidRPr="00537C3C">
              <w:rPr>
                <w:rFonts w:cs="Arial"/>
                <w:i/>
                <w:szCs w:val="18"/>
              </w:rPr>
              <w:t xml:space="preserve">Incremental </w:t>
            </w:r>
            <w:r w:rsidRPr="00BB76D8">
              <w:rPr>
                <w:rFonts w:cs="Arial"/>
                <w:i/>
                <w:szCs w:val="18"/>
              </w:rPr>
              <w:t>TP</w:t>
            </w:r>
            <w:r w:rsidRPr="00537C3C">
              <w:rPr>
                <w:rFonts w:cs="Arial"/>
                <w:i/>
                <w:szCs w:val="18"/>
              </w:rPr>
              <w:t>, register ref std</w:t>
            </w: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i/>
                <w:sz w:val="18"/>
                <w:szCs w:val="18"/>
              </w:rPr>
              <w:t xml:space="preserve">Test threshold </w:t>
            </w:r>
            <w:r w:rsidRPr="00BB76D8">
              <w:rPr>
                <w:rFonts w:ascii="Arial Narrow" w:hAnsi="Arial Narrow" w:cs="Arial"/>
                <w:i/>
                <w:sz w:val="18"/>
                <w:szCs w:val="18"/>
              </w:rPr>
              <w:t>CIN</w:t>
            </w:r>
            <w:r w:rsidRPr="00537C3C">
              <w:rPr>
                <w:rFonts w:ascii="Arial Narrow" w:hAnsi="Arial Narrow" w:cs="Arial"/>
                <w:i/>
                <w:sz w:val="18"/>
                <w:szCs w:val="18"/>
              </w:rPr>
              <w:t xml:space="preserve"> 1+:</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71 (133–62) more </w:t>
            </w:r>
            <w:r w:rsidRPr="00BB76D8">
              <w:rPr>
                <w:rFonts w:ascii="Arial Narrow" w:hAnsi="Arial Narrow" w:cs="Arial"/>
                <w:sz w:val="18"/>
                <w:szCs w:val="18"/>
              </w:rPr>
              <w:t>TP</w:t>
            </w:r>
            <w:r w:rsidRPr="00537C3C">
              <w:rPr>
                <w:rFonts w:ascii="Arial Narrow" w:hAnsi="Arial Narrow" w:cs="Arial"/>
                <w:sz w:val="18"/>
                <w:szCs w:val="18"/>
              </w:rPr>
              <w:t>s, 170 more biopsies (380–210; 3.08 per 1000) than conventional (99 additional biopsies negative for high-grade lesion) (</w:t>
            </w:r>
            <w:bookmarkStart w:id="917" w:name="OLE_LINK546"/>
            <w:bookmarkStart w:id="918" w:name="OLE_LINK547"/>
            <w:r w:rsidRPr="00537C3C">
              <w:rPr>
                <w:rFonts w:ascii="Arial Narrow" w:hAnsi="Arial Narrow" w:cs="Arial"/>
                <w:sz w:val="18"/>
                <w:szCs w:val="18"/>
              </w:rPr>
              <w:sym w:font="Symbol" w:char="F063"/>
            </w:r>
            <w:r w:rsidRPr="00234376">
              <w:rPr>
                <w:rFonts w:ascii="Arial Narrow" w:hAnsi="Arial Narrow" w:cs="Arial"/>
                <w:sz w:val="18"/>
                <w:szCs w:val="18"/>
                <w:vertAlign w:val="superscript"/>
              </w:rPr>
              <w:t>2</w:t>
            </w:r>
            <w:bookmarkEnd w:id="917"/>
            <w:bookmarkEnd w:id="918"/>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 0.0000). </w:t>
            </w:r>
            <w:r w:rsidRPr="00BB76D8">
              <w:rPr>
                <w:rFonts w:ascii="Arial Narrow" w:hAnsi="Arial Narrow" w:cs="Arial"/>
                <w:sz w:val="18"/>
                <w:szCs w:val="18"/>
              </w:rPr>
              <w:t>TPI</w:t>
            </w:r>
            <w:r w:rsidRPr="00537C3C">
              <w:rPr>
                <w:rFonts w:ascii="Arial Narrow" w:hAnsi="Arial Narrow" w:cs="Arial"/>
                <w:sz w:val="18"/>
                <w:szCs w:val="18"/>
              </w:rPr>
              <w:t xml:space="preserve"> detected 1.29 additional cases per 1000 women screened. </w:t>
            </w:r>
            <w:r w:rsidRPr="00BB76D8">
              <w:rPr>
                <w:rFonts w:ascii="Arial Narrow" w:hAnsi="Arial Narrow" w:cs="Arial"/>
                <w:sz w:val="18"/>
                <w:szCs w:val="18"/>
              </w:rPr>
              <w:t>TP</w:t>
            </w:r>
            <w:r w:rsidRPr="00537C3C">
              <w:rPr>
                <w:rFonts w:ascii="Arial Narrow" w:hAnsi="Arial Narrow" w:cs="Arial"/>
                <w:sz w:val="18"/>
                <w:szCs w:val="18"/>
              </w:rPr>
              <w:t>:</w:t>
            </w:r>
            <w:r w:rsidRPr="00BB76D8">
              <w:rPr>
                <w:rFonts w:ascii="Arial Narrow" w:hAnsi="Arial Narrow" w:cs="Arial"/>
                <w:sz w:val="18"/>
                <w:szCs w:val="18"/>
              </w:rPr>
              <w:t>FP</w:t>
            </w:r>
            <w:r w:rsidRPr="00537C3C">
              <w:rPr>
                <w:rFonts w:ascii="Arial Narrow" w:hAnsi="Arial Narrow" w:cs="Arial"/>
                <w:sz w:val="18"/>
                <w:szCs w:val="18"/>
              </w:rPr>
              <w:t xml:space="preserve"> for discordant positives: </w:t>
            </w:r>
            <w:r w:rsidRPr="00BB76D8">
              <w:rPr>
                <w:rFonts w:ascii="Arial Narrow" w:hAnsi="Arial Narrow" w:cs="Arial"/>
                <w:sz w:val="18"/>
                <w:szCs w:val="18"/>
              </w:rPr>
              <w:t>TPI</w:t>
            </w:r>
            <w:r w:rsidRPr="00537C3C">
              <w:rPr>
                <w:rFonts w:ascii="Arial Narrow" w:hAnsi="Arial Narrow" w:cs="Arial"/>
                <w:sz w:val="18"/>
                <w:szCs w:val="18"/>
              </w:rPr>
              <w:t xml:space="preserve"> 1:1.85 (133:247), conventional 1:2.37 (62:148); for additional positives 71:99 (1:1.39)</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i/>
                <w:sz w:val="18"/>
                <w:szCs w:val="18"/>
              </w:rPr>
              <w:t xml:space="preserve">Test threshold </w:t>
            </w:r>
            <w:r w:rsidRPr="00BB76D8">
              <w:rPr>
                <w:rFonts w:ascii="Arial Narrow" w:hAnsi="Arial Narrow" w:cs="Arial"/>
                <w:i/>
                <w:sz w:val="18"/>
                <w:szCs w:val="18"/>
              </w:rPr>
              <w:t>CIN</w:t>
            </w:r>
            <w:r w:rsidRPr="00537C3C">
              <w:rPr>
                <w:rFonts w:ascii="Arial Narrow" w:hAnsi="Arial Narrow" w:cs="Arial"/>
                <w:i/>
                <w:sz w:val="18"/>
                <w:szCs w:val="18"/>
              </w:rPr>
              <w:t xml:space="preserve"> 1+, overall</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71–106 more </w:t>
            </w:r>
            <w:r w:rsidRPr="00BB76D8">
              <w:rPr>
                <w:rFonts w:ascii="Arial Narrow" w:hAnsi="Arial Narrow" w:cs="Arial"/>
                <w:sz w:val="18"/>
                <w:szCs w:val="18"/>
              </w:rPr>
              <w:t>TP</w:t>
            </w:r>
            <w:r w:rsidRPr="00537C3C">
              <w:rPr>
                <w:rFonts w:ascii="Arial Narrow" w:hAnsi="Arial Narrow" w:cs="Arial"/>
                <w:sz w:val="18"/>
                <w:szCs w:val="18"/>
              </w:rPr>
              <w:t>s (1.29–1.92 per 1000 women), 126–170 more biopsies (2.28–3.08 per 1000) than conventional (41–170 additional biopsies negative for high-grade lesion)</w:t>
            </w:r>
          </w:p>
          <w:p w:rsidR="00234376" w:rsidRPr="00537C3C" w:rsidRDefault="00234376" w:rsidP="008E03A7">
            <w:pPr>
              <w:spacing w:before="40" w:after="0"/>
              <w:ind w:left="0"/>
              <w:rPr>
                <w:rFonts w:ascii="Arial Narrow" w:hAnsi="Arial Narrow" w:cs="Arial"/>
                <w:i/>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Test threshold inconcl</w:t>
            </w:r>
            <w:r w:rsidRPr="00234376">
              <w:rPr>
                <w:rFonts w:ascii="Arial Narrow" w:hAnsi="Arial Narrow" w:cs="Arial"/>
                <w:i/>
                <w:sz w:val="18"/>
                <w:szCs w:val="18"/>
              </w:rPr>
              <w:t>usive</w:t>
            </w:r>
            <w:r w:rsidRPr="00537C3C">
              <w:rPr>
                <w:rFonts w:ascii="Arial Narrow" w:hAnsi="Arial Narrow" w:cs="Arial"/>
                <w:i/>
                <w:sz w:val="18"/>
                <w:szCs w:val="18"/>
              </w:rPr>
              <w:t xml:space="preserve"> high grade+:</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45 (141 – 96) more </w:t>
            </w:r>
            <w:r w:rsidRPr="00BB76D8">
              <w:rPr>
                <w:rFonts w:ascii="Arial Narrow" w:hAnsi="Arial Narrow" w:cs="Arial"/>
                <w:sz w:val="18"/>
                <w:szCs w:val="18"/>
              </w:rPr>
              <w:t>TP</w:t>
            </w:r>
            <w:r w:rsidRPr="00537C3C">
              <w:rPr>
                <w:rFonts w:ascii="Arial Narrow" w:hAnsi="Arial Narrow" w:cs="Arial"/>
                <w:sz w:val="18"/>
                <w:szCs w:val="18"/>
              </w:rPr>
              <w:t xml:space="preserve">s (0.82 [0.27–1.36] per 1000 women), Pearson’s </w:t>
            </w:r>
            <w:r w:rsidRPr="00537C3C">
              <w:rPr>
                <w:rFonts w:ascii="Arial Narrow" w:hAnsi="Arial Narrow" w:cs="Arial"/>
                <w:sz w:val="18"/>
                <w:szCs w:val="18"/>
              </w:rPr>
              <w:sym w:font="Symbol" w:char="F063"/>
            </w:r>
            <w:r w:rsidRPr="00537C3C">
              <w:rPr>
                <w:rFonts w:ascii="Arial Narrow" w:hAnsi="Arial Narrow" w:cs="Arial"/>
                <w:sz w:val="18"/>
                <w:szCs w:val="18"/>
                <w:vertAlign w:val="superscript"/>
              </w:rPr>
              <w:t>2</w:t>
            </w:r>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 0.0034), 41 more biopsies (262 – 221; 0.74 [–0.02 to +1.51] per 1000; Pearson’s </w:t>
            </w:r>
            <w:r w:rsidRPr="00537C3C">
              <w:rPr>
                <w:rFonts w:ascii="Arial Narrow" w:hAnsi="Arial Narrow" w:cs="Arial"/>
                <w:sz w:val="18"/>
                <w:szCs w:val="18"/>
              </w:rPr>
              <w:sym w:font="Symbol" w:char="F063"/>
            </w:r>
            <w:r w:rsidRPr="00537C3C">
              <w:rPr>
                <w:rFonts w:ascii="Arial Narrow" w:hAnsi="Arial Narrow" w:cs="Arial"/>
                <w:sz w:val="18"/>
                <w:szCs w:val="18"/>
                <w:vertAlign w:val="superscript"/>
              </w:rPr>
              <w:t>2</w:t>
            </w:r>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 0.0615), 4 fewer biopsies negative for high-grade lesion (–0.07 [–0.63 to +0.48] per 1000). </w:t>
            </w:r>
            <w:r w:rsidRPr="00BB76D8">
              <w:rPr>
                <w:rFonts w:ascii="Arial Narrow" w:hAnsi="Arial Narrow" w:cs="Arial"/>
                <w:sz w:val="18"/>
                <w:szCs w:val="18"/>
              </w:rPr>
              <w:t>FP</w:t>
            </w:r>
            <w:r w:rsidRPr="00537C3C">
              <w:rPr>
                <w:rFonts w:ascii="Arial Narrow" w:hAnsi="Arial Narrow" w:cs="Arial"/>
                <w:sz w:val="18"/>
                <w:szCs w:val="18"/>
              </w:rPr>
              <w:t>s 4 fewer (</w:t>
            </w:r>
            <w:r w:rsidRPr="00BB76D8">
              <w:rPr>
                <w:rFonts w:ascii="Arial Narrow" w:hAnsi="Arial Narrow" w:cs="Arial"/>
                <w:sz w:val="18"/>
                <w:szCs w:val="18"/>
              </w:rPr>
              <w:t>TPI</w:t>
            </w:r>
            <w:r w:rsidRPr="00537C3C">
              <w:rPr>
                <w:rFonts w:ascii="Arial Narrow" w:hAnsi="Arial Narrow" w:cs="Arial"/>
                <w:sz w:val="18"/>
                <w:szCs w:val="18"/>
              </w:rPr>
              <w:t xml:space="preserve"> 121, conv 125) Pearson’s </w:t>
            </w:r>
            <w:r w:rsidRPr="00537C3C">
              <w:rPr>
                <w:rFonts w:ascii="Arial Narrow" w:hAnsi="Arial Narrow" w:cs="Arial"/>
                <w:sz w:val="18"/>
                <w:szCs w:val="18"/>
              </w:rPr>
              <w:sym w:font="Symbol" w:char="F063"/>
            </w:r>
            <w:r w:rsidRPr="00537C3C">
              <w:rPr>
                <w:rFonts w:ascii="Arial Narrow" w:hAnsi="Arial Narrow" w:cs="Arial"/>
                <w:sz w:val="18"/>
                <w:szCs w:val="18"/>
                <w:vertAlign w:val="superscript"/>
              </w:rPr>
              <w:t>2</w:t>
            </w:r>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 0.798. </w:t>
            </w:r>
            <w:r w:rsidRPr="00BB76D8">
              <w:rPr>
                <w:rFonts w:ascii="Arial Narrow" w:hAnsi="Arial Narrow" w:cs="Arial"/>
                <w:sz w:val="18"/>
                <w:szCs w:val="18"/>
              </w:rPr>
              <w:t>TP</w:t>
            </w:r>
            <w:r w:rsidRPr="00537C3C">
              <w:rPr>
                <w:rFonts w:ascii="Arial Narrow" w:hAnsi="Arial Narrow" w:cs="Arial"/>
                <w:sz w:val="18"/>
                <w:szCs w:val="18"/>
              </w:rPr>
              <w:t>:</w:t>
            </w:r>
            <w:r w:rsidRPr="00BB76D8">
              <w:rPr>
                <w:rFonts w:ascii="Arial Narrow" w:hAnsi="Arial Narrow" w:cs="Arial"/>
                <w:sz w:val="18"/>
                <w:szCs w:val="18"/>
              </w:rPr>
              <w:t>FP</w:t>
            </w:r>
            <w:r w:rsidRPr="00537C3C">
              <w:rPr>
                <w:rFonts w:ascii="Arial Narrow" w:hAnsi="Arial Narrow" w:cs="Arial"/>
                <w:sz w:val="18"/>
                <w:szCs w:val="18"/>
              </w:rPr>
              <w:t xml:space="preserve"> for discordant positives: </w:t>
            </w:r>
            <w:r w:rsidRPr="00BB76D8">
              <w:rPr>
                <w:rFonts w:ascii="Arial Narrow" w:hAnsi="Arial Narrow" w:cs="Arial"/>
                <w:sz w:val="18"/>
                <w:szCs w:val="18"/>
              </w:rPr>
              <w:t>TPI</w:t>
            </w:r>
            <w:r w:rsidRPr="00537C3C">
              <w:rPr>
                <w:rFonts w:ascii="Arial Narrow" w:hAnsi="Arial Narrow" w:cs="Arial"/>
                <w:sz w:val="18"/>
                <w:szCs w:val="18"/>
              </w:rPr>
              <w:t xml:space="preserve"> </w:t>
            </w:r>
            <w:bookmarkStart w:id="919" w:name="OLE_LINK15"/>
            <w:bookmarkStart w:id="920" w:name="OLE_LINK16"/>
            <w:r w:rsidRPr="00537C3C">
              <w:rPr>
                <w:rFonts w:ascii="Arial Narrow" w:hAnsi="Arial Narrow" w:cs="Arial"/>
                <w:sz w:val="18"/>
                <w:szCs w:val="18"/>
              </w:rPr>
              <w:t xml:space="preserve">1:0.86 </w:t>
            </w:r>
            <w:bookmarkEnd w:id="919"/>
            <w:bookmarkEnd w:id="920"/>
            <w:r w:rsidRPr="00537C3C">
              <w:rPr>
                <w:rFonts w:ascii="Arial Narrow" w:hAnsi="Arial Narrow" w:cs="Arial"/>
                <w:sz w:val="18"/>
                <w:szCs w:val="18"/>
              </w:rPr>
              <w:t xml:space="preserve">(141:121), conventional 1:1.30 (96:125); additional </w:t>
            </w:r>
            <w:r w:rsidRPr="00BB76D8">
              <w:rPr>
                <w:rFonts w:ascii="Arial Narrow" w:hAnsi="Arial Narrow" w:cs="Arial"/>
                <w:sz w:val="18"/>
                <w:szCs w:val="18"/>
              </w:rPr>
              <w:t>TP</w:t>
            </w:r>
            <w:r w:rsidRPr="00537C3C">
              <w:rPr>
                <w:rFonts w:ascii="Arial Narrow" w:hAnsi="Arial Narrow" w:cs="Arial"/>
                <w:sz w:val="18"/>
                <w:szCs w:val="18"/>
              </w:rPr>
              <w:t>:</w:t>
            </w:r>
            <w:r w:rsidRPr="00BB76D8">
              <w:rPr>
                <w:rFonts w:ascii="Arial Narrow" w:hAnsi="Arial Narrow" w:cs="Arial"/>
                <w:sz w:val="18"/>
                <w:szCs w:val="18"/>
              </w:rPr>
              <w:t>FP</w:t>
            </w:r>
            <w:r w:rsidRPr="00537C3C">
              <w:rPr>
                <w:rFonts w:ascii="Arial Narrow" w:hAnsi="Arial Narrow" w:cs="Arial"/>
                <w:sz w:val="18"/>
                <w:szCs w:val="18"/>
              </w:rPr>
              <w:t xml:space="preserve"> 45:–4 (1:–0.09)</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i/>
                <w:sz w:val="18"/>
                <w:szCs w:val="18"/>
              </w:rPr>
              <w:t xml:space="preserve">Test threshold atypia with </w:t>
            </w:r>
            <w:r w:rsidRPr="00BB76D8">
              <w:rPr>
                <w:rFonts w:ascii="Arial Narrow" w:hAnsi="Arial Narrow" w:cs="Arial"/>
                <w:i/>
                <w:sz w:val="18"/>
                <w:szCs w:val="18"/>
              </w:rPr>
              <w:t>HPV</w:t>
            </w:r>
            <w:r w:rsidRPr="00537C3C">
              <w:rPr>
                <w:rFonts w:ascii="Arial Narrow" w:hAnsi="Arial Narrow" w:cs="Arial"/>
                <w:i/>
                <w:sz w:val="18"/>
                <w:szCs w:val="18"/>
              </w:rPr>
              <w:t>+ (</w:t>
            </w:r>
            <w:r w:rsidRPr="00BB76D8">
              <w:rPr>
                <w:rFonts w:ascii="Arial Narrow" w:hAnsi="Arial Narrow" w:cs="Arial"/>
                <w:i/>
                <w:sz w:val="18"/>
                <w:szCs w:val="18"/>
              </w:rPr>
              <w:t>LSIL</w:t>
            </w:r>
            <w:r w:rsidRPr="00537C3C">
              <w:rPr>
                <w:rFonts w:ascii="Arial Narrow" w:hAnsi="Arial Narrow" w:cs="Arial"/>
                <w:i/>
                <w:sz w:val="18"/>
                <w:szCs w:val="18"/>
              </w:rPr>
              <w: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Biopsies in 15% (99/656) of discordant findings. </w:t>
            </w:r>
            <w:r w:rsidRPr="00BB76D8">
              <w:rPr>
                <w:rFonts w:ascii="Arial Narrow" w:hAnsi="Arial Narrow" w:cs="Arial"/>
                <w:sz w:val="18"/>
                <w:szCs w:val="18"/>
              </w:rPr>
              <w:t>TPI</w:t>
            </w:r>
            <w:r w:rsidRPr="00537C3C">
              <w:rPr>
                <w:rFonts w:ascii="Arial Narrow" w:hAnsi="Arial Narrow" w:cs="Arial"/>
                <w:sz w:val="18"/>
                <w:szCs w:val="18"/>
              </w:rPr>
              <w:t xml:space="preserve"> 77 (132 – 55) more </w:t>
            </w:r>
            <w:r w:rsidRPr="00BB76D8">
              <w:rPr>
                <w:rFonts w:ascii="Arial Narrow" w:hAnsi="Arial Narrow" w:cs="Arial"/>
                <w:sz w:val="18"/>
                <w:szCs w:val="18"/>
              </w:rPr>
              <w:t>TP</w:t>
            </w:r>
            <w:r w:rsidRPr="00537C3C">
              <w:rPr>
                <w:rFonts w:ascii="Arial Narrow" w:hAnsi="Arial Narrow" w:cs="Arial"/>
                <w:sz w:val="18"/>
                <w:szCs w:val="18"/>
              </w:rPr>
              <w:t xml:space="preserve">s (1.40 [–0.63 to +0.48] per 1000 women, Pearson’s </w:t>
            </w:r>
            <w:r w:rsidRPr="00537C3C">
              <w:rPr>
                <w:rFonts w:ascii="Arial Narrow" w:hAnsi="Arial Narrow" w:cs="Arial"/>
                <w:sz w:val="18"/>
                <w:szCs w:val="18"/>
              </w:rPr>
              <w:sym w:font="Symbol" w:char="F063"/>
            </w:r>
            <w:r w:rsidRPr="00537C3C">
              <w:rPr>
                <w:rFonts w:ascii="Arial Narrow" w:hAnsi="Arial Narrow" w:cs="Arial"/>
                <w:sz w:val="18"/>
                <w:szCs w:val="18"/>
                <w:vertAlign w:val="superscript"/>
              </w:rPr>
              <w:t>2</w:t>
            </w:r>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&lt; 0.0001), 208 more biopsies (429 – 221; 3.77 [2.90–4.65] per 1000), 131 additional biopsies negative for high-grade lesion. </w:t>
            </w:r>
            <w:r w:rsidRPr="00BB76D8">
              <w:rPr>
                <w:rFonts w:ascii="Arial Narrow" w:hAnsi="Arial Narrow" w:cs="Arial"/>
                <w:sz w:val="18"/>
                <w:szCs w:val="18"/>
              </w:rPr>
              <w:t>FP</w:t>
            </w:r>
            <w:r w:rsidRPr="00537C3C">
              <w:rPr>
                <w:rFonts w:ascii="Arial Narrow" w:hAnsi="Arial Narrow" w:cs="Arial"/>
                <w:sz w:val="18"/>
                <w:szCs w:val="18"/>
              </w:rPr>
              <w:t xml:space="preserve">s = </w:t>
            </w:r>
            <w:r w:rsidRPr="00BB76D8">
              <w:rPr>
                <w:rFonts w:ascii="Arial Narrow" w:hAnsi="Arial Narrow" w:cs="Arial"/>
                <w:sz w:val="18"/>
                <w:szCs w:val="18"/>
              </w:rPr>
              <w:t>TPI</w:t>
            </w:r>
            <w:r w:rsidRPr="00537C3C">
              <w:rPr>
                <w:rFonts w:ascii="Arial Narrow" w:hAnsi="Arial Narrow" w:cs="Arial"/>
                <w:sz w:val="18"/>
                <w:szCs w:val="18"/>
              </w:rPr>
              <w:t xml:space="preserve"> additional 131 (297 – 166), 2.37 [1.63–3.13] per 1000. </w:t>
            </w:r>
            <w:r w:rsidRPr="00BB76D8">
              <w:rPr>
                <w:rFonts w:ascii="Arial Narrow" w:hAnsi="Arial Narrow" w:cs="Arial"/>
                <w:sz w:val="18"/>
                <w:szCs w:val="18"/>
              </w:rPr>
              <w:t>TP</w:t>
            </w:r>
            <w:r w:rsidRPr="00537C3C">
              <w:rPr>
                <w:rFonts w:ascii="Arial Narrow" w:hAnsi="Arial Narrow" w:cs="Arial"/>
                <w:sz w:val="18"/>
                <w:szCs w:val="18"/>
              </w:rPr>
              <w:t>:</w:t>
            </w:r>
            <w:r w:rsidRPr="00BB76D8">
              <w:rPr>
                <w:rFonts w:ascii="Arial Narrow" w:hAnsi="Arial Narrow" w:cs="Arial"/>
                <w:sz w:val="18"/>
                <w:szCs w:val="18"/>
              </w:rPr>
              <w:t>FP</w:t>
            </w:r>
            <w:r w:rsidRPr="00537C3C">
              <w:rPr>
                <w:rFonts w:ascii="Arial Narrow" w:hAnsi="Arial Narrow" w:cs="Arial"/>
                <w:sz w:val="18"/>
                <w:szCs w:val="18"/>
              </w:rPr>
              <w:t xml:space="preserve"> for discordant positives: </w:t>
            </w:r>
            <w:r w:rsidRPr="00BB76D8">
              <w:rPr>
                <w:rFonts w:ascii="Arial Narrow" w:hAnsi="Arial Narrow" w:cs="Arial"/>
                <w:sz w:val="18"/>
                <w:szCs w:val="18"/>
              </w:rPr>
              <w:t>TPI</w:t>
            </w:r>
            <w:r w:rsidRPr="00537C3C">
              <w:rPr>
                <w:rFonts w:ascii="Arial Narrow" w:hAnsi="Arial Narrow" w:cs="Arial"/>
                <w:sz w:val="18"/>
                <w:szCs w:val="18"/>
              </w:rPr>
              <w:t xml:space="preserve"> 1:2.25 (132:297), conventional 1:3.02 (55:166); additional </w:t>
            </w:r>
            <w:r w:rsidRPr="00BB76D8">
              <w:rPr>
                <w:rFonts w:ascii="Arial Narrow" w:hAnsi="Arial Narrow" w:cs="Arial"/>
                <w:sz w:val="18"/>
                <w:szCs w:val="18"/>
              </w:rPr>
              <w:t>TP</w:t>
            </w:r>
            <w:r w:rsidRPr="00537C3C">
              <w:rPr>
                <w:rFonts w:ascii="Arial Narrow" w:hAnsi="Arial Narrow" w:cs="Arial"/>
                <w:sz w:val="18"/>
                <w:szCs w:val="18"/>
              </w:rPr>
              <w:t>:</w:t>
            </w:r>
            <w:r w:rsidRPr="00BB76D8">
              <w:rPr>
                <w:rFonts w:ascii="Arial Narrow" w:hAnsi="Arial Narrow" w:cs="Arial"/>
                <w:sz w:val="18"/>
                <w:szCs w:val="18"/>
              </w:rPr>
              <w:t>FP</w:t>
            </w:r>
            <w:r w:rsidRPr="00537C3C">
              <w:rPr>
                <w:rFonts w:ascii="Arial Narrow" w:hAnsi="Arial Narrow" w:cs="Arial"/>
                <w:sz w:val="18"/>
                <w:szCs w:val="18"/>
              </w:rPr>
              <w:t xml:space="preserve"> 77:131 </w:t>
            </w:r>
            <w:r w:rsidRPr="00537C3C" w:rsidDel="001E6D1E">
              <w:rPr>
                <w:rFonts w:ascii="Arial Narrow" w:hAnsi="Arial Narrow" w:cs="Arial"/>
                <w:sz w:val="18"/>
                <w:szCs w:val="18"/>
              </w:rPr>
              <w:t>(</w:t>
            </w:r>
            <w:r w:rsidRPr="00537C3C">
              <w:rPr>
                <w:rFonts w:ascii="Arial Narrow" w:hAnsi="Arial Narrow" w:cs="Arial"/>
                <w:sz w:val="18"/>
                <w:szCs w:val="18"/>
              </w:rPr>
              <w:t>1:1.70)</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i/>
                <w:sz w:val="18"/>
                <w:szCs w:val="18"/>
              </w:rPr>
              <w:t xml:space="preserve">Test threshold </w:t>
            </w:r>
            <w:r w:rsidRPr="00BB76D8">
              <w:rPr>
                <w:rFonts w:ascii="Arial Narrow" w:hAnsi="Arial Narrow" w:cs="Arial"/>
                <w:i/>
                <w:sz w:val="18"/>
                <w:szCs w:val="18"/>
              </w:rPr>
              <w:t>CIN</w:t>
            </w:r>
            <w:r w:rsidRPr="00537C3C">
              <w:rPr>
                <w:rFonts w:ascii="Arial Narrow" w:hAnsi="Arial Narrow" w:cs="Arial"/>
                <w:i/>
                <w:sz w:val="18"/>
                <w:szCs w:val="18"/>
              </w:rPr>
              <w:t xml:space="preserve"> 1+, blinded re-reading as ref std</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85 more </w:t>
            </w:r>
            <w:r w:rsidRPr="00BB76D8">
              <w:rPr>
                <w:rFonts w:ascii="Arial Narrow" w:hAnsi="Arial Narrow" w:cs="Arial"/>
                <w:sz w:val="18"/>
                <w:szCs w:val="18"/>
              </w:rPr>
              <w:t>TP</w:t>
            </w:r>
            <w:r w:rsidRPr="00537C3C">
              <w:rPr>
                <w:rFonts w:ascii="Arial Narrow" w:hAnsi="Arial Narrow" w:cs="Arial"/>
                <w:sz w:val="18"/>
                <w:szCs w:val="18"/>
              </w:rPr>
              <w:t>s (153 – 68), 126 more biopsies (280 – 154) than conventional (41 additional biopsies negative for high-grade lesion) (</w:t>
            </w:r>
            <w:r w:rsidRPr="00537C3C">
              <w:rPr>
                <w:rFonts w:ascii="Arial Narrow" w:hAnsi="Arial Narrow" w:cs="Arial"/>
                <w:sz w:val="18"/>
                <w:szCs w:val="18"/>
              </w:rPr>
              <w:sym w:font="Symbol" w:char="F063"/>
            </w:r>
            <w:r w:rsidRPr="0030078D">
              <w:rPr>
                <w:rFonts w:ascii="Arial Narrow" w:hAnsi="Arial Narrow" w:cs="Arial"/>
                <w:sz w:val="18"/>
                <w:szCs w:val="18"/>
                <w:vertAlign w:val="superscript"/>
              </w:rPr>
              <w:t>2</w:t>
            </w:r>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 0.0000), additional </w:t>
            </w:r>
            <w:r w:rsidRPr="00BB76D8">
              <w:rPr>
                <w:rFonts w:ascii="Arial Narrow" w:hAnsi="Arial Narrow" w:cs="Arial"/>
                <w:sz w:val="18"/>
                <w:szCs w:val="18"/>
              </w:rPr>
              <w:t>FP</w:t>
            </w:r>
            <w:r w:rsidRPr="00537C3C">
              <w:rPr>
                <w:rFonts w:ascii="Arial Narrow" w:hAnsi="Arial Narrow" w:cs="Arial"/>
                <w:sz w:val="18"/>
                <w:szCs w:val="18"/>
              </w:rPr>
              <w:t>s (127 – 86)</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w:t>
            </w:r>
            <w:r w:rsidRPr="00537C3C">
              <w:rPr>
                <w:rFonts w:ascii="Arial Narrow" w:hAnsi="Arial Narrow" w:cs="Arial"/>
                <w:sz w:val="18"/>
                <w:szCs w:val="18"/>
              </w:rPr>
              <w:t>:</w:t>
            </w:r>
            <w:r w:rsidRPr="00BB76D8">
              <w:rPr>
                <w:rFonts w:ascii="Arial Narrow" w:hAnsi="Arial Narrow" w:cs="Arial"/>
                <w:sz w:val="18"/>
                <w:szCs w:val="18"/>
              </w:rPr>
              <w:t>FP</w:t>
            </w:r>
            <w:r w:rsidRPr="00537C3C">
              <w:rPr>
                <w:rFonts w:ascii="Arial Narrow" w:hAnsi="Arial Narrow" w:cs="Arial"/>
                <w:sz w:val="18"/>
                <w:szCs w:val="18"/>
              </w:rPr>
              <w:t xml:space="preserve"> for additional positives 85:41 (1:0.48)</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i/>
                <w:sz w:val="18"/>
                <w:szCs w:val="18"/>
              </w:rPr>
              <w:t xml:space="preserve">Test threshold </w:t>
            </w:r>
            <w:r w:rsidRPr="00BB76D8">
              <w:rPr>
                <w:rFonts w:ascii="Arial Narrow" w:hAnsi="Arial Narrow" w:cs="Arial"/>
                <w:i/>
                <w:sz w:val="18"/>
                <w:szCs w:val="18"/>
              </w:rPr>
              <w:t>CIN</w:t>
            </w:r>
            <w:r w:rsidRPr="00537C3C">
              <w:rPr>
                <w:rFonts w:ascii="Arial Narrow" w:hAnsi="Arial Narrow" w:cs="Arial"/>
                <w:i/>
                <w:sz w:val="18"/>
                <w:szCs w:val="18"/>
              </w:rPr>
              <w:t xml:space="preserve"> 1+, most severe histology result as ref std</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106 more </w:t>
            </w:r>
            <w:r w:rsidRPr="00BB76D8">
              <w:rPr>
                <w:rFonts w:ascii="Arial Narrow" w:hAnsi="Arial Narrow" w:cs="Arial"/>
                <w:sz w:val="18"/>
                <w:szCs w:val="18"/>
              </w:rPr>
              <w:t>TP</w:t>
            </w:r>
            <w:r w:rsidRPr="00537C3C">
              <w:rPr>
                <w:rFonts w:ascii="Arial Narrow" w:hAnsi="Arial Narrow" w:cs="Arial"/>
                <w:sz w:val="18"/>
                <w:szCs w:val="18"/>
              </w:rPr>
              <w:t xml:space="preserve">s (196 – 90), 170 more biopsies (380 – 210) than conventional (64 additional biopsies negative for high-grade lesion [184 – 120]). Additional </w:t>
            </w:r>
            <w:r w:rsidRPr="00BB76D8">
              <w:rPr>
                <w:rFonts w:ascii="Arial Narrow" w:hAnsi="Arial Narrow" w:cs="Arial"/>
                <w:sz w:val="18"/>
                <w:szCs w:val="18"/>
              </w:rPr>
              <w:t>TP</w:t>
            </w:r>
            <w:r w:rsidRPr="00537C3C">
              <w:rPr>
                <w:rFonts w:ascii="Arial Narrow" w:hAnsi="Arial Narrow" w:cs="Arial"/>
                <w:sz w:val="18"/>
                <w:szCs w:val="18"/>
              </w:rPr>
              <w:t>:</w:t>
            </w:r>
            <w:r w:rsidRPr="00BB76D8">
              <w:rPr>
                <w:rFonts w:ascii="Arial Narrow" w:hAnsi="Arial Narrow" w:cs="Arial"/>
                <w:sz w:val="18"/>
                <w:szCs w:val="18"/>
              </w:rPr>
              <w:t>FP</w:t>
            </w:r>
            <w:r w:rsidRPr="00537C3C">
              <w:rPr>
                <w:rFonts w:ascii="Arial Narrow" w:hAnsi="Arial Narrow" w:cs="Arial"/>
                <w:sz w:val="18"/>
                <w:szCs w:val="18"/>
              </w:rPr>
              <w:t xml:space="preserve"> 106:64 (1:0.60)</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u w:val="single"/>
              </w:rPr>
            </w:pPr>
            <w:r w:rsidRPr="00537C3C">
              <w:rPr>
                <w:rFonts w:ascii="Arial Narrow" w:hAnsi="Arial Narrow" w:cs="Arial"/>
                <w:sz w:val="18"/>
                <w:szCs w:val="18"/>
                <w:u w:val="single"/>
              </w:rPr>
              <w:t xml:space="preserve">Glandular lesions to detect </w:t>
            </w:r>
            <w:r w:rsidRPr="00BB76D8">
              <w:rPr>
                <w:rFonts w:ascii="Arial Narrow" w:hAnsi="Arial Narrow" w:cs="Arial"/>
                <w:sz w:val="18"/>
                <w:szCs w:val="18"/>
                <w:u w:val="single"/>
              </w:rPr>
              <w:t>AIS</w:t>
            </w:r>
            <w:r w:rsidRPr="00537C3C">
              <w:rPr>
                <w:rFonts w:ascii="Arial Narrow" w:hAnsi="Arial Narrow" w:cs="Arial"/>
                <w:sz w:val="18"/>
                <w:szCs w:val="18"/>
                <w:u w:val="single"/>
              </w:rPr>
              <w: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41.3% (26/63) total +ve on either test verified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Test threshold atypia</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w:t>
            </w:r>
            <w:r w:rsidRPr="00BB76D8">
              <w:rPr>
                <w:rFonts w:ascii="Arial Narrow" w:hAnsi="Arial Narrow" w:cs="Arial"/>
                <w:sz w:val="18"/>
                <w:szCs w:val="18"/>
              </w:rPr>
              <w:t>TP</w:t>
            </w:r>
            <w:r w:rsidRPr="00537C3C">
              <w:rPr>
                <w:rFonts w:ascii="Arial Narrow" w:hAnsi="Arial Narrow" w:cs="Arial"/>
                <w:sz w:val="18"/>
                <w:szCs w:val="18"/>
              </w:rPr>
              <w:t xml:space="preserve"> = 6, </w:t>
            </w:r>
            <w:r w:rsidRPr="00BB76D8">
              <w:rPr>
                <w:rFonts w:ascii="Arial Narrow" w:hAnsi="Arial Narrow" w:cs="Arial"/>
                <w:sz w:val="18"/>
                <w:szCs w:val="18"/>
              </w:rPr>
              <w:t>FN</w:t>
            </w:r>
            <w:r w:rsidRPr="00537C3C">
              <w:rPr>
                <w:rFonts w:ascii="Arial Narrow" w:hAnsi="Arial Narrow" w:cs="Arial"/>
                <w:sz w:val="18"/>
                <w:szCs w:val="18"/>
              </w:rPr>
              <w:t xml:space="preserve"> = 0, </w:t>
            </w:r>
            <w:r w:rsidRPr="00BB76D8">
              <w:rPr>
                <w:rFonts w:ascii="Arial Narrow" w:hAnsi="Arial Narrow" w:cs="Arial"/>
                <w:sz w:val="18"/>
                <w:szCs w:val="18"/>
              </w:rPr>
              <w:t>FP</w:t>
            </w:r>
            <w:r w:rsidRPr="00537C3C">
              <w:rPr>
                <w:rFonts w:ascii="Arial Narrow" w:hAnsi="Arial Narrow" w:cs="Arial"/>
                <w:sz w:val="18"/>
                <w:szCs w:val="18"/>
              </w:rPr>
              <w:t xml:space="preserve"> = 8, </w:t>
            </w:r>
            <w:r w:rsidRPr="001E6D1E">
              <w:rPr>
                <w:rFonts w:ascii="Arial Narrow" w:hAnsi="Arial Narrow" w:cs="Arial"/>
                <w:sz w:val="18"/>
                <w:szCs w:val="18"/>
              </w:rPr>
              <w:t>TN</w:t>
            </w:r>
            <w:r w:rsidRPr="00537C3C">
              <w:rPr>
                <w:rFonts w:ascii="Arial Narrow" w:hAnsi="Arial Narrow" w:cs="Arial"/>
                <w:sz w:val="18"/>
                <w:szCs w:val="18"/>
              </w:rPr>
              <w:t xml:space="preserve"> = 12; conv: </w:t>
            </w:r>
            <w:r w:rsidRPr="00BB76D8">
              <w:rPr>
                <w:rFonts w:ascii="Arial Narrow" w:hAnsi="Arial Narrow" w:cs="Arial"/>
                <w:sz w:val="18"/>
                <w:szCs w:val="18"/>
              </w:rPr>
              <w:t>TP</w:t>
            </w:r>
            <w:r w:rsidRPr="00537C3C">
              <w:rPr>
                <w:rFonts w:ascii="Arial Narrow" w:hAnsi="Arial Narrow" w:cs="Arial"/>
                <w:sz w:val="18"/>
                <w:szCs w:val="18"/>
              </w:rPr>
              <w:t xml:space="preserve"> = 6, </w:t>
            </w:r>
            <w:r w:rsidRPr="00BB76D8">
              <w:rPr>
                <w:rFonts w:ascii="Arial Narrow" w:hAnsi="Arial Narrow" w:cs="Arial"/>
                <w:sz w:val="18"/>
                <w:szCs w:val="18"/>
              </w:rPr>
              <w:t>FN</w:t>
            </w:r>
            <w:r w:rsidRPr="00537C3C">
              <w:rPr>
                <w:rFonts w:ascii="Arial Narrow" w:hAnsi="Arial Narrow" w:cs="Arial"/>
                <w:sz w:val="18"/>
                <w:szCs w:val="18"/>
              </w:rPr>
              <w:t xml:space="preserve"> = 0, </w:t>
            </w:r>
            <w:r w:rsidRPr="00BB76D8">
              <w:rPr>
                <w:rFonts w:ascii="Arial Narrow" w:hAnsi="Arial Narrow" w:cs="Arial"/>
                <w:sz w:val="18"/>
                <w:szCs w:val="18"/>
              </w:rPr>
              <w:t>FP</w:t>
            </w:r>
            <w:r w:rsidRPr="00537C3C">
              <w:rPr>
                <w:rFonts w:ascii="Arial Narrow" w:hAnsi="Arial Narrow" w:cs="Arial"/>
                <w:sz w:val="18"/>
                <w:szCs w:val="18"/>
              </w:rPr>
              <w:t xml:space="preserve"> = 16, </w:t>
            </w:r>
            <w:r w:rsidRPr="00BB76D8">
              <w:rPr>
                <w:rFonts w:ascii="Arial Narrow" w:hAnsi="Arial Narrow" w:cs="Arial"/>
                <w:sz w:val="18"/>
                <w:szCs w:val="18"/>
              </w:rPr>
              <w:t>TN</w:t>
            </w:r>
            <w:r w:rsidRPr="00537C3C">
              <w:rPr>
                <w:rFonts w:ascii="Arial Narrow" w:hAnsi="Arial Narrow" w:cs="Arial"/>
                <w:sz w:val="18"/>
                <w:szCs w:val="18"/>
              </w:rPr>
              <w:t xml:space="preserve"> = 4</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Test threshold inconclusive, high grade to be excluded</w:t>
            </w:r>
          </w:p>
          <w:p w:rsidR="00234376" w:rsidRPr="00537C3C" w:rsidRDefault="00234376" w:rsidP="008E03A7">
            <w:pPr>
              <w:spacing w:before="40" w:after="0"/>
              <w:ind w:left="0"/>
              <w:rPr>
                <w:rFonts w:ascii="Arial Narrow" w:hAnsi="Arial Narrow" w:cs="Arial"/>
                <w:sz w:val="18"/>
                <w:szCs w:val="18"/>
                <w:u w:val="single"/>
              </w:rPr>
            </w:pPr>
            <w:r w:rsidRPr="00BB76D8">
              <w:rPr>
                <w:rFonts w:ascii="Arial Narrow" w:hAnsi="Arial Narrow" w:cs="Arial"/>
                <w:sz w:val="18"/>
                <w:szCs w:val="18"/>
              </w:rPr>
              <w:t>TPI</w:t>
            </w:r>
            <w:r w:rsidRPr="00537C3C">
              <w:rPr>
                <w:rFonts w:ascii="Arial Narrow" w:hAnsi="Arial Narrow" w:cs="Arial"/>
                <w:sz w:val="18"/>
                <w:szCs w:val="18"/>
              </w:rPr>
              <w:t xml:space="preserve">: </w:t>
            </w:r>
            <w:r w:rsidRPr="00BB76D8">
              <w:rPr>
                <w:rFonts w:ascii="Arial Narrow" w:hAnsi="Arial Narrow" w:cs="Arial"/>
                <w:sz w:val="18"/>
                <w:szCs w:val="18"/>
              </w:rPr>
              <w:t>TP</w:t>
            </w:r>
            <w:r w:rsidRPr="00537C3C">
              <w:rPr>
                <w:rFonts w:ascii="Arial Narrow" w:hAnsi="Arial Narrow" w:cs="Arial"/>
                <w:sz w:val="18"/>
                <w:szCs w:val="18"/>
              </w:rPr>
              <w:t xml:space="preserve"> = 5, </w:t>
            </w:r>
            <w:r w:rsidRPr="00BB76D8">
              <w:rPr>
                <w:rFonts w:ascii="Arial Narrow" w:hAnsi="Arial Narrow" w:cs="Arial"/>
                <w:sz w:val="18"/>
                <w:szCs w:val="18"/>
              </w:rPr>
              <w:t>FN</w:t>
            </w:r>
            <w:r w:rsidRPr="00537C3C">
              <w:rPr>
                <w:rFonts w:ascii="Arial Narrow" w:hAnsi="Arial Narrow" w:cs="Arial"/>
                <w:sz w:val="18"/>
                <w:szCs w:val="18"/>
              </w:rPr>
              <w:t xml:space="preserve"> = 1, </w:t>
            </w:r>
            <w:r w:rsidRPr="00BB76D8">
              <w:rPr>
                <w:rFonts w:ascii="Arial Narrow" w:hAnsi="Arial Narrow" w:cs="Arial"/>
                <w:sz w:val="18"/>
                <w:szCs w:val="18"/>
              </w:rPr>
              <w:t>FP</w:t>
            </w:r>
            <w:r w:rsidRPr="00537C3C">
              <w:rPr>
                <w:rFonts w:ascii="Arial Narrow" w:hAnsi="Arial Narrow" w:cs="Arial"/>
                <w:sz w:val="18"/>
                <w:szCs w:val="18"/>
              </w:rPr>
              <w:t xml:space="preserve"> = 3, </w:t>
            </w:r>
            <w:r w:rsidRPr="00BB76D8">
              <w:rPr>
                <w:rFonts w:ascii="Arial Narrow" w:hAnsi="Arial Narrow" w:cs="Arial"/>
                <w:sz w:val="18"/>
                <w:szCs w:val="18"/>
              </w:rPr>
              <w:t>TN</w:t>
            </w:r>
            <w:r w:rsidRPr="00537C3C">
              <w:rPr>
                <w:rFonts w:ascii="Arial Narrow" w:hAnsi="Arial Narrow" w:cs="Arial"/>
                <w:sz w:val="18"/>
                <w:szCs w:val="18"/>
              </w:rPr>
              <w:t xml:space="preserve"> = 17; conv: </w:t>
            </w:r>
            <w:r w:rsidRPr="00BB76D8">
              <w:rPr>
                <w:rFonts w:ascii="Arial Narrow" w:hAnsi="Arial Narrow" w:cs="Arial"/>
                <w:sz w:val="18"/>
                <w:szCs w:val="18"/>
              </w:rPr>
              <w:t>TP</w:t>
            </w:r>
            <w:r w:rsidRPr="00537C3C">
              <w:rPr>
                <w:rFonts w:ascii="Arial Narrow" w:hAnsi="Arial Narrow" w:cs="Arial"/>
                <w:sz w:val="18"/>
                <w:szCs w:val="18"/>
              </w:rPr>
              <w:t xml:space="preserve"> = 6, </w:t>
            </w:r>
            <w:r w:rsidRPr="00BB76D8">
              <w:rPr>
                <w:rFonts w:ascii="Arial Narrow" w:hAnsi="Arial Narrow" w:cs="Arial"/>
                <w:sz w:val="18"/>
                <w:szCs w:val="18"/>
              </w:rPr>
              <w:t>FN</w:t>
            </w:r>
            <w:r w:rsidRPr="00537C3C">
              <w:rPr>
                <w:rFonts w:ascii="Arial Narrow" w:hAnsi="Arial Narrow" w:cs="Arial"/>
                <w:sz w:val="18"/>
                <w:szCs w:val="18"/>
              </w:rPr>
              <w:t xml:space="preserve"> = 0, </w:t>
            </w:r>
            <w:r w:rsidRPr="00BB76D8">
              <w:rPr>
                <w:rFonts w:ascii="Arial Narrow" w:hAnsi="Arial Narrow" w:cs="Arial"/>
                <w:sz w:val="18"/>
                <w:szCs w:val="18"/>
              </w:rPr>
              <w:t>FP</w:t>
            </w:r>
            <w:r w:rsidRPr="00537C3C">
              <w:rPr>
                <w:rFonts w:ascii="Arial Narrow" w:hAnsi="Arial Narrow" w:cs="Arial"/>
                <w:sz w:val="18"/>
                <w:szCs w:val="18"/>
              </w:rPr>
              <w:t xml:space="preserve"> = 9, </w:t>
            </w:r>
            <w:r w:rsidRPr="00BB76D8">
              <w:rPr>
                <w:rFonts w:ascii="Arial Narrow" w:hAnsi="Arial Narrow" w:cs="Arial"/>
                <w:sz w:val="18"/>
                <w:szCs w:val="18"/>
              </w:rPr>
              <w:t>TN</w:t>
            </w:r>
            <w:r w:rsidRPr="00537C3C">
              <w:rPr>
                <w:rFonts w:ascii="Arial Narrow" w:hAnsi="Arial Narrow" w:cs="Arial"/>
                <w:sz w:val="18"/>
                <w:szCs w:val="18"/>
              </w:rPr>
              <w:t xml:space="preserve"> = 11</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sz w:val="18"/>
                <w:szCs w:val="18"/>
              </w:rPr>
              <w:lastRenderedPageBreak/>
              <w:t>Test characteristics</w:t>
            </w:r>
          </w:p>
          <w:p w:rsidR="00234376" w:rsidRPr="00537C3C" w:rsidRDefault="00234376" w:rsidP="008E03A7">
            <w:pPr>
              <w:pStyle w:val="TableTextCharCharChar"/>
              <w:rPr>
                <w:rFonts w:cs="Arial"/>
                <w:szCs w:val="18"/>
                <w:u w:val="single"/>
              </w:rPr>
            </w:pPr>
            <w:r w:rsidRPr="00537C3C">
              <w:rPr>
                <w:rFonts w:cs="Arial"/>
                <w:szCs w:val="18"/>
                <w:u w:val="single"/>
              </w:rPr>
              <w:t>Unsatisfactory rate</w:t>
            </w:r>
          </w:p>
          <w:p w:rsidR="00234376" w:rsidRPr="00537C3C" w:rsidRDefault="00234376" w:rsidP="008E03A7">
            <w:pPr>
              <w:spacing w:before="40" w:after="0"/>
              <w:ind w:left="0"/>
              <w:rPr>
                <w:rFonts w:ascii="Arial Narrow" w:hAnsi="Arial Narrow" w:cs="Arial"/>
                <w:sz w:val="18"/>
                <w:szCs w:val="18"/>
                <w:vertAlign w:val="superscript"/>
              </w:rPr>
            </w:pPr>
            <w:r w:rsidRPr="00BB76D8">
              <w:rPr>
                <w:rFonts w:ascii="Arial Narrow" w:hAnsi="Arial Narrow" w:cs="Arial"/>
                <w:sz w:val="18"/>
                <w:szCs w:val="18"/>
              </w:rPr>
              <w:t>TPI</w:t>
            </w:r>
            <w:r w:rsidRPr="00537C3C">
              <w:rPr>
                <w:rFonts w:ascii="Arial Narrow" w:hAnsi="Arial Narrow" w:cs="Arial"/>
                <w:sz w:val="18"/>
                <w:szCs w:val="18"/>
              </w:rPr>
              <w:t xml:space="preserve"> 1.8%; conventional 3.1% (</w:t>
            </w:r>
            <w:r w:rsidRPr="00537C3C">
              <w:rPr>
                <w:rFonts w:ascii="Arial Narrow" w:hAnsi="Arial Narrow" w:cs="Arial"/>
                <w:sz w:val="18"/>
                <w:szCs w:val="18"/>
              </w:rPr>
              <w:sym w:font="Symbol" w:char="F063"/>
            </w:r>
            <w:r w:rsidRPr="00537C3C">
              <w:rPr>
                <w:rFonts w:ascii="Arial Narrow" w:hAnsi="Arial Narrow" w:cs="Arial"/>
                <w:sz w:val="18"/>
                <w:szCs w:val="18"/>
                <w:vertAlign w:val="superscript"/>
              </w:rPr>
              <w:t>2</w:t>
            </w:r>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&lt; 0.001)</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u w:val="single"/>
              </w:rPr>
            </w:pPr>
            <w:r w:rsidRPr="00537C3C">
              <w:rPr>
                <w:rFonts w:ascii="Arial Narrow" w:hAnsi="Arial Narrow" w:cs="Arial"/>
                <w:sz w:val="18"/>
                <w:szCs w:val="18"/>
                <w:u w:val="single"/>
              </w:rPr>
              <w:t>Yield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Total </w:t>
            </w:r>
            <w:r w:rsidRPr="00BB76D8">
              <w:rPr>
                <w:rFonts w:ascii="Arial Narrow" w:hAnsi="Arial Narrow" w:cs="Arial"/>
                <w:sz w:val="18"/>
                <w:szCs w:val="18"/>
              </w:rPr>
              <w:t>pLSIL</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7.4%, conventional 6.0%</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i/>
                <w:sz w:val="18"/>
                <w:szCs w:val="18"/>
              </w:rPr>
              <w:t>pLSIL</w:t>
            </w:r>
            <w:r w:rsidRPr="00537C3C">
              <w:rPr>
                <w:rFonts w:ascii="Arial Narrow" w:hAnsi="Arial Narrow" w:cs="Arial"/>
                <w:i/>
                <w:sz w:val="18"/>
                <w:szCs w:val="18"/>
              </w:rPr>
              <w:t xml:space="preserve"> (atypia): </w:t>
            </w:r>
            <w:r w:rsidRPr="00BB76D8">
              <w:rPr>
                <w:rFonts w:ascii="Arial Narrow" w:hAnsi="Arial Narrow" w:cs="Arial"/>
                <w:sz w:val="18"/>
                <w:szCs w:val="18"/>
              </w:rPr>
              <w:t>TPI</w:t>
            </w:r>
            <w:r w:rsidRPr="00537C3C">
              <w:rPr>
                <w:rFonts w:ascii="Arial Narrow" w:hAnsi="Arial Narrow" w:cs="Arial"/>
                <w:sz w:val="18"/>
                <w:szCs w:val="18"/>
              </w:rPr>
              <w:t xml:space="preserve"> 3.06%, conventional 2.84% (</w:t>
            </w:r>
            <w:r w:rsidRPr="00537C3C">
              <w:rPr>
                <w:rFonts w:ascii="Arial Narrow" w:hAnsi="Arial Narrow" w:cs="Arial"/>
                <w:sz w:val="18"/>
                <w:szCs w:val="18"/>
              </w:rPr>
              <w:sym w:font="Symbol" w:char="F063"/>
            </w:r>
            <w:r w:rsidRPr="00537C3C">
              <w:rPr>
                <w:rFonts w:ascii="Arial Narrow" w:hAnsi="Arial Narrow" w:cs="Arial"/>
                <w:sz w:val="18"/>
                <w:szCs w:val="18"/>
                <w:vertAlign w:val="superscript"/>
              </w:rPr>
              <w:t>2</w:t>
            </w:r>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 0.036)</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i/>
                <w:sz w:val="18"/>
                <w:szCs w:val="18"/>
              </w:rPr>
              <w:t>LSIL</w:t>
            </w:r>
            <w:r w:rsidRPr="00537C3C">
              <w:rPr>
                <w:rFonts w:ascii="Arial Narrow" w:hAnsi="Arial Narrow" w:cs="Arial"/>
                <w:i/>
                <w:sz w:val="18"/>
                <w:szCs w:val="18"/>
              </w:rPr>
              <w:t xml:space="preserve"> (atypia with </w:t>
            </w:r>
            <w:r w:rsidRPr="00BB76D8">
              <w:rPr>
                <w:rFonts w:ascii="Arial Narrow" w:hAnsi="Arial Narrow" w:cs="Arial"/>
                <w:i/>
                <w:sz w:val="18"/>
                <w:szCs w:val="18"/>
              </w:rPr>
              <w:t>HPV</w:t>
            </w:r>
            <w:r w:rsidRPr="00537C3C">
              <w:rPr>
                <w:rFonts w:ascii="Arial Narrow" w:hAnsi="Arial Narrow" w:cs="Arial"/>
                <w:i/>
                <w:sz w:val="18"/>
                <w:szCs w:val="18"/>
              </w:rPr>
              <w:t xml:space="preserve"> + </w:t>
            </w:r>
            <w:r w:rsidRPr="00BB76D8">
              <w:rPr>
                <w:rFonts w:ascii="Arial Narrow" w:hAnsi="Arial Narrow" w:cs="Arial"/>
                <w:i/>
                <w:sz w:val="18"/>
                <w:szCs w:val="18"/>
              </w:rPr>
              <w:t>CIN</w:t>
            </w:r>
            <w:r w:rsidRPr="00537C3C">
              <w:rPr>
                <w:rFonts w:ascii="Arial Narrow" w:hAnsi="Arial Narrow" w:cs="Arial"/>
                <w:i/>
                <w:sz w:val="18"/>
                <w:szCs w:val="18"/>
              </w:rPr>
              <w:t xml:space="preserve"> 1): </w:t>
            </w:r>
            <w:r w:rsidRPr="00BB76D8">
              <w:rPr>
                <w:rFonts w:ascii="Arial Narrow" w:hAnsi="Arial Narrow" w:cs="Arial"/>
                <w:sz w:val="18"/>
                <w:szCs w:val="18"/>
              </w:rPr>
              <w:t>TPI</w:t>
            </w:r>
            <w:r w:rsidRPr="00537C3C">
              <w:rPr>
                <w:rFonts w:ascii="Arial Narrow" w:hAnsi="Arial Narrow" w:cs="Arial"/>
                <w:sz w:val="18"/>
                <w:szCs w:val="18"/>
              </w:rPr>
              <w:t xml:space="preserve"> 3.07% (1617), conv 1.97% (1038)</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i/>
                <w:sz w:val="18"/>
                <w:szCs w:val="18"/>
              </w:rPr>
              <w:t>pLSIL</w:t>
            </w:r>
            <w:r w:rsidRPr="00537C3C">
              <w:rPr>
                <w:rFonts w:ascii="Arial Narrow" w:hAnsi="Arial Narrow" w:cs="Arial"/>
                <w:i/>
                <w:sz w:val="18"/>
                <w:szCs w:val="18"/>
              </w:rPr>
              <w:t>/</w:t>
            </w:r>
            <w:r w:rsidRPr="00BB76D8">
              <w:rPr>
                <w:rFonts w:ascii="Arial Narrow" w:hAnsi="Arial Narrow" w:cs="Arial"/>
                <w:i/>
                <w:sz w:val="18"/>
                <w:szCs w:val="18"/>
              </w:rPr>
              <w:t>LSIL</w:t>
            </w:r>
            <w:r w:rsidRPr="00537C3C">
              <w:rPr>
                <w:rFonts w:ascii="Arial Narrow" w:hAnsi="Arial Narrow" w:cs="Arial"/>
                <w:i/>
                <w:sz w:val="18"/>
                <w:szCs w:val="18"/>
              </w:rPr>
              <w:t xml:space="preserve"> (atypia, atypia with </w:t>
            </w:r>
            <w:r w:rsidRPr="00BB76D8">
              <w:rPr>
                <w:rFonts w:ascii="Arial Narrow" w:hAnsi="Arial Narrow" w:cs="Arial"/>
                <w:i/>
                <w:sz w:val="18"/>
                <w:szCs w:val="18"/>
              </w:rPr>
              <w:t>HPV</w:t>
            </w:r>
            <w:r w:rsidRPr="00537C3C">
              <w:rPr>
                <w:rFonts w:ascii="Arial Narrow" w:hAnsi="Arial Narrow" w:cs="Arial"/>
                <w:i/>
                <w:sz w:val="18"/>
                <w:szCs w:val="18"/>
              </w:rPr>
              <w:t xml:space="preserve"> or </w:t>
            </w:r>
            <w:r w:rsidRPr="00BB76D8">
              <w:rPr>
                <w:rFonts w:ascii="Arial Narrow" w:hAnsi="Arial Narrow" w:cs="Arial"/>
                <w:i/>
                <w:sz w:val="18"/>
                <w:szCs w:val="18"/>
              </w:rPr>
              <w:t>CIN</w:t>
            </w:r>
            <w:r w:rsidRPr="00537C3C">
              <w:rPr>
                <w:rFonts w:ascii="Arial Narrow" w:hAnsi="Arial Narrow" w:cs="Arial"/>
                <w:i/>
                <w:sz w:val="18"/>
                <w:szCs w:val="18"/>
              </w:rPr>
              <w:t xml:space="preserve"> 1):</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6.1% (3226), conventional 4.8% (2532)</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i/>
                <w:sz w:val="18"/>
                <w:szCs w:val="18"/>
              </w:rPr>
              <w:t>pHSIL</w:t>
            </w:r>
            <w:r w:rsidRPr="00537C3C">
              <w:rPr>
                <w:rFonts w:ascii="Arial Narrow" w:hAnsi="Arial Narrow" w:cs="Arial"/>
                <w:i/>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0.42%, </w:t>
            </w:r>
            <w:r w:rsidRPr="00BB76D8">
              <w:rPr>
                <w:rFonts w:ascii="Arial Narrow" w:hAnsi="Arial Narrow" w:cs="Arial"/>
                <w:sz w:val="18"/>
                <w:szCs w:val="18"/>
              </w:rPr>
              <w:t>TPM</w:t>
            </w:r>
            <w:r w:rsidRPr="00537C3C">
              <w:rPr>
                <w:rFonts w:ascii="Arial Narrow" w:hAnsi="Arial Narrow" w:cs="Arial"/>
                <w:sz w:val="18"/>
                <w:szCs w:val="18"/>
              </w:rPr>
              <w:t xml:space="preserve"> 0.54%</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i/>
                <w:sz w:val="18"/>
                <w:szCs w:val="18"/>
              </w:rPr>
              <w:t>CIN</w:t>
            </w:r>
            <w:r w:rsidRPr="00537C3C">
              <w:rPr>
                <w:rFonts w:ascii="Arial Narrow" w:hAnsi="Arial Narrow" w:cs="Arial"/>
                <w:i/>
                <w:sz w:val="18"/>
                <w:szCs w:val="18"/>
              </w:rPr>
              <w:t xml:space="preserve"> 2: </w:t>
            </w:r>
            <w:r w:rsidRPr="00BB76D8">
              <w:rPr>
                <w:rFonts w:ascii="Arial Narrow" w:hAnsi="Arial Narrow" w:cs="Arial"/>
                <w:sz w:val="18"/>
                <w:szCs w:val="18"/>
              </w:rPr>
              <w:t>TPI</w:t>
            </w:r>
            <w:r w:rsidRPr="00537C3C">
              <w:rPr>
                <w:rFonts w:ascii="Arial Narrow" w:hAnsi="Arial Narrow" w:cs="Arial"/>
                <w:sz w:val="18"/>
                <w:szCs w:val="18"/>
              </w:rPr>
              <w:t xml:space="preserve"> 0.40%, </w:t>
            </w:r>
            <w:r w:rsidRPr="00BB76D8">
              <w:rPr>
                <w:rFonts w:ascii="Arial Narrow" w:hAnsi="Arial Narrow" w:cs="Arial"/>
                <w:sz w:val="18"/>
                <w:szCs w:val="18"/>
              </w:rPr>
              <w:t>TPM</w:t>
            </w:r>
            <w:r w:rsidRPr="00537C3C">
              <w:rPr>
                <w:rFonts w:ascii="Arial Narrow" w:hAnsi="Arial Narrow" w:cs="Arial"/>
                <w:sz w:val="18"/>
                <w:szCs w:val="18"/>
              </w:rPr>
              <w:t xml:space="preserve"> 0.28%</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 xml:space="preserve">Inconclusive, high-grade histology to be excluded or </w:t>
            </w:r>
            <w:r w:rsidRPr="00BB76D8">
              <w:rPr>
                <w:rFonts w:ascii="Arial Narrow" w:hAnsi="Arial Narrow" w:cs="Arial"/>
                <w:i/>
                <w:sz w:val="18"/>
                <w:szCs w:val="18"/>
              </w:rPr>
              <w:t>CIN</w:t>
            </w:r>
            <w:r w:rsidRPr="00537C3C">
              <w:rPr>
                <w:rFonts w:ascii="Arial Narrow" w:hAnsi="Arial Narrow" w:cs="Arial"/>
                <w:i/>
                <w:sz w:val="18"/>
                <w:szCs w:val="18"/>
              </w:rPr>
              <w:t xml:space="preserve"> 2:</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0.83% (435), conventional 0.82% (430)</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i/>
                <w:sz w:val="18"/>
                <w:szCs w:val="18"/>
              </w:rPr>
              <w:t>CIN</w:t>
            </w:r>
            <w:r w:rsidRPr="00537C3C">
              <w:rPr>
                <w:rFonts w:ascii="Arial Narrow" w:hAnsi="Arial Narrow" w:cs="Arial"/>
                <w:i/>
                <w:sz w:val="18"/>
                <w:szCs w:val="18"/>
              </w:rPr>
              <w:t xml:space="preserve"> 3+: </w:t>
            </w:r>
            <w:r w:rsidRPr="00BB76D8">
              <w:rPr>
                <w:rFonts w:ascii="Arial Narrow" w:hAnsi="Arial Narrow" w:cs="Arial"/>
                <w:sz w:val="18"/>
                <w:szCs w:val="18"/>
              </w:rPr>
              <w:t>TPI</w:t>
            </w:r>
            <w:r w:rsidRPr="00537C3C">
              <w:rPr>
                <w:rFonts w:ascii="Arial Narrow" w:hAnsi="Arial Narrow" w:cs="Arial"/>
                <w:sz w:val="18"/>
                <w:szCs w:val="18"/>
              </w:rPr>
              <w:t xml:space="preserve"> 0.49% (258), conventional 0.43% (224)</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Glandular </w:t>
            </w:r>
            <w:r w:rsidRPr="00BB76D8">
              <w:rPr>
                <w:rFonts w:ascii="Arial Narrow" w:hAnsi="Arial Narrow" w:cs="Arial"/>
                <w:sz w:val="18"/>
                <w:szCs w:val="18"/>
              </w:rPr>
              <w:t>TPI</w:t>
            </w:r>
            <w:r w:rsidRPr="00537C3C">
              <w:rPr>
                <w:rFonts w:ascii="Arial Narrow" w:hAnsi="Arial Narrow" w:cs="Arial"/>
                <w:sz w:val="18"/>
                <w:szCs w:val="18"/>
              </w:rPr>
              <w:t xml:space="preserve"> (23) 0.04%, conventional (52) 0.09%</w:t>
            </w:r>
          </w:p>
        </w:tc>
      </w:tr>
      <w:tr w:rsidR="00234376" w:rsidRPr="00537C3C">
        <w:trPr>
          <w:gridAfter w:val="1"/>
          <w:wAfter w:w="17" w:type="dxa"/>
          <w:trHeight w:val="127"/>
        </w:trPr>
        <w:tc>
          <w:tcPr>
            <w:tcW w:w="1723"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lastRenderedPageBreak/>
              <w:t>Davey et al. 2007</w:t>
            </w:r>
            <w:r w:rsidR="00DE79DC">
              <w:rPr>
                <w:rFonts w:ascii="Arial Narrow" w:hAnsi="Arial Narrow" w:cs="Arial"/>
                <w:b/>
                <w:sz w:val="18"/>
                <w:szCs w:val="18"/>
              </w:rPr>
              <w:t>b</w:t>
            </w:r>
          </w:p>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t>Diagnostic cytopathology</w:t>
            </w:r>
          </w:p>
          <w:p w:rsidR="00234376" w:rsidRPr="00537C3C" w:rsidRDefault="00234376" w:rsidP="008E03A7">
            <w:pPr>
              <w:spacing w:before="40" w:after="40"/>
              <w:ind w:left="20"/>
              <w:rPr>
                <w:rFonts w:ascii="Arial Narrow" w:hAnsi="Arial Narrow" w:cs="Arial"/>
                <w:b/>
                <w:sz w:val="18"/>
                <w:szCs w:val="18"/>
              </w:rPr>
            </w:pPr>
          </w:p>
          <w:p w:rsidR="00234376" w:rsidRPr="00537C3C" w:rsidRDefault="00234376" w:rsidP="008E03A7">
            <w:pPr>
              <w:spacing w:before="40" w:after="40"/>
              <w:ind w:left="20"/>
              <w:rPr>
                <w:rFonts w:ascii="Arial Narrow" w:hAnsi="Arial Narrow" w:cs="Arial"/>
                <w:sz w:val="18"/>
                <w:szCs w:val="18"/>
              </w:rPr>
            </w:pPr>
            <w:smartTag w:uri="urn:schemas-microsoft-com:office:smarttags" w:element="place">
              <w:smartTag w:uri="urn:schemas-microsoft-com:office:smarttags" w:element="country-region">
                <w:r w:rsidRPr="00537C3C">
                  <w:rPr>
                    <w:rFonts w:ascii="Arial Narrow" w:hAnsi="Arial Narrow" w:cs="Arial"/>
                    <w:sz w:val="18"/>
                    <w:szCs w:val="18"/>
                  </w:rPr>
                  <w:t>Australia</w:t>
                </w:r>
              </w:smartTag>
            </w:smartTag>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One pathology laboratory</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Aug 2004 – Feb 2005</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sz w:val="18"/>
                <w:szCs w:val="18"/>
              </w:rPr>
            </w:pPr>
            <w:r w:rsidRPr="0030078D">
              <w:rPr>
                <w:rFonts w:ascii="Arial Narrow" w:hAnsi="Arial Narrow" w:cs="Arial"/>
                <w:i/>
                <w:sz w:val="18"/>
                <w:szCs w:val="18"/>
              </w:rPr>
              <w:t>N</w:t>
            </w:r>
            <w:r w:rsidRPr="00537C3C">
              <w:rPr>
                <w:rFonts w:ascii="Arial Narrow" w:hAnsi="Arial Narrow" w:cs="Arial"/>
                <w:sz w:val="18"/>
                <w:szCs w:val="18"/>
              </w:rPr>
              <w:t xml:space="preserve"> = 1645 reading sessions; 52 385 </w:t>
            </w:r>
            <w:r w:rsidRPr="00BB76D8">
              <w:rPr>
                <w:rFonts w:ascii="Arial Narrow" w:hAnsi="Arial Narrow" w:cs="Arial"/>
                <w:sz w:val="18"/>
                <w:szCs w:val="18"/>
              </w:rPr>
              <w:t>CC</w:t>
            </w:r>
            <w:r w:rsidRPr="00537C3C">
              <w:rPr>
                <w:rFonts w:ascii="Arial Narrow" w:hAnsi="Arial Narrow" w:cs="Arial"/>
                <w:sz w:val="18"/>
                <w:szCs w:val="18"/>
              </w:rPr>
              <w:t xml:space="preserve"> slides, 24 645 </w:t>
            </w:r>
            <w:r w:rsidRPr="00BB76D8">
              <w:rPr>
                <w:rFonts w:ascii="Arial Narrow" w:hAnsi="Arial Narrow" w:cs="Arial"/>
                <w:sz w:val="18"/>
                <w:szCs w:val="18"/>
              </w:rPr>
              <w:t>TPI</w:t>
            </w:r>
            <w:r w:rsidRPr="00537C3C">
              <w:rPr>
                <w:rFonts w:ascii="Arial Narrow" w:hAnsi="Arial Narrow" w:cs="Arial"/>
                <w:sz w:val="18"/>
                <w:szCs w:val="18"/>
              </w:rPr>
              <w:t xml:space="preserve"> slides</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b/>
                <w:sz w:val="18"/>
                <w:szCs w:val="18"/>
              </w:rPr>
            </w:pPr>
          </w:p>
        </w:tc>
        <w:tc>
          <w:tcPr>
            <w:tcW w:w="5459"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Objective:</w:t>
            </w:r>
          </w:p>
          <w:p w:rsidR="00234376" w:rsidRPr="006C24DD"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To compare slide reading times of </w:t>
            </w:r>
            <w:r w:rsidRPr="00BB76D8">
              <w:rPr>
                <w:rFonts w:ascii="Arial Narrow" w:hAnsi="Arial Narrow" w:cs="Arial"/>
                <w:sz w:val="18"/>
                <w:szCs w:val="18"/>
              </w:rPr>
              <w:t>LBC</w:t>
            </w:r>
            <w:r w:rsidRPr="00537C3C">
              <w:rPr>
                <w:rFonts w:ascii="Arial Narrow" w:hAnsi="Arial Narrow" w:cs="Arial"/>
                <w:sz w:val="18"/>
                <w:szCs w:val="18"/>
              </w:rPr>
              <w:t xml:space="preserve"> using computerised TPI with manually read </w:t>
            </w:r>
            <w:r w:rsidRPr="006C24DD">
              <w:rPr>
                <w:rFonts w:ascii="Arial Narrow" w:hAnsi="Arial Narrow" w:cs="Arial"/>
                <w:sz w:val="18"/>
                <w:szCs w:val="18"/>
              </w:rPr>
              <w:t>CC</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Study design</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Retrospective, cross-sectional study. Sub-study of diagnostic accuracy study</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Index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ThinPrep </w:t>
            </w:r>
            <w:r w:rsidRPr="00BB76D8">
              <w:rPr>
                <w:rFonts w:ascii="Arial Narrow" w:hAnsi="Arial Narrow" w:cs="Arial"/>
                <w:sz w:val="18"/>
                <w:szCs w:val="18"/>
              </w:rPr>
              <w:t>LBC</w:t>
            </w:r>
            <w:r w:rsidRPr="00537C3C">
              <w:rPr>
                <w:rFonts w:ascii="Arial Narrow" w:hAnsi="Arial Narrow" w:cs="Arial"/>
                <w:sz w:val="18"/>
                <w:szCs w:val="18"/>
              </w:rPr>
              <w:t xml:space="preserve"> with computerised TPI reading (Aug 2004 – Feb 2005)</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Comparator test</w:t>
            </w:r>
          </w:p>
          <w:p w:rsidR="00234376" w:rsidRPr="00537C3C" w:rsidRDefault="00234376" w:rsidP="008E03A7">
            <w:pPr>
              <w:spacing w:before="40" w:after="0"/>
              <w:ind w:left="0"/>
              <w:rPr>
                <w:rFonts w:ascii="Arial Narrow" w:hAnsi="Arial Narrow" w:cs="Arial"/>
                <w:sz w:val="18"/>
                <w:szCs w:val="18"/>
              </w:rPr>
            </w:pPr>
            <w:r w:rsidRPr="006C24DD">
              <w:rPr>
                <w:rFonts w:ascii="Arial Narrow" w:hAnsi="Arial Narrow" w:cs="Arial"/>
                <w:sz w:val="18"/>
                <w:szCs w:val="18"/>
              </w:rPr>
              <w:t>CC</w:t>
            </w:r>
            <w:r w:rsidRPr="00537C3C">
              <w:rPr>
                <w:rFonts w:ascii="Arial Narrow" w:hAnsi="Arial Narrow" w:cs="Arial"/>
                <w:sz w:val="18"/>
                <w:szCs w:val="18"/>
              </w:rPr>
              <w:t xml:space="preserve"> with manual reading (Aug 2004 – Dec 2004)</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Reference standard</w:t>
            </w:r>
          </w:p>
          <w:p w:rsidR="00234376" w:rsidRPr="00537C3C" w:rsidRDefault="00234376" w:rsidP="008E03A7">
            <w:pPr>
              <w:spacing w:before="40" w:after="0"/>
              <w:ind w:left="0"/>
              <w:rPr>
                <w:rFonts w:ascii="Arial Narrow" w:hAnsi="Arial Narrow" w:cs="Arial"/>
                <w:sz w:val="18"/>
                <w:szCs w:val="18"/>
              </w:rPr>
            </w:pPr>
            <w:r w:rsidRPr="00A316F5">
              <w:rPr>
                <w:rFonts w:ascii="Arial Narrow" w:hAnsi="Arial Narrow" w:cs="Arial"/>
                <w:sz w:val="18"/>
                <w:szCs w:val="18"/>
              </w:rPr>
              <w:t>N/</w:t>
            </w:r>
            <w:r w:rsidRPr="00537C3C">
              <w:rPr>
                <w:rFonts w:ascii="Arial Narrow" w:hAnsi="Arial Narrow" w:cs="Arial"/>
                <w:sz w:val="18"/>
                <w:szCs w:val="18"/>
              </w:rPr>
              <w:t>A</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Test threshold</w:t>
            </w:r>
          </w:p>
          <w:p w:rsidR="00234376" w:rsidRPr="00537C3C" w:rsidRDefault="00234376" w:rsidP="008E03A7">
            <w:pPr>
              <w:spacing w:before="40" w:after="0"/>
              <w:ind w:left="0"/>
              <w:rPr>
                <w:rFonts w:ascii="Arial Narrow" w:hAnsi="Arial Narrow" w:cs="Arial"/>
                <w:sz w:val="18"/>
                <w:szCs w:val="18"/>
              </w:rPr>
            </w:pPr>
            <w:r w:rsidRPr="00A316F5">
              <w:rPr>
                <w:rFonts w:ascii="Arial Narrow" w:hAnsi="Arial Narrow" w:cs="Arial"/>
                <w:sz w:val="18"/>
                <w:szCs w:val="18"/>
              </w:rPr>
              <w:t>N/</w:t>
            </w:r>
            <w:r w:rsidRPr="00537C3C">
              <w:rPr>
                <w:rFonts w:ascii="Arial Narrow" w:hAnsi="Arial Narrow" w:cs="Arial"/>
                <w:sz w:val="18"/>
                <w:szCs w:val="18"/>
              </w:rPr>
              <w:t>A</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Primary outcomes</w:t>
            </w: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sz w:val="18"/>
                <w:szCs w:val="18"/>
              </w:rPr>
              <w:t>Within-reader differences in slide reading times (slides/h, ave min per slide). Time spent not screening deducted from time recorded</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Secondary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Effect of cytologist experience on reading times</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Relevant subgroups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Those trained vs untrained to read </w:t>
            </w:r>
            <w:r w:rsidRPr="00BB76D8">
              <w:rPr>
                <w:rFonts w:ascii="Arial Narrow" w:hAnsi="Arial Narrow" w:cs="Arial"/>
                <w:sz w:val="18"/>
                <w:szCs w:val="18"/>
              </w:rPr>
              <w:t>TPI</w:t>
            </w:r>
          </w:p>
        </w:tc>
        <w:tc>
          <w:tcPr>
            <w:tcW w:w="3214"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Inclusion criteria</w:t>
            </w:r>
          </w:p>
          <w:p w:rsidR="00234376" w:rsidRPr="00537C3C" w:rsidRDefault="00234376" w:rsidP="008E03A7">
            <w:pPr>
              <w:numPr>
                <w:ilvl w:val="0"/>
                <w:numId w:val="5"/>
              </w:numPr>
              <w:spacing w:before="40" w:after="0"/>
              <w:rPr>
                <w:rFonts w:ascii="Arial Narrow" w:hAnsi="Arial Narrow" w:cs="Arial"/>
                <w:i/>
                <w:sz w:val="18"/>
                <w:szCs w:val="18"/>
              </w:rPr>
            </w:pPr>
            <w:r w:rsidRPr="00537C3C">
              <w:rPr>
                <w:rFonts w:ascii="Arial Narrow" w:hAnsi="Arial Narrow" w:cs="Arial"/>
                <w:sz w:val="18"/>
                <w:szCs w:val="18"/>
              </w:rPr>
              <w:t>Routine (screening and diagnostic) population</w:t>
            </w:r>
          </w:p>
          <w:p w:rsidR="00234376" w:rsidRPr="00537C3C" w:rsidRDefault="00234376" w:rsidP="008E03A7">
            <w:pPr>
              <w:spacing w:before="40"/>
              <w:rPr>
                <w:rFonts w:ascii="Arial Narrow" w:hAnsi="Arial Narrow" w:cs="Arial"/>
                <w:i/>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Exclusion criteria</w:t>
            </w:r>
          </w:p>
          <w:p w:rsidR="00234376" w:rsidRPr="00537C3C" w:rsidRDefault="00234376" w:rsidP="008E03A7">
            <w:pPr>
              <w:numPr>
                <w:ilvl w:val="0"/>
                <w:numId w:val="5"/>
              </w:numPr>
              <w:spacing w:before="40" w:after="0"/>
              <w:rPr>
                <w:rFonts w:ascii="Arial Narrow" w:hAnsi="Arial Narrow" w:cs="Arial"/>
                <w:i/>
                <w:sz w:val="18"/>
                <w:szCs w:val="18"/>
              </w:rPr>
            </w:pPr>
            <w:r w:rsidRPr="00BB76D8">
              <w:rPr>
                <w:rFonts w:ascii="Arial Narrow" w:hAnsi="Arial Narrow" w:cs="Arial"/>
                <w:sz w:val="18"/>
                <w:szCs w:val="18"/>
              </w:rPr>
              <w:t>CC</w:t>
            </w:r>
            <w:r w:rsidRPr="00537C3C">
              <w:rPr>
                <w:rFonts w:ascii="Arial Narrow" w:hAnsi="Arial Narrow" w:cs="Arial"/>
                <w:sz w:val="18"/>
                <w:szCs w:val="18"/>
              </w:rPr>
              <w:t xml:space="preserve"> slide-reading sessions: any sessions including non-</w:t>
            </w:r>
            <w:r w:rsidRPr="00BB76D8">
              <w:rPr>
                <w:rFonts w:ascii="Arial Narrow" w:hAnsi="Arial Narrow" w:cs="Arial"/>
                <w:sz w:val="18"/>
                <w:szCs w:val="18"/>
              </w:rPr>
              <w:t>CC</w:t>
            </w:r>
            <w:r w:rsidRPr="00537C3C">
              <w:rPr>
                <w:rFonts w:ascii="Arial Narrow" w:hAnsi="Arial Narrow" w:cs="Arial"/>
                <w:sz w:val="18"/>
                <w:szCs w:val="18"/>
              </w:rPr>
              <w:t xml:space="preserve"> reading</w:t>
            </w:r>
          </w:p>
          <w:p w:rsidR="00234376" w:rsidRPr="00537C3C" w:rsidRDefault="00234376" w:rsidP="008E03A7">
            <w:pPr>
              <w:numPr>
                <w:ilvl w:val="0"/>
                <w:numId w:val="5"/>
              </w:numPr>
              <w:spacing w:before="40" w:after="0"/>
              <w:rPr>
                <w:rFonts w:ascii="Arial Narrow" w:hAnsi="Arial Narrow" w:cs="Arial"/>
                <w:i/>
                <w:sz w:val="18"/>
                <w:szCs w:val="18"/>
              </w:rPr>
            </w:pPr>
            <w:r w:rsidRPr="00537C3C">
              <w:rPr>
                <w:rFonts w:ascii="Arial Narrow" w:hAnsi="Arial Narrow" w:cs="Arial"/>
                <w:sz w:val="18"/>
                <w:szCs w:val="18"/>
              </w:rPr>
              <w:t>Session values &gt; 3 SDs from mean for particular reader</w:t>
            </w:r>
          </w:p>
          <w:p w:rsidR="00234376" w:rsidRPr="00537C3C" w:rsidRDefault="00234376" w:rsidP="008E03A7">
            <w:pPr>
              <w:numPr>
                <w:ilvl w:val="0"/>
                <w:numId w:val="5"/>
              </w:numPr>
              <w:spacing w:before="40" w:after="0"/>
              <w:rPr>
                <w:rFonts w:ascii="Arial Narrow" w:hAnsi="Arial Narrow" w:cs="Arial"/>
                <w:i/>
                <w:sz w:val="18"/>
                <w:szCs w:val="18"/>
              </w:rPr>
            </w:pPr>
            <w:r w:rsidRPr="00537C3C">
              <w:rPr>
                <w:rFonts w:ascii="Arial Narrow" w:hAnsi="Arial Narrow" w:cs="Arial"/>
                <w:sz w:val="18"/>
                <w:szCs w:val="18"/>
              </w:rPr>
              <w:t xml:space="preserve">38 (2.3%) sessions excluded (34 </w:t>
            </w:r>
            <w:r w:rsidRPr="00BB76D8">
              <w:rPr>
                <w:rFonts w:ascii="Arial Narrow" w:hAnsi="Arial Narrow" w:cs="Arial"/>
                <w:sz w:val="18"/>
                <w:szCs w:val="18"/>
              </w:rPr>
              <w:t>CC</w:t>
            </w:r>
            <w:r w:rsidRPr="00537C3C">
              <w:rPr>
                <w:rFonts w:ascii="Arial Narrow" w:hAnsi="Arial Narrow" w:cs="Arial"/>
                <w:sz w:val="18"/>
                <w:szCs w:val="18"/>
              </w:rPr>
              <w:t xml:space="preserve">, 4 </w:t>
            </w:r>
            <w:r w:rsidRPr="00BB76D8">
              <w:rPr>
                <w:rFonts w:ascii="Arial Narrow" w:hAnsi="Arial Narrow" w:cs="Arial"/>
                <w:sz w:val="18"/>
                <w:szCs w:val="18"/>
              </w:rPr>
              <w:t>TPI</w:t>
            </w:r>
            <w:r w:rsidRPr="00537C3C">
              <w:rPr>
                <w:rFonts w:ascii="Arial Narrow" w:hAnsi="Arial Narrow" w:cs="Arial"/>
                <w:sz w:val="18"/>
                <w:szCs w:val="18"/>
              </w:rPr>
              <w:t>)</w:t>
            </w:r>
          </w:p>
          <w:p w:rsidR="00234376" w:rsidRPr="00537C3C" w:rsidRDefault="00234376" w:rsidP="008E03A7">
            <w:pPr>
              <w:spacing w:before="40" w:after="0"/>
              <w:rPr>
                <w:rFonts w:ascii="Arial Narrow" w:hAnsi="Arial Narrow" w:cs="Arial"/>
                <w:sz w:val="18"/>
                <w:szCs w:val="18"/>
              </w:rPr>
            </w:pPr>
          </w:p>
          <w:p w:rsidR="00234376" w:rsidRPr="00537C3C" w:rsidRDefault="00234376" w:rsidP="008E03A7">
            <w:pPr>
              <w:spacing w:before="40" w:after="0"/>
              <w:rPr>
                <w:rFonts w:ascii="Arial Narrow" w:hAnsi="Arial Narrow" w:cs="Arial"/>
                <w:i/>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Cytologist characteristics</w:t>
            </w:r>
          </w:p>
          <w:p w:rsidR="00234376" w:rsidRPr="00537C3C" w:rsidRDefault="00234376" w:rsidP="008E03A7">
            <w:pPr>
              <w:numPr>
                <w:ilvl w:val="0"/>
                <w:numId w:val="5"/>
              </w:numPr>
              <w:spacing w:before="40" w:after="0"/>
              <w:rPr>
                <w:rFonts w:ascii="Arial Narrow" w:hAnsi="Arial Narrow" w:cs="Arial"/>
                <w:sz w:val="18"/>
                <w:szCs w:val="18"/>
              </w:rPr>
            </w:pPr>
            <w:r w:rsidRPr="00537C3C">
              <w:rPr>
                <w:rFonts w:ascii="Arial Narrow" w:hAnsi="Arial Narrow" w:cs="Arial"/>
                <w:sz w:val="18"/>
                <w:szCs w:val="18"/>
              </w:rPr>
              <w:t>41 readers</w:t>
            </w:r>
          </w:p>
          <w:p w:rsidR="00234376" w:rsidRPr="00537C3C" w:rsidRDefault="00234376" w:rsidP="008E03A7">
            <w:pPr>
              <w:numPr>
                <w:ilvl w:val="0"/>
                <w:numId w:val="5"/>
              </w:numPr>
              <w:spacing w:before="40" w:after="0"/>
              <w:rPr>
                <w:rFonts w:ascii="Arial Narrow" w:hAnsi="Arial Narrow" w:cs="Arial"/>
                <w:sz w:val="18"/>
                <w:szCs w:val="18"/>
              </w:rPr>
            </w:pPr>
            <w:r w:rsidRPr="00537C3C">
              <w:rPr>
                <w:rFonts w:ascii="Arial Narrow" w:hAnsi="Arial Narrow" w:cs="Arial"/>
                <w:sz w:val="18"/>
                <w:szCs w:val="18"/>
              </w:rPr>
              <w:t>Paired data for 20 readers</w:t>
            </w:r>
          </w:p>
          <w:p w:rsidR="00234376" w:rsidRPr="00537C3C" w:rsidRDefault="00234376" w:rsidP="008E03A7">
            <w:pPr>
              <w:numPr>
                <w:ilvl w:val="0"/>
                <w:numId w:val="5"/>
              </w:numPr>
              <w:spacing w:before="40" w:after="0"/>
              <w:rPr>
                <w:rFonts w:ascii="Arial Narrow" w:hAnsi="Arial Narrow" w:cs="Arial"/>
                <w:sz w:val="18"/>
                <w:szCs w:val="18"/>
              </w:rPr>
            </w:pPr>
            <w:r w:rsidRPr="00537C3C">
              <w:rPr>
                <w:rFonts w:ascii="Arial Narrow" w:hAnsi="Arial Narrow" w:cs="Arial"/>
                <w:sz w:val="18"/>
                <w:szCs w:val="18"/>
              </w:rPr>
              <w:t>Same readers &amp; slides as accuracy study (pers. correspondence)</w:t>
            </w:r>
          </w:p>
        </w:tc>
        <w:tc>
          <w:tcPr>
            <w:tcW w:w="4386" w:type="dxa"/>
            <w:gridSpan w:val="5"/>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t>Quality</w:t>
            </w:r>
          </w:p>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t xml:space="preserve">Intervention level </w:t>
            </w:r>
            <w:r w:rsidRPr="00BB76D8">
              <w:rPr>
                <w:rFonts w:ascii="Arial Narrow" w:hAnsi="Arial Narrow" w:cs="Arial"/>
                <w:b/>
                <w:sz w:val="18"/>
                <w:szCs w:val="18"/>
              </w:rPr>
              <w:t>III</w:t>
            </w:r>
            <w:r w:rsidRPr="00537C3C">
              <w:rPr>
                <w:rFonts w:ascii="Arial Narrow" w:hAnsi="Arial Narrow" w:cs="Arial"/>
                <w:b/>
                <w:sz w:val="18"/>
                <w:szCs w:val="18"/>
              </w:rPr>
              <w:t>-2</w:t>
            </w:r>
          </w:p>
          <w:p w:rsidR="00234376" w:rsidRPr="00404298"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t xml:space="preserve">Sub-study </w:t>
            </w:r>
            <w:r w:rsidRPr="00404298">
              <w:rPr>
                <w:rFonts w:ascii="Arial Narrow" w:hAnsi="Arial Narrow" w:cs="Arial"/>
                <w:b/>
                <w:sz w:val="18"/>
                <w:szCs w:val="18"/>
              </w:rPr>
              <w:t>in diagnostic accuracy study</w:t>
            </w:r>
          </w:p>
          <w:p w:rsidR="00234376" w:rsidRPr="00404298" w:rsidRDefault="00234376" w:rsidP="008E03A7">
            <w:pPr>
              <w:spacing w:before="40" w:after="40"/>
              <w:ind w:left="20"/>
              <w:rPr>
                <w:rFonts w:ascii="Arial Narrow" w:hAnsi="Arial Narrow" w:cs="Arial"/>
                <w:sz w:val="18"/>
                <w:szCs w:val="18"/>
              </w:rPr>
            </w:pPr>
            <w:r w:rsidRPr="00404298">
              <w:rPr>
                <w:rFonts w:ascii="Arial Narrow" w:hAnsi="Arial Narrow" w:cs="Arial"/>
                <w:sz w:val="18"/>
                <w:szCs w:val="18"/>
              </w:rPr>
              <w:t>Prospective: no</w:t>
            </w:r>
          </w:p>
          <w:p w:rsidR="00234376" w:rsidRPr="00537C3C" w:rsidRDefault="00234376" w:rsidP="008E03A7">
            <w:pPr>
              <w:spacing w:before="40" w:after="40"/>
              <w:ind w:left="20"/>
              <w:rPr>
                <w:rFonts w:ascii="Arial Narrow" w:hAnsi="Arial Narrow" w:cs="Arial"/>
                <w:sz w:val="18"/>
                <w:szCs w:val="18"/>
              </w:rPr>
            </w:pPr>
            <w:r w:rsidRPr="00404298">
              <w:rPr>
                <w:rFonts w:ascii="Arial Narrow" w:hAnsi="Arial Narrow" w:cs="Arial"/>
                <w:sz w:val="18"/>
                <w:szCs w:val="18"/>
              </w:rPr>
              <w:t>Consecutive: no (excluded</w:t>
            </w:r>
            <w:r w:rsidRPr="00537C3C">
              <w:rPr>
                <w:rFonts w:ascii="Arial Narrow" w:hAnsi="Arial Narrow" w:cs="Arial"/>
                <w:sz w:val="18"/>
                <w:szCs w:val="18"/>
              </w:rPr>
              <w:t xml:space="preserve"> some whole sessions)</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Explicit selection criteria: yes</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Test threshold specified: </w:t>
            </w:r>
            <w:r w:rsidRPr="00A316F5">
              <w:rPr>
                <w:rFonts w:ascii="Arial Narrow" w:hAnsi="Arial Narrow" w:cs="Arial"/>
                <w:sz w:val="18"/>
                <w:szCs w:val="18"/>
              </w:rPr>
              <w:t>N/</w:t>
            </w:r>
            <w:r w:rsidRPr="00537C3C">
              <w:rPr>
                <w:rFonts w:ascii="Arial Narrow" w:hAnsi="Arial Narrow" w:cs="Arial"/>
                <w:sz w:val="18"/>
                <w:szCs w:val="18"/>
              </w:rPr>
              <w:t>A</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Reference standard </w:t>
            </w:r>
            <w:r w:rsidRPr="00A316F5">
              <w:rPr>
                <w:rFonts w:ascii="Arial Narrow" w:hAnsi="Arial Narrow" w:cs="Arial"/>
                <w:sz w:val="18"/>
                <w:szCs w:val="18"/>
              </w:rPr>
              <w:t>N/</w:t>
            </w:r>
            <w:r w:rsidRPr="00537C3C">
              <w:rPr>
                <w:rFonts w:ascii="Arial Narrow" w:hAnsi="Arial Narrow" w:cs="Arial"/>
                <w:sz w:val="18"/>
                <w:szCs w:val="18"/>
              </w:rPr>
              <w:t>A</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Study withdrawals explained: yes</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Sufficient data for contingency table: </w:t>
            </w:r>
            <w:r w:rsidRPr="00A316F5">
              <w:rPr>
                <w:rFonts w:ascii="Arial Narrow" w:hAnsi="Arial Narrow" w:cs="Arial"/>
                <w:sz w:val="18"/>
                <w:szCs w:val="18"/>
              </w:rPr>
              <w:t>N/</w:t>
            </w:r>
            <w:r w:rsidRPr="00537C3C">
              <w:rPr>
                <w:rFonts w:ascii="Arial Narrow" w:hAnsi="Arial Narrow" w:cs="Arial"/>
                <w:sz w:val="18"/>
                <w:szCs w:val="18"/>
              </w:rPr>
              <w:t>A</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t>Applicability</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Applicable population</w:t>
            </w:r>
          </w:p>
          <w:p w:rsidR="00234376" w:rsidRPr="00537C3C" w:rsidRDefault="00234376" w:rsidP="00600AC0">
            <w:pPr>
              <w:numPr>
                <w:ilvl w:val="0"/>
                <w:numId w:val="19"/>
              </w:numPr>
              <w:spacing w:before="40" w:after="40"/>
              <w:ind w:left="20" w:firstLine="0"/>
              <w:rPr>
                <w:rFonts w:ascii="Arial Narrow" w:hAnsi="Arial Narrow" w:cs="Arial"/>
                <w:sz w:val="18"/>
                <w:szCs w:val="18"/>
              </w:rPr>
            </w:pPr>
            <w:r w:rsidRPr="00537C3C">
              <w:rPr>
                <w:rFonts w:ascii="Arial Narrow" w:hAnsi="Arial Narrow" w:cs="Arial"/>
                <w:sz w:val="18"/>
                <w:szCs w:val="18"/>
              </w:rPr>
              <w:t>mixed screening &amp; diagnostic population</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Applicable comparator: yes</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Applicable intervention: yes</w:t>
            </w:r>
          </w:p>
        </w:tc>
      </w:tr>
      <w:tr w:rsidR="00234376" w:rsidRPr="00537C3C">
        <w:trPr>
          <w:gridAfter w:val="1"/>
          <w:wAfter w:w="17" w:type="dxa"/>
          <w:trHeight w:val="127"/>
        </w:trPr>
        <w:tc>
          <w:tcPr>
            <w:tcW w:w="14782" w:type="dxa"/>
            <w:gridSpan w:val="8"/>
            <w:tcBorders>
              <w:top w:val="single" w:sz="4" w:space="0" w:color="auto"/>
              <w:left w:val="single" w:sz="4" w:space="0" w:color="auto"/>
              <w:right w:val="single" w:sz="4" w:space="0" w:color="auto"/>
            </w:tcBorders>
          </w:tcPr>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lastRenderedPageBreak/>
              <w:t>RESULTS:</w:t>
            </w:r>
          </w:p>
          <w:p w:rsidR="00234376" w:rsidRPr="00537C3C" w:rsidRDefault="00234376" w:rsidP="008E03A7">
            <w:pPr>
              <w:pStyle w:val="TableTextCharCharChar"/>
              <w:ind w:left="20"/>
              <w:rPr>
                <w:rFonts w:cs="Arial"/>
                <w:b/>
                <w:szCs w:val="18"/>
              </w:rPr>
            </w:pPr>
            <w:r w:rsidRPr="00537C3C">
              <w:rPr>
                <w:rFonts w:cs="Arial"/>
                <w:b/>
                <w:szCs w:val="18"/>
              </w:rPr>
              <w:t>Test characteristics</w:t>
            </w:r>
          </w:p>
          <w:p w:rsidR="00234376" w:rsidRPr="00537C3C" w:rsidRDefault="00234376" w:rsidP="008E03A7">
            <w:pPr>
              <w:pStyle w:val="TableTextCharCharChar"/>
              <w:ind w:left="20"/>
              <w:rPr>
                <w:rFonts w:cs="Arial"/>
                <w:szCs w:val="18"/>
                <w:u w:val="single"/>
              </w:rPr>
            </w:pPr>
            <w:r w:rsidRPr="00537C3C">
              <w:rPr>
                <w:rFonts w:cs="Arial"/>
                <w:szCs w:val="18"/>
                <w:u w:val="single"/>
              </w:rPr>
              <w:t>Process outcomes</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i/>
                <w:sz w:val="18"/>
                <w:szCs w:val="18"/>
              </w:rPr>
              <w:t>Paired data (20 readers)</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581 </w:t>
            </w:r>
            <w:r w:rsidRPr="00BB76D8">
              <w:rPr>
                <w:rFonts w:ascii="Arial Narrow" w:hAnsi="Arial Narrow" w:cs="Arial"/>
                <w:sz w:val="18"/>
                <w:szCs w:val="18"/>
              </w:rPr>
              <w:t>CC</w:t>
            </w:r>
            <w:r w:rsidRPr="00537C3C">
              <w:rPr>
                <w:rFonts w:ascii="Arial Narrow" w:hAnsi="Arial Narrow" w:cs="Arial"/>
                <w:sz w:val="18"/>
                <w:szCs w:val="18"/>
              </w:rPr>
              <w:t xml:space="preserve"> sessions, 379 </w:t>
            </w:r>
            <w:r w:rsidRPr="00BB76D8">
              <w:rPr>
                <w:rFonts w:ascii="Arial Narrow" w:hAnsi="Arial Narrow" w:cs="Arial"/>
                <w:sz w:val="18"/>
                <w:szCs w:val="18"/>
              </w:rPr>
              <w:t>TPI</w:t>
            </w:r>
            <w:r w:rsidRPr="00537C3C">
              <w:rPr>
                <w:rFonts w:ascii="Arial Narrow" w:hAnsi="Arial Narrow" w:cs="Arial"/>
                <w:sz w:val="18"/>
                <w:szCs w:val="18"/>
              </w:rPr>
              <w:t xml:space="preserve"> sessions</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Mean min/slide (95% </w:t>
            </w:r>
            <w:r w:rsidRPr="00BB76D8">
              <w:rPr>
                <w:rFonts w:ascii="Arial Narrow" w:hAnsi="Arial Narrow" w:cs="Arial"/>
                <w:sz w:val="18"/>
                <w:szCs w:val="18"/>
              </w:rPr>
              <w:t>CI</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4.71 (4.38–5.04), </w:t>
            </w:r>
            <w:r w:rsidRPr="00BB76D8">
              <w:rPr>
                <w:rFonts w:ascii="Arial Narrow" w:hAnsi="Arial Narrow" w:cs="Arial"/>
                <w:sz w:val="18"/>
                <w:szCs w:val="18"/>
              </w:rPr>
              <w:t>CC</w:t>
            </w:r>
            <w:r w:rsidRPr="00537C3C">
              <w:rPr>
                <w:rFonts w:ascii="Arial Narrow" w:hAnsi="Arial Narrow" w:cs="Arial"/>
                <w:sz w:val="18"/>
                <w:szCs w:val="18"/>
              </w:rPr>
              <w:t xml:space="preserve"> 10.61 (9.73–11.49); mean difference 5.90 (5.04–6.75; median 5.5, range 3.3–9.8), </w:t>
            </w:r>
            <w:r w:rsidRPr="0030078D">
              <w:rPr>
                <w:rFonts w:ascii="Arial Narrow" w:hAnsi="Arial Narrow" w:cs="Arial"/>
                <w:i/>
                <w:sz w:val="18"/>
                <w:szCs w:val="18"/>
              </w:rPr>
              <w:t>P</w:t>
            </w:r>
            <w:r w:rsidRPr="00537C3C">
              <w:rPr>
                <w:rFonts w:ascii="Arial Narrow" w:hAnsi="Arial Narrow" w:cs="Arial"/>
                <w:sz w:val="18"/>
                <w:szCs w:val="18"/>
              </w:rPr>
              <w:t xml:space="preserve"> &lt; 0.001, paired </w:t>
            </w:r>
            <w:r w:rsidRPr="00234376">
              <w:rPr>
                <w:rFonts w:ascii="Arial Narrow" w:hAnsi="Arial Narrow" w:cs="Arial"/>
                <w:i/>
                <w:sz w:val="18"/>
                <w:szCs w:val="18"/>
              </w:rPr>
              <w:t>t</w:t>
            </w:r>
            <w:r w:rsidRPr="00537C3C">
              <w:rPr>
                <w:rFonts w:ascii="Arial Narrow" w:hAnsi="Arial Narrow" w:cs="Arial"/>
                <w:sz w:val="18"/>
                <w:szCs w:val="18"/>
              </w:rPr>
              <w:t>-test</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Mean slides/h (95% </w:t>
            </w:r>
            <w:r w:rsidRPr="00BB76D8">
              <w:rPr>
                <w:rFonts w:ascii="Arial Narrow" w:hAnsi="Arial Narrow" w:cs="Arial"/>
                <w:sz w:val="18"/>
                <w:szCs w:val="18"/>
              </w:rPr>
              <w:t>CI</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13.31 (12.25–14.36), </w:t>
            </w:r>
            <w:r w:rsidRPr="00BB76D8">
              <w:rPr>
                <w:rFonts w:ascii="Arial Narrow" w:hAnsi="Arial Narrow" w:cs="Arial"/>
                <w:sz w:val="18"/>
                <w:szCs w:val="18"/>
              </w:rPr>
              <w:t>CC</w:t>
            </w:r>
            <w:r w:rsidRPr="00537C3C">
              <w:rPr>
                <w:rFonts w:ascii="Arial Narrow" w:hAnsi="Arial Narrow" w:cs="Arial"/>
                <w:sz w:val="18"/>
                <w:szCs w:val="18"/>
              </w:rPr>
              <w:t xml:space="preserve"> 6.12 (5.76–6.49), mean within-reader difference 7.18 (6.17–8.20; median 7.0, range 4.2–13.5); </w:t>
            </w:r>
            <w:r w:rsidRPr="0030078D">
              <w:rPr>
                <w:rFonts w:ascii="Arial Narrow" w:hAnsi="Arial Narrow" w:cs="Arial"/>
                <w:i/>
                <w:sz w:val="18"/>
                <w:szCs w:val="18"/>
              </w:rPr>
              <w:t>P</w:t>
            </w:r>
            <w:r w:rsidRPr="00537C3C">
              <w:rPr>
                <w:rFonts w:ascii="Arial Narrow" w:hAnsi="Arial Narrow" w:cs="Arial"/>
                <w:sz w:val="18"/>
                <w:szCs w:val="18"/>
              </w:rPr>
              <w:t xml:space="preserve"> &lt; 0.001, paired </w:t>
            </w:r>
            <w:r w:rsidRPr="00234376">
              <w:rPr>
                <w:rFonts w:ascii="Arial Narrow" w:hAnsi="Arial Narrow" w:cs="Arial"/>
                <w:i/>
                <w:sz w:val="18"/>
                <w:szCs w:val="18"/>
              </w:rPr>
              <w:t>t</w:t>
            </w:r>
            <w:r w:rsidRPr="00537C3C">
              <w:rPr>
                <w:rFonts w:ascii="Arial Narrow" w:hAnsi="Arial Narrow" w:cs="Arial"/>
                <w:sz w:val="18"/>
                <w:szCs w:val="18"/>
              </w:rPr>
              <w:t>-test</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i/>
                <w:sz w:val="18"/>
                <w:szCs w:val="18"/>
              </w:rPr>
              <w:t>Subgroups</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Training: No difference in </w:t>
            </w:r>
            <w:r w:rsidRPr="00BB76D8">
              <w:rPr>
                <w:rFonts w:ascii="Arial Narrow" w:hAnsi="Arial Narrow" w:cs="Arial"/>
                <w:sz w:val="18"/>
                <w:szCs w:val="18"/>
              </w:rPr>
              <w:t>CC</w:t>
            </w:r>
            <w:r w:rsidRPr="00537C3C">
              <w:rPr>
                <w:rFonts w:ascii="Arial Narrow" w:hAnsi="Arial Narrow" w:cs="Arial"/>
                <w:sz w:val="18"/>
                <w:szCs w:val="18"/>
              </w:rPr>
              <w:t xml:space="preserve"> mean reading times for those trained (</w:t>
            </w:r>
            <w:r w:rsidRPr="0030078D">
              <w:rPr>
                <w:rFonts w:ascii="Arial Narrow" w:hAnsi="Arial Narrow" w:cs="Arial"/>
                <w:i/>
                <w:sz w:val="18"/>
                <w:szCs w:val="18"/>
              </w:rPr>
              <w:t>n</w:t>
            </w:r>
            <w:r w:rsidRPr="00537C3C">
              <w:rPr>
                <w:rFonts w:ascii="Arial Narrow" w:hAnsi="Arial Narrow" w:cs="Arial"/>
                <w:sz w:val="18"/>
                <w:szCs w:val="18"/>
              </w:rPr>
              <w:t xml:space="preserve"> = 20, 10.61 min, 9.73–11.49; 6.1 slides/h) vs not trained (</w:t>
            </w:r>
            <w:r w:rsidRPr="0030078D">
              <w:rPr>
                <w:rFonts w:ascii="Arial Narrow" w:hAnsi="Arial Narrow" w:cs="Arial"/>
                <w:i/>
                <w:sz w:val="18"/>
                <w:szCs w:val="18"/>
              </w:rPr>
              <w:t>n</w:t>
            </w:r>
            <w:r w:rsidRPr="00537C3C">
              <w:rPr>
                <w:rFonts w:ascii="Arial Narrow" w:hAnsi="Arial Narrow" w:cs="Arial"/>
                <w:sz w:val="18"/>
                <w:szCs w:val="18"/>
              </w:rPr>
              <w:t xml:space="preserve"> = 21, 685 sessions, 10.61 min, 10.03–11.18; 5.9 slides/h) to read </w:t>
            </w:r>
            <w:r w:rsidRPr="00BB76D8">
              <w:rPr>
                <w:rFonts w:ascii="Arial Narrow" w:hAnsi="Arial Narrow" w:cs="Arial"/>
                <w:sz w:val="18"/>
                <w:szCs w:val="18"/>
              </w:rPr>
              <w:t>TPI</w:t>
            </w:r>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 1.00 reading time, </w:t>
            </w:r>
            <w:r w:rsidRPr="0030078D">
              <w:rPr>
                <w:rFonts w:ascii="Arial Narrow" w:hAnsi="Arial Narrow" w:cs="Arial"/>
                <w:i/>
                <w:sz w:val="18"/>
                <w:szCs w:val="18"/>
              </w:rPr>
              <w:t>P</w:t>
            </w:r>
            <w:r w:rsidRPr="00537C3C">
              <w:rPr>
                <w:rFonts w:ascii="Arial Narrow" w:hAnsi="Arial Narrow" w:cs="Arial"/>
                <w:sz w:val="18"/>
                <w:szCs w:val="18"/>
              </w:rPr>
              <w:t xml:space="preserve"> = 0.38 reading rate; independent </w:t>
            </w:r>
            <w:r w:rsidRPr="00234376">
              <w:rPr>
                <w:rFonts w:ascii="Arial Narrow" w:hAnsi="Arial Narrow" w:cs="Arial"/>
                <w:i/>
                <w:sz w:val="18"/>
                <w:szCs w:val="18"/>
              </w:rPr>
              <w:t>t</w:t>
            </w:r>
            <w:r w:rsidRPr="00537C3C">
              <w:rPr>
                <w:rFonts w:ascii="Arial Narrow" w:hAnsi="Arial Narrow" w:cs="Arial"/>
                <w:sz w:val="18"/>
                <w:szCs w:val="18"/>
              </w:rPr>
              <w:t xml:space="preserve">-test; similar result with random effects analyses </w:t>
            </w:r>
            <w:r w:rsidRPr="00BB76D8">
              <w:rPr>
                <w:rFonts w:ascii="Arial Narrow" w:hAnsi="Arial Narrow" w:cs="Arial"/>
                <w:sz w:val="18"/>
                <w:szCs w:val="18"/>
              </w:rPr>
              <w:t>NR</w:t>
            </w:r>
            <w:r w:rsidRPr="00537C3C">
              <w:rPr>
                <w:rFonts w:ascii="Arial Narrow" w:hAnsi="Arial Narrow" w:cs="Arial"/>
                <w:sz w:val="18"/>
                <w:szCs w:val="18"/>
              </w:rPr>
              <w:t>)</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Speed of reading: Slower readers had greater increases in speed (slide/min and mi</w:t>
            </w:r>
            <w:r w:rsidRPr="00A316F5">
              <w:rPr>
                <w:rFonts w:ascii="Arial Narrow" w:hAnsi="Arial Narrow" w:cs="Arial"/>
                <w:sz w:val="18"/>
                <w:szCs w:val="18"/>
              </w:rPr>
              <w:t>n/</w:t>
            </w:r>
            <w:r w:rsidRPr="00537C3C">
              <w:rPr>
                <w:rFonts w:ascii="Arial Narrow" w:hAnsi="Arial Narrow" w:cs="Arial"/>
                <w:sz w:val="18"/>
                <w:szCs w:val="18"/>
              </w:rPr>
              <w:t xml:space="preserve">slide) with </w:t>
            </w:r>
            <w:r w:rsidRPr="00BB76D8">
              <w:rPr>
                <w:rFonts w:ascii="Arial Narrow" w:hAnsi="Arial Narrow" w:cs="Arial"/>
                <w:sz w:val="18"/>
                <w:szCs w:val="18"/>
              </w:rPr>
              <w:t>TPI</w:t>
            </w:r>
            <w:r w:rsidRPr="00537C3C">
              <w:rPr>
                <w:rFonts w:ascii="Arial Narrow" w:hAnsi="Arial Narrow" w:cs="Arial"/>
                <w:sz w:val="18"/>
                <w:szCs w:val="18"/>
              </w:rPr>
              <w:t xml:space="preserve"> than faster readers (</w:t>
            </w:r>
            <w:r w:rsidRPr="0030078D">
              <w:rPr>
                <w:rFonts w:ascii="Arial Narrow" w:hAnsi="Arial Narrow" w:cs="Arial"/>
                <w:i/>
                <w:sz w:val="18"/>
                <w:szCs w:val="18"/>
              </w:rPr>
              <w:t>P</w:t>
            </w:r>
            <w:r w:rsidRPr="00537C3C">
              <w:rPr>
                <w:rFonts w:ascii="Arial Narrow" w:hAnsi="Arial Narrow" w:cs="Arial"/>
                <w:sz w:val="18"/>
                <w:szCs w:val="18"/>
              </w:rPr>
              <w:t xml:space="preserve"> &lt; 0.001, Altman–Bland plots &amp; linear regression)</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Experience: More experienced readers read </w:t>
            </w:r>
            <w:r w:rsidRPr="00BB76D8">
              <w:rPr>
                <w:rFonts w:ascii="Arial Narrow" w:hAnsi="Arial Narrow" w:cs="Arial"/>
                <w:sz w:val="18"/>
                <w:szCs w:val="18"/>
              </w:rPr>
              <w:t>CC</w:t>
            </w:r>
            <w:r w:rsidRPr="00537C3C">
              <w:rPr>
                <w:rFonts w:ascii="Arial Narrow" w:hAnsi="Arial Narrow" w:cs="Arial"/>
                <w:sz w:val="18"/>
                <w:szCs w:val="18"/>
              </w:rPr>
              <w:t xml:space="preserve"> slides more quickly, but experience did not affect </w:t>
            </w:r>
            <w:r w:rsidRPr="00BB76D8">
              <w:rPr>
                <w:rFonts w:ascii="Arial Narrow" w:hAnsi="Arial Narrow" w:cs="Arial"/>
                <w:sz w:val="18"/>
                <w:szCs w:val="18"/>
              </w:rPr>
              <w:t>TPI</w:t>
            </w:r>
            <w:r w:rsidRPr="00537C3C">
              <w:rPr>
                <w:rFonts w:ascii="Arial Narrow" w:hAnsi="Arial Narrow" w:cs="Arial"/>
                <w:sz w:val="18"/>
                <w:szCs w:val="18"/>
              </w:rPr>
              <w:t xml:space="preserve"> reading times (</w:t>
            </w:r>
            <w:r w:rsidRPr="0030078D">
              <w:rPr>
                <w:rFonts w:ascii="Arial Narrow" w:hAnsi="Arial Narrow" w:cs="Arial"/>
                <w:i/>
                <w:sz w:val="18"/>
                <w:szCs w:val="18"/>
              </w:rPr>
              <w:t>P</w:t>
            </w:r>
            <w:r w:rsidRPr="00537C3C">
              <w:rPr>
                <w:rFonts w:ascii="Arial Narrow" w:hAnsi="Arial Narrow" w:cs="Arial"/>
                <w:sz w:val="18"/>
                <w:szCs w:val="18"/>
              </w:rPr>
              <w:t xml:space="preserve"> = 0.41 mins/slide, </w:t>
            </w:r>
            <w:r w:rsidRPr="0030078D">
              <w:rPr>
                <w:rFonts w:ascii="Arial Narrow" w:hAnsi="Arial Narrow" w:cs="Arial"/>
                <w:i/>
                <w:sz w:val="18"/>
                <w:szCs w:val="18"/>
              </w:rPr>
              <w:t>P</w:t>
            </w:r>
            <w:r w:rsidRPr="00537C3C">
              <w:rPr>
                <w:rFonts w:ascii="Arial Narrow" w:hAnsi="Arial Narrow" w:cs="Arial"/>
                <w:sz w:val="18"/>
                <w:szCs w:val="18"/>
              </w:rPr>
              <w:t xml:space="preserve"> = 0.48 slides/min), </w:t>
            </w:r>
            <w:r w:rsidRPr="00BB76D8">
              <w:rPr>
                <w:rFonts w:ascii="Arial Narrow" w:hAnsi="Arial Narrow" w:cs="Arial"/>
                <w:sz w:val="18"/>
                <w:szCs w:val="18"/>
              </w:rPr>
              <w:t>CC</w:t>
            </w:r>
            <w:r w:rsidRPr="00537C3C">
              <w:rPr>
                <w:rFonts w:ascii="Arial Narrow" w:hAnsi="Arial Narrow" w:cs="Arial"/>
                <w:sz w:val="18"/>
                <w:szCs w:val="18"/>
              </w:rPr>
              <w:t>-reading times (</w:t>
            </w:r>
            <w:r w:rsidRPr="0030078D">
              <w:rPr>
                <w:rFonts w:ascii="Arial Narrow" w:hAnsi="Arial Narrow" w:cs="Arial"/>
                <w:i/>
                <w:sz w:val="18"/>
                <w:szCs w:val="18"/>
              </w:rPr>
              <w:t>P</w:t>
            </w:r>
            <w:r w:rsidRPr="00537C3C">
              <w:rPr>
                <w:rFonts w:ascii="Arial Narrow" w:hAnsi="Arial Narrow" w:cs="Arial"/>
                <w:sz w:val="18"/>
                <w:szCs w:val="18"/>
              </w:rPr>
              <w:t xml:space="preserve"> = 0.30, </w:t>
            </w:r>
            <w:r w:rsidRPr="0030078D">
              <w:rPr>
                <w:rFonts w:ascii="Arial Narrow" w:hAnsi="Arial Narrow" w:cs="Arial"/>
                <w:i/>
                <w:sz w:val="18"/>
                <w:szCs w:val="18"/>
              </w:rPr>
              <w:t>P</w:t>
            </w:r>
            <w:r w:rsidRPr="00537C3C">
              <w:rPr>
                <w:rFonts w:ascii="Arial Narrow" w:hAnsi="Arial Narrow" w:cs="Arial"/>
                <w:sz w:val="18"/>
                <w:szCs w:val="18"/>
              </w:rPr>
              <w:t xml:space="preserve"> = 0.58 </w:t>
            </w:r>
            <w:r w:rsidRPr="00BB76D8">
              <w:rPr>
                <w:rFonts w:ascii="Arial Narrow" w:hAnsi="Arial Narrow" w:cs="Arial"/>
                <w:sz w:val="18"/>
                <w:szCs w:val="18"/>
              </w:rPr>
              <w:t>TPI</w:t>
            </w:r>
            <w:r w:rsidRPr="00537C3C">
              <w:rPr>
                <w:rFonts w:ascii="Arial Narrow" w:hAnsi="Arial Narrow" w:cs="Arial"/>
                <w:sz w:val="18"/>
                <w:szCs w:val="18"/>
              </w:rPr>
              <w:t xml:space="preserve"> trained readers; </w:t>
            </w:r>
            <w:r w:rsidRPr="0030078D">
              <w:rPr>
                <w:rFonts w:ascii="Arial Narrow" w:hAnsi="Arial Narrow" w:cs="Arial"/>
                <w:i/>
                <w:sz w:val="18"/>
                <w:szCs w:val="18"/>
              </w:rPr>
              <w:t>P</w:t>
            </w:r>
            <w:r w:rsidRPr="00537C3C">
              <w:rPr>
                <w:rFonts w:ascii="Arial Narrow" w:hAnsi="Arial Narrow" w:cs="Arial"/>
                <w:sz w:val="18"/>
                <w:szCs w:val="18"/>
              </w:rPr>
              <w:t xml:space="preserve"> = 0.12, </w:t>
            </w:r>
            <w:r w:rsidRPr="0030078D">
              <w:rPr>
                <w:rFonts w:ascii="Arial Narrow" w:hAnsi="Arial Narrow" w:cs="Arial"/>
                <w:i/>
                <w:sz w:val="18"/>
                <w:szCs w:val="18"/>
              </w:rPr>
              <w:t>P</w:t>
            </w:r>
            <w:r w:rsidRPr="00537C3C">
              <w:rPr>
                <w:rFonts w:ascii="Arial Narrow" w:hAnsi="Arial Narrow" w:cs="Arial"/>
                <w:sz w:val="18"/>
                <w:szCs w:val="18"/>
              </w:rPr>
              <w:t xml:space="preserve"> = 0.11 </w:t>
            </w:r>
            <w:r w:rsidRPr="00BB76D8">
              <w:rPr>
                <w:rFonts w:ascii="Arial Narrow" w:hAnsi="Arial Narrow" w:cs="Arial"/>
                <w:sz w:val="18"/>
                <w:szCs w:val="18"/>
              </w:rPr>
              <w:t>TPI</w:t>
            </w:r>
            <w:r w:rsidRPr="00537C3C">
              <w:rPr>
                <w:rFonts w:ascii="Arial Narrow" w:hAnsi="Arial Narrow" w:cs="Arial"/>
                <w:sz w:val="18"/>
                <w:szCs w:val="18"/>
              </w:rPr>
              <w:t xml:space="preserve"> untrained readers) or within-reader differences (</w:t>
            </w:r>
            <w:r w:rsidRPr="0030078D">
              <w:rPr>
                <w:rFonts w:ascii="Arial Narrow" w:hAnsi="Arial Narrow" w:cs="Arial"/>
                <w:i/>
                <w:sz w:val="18"/>
                <w:szCs w:val="18"/>
              </w:rPr>
              <w:t>P</w:t>
            </w:r>
            <w:r w:rsidRPr="00537C3C">
              <w:rPr>
                <w:rFonts w:ascii="Arial Narrow" w:hAnsi="Arial Narrow" w:cs="Arial"/>
                <w:sz w:val="18"/>
                <w:szCs w:val="18"/>
              </w:rPr>
              <w:t xml:space="preserve"> = 0.16 mins/slide, </w:t>
            </w:r>
            <w:r w:rsidRPr="0030078D">
              <w:rPr>
                <w:rFonts w:ascii="Arial Narrow" w:hAnsi="Arial Narrow" w:cs="Arial"/>
                <w:i/>
                <w:sz w:val="18"/>
                <w:szCs w:val="18"/>
              </w:rPr>
              <w:t>P</w:t>
            </w:r>
            <w:r w:rsidRPr="00537C3C">
              <w:rPr>
                <w:rFonts w:ascii="Arial Narrow" w:hAnsi="Arial Narrow" w:cs="Arial"/>
                <w:sz w:val="18"/>
                <w:szCs w:val="18"/>
              </w:rPr>
              <w:t xml:space="preserve"> = 0.34 slides/min linear regression). Weak evidence for effect of experience on reading times of </w:t>
            </w:r>
            <w:r w:rsidRPr="00BB76D8">
              <w:rPr>
                <w:rFonts w:ascii="Arial Narrow" w:hAnsi="Arial Narrow" w:cs="Arial"/>
                <w:sz w:val="18"/>
                <w:szCs w:val="18"/>
              </w:rPr>
              <w:t>CC</w:t>
            </w:r>
            <w:r w:rsidRPr="00537C3C">
              <w:rPr>
                <w:rFonts w:ascii="Arial Narrow" w:hAnsi="Arial Narrow" w:cs="Arial"/>
                <w:sz w:val="18"/>
                <w:szCs w:val="18"/>
              </w:rPr>
              <w:t xml:space="preserve"> over all 41 readers (</w:t>
            </w:r>
            <w:r w:rsidRPr="0030078D">
              <w:rPr>
                <w:rFonts w:ascii="Arial Narrow" w:hAnsi="Arial Narrow" w:cs="Arial"/>
                <w:i/>
                <w:sz w:val="18"/>
                <w:szCs w:val="18"/>
              </w:rPr>
              <w:t>P</w:t>
            </w:r>
            <w:r w:rsidRPr="00537C3C">
              <w:rPr>
                <w:rFonts w:ascii="Arial Narrow" w:hAnsi="Arial Narrow" w:cs="Arial"/>
                <w:sz w:val="18"/>
                <w:szCs w:val="18"/>
              </w:rPr>
              <w:t xml:space="preserve"> = 0.08 mins/slide, </w:t>
            </w:r>
            <w:r w:rsidRPr="0030078D">
              <w:rPr>
                <w:rFonts w:ascii="Arial Narrow" w:hAnsi="Arial Narrow" w:cs="Arial"/>
                <w:i/>
                <w:sz w:val="18"/>
                <w:szCs w:val="18"/>
              </w:rPr>
              <w:t>P</w:t>
            </w:r>
            <w:r w:rsidRPr="00537C3C">
              <w:rPr>
                <w:rFonts w:ascii="Arial Narrow" w:hAnsi="Arial Narrow" w:cs="Arial"/>
                <w:sz w:val="18"/>
                <w:szCs w:val="18"/>
              </w:rPr>
              <w:t xml:space="preserve"> = 0.09 slides/min)</w:t>
            </w:r>
          </w:p>
        </w:tc>
      </w:tr>
      <w:tr w:rsidR="00234376" w:rsidRPr="00537C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25" w:type="dxa"/>
          <w:trHeight w:val="127"/>
        </w:trPr>
        <w:tc>
          <w:tcPr>
            <w:tcW w:w="1723" w:type="dxa"/>
          </w:tcPr>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b/>
                <w:sz w:val="18"/>
                <w:szCs w:val="18"/>
              </w:rPr>
              <w:t>Roberts et al. 2007</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sz w:val="18"/>
                <w:szCs w:val="18"/>
              </w:rPr>
            </w:pPr>
            <w:smartTag w:uri="urn:schemas-microsoft-com:office:smarttags" w:element="place">
              <w:smartTag w:uri="urn:schemas-microsoft-com:office:smarttags" w:element="country-region">
                <w:r w:rsidRPr="00537C3C">
                  <w:rPr>
                    <w:rFonts w:ascii="Arial Narrow" w:hAnsi="Arial Narrow" w:cs="Arial"/>
                    <w:sz w:val="18"/>
                    <w:szCs w:val="18"/>
                  </w:rPr>
                  <w:t>Australia</w:t>
                </w:r>
              </w:smartTag>
            </w:smartTag>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One pathology laboratory</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Feb 2005 – April 2005</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sz w:val="18"/>
                <w:szCs w:val="18"/>
              </w:rPr>
            </w:pPr>
            <w:r w:rsidRPr="0030078D">
              <w:rPr>
                <w:rFonts w:ascii="Arial Narrow" w:hAnsi="Arial Narrow" w:cs="Arial"/>
                <w:i/>
                <w:sz w:val="18"/>
                <w:szCs w:val="18"/>
              </w:rPr>
              <w:t>N</w:t>
            </w:r>
            <w:r w:rsidRPr="00537C3C">
              <w:rPr>
                <w:rFonts w:ascii="Arial Narrow" w:hAnsi="Arial Narrow" w:cs="Arial"/>
                <w:sz w:val="18"/>
                <w:szCs w:val="18"/>
              </w:rPr>
              <w:t xml:space="preserve"> = 11 416 samples + 103 seeded </w:t>
            </w:r>
            <w:r w:rsidRPr="00BB76D8">
              <w:rPr>
                <w:rFonts w:ascii="Arial Narrow" w:hAnsi="Arial Narrow" w:cs="Arial"/>
                <w:sz w:val="18"/>
                <w:szCs w:val="18"/>
              </w:rPr>
              <w:t>LBC</w:t>
            </w:r>
            <w:r w:rsidRPr="00537C3C">
              <w:rPr>
                <w:rFonts w:ascii="Arial Narrow" w:hAnsi="Arial Narrow" w:cs="Arial"/>
                <w:sz w:val="18"/>
                <w:szCs w:val="18"/>
              </w:rPr>
              <w:t xml:space="preserve"> cases</w:t>
            </w:r>
          </w:p>
        </w:tc>
        <w:tc>
          <w:tcPr>
            <w:tcW w:w="5459" w:type="dxa"/>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Objective:</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To compare the accuracy of </w:t>
            </w:r>
            <w:r w:rsidRPr="00BB76D8">
              <w:rPr>
                <w:rFonts w:ascii="Arial Narrow" w:hAnsi="Arial Narrow" w:cs="Arial"/>
                <w:sz w:val="18"/>
                <w:szCs w:val="18"/>
              </w:rPr>
              <w:t>LBC</w:t>
            </w:r>
            <w:r w:rsidRPr="00537C3C">
              <w:rPr>
                <w:rFonts w:ascii="Arial Narrow" w:hAnsi="Arial Narrow" w:cs="Arial"/>
                <w:sz w:val="18"/>
                <w:szCs w:val="18"/>
              </w:rPr>
              <w:t xml:space="preserve"> using the computerised ThinPrep Imager (</w:t>
            </w:r>
            <w:r w:rsidRPr="00BB76D8">
              <w:rPr>
                <w:rFonts w:ascii="Arial Narrow" w:hAnsi="Arial Narrow" w:cs="Arial"/>
                <w:sz w:val="18"/>
                <w:szCs w:val="18"/>
              </w:rPr>
              <w:t>TPI</w:t>
            </w:r>
            <w:r w:rsidRPr="00537C3C">
              <w:rPr>
                <w:rFonts w:ascii="Arial Narrow" w:hAnsi="Arial Narrow" w:cs="Arial"/>
                <w:sz w:val="18"/>
                <w:szCs w:val="18"/>
              </w:rPr>
              <w:t>) with manually read ThinPrep slides (</w:t>
            </w:r>
            <w:r w:rsidRPr="00BB76D8">
              <w:rPr>
                <w:rFonts w:ascii="Arial Narrow" w:hAnsi="Arial Narrow" w:cs="Arial"/>
                <w:sz w:val="18"/>
                <w:szCs w:val="18"/>
              </w:rPr>
              <w:t>TPM</w:t>
            </w:r>
            <w:r w:rsidRPr="00537C3C">
              <w:rPr>
                <w:rFonts w:ascii="Arial Narrow" w:hAnsi="Arial Narrow" w:cs="Arial"/>
                <w:sz w:val="18"/>
                <w:szCs w:val="18"/>
              </w:rPr>
              <w:t>) and also manually read conventional slides (secondary aim).</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Study design</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Three-arm diagnostic accuracy study with split-sample pairs and seeded </w:t>
            </w:r>
            <w:r w:rsidRPr="00BB76D8">
              <w:rPr>
                <w:rFonts w:ascii="Arial Narrow" w:hAnsi="Arial Narrow" w:cs="Arial"/>
                <w:sz w:val="18"/>
                <w:szCs w:val="18"/>
              </w:rPr>
              <w:t>LBC</w:t>
            </w:r>
            <w:r w:rsidRPr="00537C3C">
              <w:rPr>
                <w:rFonts w:ascii="Arial Narrow" w:hAnsi="Arial Narrow" w:cs="Arial"/>
                <w:sz w:val="18"/>
                <w:szCs w:val="18"/>
              </w:rPr>
              <w:t xml:space="preserve"> cases. Data reported separately for routine and seeded cases.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Index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ThinPrep </w:t>
            </w:r>
            <w:r w:rsidRPr="00BB76D8">
              <w:rPr>
                <w:rFonts w:ascii="Arial Narrow" w:hAnsi="Arial Narrow" w:cs="Arial"/>
                <w:sz w:val="18"/>
                <w:szCs w:val="18"/>
              </w:rPr>
              <w:t>LBC</w:t>
            </w:r>
            <w:r w:rsidRPr="00537C3C">
              <w:rPr>
                <w:rFonts w:ascii="Arial Narrow" w:hAnsi="Arial Narrow" w:cs="Arial"/>
                <w:sz w:val="18"/>
                <w:szCs w:val="18"/>
              </w:rPr>
              <w:t xml:space="preserve"> with computerised ThinPrep Imager reading</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Comparator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1) Manual reading of ThinPrep </w:t>
            </w:r>
            <w:r w:rsidRPr="00BB76D8">
              <w:rPr>
                <w:rFonts w:ascii="Arial Narrow" w:hAnsi="Arial Narrow" w:cs="Arial"/>
                <w:sz w:val="18"/>
                <w:szCs w:val="18"/>
              </w:rPr>
              <w:t>LBC</w:t>
            </w:r>
            <w:r w:rsidRPr="00537C3C">
              <w:rPr>
                <w:rFonts w:ascii="Arial Narrow" w:hAnsi="Arial Narrow" w:cs="Arial"/>
                <w:sz w:val="18"/>
                <w:szCs w:val="18"/>
              </w:rPr>
              <w:t xml:space="preserve"> 2) conventional cytology with manual reading</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Reference standard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Histopathology within 9 months for high-grade and possible high-grade lesions, no reference standard for 12/134 </w:t>
            </w:r>
            <w:r w:rsidRPr="00BB76D8">
              <w:rPr>
                <w:rFonts w:ascii="Arial Narrow" w:hAnsi="Arial Narrow" w:cs="Arial"/>
                <w:sz w:val="18"/>
                <w:szCs w:val="18"/>
              </w:rPr>
              <w:t>TPI</w:t>
            </w:r>
            <w:r w:rsidRPr="00537C3C">
              <w:rPr>
                <w:rFonts w:ascii="Arial Narrow" w:hAnsi="Arial Narrow" w:cs="Arial"/>
                <w:sz w:val="18"/>
                <w:szCs w:val="18"/>
              </w:rPr>
              <w:t xml:space="preserve"> (9.0%), 15/180</w:t>
            </w:r>
            <w:r w:rsidRPr="00BB76D8">
              <w:rPr>
                <w:rFonts w:ascii="Arial Narrow" w:hAnsi="Arial Narrow" w:cs="Arial"/>
                <w:sz w:val="18"/>
                <w:szCs w:val="18"/>
              </w:rPr>
              <w:t>TPM</w:t>
            </w:r>
            <w:r w:rsidRPr="00537C3C">
              <w:rPr>
                <w:rFonts w:ascii="Arial Narrow" w:hAnsi="Arial Narrow" w:cs="Arial"/>
                <w:sz w:val="18"/>
                <w:szCs w:val="18"/>
              </w:rPr>
              <w:t xml:space="preserve"> (8.3%), 10/93 conventional (10.8%) </w:t>
            </w:r>
            <w:r w:rsidRPr="00537C3C">
              <w:rPr>
                <w:rFonts w:ascii="Arial Narrow" w:eastAsia="Arial Unicode MS" w:hAnsi="Arial Narrow"/>
                <w:sz w:val="18"/>
                <w:lang w:eastAsia="en-AU"/>
              </w:rPr>
              <w:t>(</w:t>
            </w:r>
            <w:r w:rsidRPr="00537C3C">
              <w:rPr>
                <w:rFonts w:ascii="Arial Narrow" w:hAnsi="Arial Narrow" w:cs="Arial"/>
                <w:sz w:val="18"/>
                <w:szCs w:val="18"/>
              </w:rPr>
              <w:sym w:font="Symbol" w:char="F063"/>
            </w:r>
            <w:r w:rsidRPr="00537C3C">
              <w:rPr>
                <w:rFonts w:ascii="Arial Narrow" w:eastAsia="Arial Unicode MS" w:hAnsi="Arial Narrow" w:cs="Arial Narrow"/>
                <w:sz w:val="18"/>
                <w:vertAlign w:val="superscript"/>
                <w:lang w:eastAsia="en-AU"/>
              </w:rPr>
              <w:t>2–</w:t>
            </w:r>
            <w:r w:rsidRPr="00537C3C">
              <w:rPr>
                <w:rFonts w:ascii="Arial Narrow" w:eastAsia="Arial Unicode MS" w:hAnsi="Arial Narrow" w:cs="Arial Narrow"/>
                <w:sz w:val="18"/>
                <w:lang w:eastAsia="en-AU"/>
              </w:rPr>
              <w:t xml:space="preserve">test </w:t>
            </w:r>
            <w:r w:rsidRPr="0030078D">
              <w:rPr>
                <w:rFonts w:ascii="Arial Narrow" w:eastAsia="Arial Unicode MS" w:hAnsi="Arial Narrow" w:cs="Arial Narrow"/>
                <w:i/>
                <w:sz w:val="18"/>
                <w:lang w:eastAsia="en-AU"/>
              </w:rPr>
              <w:t>P</w:t>
            </w:r>
            <w:r w:rsidRPr="00537C3C">
              <w:rPr>
                <w:rFonts w:ascii="Arial Narrow" w:eastAsia="Arial Unicode MS" w:hAnsi="Arial Narrow" w:cs="Arial Narrow"/>
                <w:sz w:val="18"/>
                <w:lang w:eastAsia="en-AU"/>
              </w:rPr>
              <w:t xml:space="preserve"> = 0.834).</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None for low-grade positive, negatives.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Test threshold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Test: </w:t>
            </w:r>
            <w:r w:rsidRPr="00BB76D8">
              <w:rPr>
                <w:rFonts w:ascii="Arial Narrow" w:hAnsi="Arial Narrow" w:cs="Arial"/>
                <w:sz w:val="18"/>
                <w:szCs w:val="18"/>
              </w:rPr>
              <w:t>HSIL</w:t>
            </w:r>
            <w:r w:rsidRPr="00537C3C">
              <w:rPr>
                <w:rFonts w:ascii="Arial Narrow" w:hAnsi="Arial Narrow" w:cs="Arial"/>
                <w:sz w:val="18"/>
                <w:szCs w:val="18"/>
              </w:rPr>
              <w:t>/</w:t>
            </w:r>
            <w:r w:rsidRPr="00BB76D8">
              <w:rPr>
                <w:rFonts w:ascii="Arial Narrow" w:hAnsi="Arial Narrow" w:cs="Arial"/>
                <w:sz w:val="18"/>
                <w:szCs w:val="18"/>
              </w:rPr>
              <w:t>pHSIL</w:t>
            </w:r>
            <w:r w:rsidRPr="00537C3C">
              <w:rPr>
                <w:rFonts w:ascii="Arial Narrow" w:hAnsi="Arial Narrow" w:cs="Arial"/>
                <w:sz w:val="18"/>
                <w:szCs w:val="18"/>
              </w:rPr>
              <w:t xml:space="preserve"> (including possible glandular high grade)</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Reference standard: high grade (defined as </w:t>
            </w:r>
            <w:r w:rsidRPr="00BB76D8">
              <w:rPr>
                <w:rFonts w:ascii="Arial Narrow" w:hAnsi="Arial Narrow" w:cs="Arial"/>
                <w:sz w:val="18"/>
                <w:szCs w:val="18"/>
              </w:rPr>
              <w:t>HSIL</w:t>
            </w:r>
            <w:r w:rsidRPr="00537C3C">
              <w:rPr>
                <w:rFonts w:ascii="Arial Narrow" w:hAnsi="Arial Narrow" w:cs="Arial"/>
                <w:sz w:val="18"/>
                <w:szCs w:val="18"/>
              </w:rPr>
              <w:t xml:space="preserve">, </w:t>
            </w:r>
            <w:r w:rsidRPr="00BB76D8">
              <w:rPr>
                <w:rFonts w:ascii="Arial Narrow" w:hAnsi="Arial Narrow" w:cs="Arial"/>
                <w:sz w:val="18"/>
                <w:szCs w:val="18"/>
              </w:rPr>
              <w:t>AIS</w:t>
            </w:r>
            <w:r w:rsidRPr="00537C3C">
              <w:rPr>
                <w:rFonts w:ascii="Arial Narrow" w:hAnsi="Arial Narrow" w:cs="Arial"/>
                <w:sz w:val="18"/>
                <w:szCs w:val="18"/>
              </w:rPr>
              <w:t xml:space="preserve"> or carcinoma)</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Primary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Accuracy for high-grade lesions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lastRenderedPageBreak/>
              <w:t>Secondary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Productivity: average screening time per slide</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Relevant subgroups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Nil</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Cytological classification</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Australian Modified </w:t>
            </w:r>
            <w:smartTag w:uri="urn:schemas-microsoft-com:office:smarttags" w:element="place">
              <w:smartTag w:uri="urn:schemas-microsoft-com:office:smarttags" w:element="City">
                <w:r w:rsidRPr="00537C3C">
                  <w:rPr>
                    <w:rFonts w:ascii="Arial Narrow" w:hAnsi="Arial Narrow" w:cs="Arial"/>
                    <w:sz w:val="18"/>
                    <w:szCs w:val="18"/>
                  </w:rPr>
                  <w:t>Bethesda</w:t>
                </w:r>
              </w:smartTag>
            </w:smartTag>
            <w:r w:rsidRPr="00537C3C">
              <w:rPr>
                <w:rFonts w:ascii="Arial Narrow" w:hAnsi="Arial Narrow" w:cs="Arial"/>
                <w:sz w:val="18"/>
                <w:szCs w:val="18"/>
              </w:rPr>
              <w:t xml:space="preserve"> System 2004</w:t>
            </w:r>
          </w:p>
        </w:tc>
        <w:tc>
          <w:tcPr>
            <w:tcW w:w="3214" w:type="dxa"/>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lastRenderedPageBreak/>
              <w:t>Inclusion criteria</w:t>
            </w:r>
          </w:p>
          <w:p w:rsidR="00234376" w:rsidRPr="00537C3C" w:rsidRDefault="00234376" w:rsidP="008E03A7">
            <w:pPr>
              <w:numPr>
                <w:ilvl w:val="0"/>
                <w:numId w:val="5"/>
              </w:numPr>
              <w:spacing w:before="40" w:after="0"/>
              <w:rPr>
                <w:rFonts w:ascii="Arial Narrow" w:hAnsi="Arial Narrow" w:cs="Arial"/>
                <w:sz w:val="18"/>
                <w:szCs w:val="18"/>
              </w:rPr>
            </w:pPr>
            <w:r w:rsidRPr="00537C3C">
              <w:rPr>
                <w:rFonts w:ascii="Arial Narrow" w:hAnsi="Arial Narrow" w:cs="Arial"/>
                <w:sz w:val="18"/>
                <w:szCs w:val="18"/>
              </w:rPr>
              <w:t>Routinely received samples (</w:t>
            </w:r>
            <w:r w:rsidRPr="0030078D">
              <w:rPr>
                <w:rFonts w:ascii="Arial Narrow" w:hAnsi="Arial Narrow" w:cs="Arial"/>
                <w:i/>
                <w:sz w:val="18"/>
                <w:szCs w:val="18"/>
              </w:rPr>
              <w:t>N</w:t>
            </w:r>
            <w:r w:rsidRPr="00537C3C">
              <w:rPr>
                <w:rFonts w:ascii="Arial Narrow" w:hAnsi="Arial Narrow" w:cs="Arial"/>
                <w:sz w:val="18"/>
                <w:szCs w:val="18"/>
              </w:rPr>
              <w:t xml:space="preserve"> = 11 416)</w:t>
            </w:r>
          </w:p>
          <w:p w:rsidR="00234376" w:rsidRPr="00537C3C" w:rsidRDefault="00234376" w:rsidP="008E03A7">
            <w:pPr>
              <w:numPr>
                <w:ilvl w:val="0"/>
                <w:numId w:val="5"/>
              </w:numPr>
              <w:spacing w:before="40" w:after="0"/>
              <w:rPr>
                <w:rFonts w:ascii="Arial Narrow" w:hAnsi="Arial Narrow" w:cs="Arial"/>
                <w:sz w:val="18"/>
                <w:szCs w:val="18"/>
              </w:rPr>
            </w:pPr>
            <w:r w:rsidRPr="00BB76D8">
              <w:rPr>
                <w:rFonts w:ascii="Arial Narrow" w:hAnsi="Arial Narrow" w:cs="Arial"/>
                <w:sz w:val="18"/>
                <w:szCs w:val="18"/>
              </w:rPr>
              <w:t>HSIL</w:t>
            </w:r>
            <w:r w:rsidRPr="00537C3C">
              <w:rPr>
                <w:rFonts w:ascii="Arial Narrow" w:hAnsi="Arial Narrow" w:cs="Arial"/>
                <w:sz w:val="18"/>
                <w:szCs w:val="18"/>
              </w:rPr>
              <w:t xml:space="preserve">, </w:t>
            </w:r>
            <w:r w:rsidRPr="00BB76D8">
              <w:rPr>
                <w:rFonts w:ascii="Arial Narrow" w:hAnsi="Arial Narrow" w:cs="Arial"/>
                <w:sz w:val="18"/>
                <w:szCs w:val="18"/>
              </w:rPr>
              <w:t>AIS</w:t>
            </w:r>
            <w:r w:rsidRPr="00537C3C">
              <w:rPr>
                <w:rFonts w:ascii="Arial Narrow" w:hAnsi="Arial Narrow" w:cs="Arial"/>
                <w:sz w:val="18"/>
                <w:szCs w:val="18"/>
              </w:rPr>
              <w:t xml:space="preserve"> or carcinoma (</w:t>
            </w:r>
            <w:r w:rsidRPr="0030078D">
              <w:rPr>
                <w:rFonts w:ascii="Arial Narrow" w:hAnsi="Arial Narrow" w:cs="Arial"/>
                <w:i/>
                <w:sz w:val="18"/>
                <w:szCs w:val="18"/>
              </w:rPr>
              <w:t>N</w:t>
            </w:r>
            <w:r w:rsidRPr="00537C3C">
              <w:rPr>
                <w:rFonts w:ascii="Arial Narrow" w:hAnsi="Arial Narrow" w:cs="Arial"/>
                <w:sz w:val="18"/>
                <w:szCs w:val="18"/>
              </w:rPr>
              <w:t xml:space="preserve"> = 103)</w:t>
            </w:r>
          </w:p>
          <w:p w:rsidR="00234376" w:rsidRPr="00537C3C" w:rsidRDefault="00234376" w:rsidP="008E03A7">
            <w:pPr>
              <w:numPr>
                <w:ilvl w:val="0"/>
                <w:numId w:val="5"/>
              </w:numPr>
              <w:spacing w:before="40" w:after="0"/>
              <w:rPr>
                <w:rFonts w:ascii="Arial Narrow" w:hAnsi="Arial Narrow" w:cs="Arial"/>
                <w:i/>
                <w:sz w:val="18"/>
                <w:szCs w:val="18"/>
              </w:rPr>
            </w:pPr>
            <w:r w:rsidRPr="00537C3C">
              <w:rPr>
                <w:rFonts w:ascii="Arial Narrow" w:hAnsi="Arial Narrow" w:cs="Arial"/>
                <w:sz w:val="18"/>
                <w:szCs w:val="18"/>
              </w:rPr>
              <w:t>Likely screening and diagnostic population—unclear</w:t>
            </w:r>
          </w:p>
          <w:p w:rsidR="00234376" w:rsidRPr="00537C3C" w:rsidRDefault="00234376" w:rsidP="008E03A7">
            <w:pPr>
              <w:spacing w:before="40"/>
              <w:rPr>
                <w:rFonts w:ascii="Arial Narrow" w:hAnsi="Arial Narrow" w:cs="Arial"/>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Exclusion criteria</w:t>
            </w:r>
          </w:p>
          <w:p w:rsidR="00234376" w:rsidRPr="00537C3C" w:rsidRDefault="00234376" w:rsidP="008E03A7">
            <w:pPr>
              <w:pStyle w:val="TableTextLessSpaceCharCharCharCharCharCharCharChar"/>
              <w:numPr>
                <w:ilvl w:val="0"/>
                <w:numId w:val="5"/>
              </w:numPr>
            </w:pPr>
            <w:r w:rsidRPr="00537C3C">
              <w:t>Slides not read by imager (3.7%) due to poor cellularity, excessive blood, technical problems</w:t>
            </w:r>
          </w:p>
          <w:p w:rsidR="00234376" w:rsidRPr="00537C3C" w:rsidRDefault="00234376" w:rsidP="008E03A7">
            <w:pPr>
              <w:pStyle w:val="TableTextLessSpaceCharCharCharCharCharCharCharCha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Patient characteristics</w:t>
            </w:r>
          </w:p>
          <w:p w:rsidR="00234376" w:rsidRPr="00537C3C" w:rsidRDefault="00234376" w:rsidP="008E03A7">
            <w:pPr>
              <w:spacing w:before="40"/>
              <w:ind w:left="0"/>
              <w:rPr>
                <w:rFonts w:ascii="Arial Narrow" w:hAnsi="Arial Narrow" w:cs="Arial"/>
                <w:sz w:val="18"/>
                <w:szCs w:val="18"/>
              </w:rPr>
            </w:pPr>
            <w:r w:rsidRPr="00BB76D8">
              <w:rPr>
                <w:rFonts w:ascii="Arial Narrow" w:hAnsi="Arial Narrow" w:cs="Arial"/>
                <w:sz w:val="18"/>
                <w:szCs w:val="18"/>
              </w:rPr>
              <w:t>NR</w:t>
            </w:r>
          </w:p>
        </w:tc>
        <w:tc>
          <w:tcPr>
            <w:tcW w:w="3978" w:type="dxa"/>
            <w:gridSpan w:val="3"/>
          </w:tcPr>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Quality: fair Q2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Prospective: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Consecutive: no</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Explicit selection criteria: no</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threshold specified: yes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Reference standard</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valid</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not applied to all participants; applied to majority positive participants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interval adequate</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reference standard—yes (9 months)</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comparator -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Tests reported blinded to ref standard &amp; comparator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Ref standard reported blinded to tests - </w:t>
            </w:r>
            <w:r w:rsidRPr="00BB76D8">
              <w:rPr>
                <w:rFonts w:ascii="Arial Narrow" w:hAnsi="Arial Narrow" w:cs="Arial"/>
                <w:sz w:val="18"/>
                <w:szCs w:val="18"/>
              </w:rPr>
              <w:t>NR</w:t>
            </w:r>
            <w:r w:rsidRPr="00537C3C">
              <w:rPr>
                <w:rFonts w:ascii="Arial Narrow" w:hAnsi="Arial Narrow" w:cs="Arial"/>
                <w:sz w:val="18"/>
                <w:szCs w:val="18"/>
              </w:rPr>
              <w:t xml:space="preserve"> (probably no)</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Uninterpretable/intermediate results reported: total </w:t>
            </w:r>
            <w:r w:rsidRPr="00BB76D8">
              <w:rPr>
                <w:rFonts w:ascii="Arial Narrow" w:hAnsi="Arial Narrow" w:cs="Arial"/>
                <w:sz w:val="18"/>
                <w:szCs w:val="18"/>
              </w:rPr>
              <w:t>NR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Study withdrawals explained: yes</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w:t>
            </w:r>
            <w:r w:rsidRPr="00537C3C">
              <w:rPr>
                <w:rFonts w:ascii="Arial Narrow" w:hAnsi="Arial Narrow" w:cs="Arial"/>
                <w:sz w:val="18"/>
                <w:szCs w:val="18"/>
              </w:rPr>
              <w:t xml:space="preserve"> slides rejected by imager were excluded from analysis (3.7%)</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Sufficient data for relative </w:t>
            </w:r>
            <w:r w:rsidRPr="00BB76D8">
              <w:rPr>
                <w:rFonts w:ascii="Arial Narrow" w:hAnsi="Arial Narrow" w:cs="Arial"/>
                <w:sz w:val="18"/>
                <w:szCs w:val="18"/>
              </w:rPr>
              <w:t>TP</w:t>
            </w:r>
            <w:r w:rsidRPr="00537C3C">
              <w:rPr>
                <w:rFonts w:ascii="Arial Narrow" w:hAnsi="Arial Narrow" w:cs="Arial"/>
                <w:sz w:val="18"/>
                <w:szCs w:val="18"/>
              </w:rPr>
              <w:t>&amp;</w:t>
            </w:r>
            <w:r w:rsidRPr="00BB76D8">
              <w:rPr>
                <w:rFonts w:ascii="Arial Narrow" w:hAnsi="Arial Narrow" w:cs="Arial"/>
                <w:sz w:val="18"/>
                <w:szCs w:val="18"/>
              </w:rPr>
              <w:t>FP</w:t>
            </w:r>
            <w:r w:rsidRPr="00537C3C">
              <w:rPr>
                <w:rFonts w:ascii="Arial Narrow" w:hAnsi="Arial Narrow" w:cs="Arial"/>
                <w:sz w:val="18"/>
                <w:szCs w:val="18"/>
              </w:rPr>
              <w:t>: yes McNemars’ test</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Applicability: limited P2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population - unclear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comparator: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intervention: yes</w:t>
            </w:r>
          </w:p>
        </w:tc>
      </w:tr>
      <w:tr w:rsidR="00234376" w:rsidRPr="00537C3C">
        <w:trPr>
          <w:gridAfter w:val="4"/>
          <w:wAfter w:w="458" w:type="dxa"/>
          <w:trHeight w:val="127"/>
        </w:trPr>
        <w:tc>
          <w:tcPr>
            <w:tcW w:w="14341" w:type="dxa"/>
            <w:gridSpan w:val="5"/>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lastRenderedPageBreak/>
              <w:t>RESULTS: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sz w:val="18"/>
                <w:szCs w:val="18"/>
              </w:rPr>
              <w:t>Test accuracy</w:t>
            </w:r>
            <w:r w:rsidRPr="00537C3C">
              <w:rPr>
                <w:rFonts w:ascii="Arial Narrow" w:hAnsi="Arial Narrow" w:cs="Arial"/>
                <w:sz w:val="18"/>
                <w:szCs w:val="18"/>
              </w:rPr>
              <w:t xml:space="preserve"> (for detection of </w:t>
            </w:r>
            <w:r w:rsidRPr="00BB76D8">
              <w:rPr>
                <w:rFonts w:ascii="Arial Narrow" w:hAnsi="Arial Narrow" w:cs="Arial"/>
                <w:sz w:val="18"/>
                <w:szCs w:val="18"/>
              </w:rPr>
              <w:t>CIN</w:t>
            </w:r>
            <w:r w:rsidRPr="00537C3C">
              <w:rPr>
                <w:rFonts w:ascii="Arial Narrow" w:hAnsi="Arial Narrow" w:cs="Arial"/>
                <w:sz w:val="18"/>
                <w:szCs w:val="18"/>
              </w:rPr>
              <w:t xml:space="preserve"> 2+/</w:t>
            </w:r>
            <w:r w:rsidRPr="00BB76D8">
              <w:rPr>
                <w:rFonts w:ascii="Arial Narrow" w:hAnsi="Arial Narrow" w:cs="Arial"/>
                <w:sz w:val="18"/>
                <w:szCs w:val="18"/>
              </w:rPr>
              <w:t>CIN</w:t>
            </w:r>
            <w:r w:rsidRPr="00537C3C">
              <w:rPr>
                <w:rFonts w:ascii="Arial Narrow" w:hAnsi="Arial Narrow" w:cs="Arial"/>
                <w:sz w:val="18"/>
                <w:szCs w:val="18"/>
              </w:rPr>
              <w:t xml:space="preserve"> 3+)</w:t>
            </w:r>
          </w:p>
          <w:p w:rsidR="00234376" w:rsidRPr="00537C3C" w:rsidRDefault="00234376" w:rsidP="008E03A7">
            <w:pPr>
              <w:spacing w:before="40" w:after="0"/>
              <w:ind w:left="0"/>
              <w:rPr>
                <w:rFonts w:ascii="Arial Narrow" w:hAnsi="Arial Narrow" w:cs="Arial"/>
                <w:sz w:val="18"/>
                <w:szCs w:val="18"/>
                <w:u w:val="single"/>
              </w:rPr>
            </w:pPr>
            <w:r w:rsidRPr="00537C3C">
              <w:rPr>
                <w:rFonts w:ascii="Arial Narrow" w:hAnsi="Arial Narrow" w:cs="Arial"/>
                <w:sz w:val="18"/>
                <w:szCs w:val="18"/>
                <w:u w:val="single"/>
              </w:rPr>
              <w:t xml:space="preserve">Accuracy for </w:t>
            </w:r>
            <w:r w:rsidRPr="00BB76D8">
              <w:rPr>
                <w:rFonts w:ascii="Arial Narrow" w:hAnsi="Arial Narrow" w:cs="Arial"/>
                <w:sz w:val="18"/>
                <w:szCs w:val="18"/>
                <w:u w:val="single"/>
              </w:rPr>
              <w:t>CIN</w:t>
            </w:r>
            <w:r w:rsidRPr="00537C3C">
              <w:rPr>
                <w:rFonts w:ascii="Arial Narrow" w:hAnsi="Arial Narrow" w:cs="Arial"/>
                <w:sz w:val="18"/>
                <w:szCs w:val="18"/>
                <w:u w:val="single"/>
              </w:rPr>
              <w:t xml:space="preserve"> 2+ lesions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Reported sensitivities invalid as not based on full reference standard for negative findings (possible </w:t>
            </w:r>
            <w:r w:rsidRPr="00BB76D8">
              <w:rPr>
                <w:rFonts w:ascii="Arial Narrow" w:hAnsi="Arial Narrow" w:cs="Arial"/>
                <w:sz w:val="18"/>
                <w:szCs w:val="18"/>
              </w:rPr>
              <w:t>FN</w:t>
            </w:r>
            <w:r w:rsidRPr="00537C3C">
              <w:rPr>
                <w:rFonts w:ascii="Arial Narrow" w:hAnsi="Arial Narrow" w:cs="Arial"/>
                <w:sz w:val="18"/>
                <w:szCs w:val="18"/>
              </w:rPr>
              <w:t>). Total positive cytology results unclear</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i/>
                <w:sz w:val="18"/>
                <w:szCs w:val="18"/>
              </w:rPr>
              <w:t>TPs, including seeded cases (N = 11</w:t>
            </w:r>
            <w:r w:rsidRPr="00537C3C" w:rsidDel="001E6D1E">
              <w:rPr>
                <w:rFonts w:ascii="Arial Narrow" w:hAnsi="Arial Narrow" w:cs="Arial"/>
                <w:i/>
                <w:sz w:val="18"/>
                <w:szCs w:val="18"/>
              </w:rPr>
              <w:t> </w:t>
            </w:r>
            <w:r w:rsidRPr="00537C3C">
              <w:rPr>
                <w:rFonts w:ascii="Arial Narrow" w:hAnsi="Arial Narrow" w:cs="Arial"/>
                <w:i/>
                <w:sz w:val="18"/>
                <w:szCs w:val="18"/>
              </w:rPr>
              <w:t>519):</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 172, </w:t>
            </w:r>
            <w:r w:rsidRPr="00BB76D8">
              <w:rPr>
                <w:rFonts w:ascii="Arial Narrow" w:hAnsi="Arial Narrow" w:cs="Arial"/>
                <w:sz w:val="18"/>
                <w:szCs w:val="18"/>
              </w:rPr>
              <w:t>TPM</w:t>
            </w:r>
            <w:r w:rsidRPr="00537C3C">
              <w:rPr>
                <w:rFonts w:ascii="Arial Narrow" w:hAnsi="Arial Narrow" w:cs="Arial"/>
                <w:sz w:val="18"/>
                <w:szCs w:val="18"/>
              </w:rPr>
              <w:t xml:space="preserve"> = 184. </w:t>
            </w:r>
            <w:r w:rsidRPr="00BB76D8">
              <w:rPr>
                <w:rFonts w:ascii="Arial Narrow" w:hAnsi="Arial Narrow" w:cs="Arial"/>
                <w:sz w:val="18"/>
                <w:szCs w:val="18"/>
              </w:rPr>
              <w:t>TPM</w:t>
            </w:r>
            <w:r w:rsidRPr="00537C3C">
              <w:rPr>
                <w:rFonts w:ascii="Arial Narrow" w:hAnsi="Arial Narrow" w:cs="Arial"/>
                <w:sz w:val="18"/>
                <w:szCs w:val="18"/>
              </w:rPr>
              <w:t xml:space="preserve"> identified additional 12 </w:t>
            </w:r>
            <w:r w:rsidRPr="00BB76D8">
              <w:rPr>
                <w:rFonts w:ascii="Arial Narrow" w:hAnsi="Arial Narrow" w:cs="Arial"/>
                <w:sz w:val="18"/>
                <w:szCs w:val="18"/>
              </w:rPr>
              <w:t>TP</w:t>
            </w:r>
            <w:r w:rsidRPr="00537C3C">
              <w:rPr>
                <w:rFonts w:ascii="Arial Narrow" w:hAnsi="Arial Narrow" w:cs="Arial"/>
                <w:sz w:val="18"/>
                <w:szCs w:val="18"/>
              </w:rPr>
              <w:t xml:space="preserve">s over </w:t>
            </w:r>
            <w:r w:rsidRPr="00BB76D8">
              <w:rPr>
                <w:rFonts w:ascii="Arial Narrow" w:hAnsi="Arial Narrow" w:cs="Arial"/>
                <w:sz w:val="18"/>
                <w:szCs w:val="18"/>
              </w:rPr>
              <w:t>TPI</w:t>
            </w:r>
            <w:r w:rsidRPr="00537C3C">
              <w:rPr>
                <w:rFonts w:ascii="Arial Narrow" w:hAnsi="Arial Narrow" w:cs="Arial"/>
                <w:sz w:val="18"/>
                <w:szCs w:val="18"/>
              </w:rPr>
              <w:t>; additional 1.0 cases per 1000 women screened</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i/>
                <w:sz w:val="18"/>
                <w:szCs w:val="18"/>
              </w:rPr>
              <w:t xml:space="preserve">Test threshold </w:t>
            </w:r>
            <w:r w:rsidRPr="00BB76D8">
              <w:rPr>
                <w:rFonts w:ascii="Arial Narrow" w:hAnsi="Arial Narrow" w:cs="Arial"/>
                <w:i/>
                <w:sz w:val="18"/>
                <w:szCs w:val="18"/>
              </w:rPr>
              <w:t>pHSIL</w:t>
            </w:r>
            <w:r w:rsidRPr="00537C3C">
              <w:rPr>
                <w:rFonts w:ascii="Arial Narrow" w:hAnsi="Arial Narrow" w:cs="Arial"/>
                <w:i/>
                <w:sz w:val="18"/>
                <w:szCs w:val="18"/>
              </w:rPr>
              <w:t>/</w:t>
            </w:r>
            <w:r w:rsidRPr="00BB76D8">
              <w:rPr>
                <w:rFonts w:ascii="Arial Narrow" w:hAnsi="Arial Narrow" w:cs="Arial"/>
                <w:i/>
                <w:sz w:val="18"/>
                <w:szCs w:val="18"/>
              </w:rPr>
              <w:t>HSIL</w:t>
            </w:r>
            <w:r w:rsidRPr="00537C3C">
              <w:rPr>
                <w:rFonts w:ascii="Arial Narrow" w:hAnsi="Arial Narrow" w:cs="Arial"/>
                <w:i/>
                <w:sz w:val="18"/>
                <w:szCs w:val="18"/>
              </w:rPr>
              <w:t xml:space="preserve"> (including glandular), excluding seeded cases (N = 11 416):</w:t>
            </w:r>
          </w:p>
          <w:p w:rsidR="00234376" w:rsidRPr="00537C3C" w:rsidRDefault="00234376" w:rsidP="008E03A7">
            <w:pPr>
              <w:pStyle w:val="TableTextCharCharChar"/>
              <w:rPr>
                <w:rFonts w:cs="Arial"/>
                <w:szCs w:val="18"/>
              </w:rPr>
            </w:pPr>
            <w:r w:rsidRPr="00BB76D8">
              <w:t>TP</w:t>
            </w:r>
            <w:r w:rsidRPr="00537C3C">
              <w:t xml:space="preserve">s: </w:t>
            </w:r>
            <w:r w:rsidRPr="00BB76D8">
              <w:t>TPI</w:t>
            </w:r>
            <w:r w:rsidRPr="00537C3C">
              <w:t xml:space="preserve"> = 80, </w:t>
            </w:r>
            <w:r w:rsidRPr="00BB76D8">
              <w:t>TPM</w:t>
            </w:r>
            <w:r w:rsidRPr="00537C3C">
              <w:t xml:space="preserve"> = 95, conventional = 63 (including possible high-grade glandular lesions) (reviewer </w:t>
            </w:r>
            <w:r w:rsidRPr="00537C3C">
              <w:rPr>
                <w:rFonts w:cs="Arial"/>
                <w:szCs w:val="18"/>
              </w:rPr>
              <w:sym w:font="Symbol" w:char="F063"/>
            </w:r>
            <w:r w:rsidRPr="0030078D">
              <w:rPr>
                <w:rFonts w:cs="Arial"/>
                <w:szCs w:val="18"/>
                <w:vertAlign w:val="superscript"/>
              </w:rPr>
              <w:t>2</w:t>
            </w:r>
            <w:r w:rsidRPr="00537C3C">
              <w:t xml:space="preserve"> </w:t>
            </w:r>
            <w:r w:rsidRPr="00BB76D8">
              <w:t>TPI</w:t>
            </w:r>
            <w:r w:rsidRPr="00537C3C">
              <w:t xml:space="preserve"> 0.15, </w:t>
            </w:r>
            <w:r w:rsidRPr="00BB76D8">
              <w:t>TPM</w:t>
            </w:r>
            <w:r w:rsidRPr="00537C3C">
              <w:t xml:space="preserve"> 0.01). </w:t>
            </w:r>
            <w:r w:rsidRPr="00BB76D8">
              <w:t>TPI</w:t>
            </w:r>
            <w:r w:rsidRPr="00537C3C">
              <w:t xml:space="preserve"> identified additional 17 </w:t>
            </w:r>
            <w:r w:rsidRPr="00BB76D8">
              <w:t>TP</w:t>
            </w:r>
            <w:r w:rsidRPr="00537C3C">
              <w:t xml:space="preserve">s over conventional (1.49 cases per 1000). </w:t>
            </w:r>
            <w:r w:rsidRPr="00BB76D8">
              <w:t>TPM</w:t>
            </w:r>
            <w:r w:rsidRPr="00537C3C">
              <w:t xml:space="preserve"> identified additional 32 </w:t>
            </w:r>
            <w:r w:rsidRPr="00BB76D8">
              <w:t>TP</w:t>
            </w:r>
            <w:r w:rsidRPr="00537C3C">
              <w:t xml:space="preserve">s over conventional, additional 15 </w:t>
            </w:r>
            <w:r w:rsidRPr="00BB76D8">
              <w:t>TP</w:t>
            </w:r>
            <w:r w:rsidRPr="00537C3C">
              <w:t xml:space="preserve">s over </w:t>
            </w:r>
            <w:r w:rsidRPr="00BB76D8">
              <w:t>TPI</w:t>
            </w:r>
            <w:r w:rsidRPr="00537C3C">
              <w:t xml:space="preserve"> (2.8 cases per 1000). </w:t>
            </w:r>
            <w:r w:rsidRPr="00537C3C">
              <w:rPr>
                <w:szCs w:val="18"/>
              </w:rPr>
              <w:sym w:font="Symbol" w:char="F063"/>
            </w:r>
            <w:r w:rsidRPr="00537C3C">
              <w:rPr>
                <w:vertAlign w:val="superscript"/>
              </w:rPr>
              <w:t>2</w:t>
            </w:r>
            <w:r w:rsidRPr="00537C3C">
              <w:t xml:space="preserve"> &lt; 0.05 for (i) comparison of automated </w:t>
            </w:r>
            <w:r w:rsidRPr="00BB76D8">
              <w:t>LBC</w:t>
            </w:r>
            <w:r w:rsidRPr="00537C3C">
              <w:t xml:space="preserve"> vs manual </w:t>
            </w:r>
            <w:r w:rsidRPr="00BB76D8">
              <w:t>LBC</w:t>
            </w:r>
            <w:r w:rsidRPr="00537C3C">
              <w:t xml:space="preserve"> vs manual Pap test; and (ii) comparison of manual </w:t>
            </w:r>
            <w:r w:rsidRPr="00BB76D8">
              <w:t>LBC</w:t>
            </w:r>
            <w:r w:rsidRPr="00537C3C">
              <w:t xml:space="preserve"> vs </w:t>
            </w:r>
            <w:r w:rsidRPr="006C24DD">
              <w:t>CC</w:t>
            </w:r>
            <w:r w:rsidRPr="00537C3C">
              <w:t xml:space="preserve">. </w:t>
            </w:r>
            <w:r w:rsidRPr="00537C3C">
              <w:rPr>
                <w:rFonts w:cs="Arial"/>
                <w:szCs w:val="18"/>
              </w:rPr>
              <w:sym w:font="Symbol" w:char="F063"/>
            </w:r>
            <w:r w:rsidRPr="00537C3C">
              <w:rPr>
                <w:rFonts w:cs="Arial"/>
                <w:szCs w:val="18"/>
                <w:vertAlign w:val="superscript"/>
              </w:rPr>
              <w:t>2</w:t>
            </w:r>
            <w:r w:rsidRPr="00537C3C">
              <w:rPr>
                <w:rFonts w:cs="Arial"/>
                <w:szCs w:val="18"/>
              </w:rPr>
              <w:t xml:space="preserve"> </w:t>
            </w:r>
            <w:r w:rsidRPr="0030078D">
              <w:rPr>
                <w:rFonts w:cs="Arial"/>
                <w:i/>
                <w:szCs w:val="18"/>
              </w:rPr>
              <w:t>P</w:t>
            </w:r>
            <w:r w:rsidRPr="00537C3C">
              <w:rPr>
                <w:rFonts w:cs="Arial"/>
                <w:szCs w:val="18"/>
              </w:rPr>
              <w:t xml:space="preserve"> = 0.255 for automated </w:t>
            </w:r>
            <w:r w:rsidRPr="00BB76D8">
              <w:rPr>
                <w:rFonts w:cs="Arial"/>
                <w:szCs w:val="18"/>
              </w:rPr>
              <w:t>LBC</w:t>
            </w:r>
            <w:r w:rsidRPr="00537C3C">
              <w:rPr>
                <w:rFonts w:cs="Arial"/>
                <w:szCs w:val="18"/>
              </w:rPr>
              <w:t xml:space="preserve"> vs manual </w:t>
            </w:r>
            <w:r w:rsidRPr="00BB76D8">
              <w:rPr>
                <w:rFonts w:cs="Arial"/>
                <w:szCs w:val="18"/>
              </w:rPr>
              <w:t>LBC</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Additional biopsies (Tables VII &amp; VIII): </w:t>
            </w:r>
            <w:r w:rsidRPr="00BB76D8">
              <w:rPr>
                <w:rFonts w:ascii="Arial Narrow" w:hAnsi="Arial Narrow" w:cs="Arial"/>
                <w:sz w:val="18"/>
                <w:szCs w:val="18"/>
              </w:rPr>
              <w:t>TPI</w:t>
            </w:r>
            <w:r w:rsidRPr="00537C3C">
              <w:rPr>
                <w:rFonts w:ascii="Arial Narrow" w:hAnsi="Arial Narrow" w:cs="Arial"/>
                <w:sz w:val="18"/>
                <w:szCs w:val="18"/>
              </w:rPr>
              <w:t xml:space="preserve"> vs conv 39 (122–83), 3.42 per 1000.</w:t>
            </w:r>
          </w:p>
          <w:p w:rsidR="00234376" w:rsidRPr="00537C3C" w:rsidRDefault="00234376" w:rsidP="008E03A7">
            <w:pPr>
              <w:pStyle w:val="TableTextCharCharChar"/>
              <w:rPr>
                <w:rFonts w:cs="Arial"/>
                <w:szCs w:val="18"/>
              </w:rPr>
            </w:pPr>
            <w:r w:rsidRPr="00BB76D8">
              <w:rPr>
                <w:rFonts w:cs="Arial"/>
                <w:szCs w:val="18"/>
              </w:rPr>
              <w:t>FP</w:t>
            </w:r>
            <w:r w:rsidRPr="00537C3C">
              <w:rPr>
                <w:rFonts w:cs="Arial"/>
                <w:szCs w:val="18"/>
              </w:rPr>
              <w:t xml:space="preserve">s, bx confirmed: </w:t>
            </w:r>
            <w:r w:rsidRPr="00BB76D8">
              <w:rPr>
                <w:rFonts w:cs="Arial"/>
                <w:szCs w:val="18"/>
              </w:rPr>
              <w:t>TPI</w:t>
            </w:r>
            <w:r w:rsidRPr="00537C3C">
              <w:rPr>
                <w:rFonts w:cs="Arial"/>
                <w:szCs w:val="18"/>
              </w:rPr>
              <w:t xml:space="preserve"> = 20 </w:t>
            </w:r>
            <w:r w:rsidRPr="00BB76D8">
              <w:rPr>
                <w:rFonts w:cs="Arial"/>
                <w:szCs w:val="18"/>
              </w:rPr>
              <w:t>HSIL</w:t>
            </w:r>
            <w:r w:rsidRPr="00537C3C">
              <w:rPr>
                <w:rFonts w:cs="Arial"/>
                <w:szCs w:val="18"/>
              </w:rPr>
              <w:t xml:space="preserve"> + 22 </w:t>
            </w:r>
            <w:r w:rsidRPr="00BB76D8">
              <w:rPr>
                <w:rFonts w:cs="Arial"/>
                <w:szCs w:val="18"/>
              </w:rPr>
              <w:t>pHSIL</w:t>
            </w:r>
            <w:r w:rsidRPr="00537C3C">
              <w:rPr>
                <w:rFonts w:cs="Arial"/>
                <w:szCs w:val="18"/>
              </w:rPr>
              <w:t xml:space="preserve"> = 42, </w:t>
            </w:r>
            <w:r w:rsidRPr="00BB76D8">
              <w:rPr>
                <w:rFonts w:cs="Arial"/>
                <w:szCs w:val="18"/>
              </w:rPr>
              <w:t>TPM</w:t>
            </w:r>
            <w:r w:rsidRPr="00537C3C">
              <w:rPr>
                <w:rFonts w:cs="Arial"/>
                <w:szCs w:val="18"/>
              </w:rPr>
              <w:t xml:space="preserve"> = 24 + 46 = 70, (</w:t>
            </w:r>
            <w:r w:rsidRPr="00537C3C">
              <w:rPr>
                <w:rFonts w:cs="Arial"/>
                <w:szCs w:val="18"/>
              </w:rPr>
              <w:sym w:font="Symbol" w:char="F063"/>
            </w:r>
            <w:r w:rsidRPr="00234376">
              <w:rPr>
                <w:rFonts w:cs="Arial"/>
                <w:szCs w:val="18"/>
                <w:vertAlign w:val="superscript"/>
              </w:rPr>
              <w:t>2</w:t>
            </w:r>
            <w:r w:rsidRPr="00537C3C">
              <w:rPr>
                <w:rFonts w:cs="Arial"/>
                <w:szCs w:val="18"/>
              </w:rPr>
              <w:t xml:space="preserve"> </w:t>
            </w:r>
            <w:r w:rsidRPr="0030078D">
              <w:rPr>
                <w:rFonts w:cs="Arial"/>
                <w:i/>
                <w:szCs w:val="18"/>
              </w:rPr>
              <w:t>P</w:t>
            </w:r>
            <w:r w:rsidRPr="00537C3C">
              <w:rPr>
                <w:rFonts w:cs="Arial"/>
                <w:szCs w:val="18"/>
              </w:rPr>
              <w:t xml:space="preserve"> = 0.0079) conventional = 8 + 12 = 20 (</w:t>
            </w:r>
            <w:r w:rsidRPr="00537C3C">
              <w:rPr>
                <w:rFonts w:cs="Arial"/>
                <w:szCs w:val="18"/>
              </w:rPr>
              <w:sym w:font="Symbol" w:char="F063"/>
            </w:r>
            <w:r w:rsidRPr="00234376">
              <w:rPr>
                <w:rFonts w:cs="Arial"/>
                <w:szCs w:val="18"/>
                <w:vertAlign w:val="superscript"/>
              </w:rPr>
              <w:t>2</w:t>
            </w:r>
            <w:r w:rsidRPr="00537C3C">
              <w:rPr>
                <w:rFonts w:cs="Arial"/>
                <w:szCs w:val="18"/>
              </w:rPr>
              <w:t xml:space="preserve"> </w:t>
            </w:r>
            <w:r w:rsidRPr="0030078D">
              <w:rPr>
                <w:rFonts w:cs="Arial"/>
                <w:i/>
                <w:szCs w:val="18"/>
              </w:rPr>
              <w:t>P</w:t>
            </w:r>
            <w:r w:rsidRPr="00537C3C">
              <w:rPr>
                <w:rFonts w:cs="Arial"/>
                <w:szCs w:val="18"/>
              </w:rPr>
              <w:t xml:space="preserve"> = 0.0051). </w:t>
            </w:r>
            <w:r w:rsidRPr="00BB76D8">
              <w:rPr>
                <w:rFonts w:cs="Arial"/>
                <w:szCs w:val="18"/>
              </w:rPr>
              <w:t>TPI</w:t>
            </w:r>
            <w:r w:rsidRPr="00537C3C">
              <w:rPr>
                <w:rFonts w:cs="Arial"/>
                <w:szCs w:val="18"/>
              </w:rPr>
              <w:t xml:space="preserve"> additional 22 over conventional (additional 1.93 per 1000), </w:t>
            </w:r>
            <w:r w:rsidRPr="00BB76D8">
              <w:rPr>
                <w:rFonts w:cs="Arial"/>
                <w:szCs w:val="18"/>
              </w:rPr>
              <w:t>TPM</w:t>
            </w:r>
            <w:r w:rsidRPr="00537C3C">
              <w:rPr>
                <w:rFonts w:cs="Arial"/>
                <w:szCs w:val="18"/>
              </w:rPr>
              <w:t xml:space="preserve"> additional 55 over conventional (4.8 per 1000).</w:t>
            </w:r>
          </w:p>
          <w:p w:rsidR="00234376" w:rsidRPr="00537C3C" w:rsidRDefault="00234376" w:rsidP="008E03A7">
            <w:pPr>
              <w:pStyle w:val="TableTextCharCharChar"/>
              <w:rPr>
                <w:rFonts w:cs="Arial"/>
                <w:szCs w:val="18"/>
              </w:rPr>
            </w:pPr>
            <w:r w:rsidRPr="00537C3C">
              <w:rPr>
                <w:rFonts w:cs="Arial"/>
                <w:szCs w:val="18"/>
              </w:rPr>
              <w:t xml:space="preserve">Total </w:t>
            </w:r>
            <w:r w:rsidRPr="00BB76D8">
              <w:rPr>
                <w:rFonts w:cs="Arial"/>
                <w:szCs w:val="18"/>
              </w:rPr>
              <w:t>TP</w:t>
            </w:r>
            <w:r w:rsidRPr="00537C3C">
              <w:rPr>
                <w:rFonts w:cs="Arial"/>
                <w:szCs w:val="18"/>
              </w:rPr>
              <w:t>:</w:t>
            </w:r>
            <w:r w:rsidRPr="00BB76D8">
              <w:rPr>
                <w:rFonts w:cs="Arial"/>
                <w:szCs w:val="18"/>
              </w:rPr>
              <w:t>FP</w:t>
            </w:r>
            <w:r w:rsidRPr="00537C3C">
              <w:rPr>
                <w:rFonts w:cs="Arial"/>
                <w:szCs w:val="18"/>
              </w:rPr>
              <w:t xml:space="preserve"> </w:t>
            </w:r>
            <w:r w:rsidRPr="00BB76D8">
              <w:rPr>
                <w:rFonts w:cs="Arial"/>
                <w:szCs w:val="18"/>
              </w:rPr>
              <w:t>TPI</w:t>
            </w:r>
            <w:r w:rsidRPr="00537C3C">
              <w:rPr>
                <w:rFonts w:cs="Arial"/>
                <w:szCs w:val="18"/>
              </w:rPr>
              <w:t xml:space="preserve"> 1:0.53, </w:t>
            </w:r>
            <w:r w:rsidRPr="00BB76D8">
              <w:rPr>
                <w:rFonts w:cs="Arial"/>
                <w:szCs w:val="18"/>
              </w:rPr>
              <w:t>TPM</w:t>
            </w:r>
            <w:r w:rsidRPr="00537C3C">
              <w:rPr>
                <w:rFonts w:cs="Arial"/>
                <w:szCs w:val="18"/>
              </w:rPr>
              <w:t xml:space="preserve"> 1:0.74, conventional 1:0.32. </w:t>
            </w:r>
            <w:r w:rsidRPr="00BB76D8">
              <w:rPr>
                <w:rFonts w:cs="Arial"/>
                <w:szCs w:val="18"/>
              </w:rPr>
              <w:t>TPI</w:t>
            </w:r>
            <w:r w:rsidRPr="00537C3C">
              <w:rPr>
                <w:rFonts w:cs="Arial"/>
                <w:szCs w:val="18"/>
              </w:rPr>
              <w:t xml:space="preserve"> vs conventional </w:t>
            </w:r>
            <w:r w:rsidRPr="00537C3C">
              <w:rPr>
                <w:rFonts w:cs="Arial"/>
                <w:szCs w:val="18"/>
              </w:rPr>
              <w:sym w:font="Symbol" w:char="F063"/>
            </w:r>
            <w:r w:rsidRPr="00537C3C">
              <w:rPr>
                <w:rFonts w:cs="Arial"/>
                <w:szCs w:val="18"/>
                <w:vertAlign w:val="superscript"/>
              </w:rPr>
              <w:t>2</w:t>
            </w:r>
            <w:r w:rsidRPr="00537C3C">
              <w:rPr>
                <w:rFonts w:cs="Arial"/>
                <w:szCs w:val="18"/>
              </w:rPr>
              <w:t xml:space="preserve"> </w:t>
            </w:r>
            <w:r w:rsidRPr="0030078D">
              <w:rPr>
                <w:rFonts w:cs="Arial"/>
                <w:i/>
                <w:szCs w:val="18"/>
              </w:rPr>
              <w:t>P</w:t>
            </w:r>
            <w:r w:rsidRPr="00537C3C">
              <w:rPr>
                <w:rFonts w:cs="Arial"/>
                <w:szCs w:val="18"/>
              </w:rPr>
              <w:t xml:space="preserve"> = 0.114; </w:t>
            </w:r>
            <w:r w:rsidRPr="00BB76D8">
              <w:rPr>
                <w:rFonts w:cs="Arial"/>
                <w:szCs w:val="18"/>
              </w:rPr>
              <w:t>TPM</w:t>
            </w:r>
            <w:r w:rsidRPr="00537C3C">
              <w:rPr>
                <w:rFonts w:cs="Arial"/>
                <w:szCs w:val="18"/>
              </w:rPr>
              <w:t xml:space="preserve"> vs conv </w:t>
            </w:r>
            <w:r w:rsidRPr="00537C3C">
              <w:rPr>
                <w:rFonts w:cs="Arial"/>
                <w:szCs w:val="18"/>
              </w:rPr>
              <w:sym w:font="Symbol" w:char="F063"/>
            </w:r>
            <w:r w:rsidRPr="00537C3C">
              <w:rPr>
                <w:rFonts w:cs="Arial"/>
                <w:szCs w:val="18"/>
                <w:vertAlign w:val="superscript"/>
              </w:rPr>
              <w:t>2</w:t>
            </w:r>
            <w:r w:rsidRPr="00537C3C">
              <w:rPr>
                <w:rFonts w:cs="Arial"/>
                <w:szCs w:val="18"/>
              </w:rPr>
              <w:t xml:space="preserve"> </w:t>
            </w:r>
            <w:r w:rsidRPr="0030078D">
              <w:rPr>
                <w:rFonts w:cs="Arial"/>
                <w:i/>
                <w:szCs w:val="18"/>
              </w:rPr>
              <w:t>P</w:t>
            </w:r>
            <w:r w:rsidRPr="00537C3C">
              <w:rPr>
                <w:rFonts w:cs="Arial"/>
                <w:szCs w:val="18"/>
              </w:rPr>
              <w:t xml:space="preserve"> = 0.005.</w:t>
            </w:r>
          </w:p>
          <w:p w:rsidR="00234376" w:rsidRPr="00537C3C" w:rsidRDefault="00234376" w:rsidP="008E03A7">
            <w:pPr>
              <w:pStyle w:val="TableTextCharCharChar"/>
              <w:rPr>
                <w:rFonts w:cs="Arial"/>
                <w:szCs w:val="18"/>
              </w:rPr>
            </w:pPr>
            <w:r w:rsidRPr="00537C3C">
              <w:rPr>
                <w:rFonts w:cs="Arial"/>
                <w:szCs w:val="18"/>
              </w:rPr>
              <w:t xml:space="preserve">Additional </w:t>
            </w:r>
            <w:r w:rsidRPr="00BB76D8">
              <w:rPr>
                <w:rFonts w:cs="Arial"/>
                <w:szCs w:val="18"/>
              </w:rPr>
              <w:t>TP</w:t>
            </w:r>
            <w:r w:rsidRPr="00537C3C">
              <w:rPr>
                <w:rFonts w:cs="Arial"/>
                <w:szCs w:val="18"/>
              </w:rPr>
              <w:t>:</w:t>
            </w:r>
            <w:r w:rsidRPr="00BB76D8">
              <w:rPr>
                <w:rFonts w:cs="Arial"/>
                <w:szCs w:val="18"/>
              </w:rPr>
              <w:t>FP</w:t>
            </w:r>
            <w:r w:rsidRPr="00537C3C">
              <w:rPr>
                <w:rFonts w:cs="Arial"/>
                <w:szCs w:val="18"/>
              </w:rPr>
              <w:t xml:space="preserve"> </w:t>
            </w:r>
            <w:r w:rsidRPr="00BB76D8">
              <w:rPr>
                <w:rFonts w:cs="Arial"/>
                <w:szCs w:val="18"/>
              </w:rPr>
              <w:t>TPI</w:t>
            </w:r>
            <w:r w:rsidRPr="00537C3C">
              <w:rPr>
                <w:rFonts w:cs="Arial"/>
                <w:szCs w:val="18"/>
              </w:rPr>
              <w:t xml:space="preserve"> vs conv 17:22 (1:1.29); </w:t>
            </w:r>
            <w:r w:rsidRPr="00BB76D8">
              <w:rPr>
                <w:rFonts w:cs="Arial"/>
                <w:szCs w:val="18"/>
              </w:rPr>
              <w:t>TPI</w:t>
            </w:r>
            <w:r w:rsidRPr="00537C3C">
              <w:rPr>
                <w:rFonts w:cs="Arial"/>
                <w:szCs w:val="18"/>
              </w:rPr>
              <w:t xml:space="preserve"> vs </w:t>
            </w:r>
            <w:r w:rsidRPr="00BB76D8">
              <w:rPr>
                <w:rFonts w:cs="Arial"/>
                <w:szCs w:val="18"/>
              </w:rPr>
              <w:t>TPM</w:t>
            </w:r>
            <w:r w:rsidRPr="00537C3C">
              <w:rPr>
                <w:rFonts w:cs="Arial"/>
                <w:szCs w:val="18"/>
              </w:rPr>
              <w:t xml:space="preserve"> 15:28 (1:1.87)</w:t>
            </w:r>
          </w:p>
          <w:p w:rsidR="00234376" w:rsidRPr="00537C3C" w:rsidRDefault="00234376" w:rsidP="008E03A7">
            <w:pPr>
              <w:pStyle w:val="TableTextCharCharChar"/>
              <w:rPr>
                <w:rFonts w:cs="Arial"/>
                <w:szCs w:val="18"/>
              </w:rPr>
            </w:pPr>
          </w:p>
          <w:p w:rsidR="00234376" w:rsidRPr="00537C3C" w:rsidRDefault="00234376" w:rsidP="008E03A7">
            <w:pPr>
              <w:pStyle w:val="TableTextCharCharChar"/>
              <w:rPr>
                <w:rFonts w:cs="Arial"/>
                <w:i/>
                <w:szCs w:val="18"/>
              </w:rPr>
            </w:pPr>
            <w:r w:rsidRPr="00537C3C">
              <w:rPr>
                <w:rFonts w:cs="Arial"/>
                <w:i/>
                <w:szCs w:val="18"/>
              </w:rPr>
              <w:t xml:space="preserve">Test threshold </w:t>
            </w:r>
            <w:r w:rsidRPr="00BB76D8">
              <w:rPr>
                <w:rFonts w:cs="Arial"/>
                <w:i/>
                <w:szCs w:val="18"/>
              </w:rPr>
              <w:t>pHSIL</w:t>
            </w:r>
            <w:r w:rsidRPr="00537C3C">
              <w:rPr>
                <w:rFonts w:cs="Arial"/>
                <w:i/>
                <w:szCs w:val="18"/>
              </w:rPr>
              <w:t>/</w:t>
            </w:r>
            <w:r w:rsidRPr="00BB76D8">
              <w:rPr>
                <w:rFonts w:cs="Arial"/>
                <w:i/>
                <w:szCs w:val="18"/>
              </w:rPr>
              <w:t>HSIL</w:t>
            </w:r>
            <w:r w:rsidRPr="00537C3C">
              <w:rPr>
                <w:rFonts w:cs="Arial"/>
                <w:i/>
                <w:szCs w:val="18"/>
              </w:rPr>
              <w:t xml:space="preserve"> (excluding glandular), excluding seeded cases (N = 11 416):</w:t>
            </w:r>
          </w:p>
          <w:p w:rsidR="00234376" w:rsidRPr="00537C3C" w:rsidRDefault="00234376" w:rsidP="008E03A7">
            <w:pPr>
              <w:pStyle w:val="TableTextCharCharChar"/>
            </w:pPr>
            <w:r w:rsidRPr="00BB76D8">
              <w:t>TP</w:t>
            </w:r>
            <w:r w:rsidRPr="00537C3C">
              <w:t xml:space="preserve">s: </w:t>
            </w:r>
            <w:r w:rsidRPr="00BB76D8">
              <w:t>TPI</w:t>
            </w:r>
            <w:r w:rsidRPr="00537C3C">
              <w:t xml:space="preserve"> = 78, </w:t>
            </w:r>
            <w:r w:rsidRPr="00BB76D8">
              <w:t>TPM</w:t>
            </w:r>
            <w:r w:rsidRPr="00537C3C">
              <w:t xml:space="preserve"> = 91, conventional = 60 (excluding possible high-grade glandular lesions) (reviewer </w:t>
            </w:r>
            <w:r w:rsidRPr="00537C3C">
              <w:rPr>
                <w:rFonts w:cs="Arial"/>
                <w:szCs w:val="18"/>
              </w:rPr>
              <w:sym w:font="Symbol" w:char="F063"/>
            </w:r>
            <w:r w:rsidRPr="0030078D">
              <w:rPr>
                <w:rFonts w:cs="Arial"/>
                <w:szCs w:val="18"/>
                <w:vertAlign w:val="superscript"/>
              </w:rPr>
              <w:t>2</w:t>
            </w:r>
            <w:r w:rsidRPr="00537C3C">
              <w:t xml:space="preserve"> </w:t>
            </w:r>
            <w:r w:rsidRPr="00BB76D8">
              <w:t>TPI</w:t>
            </w:r>
            <w:r w:rsidRPr="00537C3C">
              <w:t xml:space="preserve"> 0.12, </w:t>
            </w:r>
            <w:r w:rsidRPr="00BB76D8">
              <w:t>TPM</w:t>
            </w:r>
            <w:r w:rsidRPr="00537C3C">
              <w:t xml:space="preserve"> 0.011). </w:t>
            </w:r>
            <w:r w:rsidRPr="00BB76D8">
              <w:t>TPI</w:t>
            </w:r>
            <w:r w:rsidRPr="00537C3C">
              <w:t xml:space="preserve"> additional 18 cases over conventional (1.58 per 1000). </w:t>
            </w:r>
            <w:r w:rsidRPr="00537C3C">
              <w:rPr>
                <w:szCs w:val="18"/>
              </w:rPr>
              <w:sym w:font="Symbol" w:char="F063"/>
            </w:r>
            <w:r w:rsidRPr="00537C3C">
              <w:rPr>
                <w:vertAlign w:val="superscript"/>
              </w:rPr>
              <w:t>2</w:t>
            </w:r>
            <w:r w:rsidRPr="00537C3C">
              <w:t xml:space="preserve"> </w:t>
            </w:r>
            <w:r w:rsidRPr="0030078D">
              <w:rPr>
                <w:i/>
              </w:rPr>
              <w:t>P</w:t>
            </w:r>
            <w:r w:rsidRPr="00537C3C">
              <w:t xml:space="preserve"> = 0.3155 for automated </w:t>
            </w:r>
            <w:r w:rsidRPr="00BB76D8">
              <w:t>LBC</w:t>
            </w:r>
            <w:r w:rsidRPr="00537C3C">
              <w:t xml:space="preserve"> vs manual </w:t>
            </w:r>
            <w:r w:rsidRPr="00BB76D8">
              <w:t>LBC</w:t>
            </w:r>
          </w:p>
          <w:p w:rsidR="00234376" w:rsidRPr="00537C3C" w:rsidRDefault="00234376" w:rsidP="008E03A7">
            <w:pPr>
              <w:pStyle w:val="TableTextCharCharChar"/>
              <w:rPr>
                <w:rFonts w:cs="Arial"/>
                <w:i/>
                <w:szCs w:val="18"/>
              </w:rPr>
            </w:pP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i/>
                <w:sz w:val="18"/>
                <w:szCs w:val="18"/>
              </w:rPr>
              <w:t xml:space="preserve">Test threshold </w:t>
            </w:r>
            <w:r w:rsidRPr="00BB76D8">
              <w:rPr>
                <w:rFonts w:ascii="Arial Narrow" w:hAnsi="Arial Narrow" w:cs="Arial"/>
                <w:i/>
                <w:sz w:val="18"/>
                <w:szCs w:val="18"/>
              </w:rPr>
              <w:t>pLSIL</w:t>
            </w:r>
            <w:r w:rsidRPr="00537C3C">
              <w:rPr>
                <w:rFonts w:ascii="Arial Narrow" w:hAnsi="Arial Narrow" w:cs="Arial"/>
                <w:i/>
                <w:sz w:val="18"/>
                <w:szCs w:val="18"/>
              </w:rPr>
              <w:t>/</w:t>
            </w:r>
            <w:r w:rsidRPr="00BB76D8">
              <w:rPr>
                <w:rFonts w:ascii="Arial Narrow" w:hAnsi="Arial Narrow" w:cs="Arial"/>
                <w:i/>
                <w:sz w:val="18"/>
                <w:szCs w:val="18"/>
              </w:rPr>
              <w:t>LSIL</w:t>
            </w:r>
            <w:r w:rsidRPr="00537C3C">
              <w:rPr>
                <w:rFonts w:ascii="Arial Narrow" w:hAnsi="Arial Narrow" w:cs="Arial"/>
                <w:i/>
                <w:sz w:val="18"/>
                <w:szCs w:val="18"/>
              </w:rPr>
              <w:t xml:space="preserve"> (including glandular), excluding seeded cases (N = 11 416):</w:t>
            </w:r>
          </w:p>
          <w:p w:rsidR="00234376" w:rsidRPr="00537C3C" w:rsidRDefault="00234376" w:rsidP="008E03A7">
            <w:pPr>
              <w:pStyle w:val="TableTextCharCharChar"/>
              <w:rPr>
                <w:rFonts w:cs="Arial"/>
                <w:szCs w:val="18"/>
              </w:rPr>
            </w:pPr>
            <w:r w:rsidRPr="00BB76D8">
              <w:rPr>
                <w:rFonts w:cs="Arial"/>
                <w:szCs w:val="18"/>
              </w:rPr>
              <w:t>TP</w:t>
            </w:r>
            <w:r w:rsidRPr="00537C3C">
              <w:rPr>
                <w:rFonts w:cs="Arial"/>
                <w:szCs w:val="18"/>
              </w:rPr>
              <w:t xml:space="preserve">s: </w:t>
            </w:r>
            <w:r w:rsidRPr="00BB76D8">
              <w:rPr>
                <w:rFonts w:cs="Arial"/>
                <w:szCs w:val="18"/>
              </w:rPr>
              <w:t>TPI</w:t>
            </w:r>
            <w:r w:rsidRPr="00537C3C">
              <w:rPr>
                <w:rFonts w:cs="Arial"/>
                <w:szCs w:val="18"/>
              </w:rPr>
              <w:t xml:space="preserve"> = 99, </w:t>
            </w:r>
            <w:r w:rsidRPr="00BB76D8">
              <w:rPr>
                <w:rFonts w:cs="Arial"/>
                <w:szCs w:val="18"/>
              </w:rPr>
              <w:t>TPM</w:t>
            </w:r>
            <w:r w:rsidRPr="00537C3C">
              <w:rPr>
                <w:rFonts w:cs="Arial"/>
                <w:szCs w:val="18"/>
              </w:rPr>
              <w:t xml:space="preserve"> = 106, conventional = 81 (including possible high-grade glandular lesions) (reviewer </w:t>
            </w:r>
            <w:r w:rsidRPr="00537C3C">
              <w:rPr>
                <w:rFonts w:cs="Arial"/>
                <w:szCs w:val="18"/>
              </w:rPr>
              <w:sym w:font="Symbol" w:char="F063"/>
            </w:r>
            <w:r w:rsidRPr="0030078D">
              <w:rPr>
                <w:rFonts w:cs="Arial"/>
                <w:szCs w:val="18"/>
                <w:vertAlign w:val="superscript"/>
              </w:rPr>
              <w:t>2</w:t>
            </w:r>
            <w:r w:rsidRPr="00537C3C">
              <w:rPr>
                <w:rFonts w:cs="Arial"/>
                <w:szCs w:val="18"/>
              </w:rPr>
              <w:t xml:space="preserve"> </w:t>
            </w:r>
            <w:r w:rsidRPr="00BB76D8">
              <w:rPr>
                <w:rFonts w:cs="Arial"/>
                <w:szCs w:val="18"/>
              </w:rPr>
              <w:t>TPI</w:t>
            </w:r>
            <w:r w:rsidRPr="00537C3C">
              <w:rPr>
                <w:rFonts w:cs="Arial"/>
                <w:szCs w:val="18"/>
              </w:rPr>
              <w:t xml:space="preserve"> 0.18, </w:t>
            </w:r>
            <w:r w:rsidRPr="00BB76D8">
              <w:rPr>
                <w:rFonts w:cs="Arial"/>
                <w:szCs w:val="18"/>
              </w:rPr>
              <w:t>TPM</w:t>
            </w:r>
            <w:r w:rsidRPr="00537C3C">
              <w:rPr>
                <w:rFonts w:cs="Arial"/>
                <w:szCs w:val="18"/>
              </w:rPr>
              <w:t xml:space="preserve">). </w:t>
            </w:r>
            <w:r w:rsidRPr="00BB76D8">
              <w:rPr>
                <w:rFonts w:cs="Arial"/>
                <w:szCs w:val="18"/>
              </w:rPr>
              <w:t>TPI</w:t>
            </w:r>
            <w:r w:rsidRPr="00537C3C">
              <w:rPr>
                <w:rFonts w:cs="Arial"/>
                <w:szCs w:val="18"/>
              </w:rPr>
              <w:t xml:space="preserve"> identified additional 18 </w:t>
            </w:r>
            <w:r w:rsidRPr="00BB76D8">
              <w:rPr>
                <w:rFonts w:cs="Arial"/>
                <w:szCs w:val="18"/>
              </w:rPr>
              <w:t>TP</w:t>
            </w:r>
            <w:r w:rsidRPr="00537C3C">
              <w:rPr>
                <w:rFonts w:cs="Arial"/>
                <w:szCs w:val="18"/>
              </w:rPr>
              <w:t xml:space="preserve">s over conventional (1.58 cases per 1000). </w:t>
            </w:r>
            <w:r w:rsidRPr="00BB76D8">
              <w:rPr>
                <w:rFonts w:cs="Arial"/>
                <w:szCs w:val="18"/>
              </w:rPr>
              <w:t>TPM</w:t>
            </w:r>
            <w:r w:rsidRPr="00537C3C">
              <w:rPr>
                <w:rFonts w:cs="Arial"/>
                <w:szCs w:val="18"/>
              </w:rPr>
              <w:t xml:space="preserve"> identified additional 25 </w:t>
            </w:r>
            <w:r w:rsidRPr="00BB76D8">
              <w:rPr>
                <w:rFonts w:cs="Arial"/>
                <w:szCs w:val="18"/>
              </w:rPr>
              <w:t>TP</w:t>
            </w:r>
            <w:r w:rsidRPr="00537C3C">
              <w:rPr>
                <w:rFonts w:cs="Arial"/>
                <w:szCs w:val="18"/>
              </w:rPr>
              <w:t xml:space="preserve">s over conventional, additional 7 </w:t>
            </w:r>
            <w:r w:rsidRPr="00BB76D8">
              <w:rPr>
                <w:rFonts w:cs="Arial"/>
                <w:szCs w:val="18"/>
              </w:rPr>
              <w:t>TP</w:t>
            </w:r>
            <w:r w:rsidRPr="00537C3C">
              <w:rPr>
                <w:rFonts w:cs="Arial"/>
                <w:szCs w:val="18"/>
              </w:rPr>
              <w:t xml:space="preserve">s over </w:t>
            </w:r>
            <w:r w:rsidRPr="00BB76D8">
              <w:rPr>
                <w:rFonts w:cs="Arial"/>
                <w:szCs w:val="18"/>
              </w:rPr>
              <w:t>TPI</w:t>
            </w:r>
            <w:r w:rsidRPr="00537C3C">
              <w:rPr>
                <w:rFonts w:cs="Arial"/>
                <w:szCs w:val="18"/>
              </w:rPr>
              <w:t xml:space="preserve"> (0.6 cases per 1000).</w:t>
            </w: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i/>
                <w:sz w:val="18"/>
                <w:szCs w:val="18"/>
              </w:rPr>
              <w:t xml:space="preserve">Test threshold </w:t>
            </w:r>
            <w:r w:rsidRPr="00BB76D8">
              <w:rPr>
                <w:rFonts w:ascii="Arial Narrow" w:hAnsi="Arial Narrow" w:cs="Arial"/>
                <w:i/>
                <w:sz w:val="18"/>
                <w:szCs w:val="18"/>
              </w:rPr>
              <w:t>pLSIL</w:t>
            </w:r>
            <w:r w:rsidRPr="00537C3C">
              <w:rPr>
                <w:rFonts w:ascii="Arial Narrow" w:hAnsi="Arial Narrow" w:cs="Arial"/>
                <w:i/>
                <w:sz w:val="18"/>
                <w:szCs w:val="18"/>
              </w:rPr>
              <w:t>/</w:t>
            </w:r>
            <w:r w:rsidRPr="00BB76D8">
              <w:rPr>
                <w:rFonts w:ascii="Arial Narrow" w:hAnsi="Arial Narrow" w:cs="Arial"/>
                <w:i/>
                <w:sz w:val="18"/>
                <w:szCs w:val="18"/>
              </w:rPr>
              <w:t>LSIL</w:t>
            </w:r>
            <w:r w:rsidRPr="00537C3C">
              <w:rPr>
                <w:rFonts w:ascii="Arial Narrow" w:hAnsi="Arial Narrow" w:cs="Arial"/>
                <w:i/>
                <w:sz w:val="18"/>
                <w:szCs w:val="18"/>
              </w:rPr>
              <w:t xml:space="preserve"> (excluding glandular), excluding seeded cases (N = 11 416):</w:t>
            </w:r>
          </w:p>
          <w:p w:rsidR="00234376" w:rsidRPr="00537C3C" w:rsidRDefault="00234376" w:rsidP="008E03A7">
            <w:pPr>
              <w:pStyle w:val="TableTextCharCharChar"/>
              <w:rPr>
                <w:rFonts w:cs="Arial"/>
                <w:szCs w:val="18"/>
              </w:rPr>
            </w:pPr>
            <w:r w:rsidRPr="00BB76D8">
              <w:rPr>
                <w:rFonts w:cs="Arial"/>
                <w:szCs w:val="18"/>
              </w:rPr>
              <w:t>TP</w:t>
            </w:r>
            <w:r w:rsidRPr="00537C3C">
              <w:rPr>
                <w:rFonts w:cs="Arial"/>
                <w:szCs w:val="18"/>
              </w:rPr>
              <w:t xml:space="preserve">s: </w:t>
            </w:r>
            <w:r w:rsidRPr="00BB76D8">
              <w:rPr>
                <w:rFonts w:cs="Arial"/>
                <w:szCs w:val="18"/>
              </w:rPr>
              <w:t>TPI</w:t>
            </w:r>
            <w:r w:rsidRPr="00537C3C">
              <w:rPr>
                <w:rFonts w:cs="Arial"/>
                <w:szCs w:val="18"/>
              </w:rPr>
              <w:t xml:space="preserve"> = 97, </w:t>
            </w:r>
            <w:r w:rsidRPr="00BB76D8">
              <w:rPr>
                <w:rFonts w:cs="Arial"/>
                <w:szCs w:val="18"/>
              </w:rPr>
              <w:t>TPM</w:t>
            </w:r>
            <w:r w:rsidRPr="00537C3C">
              <w:rPr>
                <w:rFonts w:cs="Arial"/>
                <w:szCs w:val="18"/>
              </w:rPr>
              <w:t xml:space="preserve"> = 102, conventional = 78 (including possible high-grade glandular lesions) (reviewer </w:t>
            </w:r>
            <w:r w:rsidRPr="00537C3C">
              <w:rPr>
                <w:rFonts w:cs="Arial"/>
                <w:szCs w:val="18"/>
              </w:rPr>
              <w:sym w:font="Symbol" w:char="F063"/>
            </w:r>
            <w:r w:rsidRPr="0030078D">
              <w:rPr>
                <w:rFonts w:cs="Arial"/>
                <w:szCs w:val="18"/>
                <w:vertAlign w:val="superscript"/>
              </w:rPr>
              <w:t>2</w:t>
            </w:r>
            <w:r w:rsidRPr="00537C3C">
              <w:rPr>
                <w:rFonts w:cs="Arial"/>
                <w:szCs w:val="18"/>
              </w:rPr>
              <w:t xml:space="preserve"> </w:t>
            </w:r>
            <w:r w:rsidRPr="00BB76D8">
              <w:rPr>
                <w:rFonts w:cs="Arial"/>
                <w:szCs w:val="18"/>
              </w:rPr>
              <w:t>TPI</w:t>
            </w:r>
            <w:r w:rsidRPr="00537C3C">
              <w:rPr>
                <w:rFonts w:cs="Arial"/>
                <w:szCs w:val="18"/>
              </w:rPr>
              <w:t xml:space="preserve">, </w:t>
            </w:r>
            <w:r w:rsidRPr="00BB76D8">
              <w:rPr>
                <w:rFonts w:cs="Arial"/>
                <w:szCs w:val="18"/>
              </w:rPr>
              <w:t>TPM</w:t>
            </w:r>
            <w:r w:rsidRPr="00537C3C">
              <w:rPr>
                <w:rFonts w:cs="Arial"/>
                <w:szCs w:val="18"/>
              </w:rPr>
              <w:t xml:space="preserve">). </w:t>
            </w:r>
            <w:r w:rsidRPr="00BB76D8">
              <w:rPr>
                <w:rFonts w:cs="Arial"/>
                <w:szCs w:val="18"/>
              </w:rPr>
              <w:t>TPI</w:t>
            </w:r>
            <w:r w:rsidRPr="00537C3C">
              <w:rPr>
                <w:rFonts w:cs="Arial"/>
                <w:szCs w:val="18"/>
              </w:rPr>
              <w:t xml:space="preserve"> identified additional 19 </w:t>
            </w:r>
            <w:r w:rsidRPr="00BB76D8">
              <w:rPr>
                <w:rFonts w:cs="Arial"/>
                <w:szCs w:val="18"/>
              </w:rPr>
              <w:t>TP</w:t>
            </w:r>
            <w:r w:rsidRPr="00537C3C">
              <w:rPr>
                <w:rFonts w:cs="Arial"/>
                <w:szCs w:val="18"/>
              </w:rPr>
              <w:t xml:space="preserve">s over conventional (1.66 cases per 1000). </w:t>
            </w:r>
            <w:r w:rsidRPr="00BB76D8">
              <w:rPr>
                <w:rFonts w:cs="Arial"/>
                <w:szCs w:val="18"/>
              </w:rPr>
              <w:t>TPM</w:t>
            </w:r>
            <w:r w:rsidRPr="00537C3C">
              <w:rPr>
                <w:rFonts w:cs="Arial"/>
                <w:szCs w:val="18"/>
              </w:rPr>
              <w:t xml:space="preserve"> identified additional 24 </w:t>
            </w:r>
            <w:r w:rsidRPr="00BB76D8">
              <w:rPr>
                <w:rFonts w:cs="Arial"/>
                <w:szCs w:val="18"/>
              </w:rPr>
              <w:t>TP</w:t>
            </w:r>
            <w:r w:rsidRPr="00537C3C">
              <w:rPr>
                <w:rFonts w:cs="Arial"/>
                <w:szCs w:val="18"/>
              </w:rPr>
              <w:t xml:space="preserve">s over conventional, additional 5 </w:t>
            </w:r>
            <w:r w:rsidRPr="00BB76D8">
              <w:rPr>
                <w:rFonts w:cs="Arial"/>
                <w:szCs w:val="18"/>
              </w:rPr>
              <w:t>TP</w:t>
            </w:r>
            <w:r w:rsidRPr="00537C3C">
              <w:rPr>
                <w:rFonts w:cs="Arial"/>
                <w:szCs w:val="18"/>
              </w:rPr>
              <w:t xml:space="preserve">s over </w:t>
            </w:r>
            <w:r w:rsidRPr="00BB76D8">
              <w:rPr>
                <w:rFonts w:cs="Arial"/>
                <w:szCs w:val="18"/>
              </w:rPr>
              <w:t>TPI</w:t>
            </w:r>
            <w:r w:rsidRPr="00537C3C">
              <w:rPr>
                <w:rFonts w:cs="Arial"/>
                <w:szCs w:val="18"/>
              </w:rPr>
              <w:t xml:space="preserve"> (0.4 cases per 1000)</w:t>
            </w:r>
          </w:p>
          <w:p w:rsidR="00234376" w:rsidRPr="00537C3C" w:rsidRDefault="00234376" w:rsidP="008E03A7">
            <w:pPr>
              <w:pStyle w:val="TableTextCharCharChar"/>
              <w:rPr>
                <w:rFonts w:cs="Arial"/>
                <w:b/>
                <w:szCs w:val="18"/>
              </w:rPr>
            </w:pPr>
          </w:p>
          <w:p w:rsidR="00234376" w:rsidRPr="00537C3C" w:rsidRDefault="00234376" w:rsidP="008E03A7">
            <w:pPr>
              <w:pStyle w:val="TableTextCharCharChar"/>
              <w:rPr>
                <w:rFonts w:cs="Arial"/>
                <w:b/>
                <w:szCs w:val="18"/>
              </w:rPr>
            </w:pPr>
            <w:r w:rsidRPr="00537C3C">
              <w:rPr>
                <w:rFonts w:cs="Arial"/>
                <w:b/>
                <w:szCs w:val="18"/>
              </w:rPr>
              <w:lastRenderedPageBreak/>
              <w:t>Test characteristics</w:t>
            </w:r>
          </w:p>
          <w:p w:rsidR="00234376" w:rsidRPr="00537C3C" w:rsidRDefault="00234376" w:rsidP="008E03A7">
            <w:pPr>
              <w:pStyle w:val="TableTextCharCharChar"/>
              <w:rPr>
                <w:rFonts w:cs="Arial"/>
                <w:szCs w:val="18"/>
              </w:rPr>
            </w:pPr>
            <w:r w:rsidRPr="00537C3C">
              <w:rPr>
                <w:rFonts w:cs="Arial"/>
                <w:szCs w:val="18"/>
                <w:u w:val="single"/>
              </w:rPr>
              <w:t>Yield</w:t>
            </w:r>
          </w:p>
          <w:p w:rsidR="00234376" w:rsidRPr="00537C3C" w:rsidRDefault="00234376" w:rsidP="008E03A7">
            <w:pPr>
              <w:pStyle w:val="TableTextCharCharChar"/>
              <w:rPr>
                <w:rFonts w:cs="Arial"/>
                <w:szCs w:val="18"/>
              </w:rPr>
            </w:pPr>
            <w:r w:rsidRPr="00537C3C">
              <w:rPr>
                <w:rFonts w:cs="Arial"/>
                <w:szCs w:val="18"/>
              </w:rPr>
              <w:t xml:space="preserve">Total </w:t>
            </w:r>
            <w:r w:rsidRPr="00BB76D8">
              <w:rPr>
                <w:rFonts w:cs="Arial"/>
                <w:szCs w:val="18"/>
              </w:rPr>
              <w:t>pLSIL</w:t>
            </w:r>
            <w:r w:rsidRPr="00537C3C">
              <w:rPr>
                <w:rFonts w:cs="Arial"/>
                <w:szCs w:val="18"/>
              </w:rPr>
              <w:t xml:space="preserve">+: </w:t>
            </w:r>
            <w:r w:rsidRPr="00BB76D8">
              <w:rPr>
                <w:rFonts w:cs="Arial"/>
                <w:szCs w:val="18"/>
              </w:rPr>
              <w:t>TPI</w:t>
            </w:r>
            <w:r w:rsidRPr="00537C3C">
              <w:rPr>
                <w:rFonts w:cs="Arial"/>
                <w:szCs w:val="18"/>
              </w:rPr>
              <w:t xml:space="preserve"> 7.9%, conventional 4.2%</w:t>
            </w:r>
          </w:p>
          <w:p w:rsidR="00234376" w:rsidRPr="00537C3C" w:rsidRDefault="00234376" w:rsidP="008E03A7">
            <w:pPr>
              <w:pStyle w:val="TableTextCharCharChar"/>
              <w:rPr>
                <w:rFonts w:cs="Arial"/>
                <w:szCs w:val="18"/>
              </w:rPr>
            </w:pPr>
            <w:r w:rsidRPr="00BB76D8">
              <w:rPr>
                <w:rFonts w:cs="Arial"/>
                <w:i/>
                <w:szCs w:val="18"/>
              </w:rPr>
              <w:t>pLSIL</w:t>
            </w:r>
            <w:r w:rsidRPr="00537C3C">
              <w:rPr>
                <w:rFonts w:cs="Arial"/>
                <w:i/>
                <w:szCs w:val="18"/>
              </w:rPr>
              <w:t xml:space="preserve">: </w:t>
            </w:r>
            <w:r w:rsidRPr="00BB76D8">
              <w:rPr>
                <w:rFonts w:cs="Arial"/>
                <w:szCs w:val="18"/>
              </w:rPr>
              <w:t>TPI</w:t>
            </w:r>
            <w:r w:rsidRPr="00537C3C">
              <w:rPr>
                <w:rFonts w:cs="Arial"/>
                <w:szCs w:val="18"/>
              </w:rPr>
              <w:t xml:space="preserve"> 3.8%, </w:t>
            </w:r>
            <w:r w:rsidRPr="00BB76D8">
              <w:rPr>
                <w:rFonts w:cs="Arial"/>
                <w:szCs w:val="18"/>
              </w:rPr>
              <w:t>TPM</w:t>
            </w:r>
            <w:r w:rsidRPr="00537C3C">
              <w:rPr>
                <w:rFonts w:cs="Arial"/>
                <w:szCs w:val="18"/>
              </w:rPr>
              <w:t xml:space="preserve"> 4.5%, conventional 1.8%</w:t>
            </w:r>
          </w:p>
          <w:p w:rsidR="00234376" w:rsidRPr="00537C3C" w:rsidRDefault="00234376" w:rsidP="008E03A7">
            <w:pPr>
              <w:pStyle w:val="TableTextCharCharChar"/>
              <w:rPr>
                <w:rFonts w:cs="Arial"/>
                <w:szCs w:val="18"/>
              </w:rPr>
            </w:pPr>
            <w:r w:rsidRPr="00BB76D8">
              <w:rPr>
                <w:rFonts w:cs="Arial"/>
                <w:i/>
                <w:szCs w:val="18"/>
              </w:rPr>
              <w:t>LSIL</w:t>
            </w:r>
            <w:r w:rsidRPr="00537C3C">
              <w:rPr>
                <w:rFonts w:cs="Arial"/>
                <w:i/>
                <w:szCs w:val="18"/>
              </w:rPr>
              <w:t xml:space="preserve">: </w:t>
            </w:r>
            <w:r w:rsidRPr="00BB76D8">
              <w:rPr>
                <w:rFonts w:cs="Arial"/>
                <w:szCs w:val="18"/>
              </w:rPr>
              <w:t>TPI</w:t>
            </w:r>
            <w:r w:rsidRPr="00537C3C">
              <w:rPr>
                <w:rFonts w:cs="Arial"/>
                <w:szCs w:val="18"/>
              </w:rPr>
              <w:t xml:space="preserve"> 2.9%, </w:t>
            </w:r>
            <w:r w:rsidRPr="00BB76D8">
              <w:rPr>
                <w:rFonts w:cs="Arial"/>
                <w:szCs w:val="18"/>
              </w:rPr>
              <w:t>TPM</w:t>
            </w:r>
            <w:r w:rsidRPr="00537C3C">
              <w:rPr>
                <w:rFonts w:cs="Arial"/>
                <w:szCs w:val="18"/>
              </w:rPr>
              <w:t xml:space="preserve"> 2.7%, conventional 1.6%</w:t>
            </w:r>
          </w:p>
          <w:p w:rsidR="00234376" w:rsidRPr="00537C3C" w:rsidRDefault="00234376" w:rsidP="008E03A7">
            <w:pPr>
              <w:pStyle w:val="TableTextCharCharChar"/>
              <w:rPr>
                <w:rFonts w:cs="Arial"/>
                <w:szCs w:val="18"/>
              </w:rPr>
            </w:pPr>
            <w:r w:rsidRPr="00BB76D8">
              <w:rPr>
                <w:rFonts w:cs="Arial"/>
                <w:i/>
                <w:szCs w:val="18"/>
              </w:rPr>
              <w:t>pLSIL</w:t>
            </w:r>
            <w:r w:rsidRPr="00537C3C">
              <w:rPr>
                <w:rFonts w:cs="Arial"/>
                <w:i/>
                <w:szCs w:val="18"/>
              </w:rPr>
              <w:t>/</w:t>
            </w:r>
            <w:r w:rsidRPr="00BB76D8">
              <w:rPr>
                <w:rFonts w:cs="Arial"/>
                <w:i/>
                <w:szCs w:val="18"/>
              </w:rPr>
              <w:t>LSIL</w:t>
            </w:r>
            <w:r w:rsidRPr="00537C3C">
              <w:rPr>
                <w:rFonts w:cs="Arial"/>
                <w:i/>
                <w:szCs w:val="18"/>
              </w:rPr>
              <w:t>:</w:t>
            </w:r>
            <w:r w:rsidRPr="00537C3C">
              <w:rPr>
                <w:rFonts w:cs="Arial"/>
                <w:szCs w:val="18"/>
              </w:rPr>
              <w:t xml:space="preserve"> </w:t>
            </w:r>
            <w:r w:rsidRPr="00BB76D8">
              <w:rPr>
                <w:rFonts w:cs="Arial"/>
                <w:szCs w:val="18"/>
              </w:rPr>
              <w:t>TPI</w:t>
            </w:r>
            <w:r w:rsidRPr="00537C3C">
              <w:rPr>
                <w:rFonts w:cs="Arial"/>
                <w:szCs w:val="18"/>
              </w:rPr>
              <w:t xml:space="preserve"> 6.7%, </w:t>
            </w:r>
            <w:r w:rsidRPr="00BB76D8">
              <w:rPr>
                <w:rFonts w:cs="Arial"/>
                <w:szCs w:val="18"/>
              </w:rPr>
              <w:t>TPM</w:t>
            </w:r>
            <w:r w:rsidRPr="00537C3C">
              <w:rPr>
                <w:rFonts w:cs="Arial"/>
                <w:szCs w:val="18"/>
              </w:rPr>
              <w:t xml:space="preserve"> 7.2%, conventional 3.3%</w:t>
            </w:r>
          </w:p>
          <w:p w:rsidR="00234376" w:rsidRPr="00537C3C" w:rsidRDefault="00234376" w:rsidP="008E03A7">
            <w:pPr>
              <w:pStyle w:val="TableTextCharCharChar"/>
              <w:rPr>
                <w:rFonts w:cs="Arial"/>
                <w:szCs w:val="18"/>
              </w:rPr>
            </w:pPr>
            <w:r w:rsidRPr="00537C3C">
              <w:rPr>
                <w:rFonts w:cs="Arial"/>
                <w:i/>
                <w:szCs w:val="18"/>
              </w:rPr>
              <w:t xml:space="preserve">Possible high grade: </w:t>
            </w:r>
            <w:r w:rsidRPr="00BB76D8">
              <w:rPr>
                <w:rFonts w:cs="Arial"/>
                <w:szCs w:val="18"/>
              </w:rPr>
              <w:t>TPI</w:t>
            </w:r>
            <w:r w:rsidRPr="00537C3C">
              <w:rPr>
                <w:rFonts w:cs="Arial"/>
                <w:szCs w:val="18"/>
              </w:rPr>
              <w:t xml:space="preserve"> 0.43% (49), </w:t>
            </w:r>
            <w:r w:rsidRPr="00BB76D8">
              <w:rPr>
                <w:rFonts w:cs="Arial"/>
                <w:szCs w:val="18"/>
              </w:rPr>
              <w:t>TPM</w:t>
            </w:r>
            <w:r w:rsidRPr="00537C3C">
              <w:rPr>
                <w:rFonts w:cs="Arial"/>
                <w:szCs w:val="18"/>
              </w:rPr>
              <w:t xml:space="preserve"> 0.72% (82), conventional 0.33% (38)</w:t>
            </w:r>
          </w:p>
          <w:p w:rsidR="00234376" w:rsidRPr="00537C3C" w:rsidRDefault="00234376" w:rsidP="008E03A7">
            <w:pPr>
              <w:pStyle w:val="TableTextCharCharChar"/>
              <w:rPr>
                <w:rFonts w:cs="Arial"/>
                <w:szCs w:val="18"/>
              </w:rPr>
            </w:pPr>
            <w:r w:rsidRPr="00537C3C">
              <w:rPr>
                <w:rFonts w:cs="Arial"/>
                <w:i/>
                <w:szCs w:val="18"/>
              </w:rPr>
              <w:t xml:space="preserve">High grade: </w:t>
            </w:r>
            <w:r w:rsidRPr="00BB76D8">
              <w:rPr>
                <w:rFonts w:cs="Arial"/>
                <w:szCs w:val="18"/>
              </w:rPr>
              <w:t>TPI</w:t>
            </w:r>
            <w:r w:rsidRPr="00537C3C">
              <w:rPr>
                <w:rFonts w:cs="Arial"/>
                <w:szCs w:val="18"/>
              </w:rPr>
              <w:t xml:space="preserve"> 0.74% (85), </w:t>
            </w:r>
            <w:r w:rsidRPr="00BB76D8">
              <w:rPr>
                <w:rFonts w:cs="Arial"/>
                <w:szCs w:val="18"/>
              </w:rPr>
              <w:t>TPM</w:t>
            </w:r>
            <w:r w:rsidRPr="00537C3C">
              <w:rPr>
                <w:rFonts w:cs="Arial"/>
                <w:szCs w:val="18"/>
              </w:rPr>
              <w:t xml:space="preserve"> 0.86% (98) (</w:t>
            </w:r>
            <w:r w:rsidRPr="00537C3C">
              <w:rPr>
                <w:rFonts w:cs="Arial"/>
                <w:szCs w:val="18"/>
              </w:rPr>
              <w:sym w:font="Symbol" w:char="F063"/>
            </w:r>
            <w:r w:rsidRPr="00234376">
              <w:rPr>
                <w:rFonts w:cs="Arial"/>
                <w:szCs w:val="18"/>
                <w:vertAlign w:val="superscript"/>
              </w:rPr>
              <w:t>2</w:t>
            </w:r>
            <w:r w:rsidRPr="00537C3C">
              <w:rPr>
                <w:rFonts w:cs="Arial"/>
                <w:szCs w:val="18"/>
              </w:rPr>
              <w:t xml:space="preserve"> </w:t>
            </w:r>
            <w:r w:rsidRPr="0030078D">
              <w:rPr>
                <w:rFonts w:cs="Arial"/>
                <w:i/>
                <w:szCs w:val="18"/>
              </w:rPr>
              <w:t>P</w:t>
            </w:r>
            <w:r w:rsidRPr="00537C3C">
              <w:rPr>
                <w:rFonts w:cs="Arial"/>
                <w:szCs w:val="18"/>
              </w:rPr>
              <w:t xml:space="preserve"> = 0.33), conventional 0.48% (55)</w:t>
            </w:r>
          </w:p>
          <w:p w:rsidR="00234376" w:rsidRPr="00537C3C" w:rsidRDefault="00234376" w:rsidP="008E03A7">
            <w:pPr>
              <w:pStyle w:val="TableTextCharCharChar"/>
              <w:rPr>
                <w:rFonts w:cs="Arial"/>
                <w:szCs w:val="18"/>
              </w:rPr>
            </w:pPr>
            <w:r w:rsidRPr="00BB76D8">
              <w:rPr>
                <w:rFonts w:cs="Arial"/>
                <w:i/>
                <w:szCs w:val="18"/>
              </w:rPr>
              <w:t>pHSIL</w:t>
            </w:r>
            <w:r w:rsidRPr="00537C3C">
              <w:rPr>
                <w:rFonts w:cs="Arial"/>
                <w:i/>
                <w:szCs w:val="18"/>
              </w:rPr>
              <w:t>/</w:t>
            </w:r>
            <w:r w:rsidRPr="00BB76D8">
              <w:rPr>
                <w:rFonts w:cs="Arial"/>
                <w:i/>
                <w:szCs w:val="18"/>
              </w:rPr>
              <w:t>HSIL</w:t>
            </w:r>
            <w:r w:rsidRPr="00537C3C">
              <w:rPr>
                <w:rFonts w:cs="Arial"/>
                <w:i/>
                <w:szCs w:val="18"/>
              </w:rPr>
              <w:t xml:space="preserve">: </w:t>
            </w:r>
            <w:r w:rsidRPr="00BB76D8">
              <w:rPr>
                <w:rFonts w:cs="Arial"/>
                <w:szCs w:val="18"/>
              </w:rPr>
              <w:t>TPI</w:t>
            </w:r>
            <w:r w:rsidRPr="00537C3C">
              <w:rPr>
                <w:rFonts w:cs="Arial"/>
                <w:szCs w:val="18"/>
              </w:rPr>
              <w:t xml:space="preserve"> 1.17% (134), </w:t>
            </w:r>
            <w:r w:rsidRPr="00BB76D8">
              <w:rPr>
                <w:rFonts w:cs="Arial"/>
                <w:szCs w:val="18"/>
              </w:rPr>
              <w:t>TPM</w:t>
            </w:r>
            <w:r w:rsidRPr="00537C3C">
              <w:rPr>
                <w:rFonts w:cs="Arial"/>
                <w:szCs w:val="18"/>
              </w:rPr>
              <w:t xml:space="preserve"> 1.58% (180), conventional 0.81% (93)</w:t>
            </w:r>
          </w:p>
          <w:p w:rsidR="00234376" w:rsidRPr="00537C3C" w:rsidRDefault="00234376" w:rsidP="008E03A7">
            <w:pPr>
              <w:pStyle w:val="TableTextCharCharChar"/>
              <w:rPr>
                <w:rFonts w:cs="Arial"/>
                <w:szCs w:val="18"/>
              </w:rPr>
            </w:pPr>
          </w:p>
          <w:p w:rsidR="00234376" w:rsidRPr="00537C3C" w:rsidRDefault="00234376" w:rsidP="008E03A7">
            <w:pPr>
              <w:pStyle w:val="TableTextCharCharChar"/>
              <w:rPr>
                <w:rFonts w:cs="Arial"/>
                <w:szCs w:val="18"/>
                <w:u w:val="single"/>
              </w:rPr>
            </w:pPr>
            <w:r w:rsidRPr="00537C3C">
              <w:rPr>
                <w:rFonts w:cs="Arial"/>
                <w:szCs w:val="18"/>
                <w:u w:val="single"/>
              </w:rPr>
              <w:t>Screening time (mean min per slide):</w:t>
            </w:r>
          </w:p>
          <w:p w:rsidR="00234376" w:rsidRPr="00537C3C" w:rsidRDefault="00234376" w:rsidP="008E03A7">
            <w:pPr>
              <w:pStyle w:val="TableTextCharCharChar"/>
              <w:rPr>
                <w:rFonts w:cs="Arial"/>
                <w:szCs w:val="18"/>
              </w:rPr>
            </w:pPr>
            <w:r w:rsidRPr="00BB76D8">
              <w:rPr>
                <w:rFonts w:cs="Arial"/>
                <w:szCs w:val="18"/>
              </w:rPr>
              <w:t>TPI</w:t>
            </w:r>
            <w:r w:rsidRPr="00537C3C">
              <w:rPr>
                <w:rFonts w:cs="Arial"/>
                <w:szCs w:val="18"/>
              </w:rPr>
              <w:t xml:space="preserve"> = 3.42, </w:t>
            </w:r>
            <w:r w:rsidRPr="00BB76D8">
              <w:rPr>
                <w:rFonts w:cs="Arial"/>
                <w:szCs w:val="18"/>
              </w:rPr>
              <w:t>TPM</w:t>
            </w:r>
            <w:r w:rsidRPr="00537C3C">
              <w:rPr>
                <w:rFonts w:cs="Arial"/>
                <w:szCs w:val="18"/>
              </w:rPr>
              <w:t xml:space="preserve"> = 4.71, conventional = 7.40</w:t>
            </w:r>
          </w:p>
          <w:p w:rsidR="00234376" w:rsidRPr="00537C3C" w:rsidRDefault="00234376" w:rsidP="008E03A7">
            <w:pPr>
              <w:spacing w:before="40" w:after="40"/>
              <w:ind w:left="20"/>
              <w:rPr>
                <w:rFonts w:ascii="Arial Narrow" w:hAnsi="Arial Narrow" w:cs="Arial"/>
                <w:sz w:val="18"/>
                <w:szCs w:val="18"/>
                <w:lang w:eastAsia="en-AU"/>
              </w:rPr>
            </w:pPr>
            <w:r w:rsidRPr="00BB76D8">
              <w:rPr>
                <w:rFonts w:ascii="Arial Narrow" w:hAnsi="Arial Narrow" w:cs="Arial"/>
                <w:sz w:val="18"/>
                <w:szCs w:val="18"/>
                <w:lang w:eastAsia="en-AU"/>
              </w:rPr>
              <w:t>TPI</w:t>
            </w:r>
            <w:r w:rsidRPr="00537C3C">
              <w:rPr>
                <w:rFonts w:ascii="Arial Narrow" w:hAnsi="Arial Narrow" w:cs="Arial"/>
                <w:sz w:val="18"/>
                <w:szCs w:val="18"/>
                <w:lang w:eastAsia="en-AU"/>
              </w:rPr>
              <w:t>: 84% slides did not require full manual screening</w:t>
            </w:r>
          </w:p>
        </w:tc>
      </w:tr>
      <w:tr w:rsidR="00234376" w:rsidRPr="00537C3C">
        <w:trPr>
          <w:gridAfter w:val="4"/>
          <w:wAfter w:w="458" w:type="dxa"/>
          <w:trHeight w:val="127"/>
        </w:trPr>
        <w:tc>
          <w:tcPr>
            <w:tcW w:w="1723"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lastRenderedPageBreak/>
              <w:t>Confortini et al. 2003</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sz w:val="18"/>
                <w:szCs w:val="18"/>
              </w:rPr>
            </w:pPr>
            <w:smartTag w:uri="urn:schemas-microsoft-com:office:smarttags" w:element="place">
              <w:smartTag w:uri="urn:schemas-microsoft-com:office:smarttags" w:element="country-region">
                <w:r w:rsidRPr="00537C3C">
                  <w:rPr>
                    <w:rFonts w:ascii="Arial Narrow" w:hAnsi="Arial Narrow" w:cs="Arial"/>
                    <w:sz w:val="18"/>
                    <w:szCs w:val="18"/>
                  </w:rPr>
                  <w:t>Italy</w:t>
                </w:r>
              </w:smartTag>
            </w:smartTag>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April 2000 – </w:t>
            </w:r>
            <w:r w:rsidRPr="00BB76D8">
              <w:rPr>
                <w:rFonts w:ascii="Arial Narrow" w:hAnsi="Arial Narrow" w:cs="Arial"/>
                <w:sz w:val="18"/>
                <w:szCs w:val="18"/>
              </w:rPr>
              <w:t>NR</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sz w:val="18"/>
                <w:szCs w:val="18"/>
              </w:rPr>
            </w:pPr>
            <w:r w:rsidRPr="0030078D">
              <w:rPr>
                <w:rFonts w:ascii="Arial Narrow" w:hAnsi="Arial Narrow" w:cs="Arial"/>
                <w:i/>
                <w:sz w:val="18"/>
                <w:szCs w:val="18"/>
              </w:rPr>
              <w:t>N</w:t>
            </w:r>
            <w:r w:rsidRPr="00537C3C">
              <w:rPr>
                <w:rFonts w:ascii="Arial Narrow" w:hAnsi="Arial Narrow" w:cs="Arial"/>
                <w:sz w:val="18"/>
                <w:szCs w:val="18"/>
              </w:rPr>
              <w:t xml:space="preserve"> = 14 145</w:t>
            </w:r>
          </w:p>
        </w:tc>
        <w:tc>
          <w:tcPr>
            <w:tcW w:w="5459"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40"/>
              <w:ind w:left="20"/>
              <w:rPr>
                <w:rFonts w:ascii="Arial Narrow" w:hAnsi="Arial Narrow" w:cs="Arial"/>
                <w:b/>
                <w:i/>
                <w:sz w:val="18"/>
                <w:szCs w:val="18"/>
              </w:rPr>
            </w:pPr>
            <w:r w:rsidRPr="00537C3C">
              <w:rPr>
                <w:rFonts w:ascii="Arial Narrow" w:hAnsi="Arial Narrow" w:cs="Arial"/>
                <w:b/>
                <w:i/>
                <w:sz w:val="18"/>
                <w:szCs w:val="18"/>
              </w:rPr>
              <w:t>Objective:</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To compare the performance of conventional and AutoPap-assisted reading</w:t>
            </w:r>
          </w:p>
          <w:p w:rsidR="00234376" w:rsidRPr="00537C3C" w:rsidRDefault="00234376" w:rsidP="008E03A7">
            <w:pPr>
              <w:spacing w:before="40" w:after="40"/>
              <w:ind w:left="20"/>
              <w:rPr>
                <w:rFonts w:ascii="Arial Narrow" w:hAnsi="Arial Narrow" w:cs="Arial"/>
                <w:b/>
                <w:i/>
                <w:sz w:val="18"/>
                <w:szCs w:val="18"/>
              </w:rPr>
            </w:pPr>
            <w:r w:rsidRPr="00537C3C">
              <w:rPr>
                <w:rFonts w:ascii="Arial Narrow" w:hAnsi="Arial Narrow" w:cs="Arial"/>
                <w:b/>
                <w:i/>
                <w:sz w:val="18"/>
                <w:szCs w:val="18"/>
              </w:rPr>
              <w:t>Study design</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Prospective, paired diagnostic accuracy study, with cost comparison.</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b/>
                <w:i/>
                <w:sz w:val="18"/>
                <w:szCs w:val="18"/>
              </w:rPr>
              <w:t>Index test</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AutoPap 300 </w:t>
            </w:r>
            <w:r w:rsidRPr="00BB76D8">
              <w:rPr>
                <w:rFonts w:ascii="Arial Narrow" w:hAnsi="Arial Narrow" w:cs="Arial"/>
                <w:sz w:val="18"/>
                <w:szCs w:val="18"/>
              </w:rPr>
              <w:t>QC</w:t>
            </w:r>
            <w:r w:rsidRPr="00537C3C">
              <w:rPr>
                <w:rFonts w:ascii="Arial Narrow" w:hAnsi="Arial Narrow" w:cs="Arial"/>
                <w:sz w:val="18"/>
                <w:szCs w:val="18"/>
              </w:rPr>
              <w:t>–assisted reading of conventional smears (read by same cytopathologist who did conventional read)</w:t>
            </w:r>
          </w:p>
          <w:p w:rsidR="00234376" w:rsidRPr="00537C3C" w:rsidRDefault="00234376" w:rsidP="008E03A7">
            <w:pPr>
              <w:spacing w:before="40" w:after="40"/>
              <w:ind w:left="20"/>
              <w:rPr>
                <w:rFonts w:ascii="Arial Narrow" w:hAnsi="Arial Narrow" w:cs="Arial"/>
                <w:b/>
                <w:i/>
                <w:sz w:val="18"/>
                <w:szCs w:val="18"/>
              </w:rPr>
            </w:pPr>
            <w:r w:rsidRPr="00537C3C">
              <w:rPr>
                <w:rFonts w:ascii="Arial Narrow" w:hAnsi="Arial Narrow" w:cs="Arial"/>
                <w:b/>
                <w:i/>
                <w:sz w:val="18"/>
                <w:szCs w:val="18"/>
              </w:rPr>
              <w:t>Comparator test</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Manual reading of conventional smears</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b/>
                <w:i/>
                <w:sz w:val="18"/>
                <w:szCs w:val="18"/>
              </w:rPr>
              <w:t>Reference standard</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Histology (biopsy or loop excision)</w:t>
            </w:r>
          </w:p>
          <w:p w:rsidR="00234376" w:rsidRPr="00537C3C" w:rsidRDefault="00234376" w:rsidP="008E03A7">
            <w:pPr>
              <w:spacing w:before="40" w:after="40"/>
              <w:ind w:left="20"/>
              <w:rPr>
                <w:rFonts w:ascii="Arial Narrow" w:hAnsi="Arial Narrow" w:cs="Arial"/>
                <w:sz w:val="18"/>
                <w:szCs w:val="18"/>
              </w:rPr>
            </w:pPr>
            <w:r w:rsidRPr="00BB76D8">
              <w:rPr>
                <w:rFonts w:ascii="Arial Narrow" w:hAnsi="Arial Narrow" w:cs="Arial"/>
                <w:sz w:val="18"/>
                <w:szCs w:val="18"/>
              </w:rPr>
              <w:t>ASCUS</w:t>
            </w:r>
            <w:r w:rsidRPr="00537C3C">
              <w:rPr>
                <w:rFonts w:ascii="Arial Narrow" w:hAnsi="Arial Narrow" w:cs="Arial"/>
                <w:sz w:val="18"/>
                <w:szCs w:val="18"/>
              </w:rPr>
              <w:t xml:space="preserve"> favouring reactive process: repeat smear @ 6 mo then colposcopy if necessary</w:t>
            </w:r>
          </w:p>
          <w:p w:rsidR="00234376" w:rsidRPr="00537C3C" w:rsidRDefault="00234376" w:rsidP="008E03A7">
            <w:pPr>
              <w:spacing w:before="40" w:after="40"/>
              <w:ind w:left="20"/>
              <w:rPr>
                <w:rFonts w:ascii="Arial Narrow" w:hAnsi="Arial Narrow" w:cs="Arial"/>
                <w:sz w:val="18"/>
                <w:szCs w:val="18"/>
              </w:rPr>
            </w:pPr>
            <w:r w:rsidRPr="00BB76D8">
              <w:rPr>
                <w:rFonts w:ascii="Arial Narrow" w:hAnsi="Arial Narrow" w:cs="Arial"/>
                <w:sz w:val="18"/>
                <w:szCs w:val="18"/>
              </w:rPr>
              <w:t>ASCUS</w:t>
            </w:r>
            <w:r w:rsidRPr="00537C3C">
              <w:rPr>
                <w:rFonts w:ascii="Arial Narrow" w:hAnsi="Arial Narrow" w:cs="Arial"/>
                <w:sz w:val="18"/>
                <w:szCs w:val="18"/>
              </w:rPr>
              <w:t xml:space="preserve"> favouring </w:t>
            </w:r>
            <w:r w:rsidRPr="00BB76D8">
              <w:rPr>
                <w:rFonts w:ascii="Arial Narrow" w:hAnsi="Arial Narrow" w:cs="Arial"/>
                <w:sz w:val="18"/>
                <w:szCs w:val="18"/>
              </w:rPr>
              <w:t>SIL</w:t>
            </w:r>
            <w:r w:rsidRPr="00537C3C">
              <w:rPr>
                <w:rFonts w:ascii="Arial Narrow" w:hAnsi="Arial Narrow" w:cs="Arial"/>
                <w:sz w:val="18"/>
                <w:szCs w:val="18"/>
              </w:rPr>
              <w:t xml:space="preserve"> +: colposcopy</w:t>
            </w:r>
          </w:p>
          <w:p w:rsidR="00234376" w:rsidRPr="00537C3C" w:rsidRDefault="00234376" w:rsidP="008E03A7">
            <w:pPr>
              <w:spacing w:before="40" w:after="40"/>
              <w:ind w:left="20"/>
              <w:rPr>
                <w:rFonts w:ascii="Arial Narrow" w:hAnsi="Arial Narrow" w:cs="Arial"/>
                <w:sz w:val="18"/>
                <w:szCs w:val="18"/>
              </w:rPr>
            </w:pPr>
            <w:r w:rsidRPr="00BB76D8">
              <w:rPr>
                <w:rFonts w:ascii="Arial Narrow" w:hAnsi="Arial Narrow" w:cs="Arial"/>
                <w:sz w:val="18"/>
                <w:szCs w:val="18"/>
              </w:rPr>
              <w:t>HSIL</w:t>
            </w:r>
            <w:r w:rsidRPr="00537C3C">
              <w:rPr>
                <w:rFonts w:ascii="Arial Narrow" w:hAnsi="Arial Narrow" w:cs="Arial"/>
                <w:sz w:val="18"/>
                <w:szCs w:val="18"/>
              </w:rPr>
              <w:t>, colposcopy neg: repeat cytology 6 mo</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Proportion reference standard available </w:t>
            </w:r>
            <w:r w:rsidRPr="00BB76D8">
              <w:rPr>
                <w:rFonts w:ascii="Arial Narrow" w:hAnsi="Arial Narrow" w:cs="Arial"/>
                <w:sz w:val="18"/>
                <w:szCs w:val="18"/>
              </w:rPr>
              <w:t>NR</w:t>
            </w:r>
          </w:p>
          <w:p w:rsidR="00234376" w:rsidRPr="00537C3C" w:rsidRDefault="00234376" w:rsidP="008E03A7">
            <w:pPr>
              <w:spacing w:before="40" w:after="40"/>
              <w:ind w:left="20"/>
              <w:rPr>
                <w:rFonts w:ascii="Arial Narrow" w:hAnsi="Arial Narrow" w:cs="Arial"/>
                <w:b/>
                <w:i/>
                <w:sz w:val="18"/>
                <w:szCs w:val="18"/>
              </w:rPr>
            </w:pPr>
            <w:r w:rsidRPr="00537C3C">
              <w:rPr>
                <w:rFonts w:ascii="Arial Narrow" w:hAnsi="Arial Narrow" w:cs="Arial"/>
                <w:b/>
                <w:i/>
                <w:sz w:val="18"/>
                <w:szCs w:val="18"/>
              </w:rPr>
              <w:t>Test threshold</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Reference standard </w:t>
            </w:r>
            <w:r w:rsidRPr="00BB76D8">
              <w:rPr>
                <w:rFonts w:ascii="Arial Narrow" w:hAnsi="Arial Narrow" w:cs="Arial"/>
                <w:sz w:val="18"/>
                <w:szCs w:val="18"/>
              </w:rPr>
              <w:t>CIN</w:t>
            </w:r>
            <w:r w:rsidRPr="00537C3C">
              <w:rPr>
                <w:rFonts w:ascii="Arial Narrow" w:hAnsi="Arial Narrow" w:cs="Arial"/>
                <w:sz w:val="18"/>
                <w:szCs w:val="18"/>
              </w:rPr>
              <w:t xml:space="preserve"> 2+</w:t>
            </w:r>
          </w:p>
          <w:p w:rsidR="00234376" w:rsidRPr="00537C3C" w:rsidRDefault="00234376" w:rsidP="008E03A7">
            <w:pPr>
              <w:spacing w:before="40" w:after="40"/>
              <w:ind w:left="20"/>
              <w:rPr>
                <w:rFonts w:ascii="Arial Narrow" w:hAnsi="Arial Narrow" w:cs="Arial"/>
                <w:b/>
                <w:i/>
                <w:sz w:val="18"/>
                <w:szCs w:val="18"/>
              </w:rPr>
            </w:pPr>
            <w:r w:rsidRPr="00537C3C">
              <w:rPr>
                <w:rFonts w:ascii="Arial Narrow" w:hAnsi="Arial Narrow" w:cs="Arial"/>
                <w:b/>
                <w:i/>
                <w:sz w:val="18"/>
                <w:szCs w:val="18"/>
              </w:rPr>
              <w:t>Primary outcomes</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rate abnormal smears</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 xml:space="preserve">proportion high-grade </w:t>
            </w:r>
            <w:r w:rsidRPr="00BB76D8">
              <w:rPr>
                <w:rFonts w:ascii="Arial Narrow" w:hAnsi="Arial Narrow" w:cs="Arial"/>
                <w:sz w:val="18"/>
                <w:szCs w:val="18"/>
              </w:rPr>
              <w:t>CIN</w:t>
            </w:r>
            <w:r w:rsidRPr="00537C3C">
              <w:rPr>
                <w:rFonts w:ascii="Arial Narrow" w:hAnsi="Arial Narrow" w:cs="Arial"/>
                <w:sz w:val="18"/>
                <w:szCs w:val="18"/>
              </w:rPr>
              <w:t xml:space="preserve"> detected by each test</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b/>
                <w:i/>
                <w:sz w:val="18"/>
                <w:szCs w:val="18"/>
              </w:rPr>
              <w:t>Secondary outcomes</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costs</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lastRenderedPageBreak/>
              <w:t>reading time cost savings</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b/>
                <w:i/>
                <w:sz w:val="18"/>
                <w:szCs w:val="18"/>
              </w:rPr>
              <w:t>Cytological classification</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b/>
                <w:i/>
                <w:sz w:val="18"/>
                <w:szCs w:val="18"/>
              </w:rPr>
            </w:pPr>
            <w:r w:rsidRPr="00537C3C">
              <w:rPr>
                <w:rFonts w:ascii="Arial Narrow" w:hAnsi="Arial Narrow" w:cs="Arial"/>
                <w:sz w:val="18"/>
                <w:szCs w:val="18"/>
              </w:rPr>
              <w:t xml:space="preserve">1991 </w:t>
            </w:r>
            <w:smartTag w:uri="urn:schemas-microsoft-com:office:smarttags" w:element="place">
              <w:smartTag w:uri="urn:schemas-microsoft-com:office:smarttags" w:element="City">
                <w:r w:rsidRPr="00537C3C">
                  <w:rPr>
                    <w:rFonts w:ascii="Arial Narrow" w:hAnsi="Arial Narrow" w:cs="Arial"/>
                    <w:sz w:val="18"/>
                    <w:szCs w:val="18"/>
                  </w:rPr>
                  <w:t>Bethesda</w:t>
                </w:r>
              </w:smartTag>
            </w:smartTag>
          </w:p>
        </w:tc>
        <w:tc>
          <w:tcPr>
            <w:tcW w:w="3214"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40"/>
              <w:ind w:left="20"/>
              <w:rPr>
                <w:rFonts w:ascii="Arial Narrow" w:hAnsi="Arial Narrow" w:cs="Arial"/>
                <w:b/>
                <w:i/>
                <w:sz w:val="18"/>
                <w:szCs w:val="18"/>
              </w:rPr>
            </w:pPr>
            <w:r w:rsidRPr="00537C3C">
              <w:rPr>
                <w:rFonts w:ascii="Arial Narrow" w:hAnsi="Arial Narrow" w:cs="Arial"/>
                <w:b/>
                <w:i/>
                <w:sz w:val="18"/>
                <w:szCs w:val="18"/>
              </w:rPr>
              <w:lastRenderedPageBreak/>
              <w:t>Inclusion criteria</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b/>
                <w:i/>
                <w:sz w:val="18"/>
                <w:szCs w:val="18"/>
              </w:rPr>
            </w:pPr>
            <w:r w:rsidRPr="00537C3C">
              <w:rPr>
                <w:rFonts w:ascii="Arial Narrow" w:hAnsi="Arial Narrow" w:cs="Arial"/>
                <w:sz w:val="18"/>
                <w:szCs w:val="18"/>
              </w:rPr>
              <w:t xml:space="preserve">Smears from </w:t>
            </w:r>
            <w:smartTag w:uri="urn:schemas-microsoft-com:office:smarttags" w:element="place">
              <w:smartTag w:uri="urn:schemas-microsoft-com:office:smarttags" w:element="City">
                <w:r w:rsidRPr="00537C3C">
                  <w:rPr>
                    <w:rFonts w:ascii="Arial Narrow" w:hAnsi="Arial Narrow" w:cs="Arial"/>
                    <w:sz w:val="18"/>
                    <w:szCs w:val="18"/>
                  </w:rPr>
                  <w:t>Florence</w:t>
                </w:r>
              </w:smartTag>
            </w:smartTag>
            <w:r w:rsidRPr="00537C3C">
              <w:rPr>
                <w:rFonts w:ascii="Arial Narrow" w:hAnsi="Arial Narrow" w:cs="Arial"/>
                <w:sz w:val="18"/>
                <w:szCs w:val="18"/>
              </w:rPr>
              <w:t xml:space="preserve"> screening program</w:t>
            </w:r>
          </w:p>
        </w:tc>
        <w:tc>
          <w:tcPr>
            <w:tcW w:w="3945" w:type="dxa"/>
            <w:gridSpan w:val="2"/>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Quality: fair Q2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Prospective: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Consecutive: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Explicit selection criteria: no</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threshold specified: yes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Reference standard</w:t>
            </w:r>
          </w:p>
          <w:p w:rsidR="00234376" w:rsidRPr="00537C3C" w:rsidRDefault="00234376" w:rsidP="008E03A7">
            <w:pPr>
              <w:numPr>
                <w:ilvl w:val="0"/>
                <w:numId w:val="18"/>
              </w:numPr>
              <w:spacing w:before="40" w:after="0"/>
              <w:rPr>
                <w:rFonts w:ascii="Arial Narrow" w:hAnsi="Arial Narrow" w:cs="Arial"/>
                <w:sz w:val="18"/>
                <w:szCs w:val="18"/>
              </w:rPr>
            </w:pPr>
            <w:r w:rsidRPr="00537C3C">
              <w:rPr>
                <w:rFonts w:ascii="Arial Narrow" w:hAnsi="Arial Narrow" w:cs="Arial"/>
                <w:sz w:val="18"/>
                <w:szCs w:val="18"/>
              </w:rPr>
              <w:t>valid</w:t>
            </w:r>
          </w:p>
          <w:p w:rsidR="00234376" w:rsidRPr="00537C3C" w:rsidRDefault="00234376" w:rsidP="008E03A7">
            <w:pPr>
              <w:numPr>
                <w:ilvl w:val="0"/>
                <w:numId w:val="18"/>
              </w:numPr>
              <w:spacing w:before="40" w:after="0"/>
              <w:rPr>
                <w:rFonts w:ascii="Arial Narrow" w:hAnsi="Arial Narrow" w:cs="Arial"/>
                <w:sz w:val="18"/>
                <w:szCs w:val="18"/>
              </w:rPr>
            </w:pPr>
            <w:r w:rsidRPr="00537C3C">
              <w:rPr>
                <w:rFonts w:ascii="Arial Narrow" w:hAnsi="Arial Narrow" w:cs="Arial"/>
                <w:sz w:val="18"/>
                <w:szCs w:val="18"/>
              </w:rPr>
              <w:t>unclear if results available for all positive patients</w:t>
            </w:r>
          </w:p>
          <w:p w:rsidR="00234376" w:rsidRPr="00537C3C" w:rsidRDefault="00234376" w:rsidP="008E03A7">
            <w:pPr>
              <w:spacing w:before="4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interval adequate</w:t>
            </w:r>
          </w:p>
          <w:p w:rsidR="00234376" w:rsidRPr="00537C3C" w:rsidRDefault="00234376" w:rsidP="008E03A7">
            <w:pPr>
              <w:numPr>
                <w:ilvl w:val="0"/>
                <w:numId w:val="18"/>
              </w:numPr>
              <w:spacing w:before="40" w:after="0"/>
              <w:rPr>
                <w:rFonts w:ascii="Arial Narrow" w:hAnsi="Arial Narrow" w:cs="Arial"/>
                <w:sz w:val="18"/>
                <w:szCs w:val="18"/>
              </w:rPr>
            </w:pPr>
            <w:r w:rsidRPr="00537C3C">
              <w:rPr>
                <w:rFonts w:ascii="Arial Narrow" w:hAnsi="Arial Narrow" w:cs="Arial"/>
                <w:sz w:val="18"/>
                <w:szCs w:val="18"/>
              </w:rPr>
              <w:t>reference standard</w:t>
            </w:r>
          </w:p>
          <w:p w:rsidR="00234376" w:rsidRPr="00537C3C" w:rsidRDefault="00234376" w:rsidP="008E03A7">
            <w:pPr>
              <w:numPr>
                <w:ilvl w:val="0"/>
                <w:numId w:val="18"/>
              </w:numPr>
              <w:spacing w:before="40" w:after="0"/>
              <w:rPr>
                <w:rFonts w:ascii="Arial Narrow" w:hAnsi="Arial Narrow" w:cs="Arial"/>
                <w:sz w:val="18"/>
                <w:szCs w:val="18"/>
              </w:rPr>
            </w:pPr>
            <w:r w:rsidRPr="00537C3C">
              <w:rPr>
                <w:rFonts w:ascii="Arial Narrow" w:hAnsi="Arial Narrow" w:cs="Arial"/>
                <w:sz w:val="18"/>
                <w:szCs w:val="18"/>
              </w:rPr>
              <w:t>comparator—yes (3–4 days)</w:t>
            </w:r>
          </w:p>
          <w:p w:rsidR="00234376" w:rsidRPr="00537C3C" w:rsidRDefault="00234376" w:rsidP="008E03A7">
            <w:pPr>
              <w:spacing w:before="4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Index test reported blinded to comparator: yes (although same)</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Tests reported blinded to ref standard: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 standard reported blinded to tests: NR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Uninterpretable/intermediate results reported: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Study withdrawals explained: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Sufficient data for relative </w:t>
            </w:r>
            <w:r w:rsidRPr="00BB76D8">
              <w:rPr>
                <w:rFonts w:ascii="Arial Narrow" w:hAnsi="Arial Narrow" w:cs="Arial"/>
                <w:sz w:val="18"/>
                <w:szCs w:val="18"/>
              </w:rPr>
              <w:t>TP</w:t>
            </w:r>
            <w:r w:rsidRPr="00537C3C">
              <w:rPr>
                <w:rFonts w:ascii="Arial Narrow" w:hAnsi="Arial Narrow" w:cs="Arial"/>
                <w:sz w:val="18"/>
                <w:szCs w:val="18"/>
              </w:rPr>
              <w:t xml:space="preserve"> &amp; </w:t>
            </w:r>
            <w:r w:rsidRPr="00BB76D8">
              <w:rPr>
                <w:rFonts w:ascii="Arial Narrow" w:hAnsi="Arial Narrow" w:cs="Arial"/>
                <w:sz w:val="18"/>
                <w:szCs w:val="18"/>
              </w:rPr>
              <w:t>FP</w:t>
            </w:r>
            <w:r w:rsidRPr="00537C3C">
              <w:rPr>
                <w:rFonts w:ascii="Arial Narrow" w:hAnsi="Arial Narrow" w:cs="Arial"/>
                <w:sz w:val="18"/>
                <w:szCs w:val="18"/>
              </w:rPr>
              <w:t>: no (</w:t>
            </w:r>
            <w:r w:rsidRPr="00BB76D8">
              <w:rPr>
                <w:rFonts w:ascii="Arial Narrow" w:hAnsi="Arial Narrow" w:cs="Arial"/>
                <w:sz w:val="18"/>
                <w:szCs w:val="18"/>
              </w:rPr>
              <w:t>FP</w:t>
            </w:r>
            <w:r w:rsidRPr="00537C3C">
              <w:rPr>
                <w:rFonts w:ascii="Arial Narrow" w:hAnsi="Arial Narrow" w:cs="Arial"/>
                <w:sz w:val="18"/>
                <w:szCs w:val="18"/>
              </w:rPr>
              <w:t xml:space="preserve"> not reported)</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Applicability: applicable P1</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population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comparator: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intervention: yes</w:t>
            </w:r>
          </w:p>
        </w:tc>
      </w:tr>
      <w:tr w:rsidR="00234376" w:rsidRPr="00537C3C">
        <w:trPr>
          <w:gridAfter w:val="4"/>
          <w:wAfter w:w="458" w:type="dxa"/>
          <w:trHeight w:val="127"/>
        </w:trPr>
        <w:tc>
          <w:tcPr>
            <w:tcW w:w="14341" w:type="dxa"/>
            <w:gridSpan w:val="5"/>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lastRenderedPageBreak/>
              <w:t>RESULTS: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sz w:val="18"/>
                <w:szCs w:val="18"/>
              </w:rPr>
              <w:t>Test accuracy</w:t>
            </w:r>
            <w:r w:rsidRPr="00537C3C">
              <w:rPr>
                <w:rFonts w:ascii="Arial Narrow" w:hAnsi="Arial Narrow" w:cs="Arial"/>
                <w:sz w:val="18"/>
                <w:szCs w:val="18"/>
              </w:rPr>
              <w:t xml:space="preserve"> (for detection of </w:t>
            </w:r>
            <w:r w:rsidRPr="00BB76D8">
              <w:rPr>
                <w:rFonts w:ascii="Arial Narrow" w:hAnsi="Arial Narrow" w:cs="Arial"/>
                <w:sz w:val="18"/>
                <w:szCs w:val="18"/>
              </w:rPr>
              <w:t>CIN</w:t>
            </w:r>
            <w:r w:rsidRPr="00537C3C">
              <w:rPr>
                <w:rFonts w:ascii="Arial Narrow" w:hAnsi="Arial Narrow" w:cs="Arial"/>
                <w:sz w:val="18"/>
                <w:szCs w:val="18"/>
              </w:rPr>
              <w:t xml:space="preserve"> 2+/</w:t>
            </w:r>
            <w:r w:rsidRPr="00BB76D8">
              <w:rPr>
                <w:rFonts w:ascii="Arial Narrow" w:hAnsi="Arial Narrow" w:cs="Arial"/>
                <w:sz w:val="18"/>
                <w:szCs w:val="18"/>
              </w:rPr>
              <w:t>CIN</w:t>
            </w:r>
            <w:r w:rsidRPr="00537C3C">
              <w:rPr>
                <w:rFonts w:ascii="Arial Narrow" w:hAnsi="Arial Narrow" w:cs="Arial"/>
                <w:sz w:val="18"/>
                <w:szCs w:val="18"/>
              </w:rPr>
              <w:t xml:space="preserve"> 3+)</w:t>
            </w:r>
          </w:p>
          <w:p w:rsidR="00234376" w:rsidRPr="00537C3C" w:rsidRDefault="00234376" w:rsidP="008E03A7">
            <w:pPr>
              <w:spacing w:before="40" w:after="0"/>
              <w:ind w:left="0"/>
              <w:rPr>
                <w:rFonts w:ascii="Arial Narrow" w:hAnsi="Arial Narrow" w:cs="Arial"/>
                <w:i/>
                <w:sz w:val="18"/>
                <w:szCs w:val="18"/>
                <w:u w:val="single"/>
              </w:rPr>
            </w:pPr>
            <w:r w:rsidRPr="00537C3C">
              <w:rPr>
                <w:rFonts w:ascii="Arial Narrow" w:hAnsi="Arial Narrow" w:cs="Arial"/>
                <w:i/>
                <w:sz w:val="18"/>
                <w:szCs w:val="18"/>
                <w:u w:val="single"/>
              </w:rPr>
              <w:t xml:space="preserve">Test threshold </w:t>
            </w:r>
            <w:r w:rsidRPr="00BB76D8">
              <w:rPr>
                <w:rFonts w:ascii="Arial Narrow" w:hAnsi="Arial Narrow" w:cs="Arial"/>
                <w:i/>
                <w:sz w:val="18"/>
                <w:szCs w:val="18"/>
                <w:u w:val="single"/>
              </w:rPr>
              <w:t>HSIL</w:t>
            </w:r>
          </w:p>
          <w:p w:rsidR="00234376" w:rsidRPr="00537C3C" w:rsidRDefault="00234376" w:rsidP="008E03A7">
            <w:pPr>
              <w:pStyle w:val="TableTextCharCharChar"/>
              <w:spacing w:after="0"/>
              <w:rPr>
                <w:rFonts w:cs="Arial"/>
                <w:i/>
                <w:szCs w:val="18"/>
              </w:rPr>
            </w:pPr>
            <w:r w:rsidRPr="00537C3C">
              <w:rPr>
                <w:rFonts w:cs="Arial"/>
                <w:i/>
                <w:szCs w:val="18"/>
              </w:rPr>
              <w:t xml:space="preserve">Incremental </w:t>
            </w:r>
            <w:r w:rsidRPr="00BB76D8">
              <w:rPr>
                <w:rFonts w:cs="Arial"/>
                <w:i/>
                <w:szCs w:val="18"/>
              </w:rPr>
              <w:t>TP</w:t>
            </w:r>
            <w:r w:rsidRPr="00537C3C">
              <w:rPr>
                <w:rFonts w:cs="Arial"/>
                <w:i/>
                <w:szCs w:val="18"/>
              </w:rPr>
              <w:t xml:space="preserve"> rate</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 xml:space="preserve">3 additional </w:t>
            </w:r>
            <w:r w:rsidRPr="00BB76D8">
              <w:rPr>
                <w:rFonts w:ascii="Arial Narrow" w:hAnsi="Arial Narrow" w:cs="Arial"/>
                <w:sz w:val="18"/>
                <w:szCs w:val="18"/>
              </w:rPr>
              <w:t>TP</w:t>
            </w:r>
            <w:r w:rsidRPr="00537C3C">
              <w:rPr>
                <w:rFonts w:ascii="Arial Narrow" w:hAnsi="Arial Narrow" w:cs="Arial"/>
                <w:sz w:val="18"/>
                <w:szCs w:val="18"/>
              </w:rPr>
              <w:t xml:space="preserve"> for conventional (conventional 16, AutoPap 13) (reviewer </w:t>
            </w:r>
            <w:r w:rsidRPr="00537C3C">
              <w:rPr>
                <w:rFonts w:ascii="Arial Narrow" w:hAnsi="Arial Narrow" w:cs="Arial"/>
                <w:sz w:val="18"/>
                <w:szCs w:val="18"/>
              </w:rPr>
              <w:sym w:font="Symbol" w:char="F063"/>
            </w:r>
            <w:r w:rsidRPr="0030078D">
              <w:rPr>
                <w:rFonts w:ascii="Arial Narrow" w:hAnsi="Arial Narrow" w:cs="Arial"/>
                <w:sz w:val="18"/>
                <w:szCs w:val="18"/>
                <w:vertAlign w:val="superscript"/>
              </w:rPr>
              <w:t>2</w:t>
            </w:r>
            <w:r w:rsidRPr="00537C3C">
              <w:rPr>
                <w:rFonts w:ascii="Arial Narrow" w:hAnsi="Arial Narrow" w:cs="Arial"/>
                <w:sz w:val="18"/>
                <w:szCs w:val="18"/>
              </w:rPr>
              <w:t xml:space="preserve"> 0.58)</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AutoPap: –0.21 cases per 1000 women screened</w:t>
            </w:r>
          </w:p>
          <w:p w:rsidR="00234376" w:rsidRPr="00537C3C" w:rsidRDefault="00234376" w:rsidP="008E03A7">
            <w:pPr>
              <w:spacing w:before="40" w:after="0"/>
              <w:ind w:left="0"/>
              <w:rPr>
                <w:rFonts w:ascii="Arial Narrow" w:hAnsi="Arial Narrow" w:cs="Arial"/>
                <w:i/>
                <w:sz w:val="18"/>
                <w:szCs w:val="18"/>
                <w:u w:val="single"/>
              </w:rPr>
            </w:pPr>
            <w:r w:rsidRPr="00537C3C">
              <w:rPr>
                <w:rFonts w:ascii="Arial Narrow" w:hAnsi="Arial Narrow" w:cs="Arial"/>
                <w:i/>
                <w:sz w:val="18"/>
                <w:szCs w:val="18"/>
                <w:u w:val="single"/>
              </w:rPr>
              <w:t xml:space="preserve">Test threshold </w:t>
            </w:r>
            <w:r w:rsidRPr="00BB76D8">
              <w:rPr>
                <w:rFonts w:ascii="Arial Narrow" w:hAnsi="Arial Narrow" w:cs="Arial"/>
                <w:i/>
                <w:sz w:val="18"/>
                <w:szCs w:val="18"/>
                <w:u w:val="single"/>
              </w:rPr>
              <w:t>ASCUS</w:t>
            </w:r>
            <w:r w:rsidRPr="00537C3C">
              <w:rPr>
                <w:rFonts w:ascii="Arial Narrow" w:hAnsi="Arial Narrow" w:cs="Arial"/>
                <w:i/>
                <w:sz w:val="18"/>
                <w:szCs w:val="18"/>
                <w:u w:val="single"/>
              </w:rPr>
              <w:t>-R</w:t>
            </w:r>
          </w:p>
          <w:p w:rsidR="00234376" w:rsidRPr="00537C3C" w:rsidRDefault="00234376" w:rsidP="008E03A7">
            <w:pPr>
              <w:pStyle w:val="TableTextCharCharChar"/>
              <w:spacing w:after="0"/>
              <w:rPr>
                <w:rFonts w:cs="Arial"/>
                <w:i/>
                <w:szCs w:val="18"/>
              </w:rPr>
            </w:pPr>
            <w:r w:rsidRPr="00537C3C">
              <w:rPr>
                <w:rFonts w:cs="Arial"/>
                <w:i/>
                <w:szCs w:val="18"/>
              </w:rPr>
              <w:t xml:space="preserve">Incremental </w:t>
            </w:r>
            <w:r w:rsidRPr="00BB76D8">
              <w:rPr>
                <w:rFonts w:cs="Arial"/>
                <w:i/>
                <w:szCs w:val="18"/>
              </w:rPr>
              <w:t>TP</w:t>
            </w:r>
            <w:r w:rsidRPr="00537C3C">
              <w:rPr>
                <w:rFonts w:cs="Arial"/>
                <w:i/>
                <w:szCs w:val="18"/>
              </w:rPr>
              <w:t xml:space="preserve"> rate</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 xml:space="preserve">1 additional </w:t>
            </w:r>
            <w:r w:rsidRPr="00BB76D8">
              <w:rPr>
                <w:rFonts w:ascii="Arial Narrow" w:hAnsi="Arial Narrow" w:cs="Arial"/>
                <w:sz w:val="18"/>
                <w:szCs w:val="18"/>
              </w:rPr>
              <w:t>TP</w:t>
            </w:r>
            <w:r w:rsidRPr="00537C3C">
              <w:rPr>
                <w:rFonts w:ascii="Arial Narrow" w:hAnsi="Arial Narrow" w:cs="Arial"/>
                <w:sz w:val="18"/>
                <w:szCs w:val="18"/>
              </w:rPr>
              <w:t xml:space="preserve"> for conventional (conventional 31, AutoPap 30) (reviewer </w:t>
            </w:r>
            <w:r w:rsidRPr="00537C3C">
              <w:rPr>
                <w:rFonts w:ascii="Arial Narrow" w:hAnsi="Arial Narrow" w:cs="Arial"/>
                <w:sz w:val="18"/>
                <w:szCs w:val="18"/>
              </w:rPr>
              <w:sym w:font="Symbol" w:char="F063"/>
            </w:r>
            <w:r w:rsidRPr="0030078D">
              <w:rPr>
                <w:rFonts w:ascii="Arial Narrow" w:hAnsi="Arial Narrow" w:cs="Arial"/>
                <w:sz w:val="18"/>
                <w:szCs w:val="18"/>
                <w:vertAlign w:val="superscript"/>
              </w:rPr>
              <w:t>2</w:t>
            </w:r>
            <w:r w:rsidRPr="00537C3C">
              <w:rPr>
                <w:rFonts w:ascii="Arial Narrow" w:hAnsi="Arial Narrow" w:cs="Arial"/>
                <w:sz w:val="18"/>
                <w:szCs w:val="18"/>
              </w:rPr>
              <w:t xml:space="preserve"> 0.90)</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AutoPap: –0.07 cases per 1000 women screened</w:t>
            </w:r>
          </w:p>
          <w:p w:rsidR="00234376" w:rsidRPr="00537C3C" w:rsidRDefault="00234376" w:rsidP="008E03A7">
            <w:pPr>
              <w:pStyle w:val="TableTextCharCharChar"/>
              <w:spacing w:after="0"/>
              <w:rPr>
                <w:rFonts w:cs="Arial"/>
                <w:i/>
                <w:szCs w:val="18"/>
                <w:u w:val="single"/>
              </w:rPr>
            </w:pPr>
            <w:r w:rsidRPr="00BB76D8">
              <w:rPr>
                <w:rFonts w:cs="Arial"/>
                <w:i/>
                <w:szCs w:val="18"/>
                <w:u w:val="single"/>
              </w:rPr>
              <w:t>ASCUS</w:t>
            </w:r>
            <w:r w:rsidRPr="00537C3C">
              <w:rPr>
                <w:rFonts w:cs="Arial"/>
                <w:i/>
                <w:szCs w:val="18"/>
                <w:u w:val="single"/>
              </w:rPr>
              <w:t>-S referral for colposcopy</w:t>
            </w:r>
          </w:p>
          <w:p w:rsidR="00234376" w:rsidRPr="00537C3C" w:rsidRDefault="00234376" w:rsidP="008E03A7">
            <w:pPr>
              <w:pStyle w:val="TableTextCharCharChar"/>
              <w:spacing w:after="0"/>
              <w:rPr>
                <w:rFonts w:cs="Arial"/>
                <w:szCs w:val="18"/>
              </w:rPr>
            </w:pPr>
            <w:r w:rsidRPr="00537C3C">
              <w:rPr>
                <w:rFonts w:cs="Arial"/>
                <w:szCs w:val="18"/>
              </w:rPr>
              <w:t xml:space="preserve">Referral </w:t>
            </w:r>
            <w:r w:rsidRPr="00537C3C" w:rsidDel="00B94BF8">
              <w:rPr>
                <w:rFonts w:cs="Arial"/>
                <w:szCs w:val="18"/>
              </w:rPr>
              <w:t>for</w:t>
            </w:r>
            <w:r w:rsidRPr="00537C3C">
              <w:rPr>
                <w:rFonts w:cs="Arial"/>
                <w:szCs w:val="18"/>
              </w:rPr>
              <w:t xml:space="preserve"> colposcopy AutoPap 117 (147 – 30), conv 148 (179 – 31)—but unclear what proportion underwent colposcopy: invalid as </w:t>
            </w:r>
            <w:r w:rsidRPr="00BB76D8">
              <w:rPr>
                <w:rFonts w:cs="Arial"/>
                <w:szCs w:val="18"/>
              </w:rPr>
              <w:t xml:space="preserve">FP; </w:t>
            </w:r>
            <w:r w:rsidRPr="00537C3C">
              <w:rPr>
                <w:rFonts w:cs="Arial"/>
                <w:szCs w:val="18"/>
              </w:rPr>
              <w:t>just yield</w:t>
            </w:r>
          </w:p>
          <w:p w:rsidR="00234376" w:rsidRPr="00537C3C" w:rsidRDefault="00234376" w:rsidP="008E03A7">
            <w:pPr>
              <w:pStyle w:val="TableTextCharCharChar"/>
              <w:spacing w:after="0"/>
              <w:rPr>
                <w:rFonts w:cs="Arial"/>
                <w:szCs w:val="18"/>
              </w:rPr>
            </w:pPr>
          </w:p>
          <w:p w:rsidR="00234376" w:rsidRPr="00537C3C" w:rsidRDefault="00234376" w:rsidP="008E03A7">
            <w:pPr>
              <w:pStyle w:val="TableTextCharCharChar"/>
              <w:spacing w:after="0"/>
              <w:rPr>
                <w:rFonts w:cs="Arial"/>
                <w:b/>
                <w:szCs w:val="18"/>
              </w:rPr>
            </w:pPr>
            <w:r w:rsidRPr="00537C3C">
              <w:rPr>
                <w:rFonts w:cs="Arial"/>
                <w:b/>
                <w:szCs w:val="18"/>
              </w:rPr>
              <w:t>Test characteristics</w:t>
            </w:r>
          </w:p>
          <w:p w:rsidR="00234376" w:rsidRPr="00537C3C" w:rsidRDefault="00234376" w:rsidP="008E03A7">
            <w:pPr>
              <w:pStyle w:val="TableTextCharCharChar"/>
              <w:spacing w:after="0"/>
              <w:rPr>
                <w:rFonts w:cs="Arial"/>
                <w:szCs w:val="18"/>
                <w:u w:val="single"/>
              </w:rPr>
            </w:pPr>
            <w:r w:rsidRPr="00537C3C">
              <w:rPr>
                <w:rFonts w:cs="Arial"/>
                <w:szCs w:val="18"/>
                <w:u w:val="single"/>
              </w:rPr>
              <w:t>Yield</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i/>
                <w:sz w:val="18"/>
                <w:szCs w:val="18"/>
                <w:lang w:eastAsia="en-AU"/>
              </w:rPr>
              <w:t>ASCUS</w:t>
            </w:r>
            <w:r w:rsidRPr="00537C3C">
              <w:rPr>
                <w:rFonts w:ascii="Arial Narrow" w:hAnsi="Arial Narrow" w:cs="Arial"/>
                <w:i/>
                <w:sz w:val="18"/>
                <w:szCs w:val="18"/>
                <w:lang w:eastAsia="en-AU"/>
              </w:rPr>
              <w:t xml:space="preserve">-R: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1.28%, conv 2.33%</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i/>
                <w:sz w:val="18"/>
                <w:szCs w:val="18"/>
                <w:lang w:eastAsia="en-AU"/>
              </w:rPr>
              <w:t>ASCUS</w:t>
            </w:r>
            <w:r w:rsidRPr="00537C3C">
              <w:rPr>
                <w:rFonts w:ascii="Arial Narrow" w:hAnsi="Arial Narrow" w:cs="Arial"/>
                <w:i/>
                <w:sz w:val="18"/>
                <w:szCs w:val="18"/>
                <w:lang w:eastAsia="en-AU"/>
              </w:rPr>
              <w:t>-S/</w:t>
            </w:r>
            <w:r w:rsidRPr="00BB76D8">
              <w:rPr>
                <w:rFonts w:ascii="Arial Narrow" w:hAnsi="Arial Narrow" w:cs="Arial"/>
                <w:i/>
                <w:sz w:val="18"/>
                <w:szCs w:val="18"/>
                <w:lang w:eastAsia="en-AU"/>
              </w:rPr>
              <w:t>AGUS</w:t>
            </w:r>
            <w:r w:rsidRPr="00537C3C">
              <w:rPr>
                <w:rFonts w:ascii="Arial Narrow" w:hAnsi="Arial Narrow" w:cs="Arial"/>
                <w:i/>
                <w:sz w:val="18"/>
                <w:szCs w:val="18"/>
                <w:lang w:eastAsia="en-AU"/>
              </w:rPr>
              <w:t xml:space="preserve">: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0.54%, conv 0.65%</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i/>
                <w:sz w:val="18"/>
                <w:szCs w:val="18"/>
                <w:lang w:eastAsia="en-AU"/>
              </w:rPr>
              <w:t>ASCUS</w:t>
            </w:r>
            <w:r w:rsidRPr="00537C3C">
              <w:rPr>
                <w:rFonts w:ascii="Arial Narrow" w:hAnsi="Arial Narrow" w:cs="Arial"/>
                <w:i/>
                <w:sz w:val="18"/>
                <w:szCs w:val="18"/>
                <w:lang w:eastAsia="en-AU"/>
              </w:rPr>
              <w:t>-R/</w:t>
            </w:r>
            <w:r w:rsidRPr="00BB76D8">
              <w:rPr>
                <w:rFonts w:ascii="Arial Narrow" w:hAnsi="Arial Narrow" w:cs="Arial"/>
                <w:i/>
                <w:sz w:val="18"/>
                <w:szCs w:val="18"/>
                <w:lang w:eastAsia="en-AU"/>
              </w:rPr>
              <w:t>ASCUS</w:t>
            </w:r>
            <w:r w:rsidRPr="00537C3C">
              <w:rPr>
                <w:rFonts w:ascii="Arial Narrow" w:hAnsi="Arial Narrow" w:cs="Arial"/>
                <w:i/>
                <w:sz w:val="18"/>
                <w:szCs w:val="18"/>
                <w:lang w:eastAsia="en-AU"/>
              </w:rPr>
              <w:t>-S/</w:t>
            </w:r>
            <w:r w:rsidRPr="00BB76D8">
              <w:rPr>
                <w:rFonts w:ascii="Arial Narrow" w:hAnsi="Arial Narrow" w:cs="Arial"/>
                <w:i/>
                <w:sz w:val="18"/>
                <w:szCs w:val="18"/>
                <w:lang w:eastAsia="en-AU"/>
              </w:rPr>
              <w:t>AGUS</w:t>
            </w:r>
            <w:r w:rsidRPr="00537C3C">
              <w:rPr>
                <w:rFonts w:ascii="Arial Narrow" w:hAnsi="Arial Narrow" w:cs="Arial"/>
                <w:i/>
                <w:sz w:val="18"/>
                <w:szCs w:val="18"/>
                <w:lang w:eastAsia="en-AU"/>
              </w:rPr>
              <w:t xml:space="preserve">: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1.82% (258), conv 2.99% (423)</w:t>
            </w:r>
          </w:p>
          <w:p w:rsidR="00234376" w:rsidRPr="00537C3C" w:rsidRDefault="00234376" w:rsidP="00E749E7">
            <w:pPr>
              <w:pBdr>
                <w:bottom w:val="single" w:sz="4" w:space="1" w:color="auto"/>
              </w:pBdr>
              <w:spacing w:before="40" w:after="0"/>
              <w:ind w:left="0"/>
              <w:rPr>
                <w:rFonts w:ascii="Arial Narrow" w:hAnsi="Arial Narrow" w:cs="Arial"/>
                <w:sz w:val="18"/>
                <w:szCs w:val="18"/>
                <w:lang w:eastAsia="en-AU"/>
              </w:rPr>
            </w:pPr>
            <w:r w:rsidRPr="00BB76D8">
              <w:rPr>
                <w:rFonts w:ascii="Arial Narrow" w:hAnsi="Arial Narrow" w:cs="Arial"/>
                <w:i/>
                <w:sz w:val="18"/>
                <w:szCs w:val="18"/>
                <w:lang w:eastAsia="en-AU"/>
              </w:rPr>
              <w:t>LSIL</w:t>
            </w:r>
            <w:r w:rsidRPr="00537C3C">
              <w:rPr>
                <w:rFonts w:ascii="Arial Narrow" w:hAnsi="Arial Narrow" w:cs="Arial"/>
                <w:i/>
                <w:sz w:val="18"/>
                <w:szCs w:val="18"/>
                <w:lang w:eastAsia="en-AU"/>
              </w:rPr>
              <w:t xml:space="preserve">: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0.20%, conv 0.41%</w:t>
            </w:r>
          </w:p>
          <w:p w:rsidR="00234376" w:rsidRPr="00537C3C" w:rsidRDefault="00234376" w:rsidP="00E749E7">
            <w:pPr>
              <w:pBdr>
                <w:bottom w:val="single" w:sz="4" w:space="1" w:color="auto"/>
              </w:pBdr>
              <w:spacing w:before="40" w:after="0"/>
              <w:ind w:left="0"/>
              <w:rPr>
                <w:rFonts w:ascii="Arial Narrow" w:hAnsi="Arial Narrow" w:cs="Arial"/>
                <w:sz w:val="18"/>
                <w:szCs w:val="18"/>
                <w:lang w:eastAsia="en-AU"/>
              </w:rPr>
            </w:pPr>
            <w:r w:rsidRPr="00BB76D8">
              <w:rPr>
                <w:rFonts w:ascii="Arial Narrow" w:hAnsi="Arial Narrow" w:cs="Arial"/>
                <w:i/>
                <w:sz w:val="18"/>
                <w:szCs w:val="18"/>
                <w:lang w:eastAsia="en-AU"/>
              </w:rPr>
              <w:t>HSIL</w:t>
            </w:r>
            <w:r w:rsidRPr="00537C3C">
              <w:rPr>
                <w:rFonts w:ascii="Arial Narrow" w:hAnsi="Arial Narrow" w:cs="Arial"/>
                <w:i/>
                <w:sz w:val="18"/>
                <w:szCs w:val="18"/>
                <w:lang w:eastAsia="en-AU"/>
              </w:rPr>
              <w:t xml:space="preserve">: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0.13%, conv 0.19%</w:t>
            </w:r>
          </w:p>
          <w:p w:rsidR="00234376" w:rsidRPr="00537C3C" w:rsidRDefault="00234376" w:rsidP="00E749E7">
            <w:pPr>
              <w:pBdr>
                <w:bottom w:val="single" w:sz="4" w:space="1" w:color="auto"/>
              </w:pBdr>
              <w:spacing w:before="40" w:after="0"/>
              <w:ind w:left="0"/>
              <w:rPr>
                <w:rFonts w:ascii="Arial Narrow" w:hAnsi="Arial Narrow" w:cs="Arial"/>
                <w:sz w:val="18"/>
                <w:szCs w:val="18"/>
                <w:lang w:eastAsia="en-AU"/>
              </w:rPr>
            </w:pPr>
            <w:r w:rsidRPr="001E6D1E">
              <w:rPr>
                <w:rFonts w:ascii="Arial Narrow" w:hAnsi="Arial Narrow" w:cs="Arial"/>
                <w:i/>
                <w:sz w:val="18"/>
                <w:szCs w:val="18"/>
                <w:lang w:eastAsia="en-AU"/>
              </w:rPr>
              <w:t>C</w:t>
            </w:r>
            <w:r w:rsidR="00E11416">
              <w:rPr>
                <w:rFonts w:ascii="Arial Narrow" w:hAnsi="Arial Narrow" w:cs="Arial"/>
                <w:i/>
                <w:sz w:val="18"/>
                <w:szCs w:val="18"/>
                <w:lang w:eastAsia="en-AU"/>
              </w:rPr>
              <w:t>arcinoma</w:t>
            </w:r>
            <w:r w:rsidRPr="00537C3C">
              <w:rPr>
                <w:rFonts w:ascii="Arial Narrow" w:hAnsi="Arial Narrow" w:cs="Arial"/>
                <w:i/>
                <w:sz w:val="18"/>
                <w:szCs w:val="18"/>
                <w:lang w:eastAsia="en-AU"/>
              </w:rPr>
              <w:t xml:space="preserve">: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0.007%, conv 0.007%</w:t>
            </w:r>
          </w:p>
          <w:p w:rsidR="00234376" w:rsidRPr="00537C3C" w:rsidRDefault="00234376" w:rsidP="00E749E7">
            <w:pPr>
              <w:pBdr>
                <w:bottom w:val="single" w:sz="4" w:space="1" w:color="auto"/>
              </w:pBdr>
              <w:spacing w:before="40" w:after="0"/>
              <w:ind w:left="0"/>
              <w:rPr>
                <w:rFonts w:ascii="Arial Narrow" w:hAnsi="Arial Narrow" w:cs="Arial"/>
                <w:i/>
                <w:sz w:val="18"/>
                <w:szCs w:val="18"/>
                <w:lang w:eastAsia="en-AU"/>
              </w:rPr>
            </w:pPr>
            <w:r w:rsidRPr="00BB76D8">
              <w:rPr>
                <w:rFonts w:ascii="Arial Narrow" w:hAnsi="Arial Narrow" w:cs="Arial"/>
                <w:i/>
                <w:sz w:val="18"/>
                <w:szCs w:val="18"/>
                <w:lang w:eastAsia="en-AU"/>
              </w:rPr>
              <w:t>HSIL</w:t>
            </w:r>
            <w:r w:rsidRPr="00537C3C">
              <w:rPr>
                <w:rFonts w:ascii="Arial Narrow" w:hAnsi="Arial Narrow" w:cs="Arial"/>
                <w:i/>
                <w:sz w:val="18"/>
                <w:szCs w:val="18"/>
                <w:lang w:eastAsia="en-AU"/>
              </w:rPr>
              <w:t xml:space="preserve">+: </w:t>
            </w:r>
            <w:r w:rsidRPr="00537C3C">
              <w:rPr>
                <w:rFonts w:ascii="Arial Narrow" w:hAnsi="Arial Narrow" w:cs="Arial"/>
                <w:sz w:val="18"/>
                <w:szCs w:val="18"/>
                <w:lang w:eastAsia="en-AU"/>
              </w:rPr>
              <w:t>conventional 0.20% (28), AutoPap 0.16% (23)</w:t>
            </w:r>
          </w:p>
          <w:p w:rsidR="00234376" w:rsidRPr="00537C3C" w:rsidRDefault="00234376" w:rsidP="00E749E7">
            <w:pPr>
              <w:pBdr>
                <w:bottom w:val="single" w:sz="4" w:space="1" w:color="auto"/>
              </w:pBdr>
              <w:spacing w:before="40" w:after="0"/>
              <w:ind w:left="0"/>
              <w:rPr>
                <w:rFonts w:ascii="Arial Narrow" w:hAnsi="Arial Narrow" w:cs="Arial"/>
                <w:i/>
                <w:sz w:val="18"/>
                <w:szCs w:val="18"/>
                <w:lang w:eastAsia="en-AU"/>
              </w:rPr>
            </w:pPr>
            <w:r w:rsidRPr="00BB76D8">
              <w:rPr>
                <w:rFonts w:ascii="Arial Narrow" w:hAnsi="Arial Narrow" w:cs="Arial"/>
                <w:i/>
                <w:sz w:val="18"/>
                <w:szCs w:val="18"/>
                <w:lang w:eastAsia="en-AU"/>
              </w:rPr>
              <w:t>ASCUS</w:t>
            </w:r>
            <w:r w:rsidRPr="00537C3C">
              <w:rPr>
                <w:rFonts w:ascii="Arial Narrow" w:hAnsi="Arial Narrow" w:cs="Arial"/>
                <w:i/>
                <w:sz w:val="18"/>
                <w:szCs w:val="18"/>
                <w:lang w:eastAsia="en-AU"/>
              </w:rPr>
              <w:t xml:space="preserve">-R+: </w:t>
            </w:r>
            <w:r w:rsidRPr="00537C3C">
              <w:rPr>
                <w:rFonts w:ascii="Arial Narrow" w:hAnsi="Arial Narrow" w:cs="Arial"/>
                <w:sz w:val="18"/>
                <w:szCs w:val="18"/>
                <w:lang w:eastAsia="en-AU"/>
              </w:rPr>
              <w:t>conventional 3.6% (509), AutoPap 2.2% (307)</w:t>
            </w:r>
          </w:p>
          <w:p w:rsidR="00234376" w:rsidRPr="00537C3C" w:rsidRDefault="00234376" w:rsidP="00E749E7">
            <w:pPr>
              <w:pStyle w:val="TableTextCharCharChar"/>
              <w:pBdr>
                <w:bottom w:val="single" w:sz="4" w:space="1" w:color="auto"/>
              </w:pBdr>
              <w:spacing w:after="0"/>
              <w:rPr>
                <w:rFonts w:cs="Arial"/>
                <w:szCs w:val="18"/>
                <w:u w:val="single"/>
              </w:rPr>
            </w:pPr>
            <w:r w:rsidRPr="00537C3C">
              <w:rPr>
                <w:rFonts w:cs="Arial"/>
                <w:szCs w:val="18"/>
                <w:u w:val="single"/>
              </w:rPr>
              <w:t>Process outcomes</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i/>
                <w:sz w:val="18"/>
                <w:szCs w:val="18"/>
              </w:rPr>
              <w:t>Unsatisfactory</w:t>
            </w:r>
            <w:r w:rsidRPr="00537C3C">
              <w:rPr>
                <w:rFonts w:ascii="Arial Narrow" w:hAnsi="Arial Narrow" w:cs="Arial"/>
                <w:sz w:val="18"/>
                <w:szCs w:val="18"/>
              </w:rPr>
              <w:t>: conventional: 1.3% (188); AutoPap 0.88% (125) (</w:t>
            </w:r>
            <w:r w:rsidRPr="0030078D">
              <w:rPr>
                <w:rFonts w:ascii="Arial Narrow" w:hAnsi="Arial Narrow" w:cs="Arial"/>
                <w:i/>
                <w:sz w:val="18"/>
                <w:szCs w:val="18"/>
              </w:rPr>
              <w:t>P</w:t>
            </w:r>
            <w:r w:rsidRPr="00537C3C">
              <w:rPr>
                <w:rFonts w:ascii="Arial Narrow" w:hAnsi="Arial Narrow" w:cs="Arial"/>
                <w:sz w:val="18"/>
                <w:szCs w:val="18"/>
              </w:rPr>
              <w:t xml:space="preserve"> &lt; 0.001, </w:t>
            </w:r>
            <w:r w:rsidRPr="00537C3C">
              <w:rPr>
                <w:rFonts w:ascii="Arial Narrow" w:hAnsi="Arial Narrow" w:cs="Arial"/>
                <w:sz w:val="18"/>
                <w:szCs w:val="18"/>
              </w:rPr>
              <w:sym w:font="Symbol" w:char="F063"/>
            </w:r>
            <w:r w:rsidRPr="0030078D">
              <w:rPr>
                <w:rFonts w:ascii="Arial Narrow" w:hAnsi="Arial Narrow" w:cs="Arial"/>
                <w:sz w:val="18"/>
                <w:szCs w:val="18"/>
                <w:vertAlign w:val="superscript"/>
              </w:rPr>
              <w:t>2</w:t>
            </w:r>
            <w:r w:rsidRPr="00537C3C">
              <w:rPr>
                <w:rFonts w:ascii="Arial Narrow" w:hAnsi="Arial Narrow" w:cs="Arial"/>
                <w:sz w:val="18"/>
                <w:szCs w:val="18"/>
              </w:rPr>
              <w:t>)</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AutoPap 1818 process review (failed processing &gt; manual readings) 12.8%</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 xml:space="preserve">2398 </w:t>
            </w:r>
            <w:r w:rsidRPr="00BB76D8">
              <w:rPr>
                <w:rFonts w:ascii="Arial Narrow" w:hAnsi="Arial Narrow" w:cs="Arial"/>
                <w:sz w:val="18"/>
                <w:szCs w:val="18"/>
              </w:rPr>
              <w:t>NFR</w:t>
            </w:r>
            <w:r w:rsidRPr="00537C3C">
              <w:rPr>
                <w:rFonts w:ascii="Arial Narrow" w:hAnsi="Arial Narrow" w:cs="Arial"/>
                <w:sz w:val="18"/>
                <w:szCs w:val="18"/>
              </w:rPr>
              <w:t xml:space="preserve"> (16.9%)</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BB76D8">
              <w:rPr>
                <w:rFonts w:ascii="Arial Narrow" w:hAnsi="Arial Narrow" w:cs="Arial"/>
                <w:sz w:val="18"/>
                <w:szCs w:val="18"/>
              </w:rPr>
              <w:t>ASCUS</w:t>
            </w:r>
            <w:r w:rsidRPr="00537C3C">
              <w:rPr>
                <w:rFonts w:ascii="Arial Narrow" w:hAnsi="Arial Narrow" w:cs="Arial"/>
                <w:sz w:val="18"/>
                <w:szCs w:val="18"/>
              </w:rPr>
              <w:t>-S+ refer to colposcopy, AutoPap 147, conv 179 (</w:t>
            </w:r>
            <w:r w:rsidRPr="00537C3C">
              <w:rPr>
                <w:rFonts w:ascii="Arial Narrow" w:hAnsi="Arial Narrow" w:cs="Arial"/>
                <w:sz w:val="18"/>
                <w:szCs w:val="18"/>
              </w:rPr>
              <w:sym w:font="Symbol" w:char="F063"/>
            </w:r>
            <w:r w:rsidRPr="00234376">
              <w:rPr>
                <w:rFonts w:ascii="Arial Narrow" w:hAnsi="Arial Narrow" w:cs="Arial"/>
                <w:sz w:val="18"/>
                <w:szCs w:val="18"/>
                <w:vertAlign w:val="superscript"/>
              </w:rPr>
              <w:t>2</w:t>
            </w:r>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 0.07, 1 df)</w:t>
            </w:r>
          </w:p>
          <w:p w:rsidR="00234376" w:rsidRPr="00537C3C" w:rsidRDefault="00234376" w:rsidP="008E03A7">
            <w:pPr>
              <w:pStyle w:val="TableTextCharCharChar"/>
              <w:spacing w:after="0"/>
              <w:rPr>
                <w:rFonts w:cs="Arial"/>
                <w:b/>
                <w:szCs w:val="18"/>
              </w:rPr>
            </w:pPr>
          </w:p>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Resource use</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lastRenderedPageBreak/>
              <w:t>Slides read: conventional 100%, AutoPap 83.1% (including PR)</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6-month repeat cytology: conventional 2.3%, AutoPap 1.6% (</w:t>
            </w:r>
            <w:r w:rsidRPr="0030078D">
              <w:rPr>
                <w:rFonts w:ascii="Arial Narrow" w:hAnsi="Arial Narrow" w:cs="Arial"/>
                <w:i/>
                <w:sz w:val="18"/>
                <w:szCs w:val="18"/>
              </w:rPr>
              <w:t>P</w:t>
            </w:r>
            <w:r w:rsidRPr="00537C3C">
              <w:rPr>
                <w:rFonts w:ascii="Arial Narrow" w:hAnsi="Arial Narrow" w:cs="Arial"/>
                <w:sz w:val="18"/>
                <w:szCs w:val="18"/>
              </w:rPr>
              <w:t xml:space="preserve"> &lt; 0.01, </w:t>
            </w:r>
            <w:r w:rsidRPr="00537C3C">
              <w:rPr>
                <w:rFonts w:ascii="Arial Narrow" w:hAnsi="Arial Narrow" w:cs="Arial"/>
                <w:sz w:val="18"/>
                <w:szCs w:val="18"/>
              </w:rPr>
              <w:sym w:font="Symbol" w:char="F063"/>
            </w:r>
            <w:r w:rsidRPr="0030078D">
              <w:rPr>
                <w:rFonts w:ascii="Arial Narrow" w:hAnsi="Arial Narrow" w:cs="Arial"/>
                <w:sz w:val="18"/>
                <w:szCs w:val="18"/>
                <w:vertAlign w:val="superscript"/>
              </w:rPr>
              <w:t>2</w:t>
            </w:r>
            <w:r w:rsidRPr="00537C3C">
              <w:rPr>
                <w:rFonts w:ascii="Arial Narrow" w:hAnsi="Arial Narrow" w:cs="Arial"/>
                <w:sz w:val="18"/>
                <w:szCs w:val="18"/>
              </w:rPr>
              <w:t>)</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Colposcopy conventional 1.2%, AutoPap 1.0% (</w:t>
            </w:r>
            <w:r w:rsidRPr="0030078D">
              <w:rPr>
                <w:rFonts w:ascii="Arial Narrow" w:hAnsi="Arial Narrow" w:cs="Arial"/>
                <w:i/>
                <w:sz w:val="18"/>
                <w:szCs w:val="18"/>
              </w:rPr>
              <w:t>P</w:t>
            </w:r>
            <w:r w:rsidRPr="00537C3C">
              <w:rPr>
                <w:rFonts w:ascii="Arial Narrow" w:hAnsi="Arial Narrow" w:cs="Arial"/>
                <w:sz w:val="18"/>
                <w:szCs w:val="18"/>
              </w:rPr>
              <w:t xml:space="preserve"> = 0.07)</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 xml:space="preserve">Detection </w:t>
            </w:r>
            <w:r w:rsidRPr="00BB76D8">
              <w:rPr>
                <w:rFonts w:ascii="Arial Narrow" w:hAnsi="Arial Narrow" w:cs="Arial"/>
                <w:sz w:val="18"/>
                <w:szCs w:val="18"/>
              </w:rPr>
              <w:t>CIN</w:t>
            </w:r>
            <w:r w:rsidRPr="00537C3C">
              <w:rPr>
                <w:rFonts w:ascii="Arial Narrow" w:hAnsi="Arial Narrow" w:cs="Arial"/>
                <w:sz w:val="18"/>
                <w:szCs w:val="18"/>
              </w:rPr>
              <w:t xml:space="preserve"> 2+ conventional 0.22%, AutoPap 0.21%</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Cost-effectiveness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Workload 25 000 slides per year:</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Overall cost: conventional €259 833, AutoPap €392 959</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 xml:space="preserve">Cost per </w:t>
            </w:r>
            <w:r w:rsidRPr="00BB76D8">
              <w:rPr>
                <w:rFonts w:ascii="Arial Narrow" w:hAnsi="Arial Narrow" w:cs="Arial"/>
                <w:sz w:val="18"/>
                <w:szCs w:val="18"/>
              </w:rPr>
              <w:t>CIN</w:t>
            </w:r>
            <w:r w:rsidRPr="00537C3C">
              <w:rPr>
                <w:rFonts w:ascii="Arial Narrow" w:hAnsi="Arial Narrow" w:cs="Arial"/>
                <w:sz w:val="18"/>
                <w:szCs w:val="18"/>
              </w:rPr>
              <w:t xml:space="preserve"> 2+ detected: conventional €4724, AutoPap €7414</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Workload 60 000 slides per year (based on best conditions in last part of study, 20% </w:t>
            </w:r>
            <w:r w:rsidRPr="00BB76D8">
              <w:rPr>
                <w:rFonts w:ascii="Arial Narrow" w:hAnsi="Arial Narrow" w:cs="Arial"/>
                <w:sz w:val="18"/>
                <w:szCs w:val="18"/>
              </w:rPr>
              <w:t>NFR</w:t>
            </w:r>
            <w:r w:rsidRPr="00537C3C">
              <w:rPr>
                <w:rFonts w:ascii="Arial Narrow" w:hAnsi="Arial Narrow" w:cs="Arial"/>
                <w:sz w:val="18"/>
                <w:szCs w:val="18"/>
              </w:rPr>
              <w:t>, 10% PR):</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Overall cost: conventional €623 600, AutoPap €639 825</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 xml:space="preserve">Cost per </w:t>
            </w:r>
            <w:r w:rsidRPr="00BB76D8">
              <w:rPr>
                <w:rFonts w:ascii="Arial Narrow" w:hAnsi="Arial Narrow" w:cs="Arial"/>
                <w:sz w:val="18"/>
                <w:szCs w:val="18"/>
              </w:rPr>
              <w:t>CIN</w:t>
            </w:r>
            <w:r w:rsidRPr="00537C3C">
              <w:rPr>
                <w:rFonts w:ascii="Arial Narrow" w:hAnsi="Arial Narrow" w:cs="Arial"/>
                <w:sz w:val="18"/>
                <w:szCs w:val="18"/>
              </w:rPr>
              <w:t xml:space="preserve"> 2+ detected: conventional €4724, AutoPap €5078</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rPr>
            </w:pPr>
            <w:r w:rsidRPr="00537C3C">
              <w:rPr>
                <w:rFonts w:ascii="Arial Narrow" w:hAnsi="Arial Narrow" w:cs="Arial"/>
                <w:sz w:val="18"/>
                <w:szCs w:val="18"/>
              </w:rPr>
              <w:t xml:space="preserve">Differences between conventional and AutoPap decreased as </w:t>
            </w:r>
            <w:r w:rsidRPr="00BB76D8">
              <w:rPr>
                <w:rFonts w:ascii="Arial Narrow" w:hAnsi="Arial Narrow" w:cs="Arial"/>
                <w:sz w:val="18"/>
                <w:szCs w:val="18"/>
              </w:rPr>
              <w:t>NFR</w:t>
            </w:r>
            <w:r w:rsidRPr="00537C3C">
              <w:rPr>
                <w:rFonts w:ascii="Arial Narrow" w:hAnsi="Arial Narrow" w:cs="Arial"/>
                <w:sz w:val="18"/>
                <w:szCs w:val="18"/>
              </w:rPr>
              <w:t xml:space="preserve"> rate increased, with similar costs at 60 000 slides per year and 30% </w:t>
            </w:r>
            <w:r w:rsidRPr="00BB76D8">
              <w:rPr>
                <w:rFonts w:ascii="Arial Narrow" w:hAnsi="Arial Narrow" w:cs="Arial"/>
                <w:sz w:val="18"/>
                <w:szCs w:val="18"/>
              </w:rPr>
              <w:t>NFR</w:t>
            </w:r>
          </w:p>
        </w:tc>
      </w:tr>
      <w:tr w:rsidR="00234376" w:rsidRPr="00537C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414" w:type="dxa"/>
          <w:trHeight w:val="127"/>
        </w:trPr>
        <w:tc>
          <w:tcPr>
            <w:tcW w:w="1723" w:type="dxa"/>
          </w:tcPr>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lastRenderedPageBreak/>
              <w:t>Stevens et al. 2004</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sz w:val="18"/>
                <w:szCs w:val="18"/>
              </w:rPr>
            </w:pPr>
            <w:smartTag w:uri="urn:schemas-microsoft-com:office:smarttags" w:element="place">
              <w:smartTag w:uri="urn:schemas-microsoft-com:office:smarttags" w:element="country-region">
                <w:r w:rsidRPr="00537C3C">
                  <w:rPr>
                    <w:rFonts w:ascii="Arial Narrow" w:hAnsi="Arial Narrow" w:cs="Arial"/>
                    <w:sz w:val="18"/>
                    <w:szCs w:val="18"/>
                  </w:rPr>
                  <w:t>Australia</w:t>
                </w:r>
              </w:smartTag>
            </w:smartTag>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Jan 2000 – Feb 2000</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sz w:val="18"/>
                <w:szCs w:val="18"/>
              </w:rPr>
            </w:pPr>
            <w:r w:rsidRPr="0030078D">
              <w:rPr>
                <w:rFonts w:ascii="Arial Narrow" w:hAnsi="Arial Narrow" w:cs="Arial"/>
                <w:i/>
                <w:sz w:val="18"/>
                <w:szCs w:val="18"/>
              </w:rPr>
              <w:t>N</w:t>
            </w:r>
            <w:r w:rsidRPr="00537C3C">
              <w:rPr>
                <w:rFonts w:ascii="Arial Narrow" w:hAnsi="Arial Narrow" w:cs="Arial"/>
                <w:sz w:val="18"/>
                <w:szCs w:val="18"/>
              </w:rPr>
              <w:t xml:space="preserve"> = 5583</w:t>
            </w:r>
          </w:p>
          <w:p w:rsidR="00234376" w:rsidRPr="00537C3C" w:rsidRDefault="00234376" w:rsidP="008E03A7">
            <w:pPr>
              <w:spacing w:before="40" w:after="40"/>
              <w:ind w:left="20"/>
              <w:rPr>
                <w:rFonts w:ascii="Arial Narrow" w:hAnsi="Arial Narrow" w:cs="Arial"/>
                <w:sz w:val="18"/>
                <w:szCs w:val="18"/>
              </w:rPr>
            </w:pPr>
          </w:p>
        </w:tc>
        <w:tc>
          <w:tcPr>
            <w:tcW w:w="5459" w:type="dxa"/>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Objective:</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To determine if AutoPap-GS is equivalent to manual reading of conventional Pap for detecting abnormal, unsatisfactory, endocervical component or organisms. Also assessed effectiveness of slide ranking for triaging abnormal smears</w:t>
            </w:r>
          </w:p>
          <w:p w:rsidR="00234376" w:rsidRPr="00537C3C" w:rsidRDefault="00234376" w:rsidP="008E03A7">
            <w:pPr>
              <w:spacing w:before="40" w:after="0"/>
              <w:ind w:left="0"/>
              <w:rPr>
                <w:rFonts w:ascii="Arial Narrow" w:hAnsi="Arial Narrow" w:cs="Arial"/>
                <w:b/>
                <w:i/>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Study design</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Two-arm retrospective diagnostic accuracy study with split-sample pairs and seeded </w:t>
            </w:r>
            <w:r w:rsidRPr="00BB76D8">
              <w:rPr>
                <w:rFonts w:ascii="Arial Narrow" w:hAnsi="Arial Narrow" w:cs="Arial"/>
                <w:sz w:val="18"/>
                <w:szCs w:val="18"/>
              </w:rPr>
              <w:t>LBC</w:t>
            </w:r>
            <w:r w:rsidRPr="00537C3C">
              <w:rPr>
                <w:rFonts w:ascii="Arial Narrow" w:hAnsi="Arial Narrow" w:cs="Arial"/>
                <w:sz w:val="18"/>
                <w:szCs w:val="18"/>
              </w:rPr>
              <w:t xml:space="preserve"> cases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Index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AutoPap location-guided screening–assisted practice (AutoPap-GS) (archiving </w:t>
            </w:r>
            <w:r w:rsidRPr="00BB76D8">
              <w:rPr>
                <w:rFonts w:ascii="Arial Narrow" w:hAnsi="Arial Narrow" w:cs="Arial"/>
                <w:sz w:val="18"/>
                <w:szCs w:val="18"/>
              </w:rPr>
              <w:t>NFR</w:t>
            </w:r>
            <w:r w:rsidRPr="00537C3C">
              <w:rPr>
                <w:rFonts w:ascii="Arial Narrow" w:hAnsi="Arial Narrow" w:cs="Arial"/>
                <w:sz w:val="18"/>
                <w:szCs w:val="18"/>
              </w:rPr>
              <w:t xml:space="preserve"> + PapMap </w:t>
            </w:r>
            <w:r w:rsidRPr="00BB76D8">
              <w:rPr>
                <w:rFonts w:ascii="Arial Narrow" w:hAnsi="Arial Narrow" w:cs="Arial"/>
                <w:sz w:val="18"/>
                <w:szCs w:val="18"/>
              </w:rPr>
              <w:t>FOV</w:t>
            </w:r>
            <w:r w:rsidRPr="00537C3C">
              <w:rPr>
                <w:rFonts w:ascii="Arial Narrow" w:hAnsi="Arial Narrow" w:cs="Arial"/>
                <w:sz w:val="18"/>
                <w:szCs w:val="18"/>
              </w:rPr>
              <w:t xml:space="preserve"> locations traced onto review slides + manual review of 10% smears selected as </w:t>
            </w:r>
            <w:r w:rsidRPr="00BB76D8">
              <w:rPr>
                <w:rFonts w:ascii="Arial Narrow" w:hAnsi="Arial Narrow" w:cs="Arial"/>
                <w:sz w:val="18"/>
                <w:szCs w:val="18"/>
              </w:rPr>
              <w:t>QC</w:t>
            </w:r>
            <w:r w:rsidRPr="00537C3C">
              <w:rPr>
                <w:rFonts w:ascii="Arial Narrow" w:hAnsi="Arial Narrow" w:cs="Arial"/>
                <w:sz w:val="18"/>
                <w:szCs w:val="18"/>
              </w:rPr>
              <w:t>)</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Comparator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Manual screening of all conventional smears, rescreening of high-risk patients (~20%)</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Reference standard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Concordant diagnosis between the current practice and AutoPap-GS diagnosis. Discordant diagnoses were adjudicated by discrepancy panels of 3 experienced cytology professionals; truth was determined by majority agreement</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Test threshold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Low-grade epithelial abnormality (LGEA+)</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Unsatisfactory smear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Scant epithelial component, or obscuring blood, inflammation or drying artefact </w:t>
            </w:r>
            <w:r w:rsidRPr="00537C3C">
              <w:rPr>
                <w:rFonts w:ascii="Arial Narrow" w:hAnsi="Arial Narrow" w:cs="Arial"/>
                <w:sz w:val="18"/>
                <w:szCs w:val="18"/>
              </w:rPr>
              <w:lastRenderedPageBreak/>
              <w:t>precluded interpretation of ≥ 75% epithelial cells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Cytological classification</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Australian </w:t>
            </w:r>
            <w:r w:rsidRPr="00BB76D8">
              <w:rPr>
                <w:rFonts w:ascii="Arial Narrow" w:hAnsi="Arial Narrow" w:cs="Arial"/>
                <w:sz w:val="18"/>
                <w:szCs w:val="18"/>
              </w:rPr>
              <w:t>NHMRC</w:t>
            </w:r>
            <w:r w:rsidRPr="00537C3C">
              <w:rPr>
                <w:rFonts w:ascii="Arial Narrow" w:hAnsi="Arial Narrow" w:cs="Arial"/>
                <w:sz w:val="18"/>
                <w:szCs w:val="18"/>
              </w:rPr>
              <w:t xml:space="preserve"> endorsed terminology 1994</w:t>
            </w:r>
          </w:p>
        </w:tc>
        <w:tc>
          <w:tcPr>
            <w:tcW w:w="3214" w:type="dxa"/>
          </w:tcPr>
          <w:p w:rsidR="00234376" w:rsidRPr="00537C3C" w:rsidRDefault="00234376" w:rsidP="008E03A7">
            <w:pPr>
              <w:spacing w:before="40" w:after="40"/>
              <w:ind w:left="20"/>
              <w:rPr>
                <w:rFonts w:ascii="Arial Narrow" w:hAnsi="Arial Narrow" w:cs="Arial"/>
                <w:b/>
                <w:i/>
                <w:sz w:val="18"/>
                <w:szCs w:val="18"/>
              </w:rPr>
            </w:pPr>
            <w:r w:rsidRPr="00537C3C">
              <w:rPr>
                <w:rFonts w:ascii="Arial Narrow" w:hAnsi="Arial Narrow" w:cs="Arial"/>
                <w:b/>
                <w:i/>
                <w:sz w:val="18"/>
                <w:szCs w:val="18"/>
              </w:rPr>
              <w:lastRenderedPageBreak/>
              <w:t>Inclusion criteria</w:t>
            </w:r>
          </w:p>
          <w:p w:rsidR="00234376" w:rsidRDefault="00234376" w:rsidP="00600AC0">
            <w:pPr>
              <w:numPr>
                <w:ilvl w:val="0"/>
                <w:numId w:val="17"/>
              </w:numPr>
              <w:tabs>
                <w:tab w:val="clear" w:pos="360"/>
                <w:tab w:val="num" w:pos="330"/>
              </w:tabs>
              <w:spacing w:before="40" w:after="40"/>
              <w:ind w:left="20" w:hanging="310"/>
              <w:rPr>
                <w:rFonts w:ascii="Arial Narrow" w:hAnsi="Arial Narrow" w:cs="Arial"/>
                <w:i/>
                <w:sz w:val="18"/>
                <w:szCs w:val="18"/>
              </w:rPr>
            </w:pPr>
            <w:r w:rsidRPr="00537C3C">
              <w:rPr>
                <w:rFonts w:ascii="Arial Narrow" w:hAnsi="Arial Narrow" w:cs="Arial"/>
                <w:sz w:val="18"/>
                <w:szCs w:val="18"/>
              </w:rPr>
              <w:t>Consecutive (6000)</w:t>
            </w:r>
          </w:p>
          <w:p w:rsidR="00234376" w:rsidRPr="00537C3C" w:rsidRDefault="00234376" w:rsidP="008E03A7">
            <w:pPr>
              <w:spacing w:before="40" w:after="40"/>
              <w:ind w:left="20"/>
              <w:rPr>
                <w:rFonts w:ascii="Arial Narrow" w:hAnsi="Arial Narrow" w:cs="Arial"/>
                <w:sz w:val="18"/>
                <w:szCs w:val="18"/>
              </w:rPr>
            </w:pPr>
          </w:p>
          <w:p w:rsidR="00234376" w:rsidRPr="00537C3C" w:rsidRDefault="00234376" w:rsidP="008E03A7">
            <w:pPr>
              <w:spacing w:before="40" w:after="40"/>
              <w:ind w:left="20"/>
              <w:rPr>
                <w:rFonts w:ascii="Arial Narrow" w:hAnsi="Arial Narrow" w:cs="Arial"/>
                <w:b/>
                <w:i/>
                <w:sz w:val="18"/>
                <w:szCs w:val="18"/>
              </w:rPr>
            </w:pPr>
            <w:r w:rsidRPr="00537C3C">
              <w:rPr>
                <w:rFonts w:ascii="Arial Narrow" w:hAnsi="Arial Narrow" w:cs="Arial"/>
                <w:b/>
                <w:i/>
                <w:sz w:val="18"/>
                <w:szCs w:val="18"/>
              </w:rPr>
              <w:t>Exclusion criteria</w:t>
            </w:r>
          </w:p>
          <w:p w:rsidR="00234376" w:rsidRDefault="00234376" w:rsidP="00600AC0">
            <w:pPr>
              <w:numPr>
                <w:ilvl w:val="0"/>
                <w:numId w:val="17"/>
              </w:numPr>
              <w:tabs>
                <w:tab w:val="clear" w:pos="360"/>
                <w:tab w:val="num" w:pos="330"/>
              </w:tabs>
              <w:spacing w:before="40" w:after="40"/>
              <w:ind w:left="330" w:hanging="310"/>
              <w:rPr>
                <w:rFonts w:ascii="Arial Narrow" w:hAnsi="Arial Narrow" w:cs="Arial"/>
                <w:i/>
                <w:sz w:val="18"/>
                <w:szCs w:val="18"/>
              </w:rPr>
            </w:pPr>
            <w:r w:rsidRPr="00537C3C">
              <w:rPr>
                <w:rFonts w:ascii="Arial Narrow" w:hAnsi="Arial Narrow" w:cs="Arial"/>
                <w:sz w:val="18"/>
                <w:szCs w:val="18"/>
              </w:rPr>
              <w:t xml:space="preserve">Broken, cracked, 2 cover-slips, vaginal smears, </w:t>
            </w:r>
            <w:r w:rsidRPr="00BB76D8">
              <w:rPr>
                <w:rFonts w:ascii="Arial Narrow" w:hAnsi="Arial Narrow" w:cs="Arial"/>
                <w:sz w:val="18"/>
                <w:szCs w:val="18"/>
              </w:rPr>
              <w:t>LBC</w:t>
            </w:r>
            <w:r w:rsidRPr="00537C3C">
              <w:rPr>
                <w:rFonts w:ascii="Arial Narrow" w:hAnsi="Arial Narrow" w:cs="Arial"/>
                <w:sz w:val="18"/>
                <w:szCs w:val="18"/>
              </w:rPr>
              <w:t xml:space="preserve"> (422, 7.0%)</w:t>
            </w:r>
          </w:p>
          <w:p w:rsidR="00234376" w:rsidRDefault="00234376" w:rsidP="00600AC0">
            <w:pPr>
              <w:numPr>
                <w:ilvl w:val="0"/>
                <w:numId w:val="24"/>
              </w:numPr>
              <w:tabs>
                <w:tab w:val="num" w:pos="170"/>
              </w:tabs>
              <w:spacing w:before="40" w:after="40"/>
              <w:ind w:left="20" w:hanging="137"/>
              <w:rPr>
                <w:rFonts w:ascii="Arial Narrow" w:hAnsi="Arial Narrow" w:cs="Arial"/>
                <w:i/>
                <w:sz w:val="18"/>
                <w:szCs w:val="18"/>
              </w:rPr>
            </w:pPr>
            <w:r w:rsidRPr="00537C3C">
              <w:rPr>
                <w:rFonts w:ascii="Arial Narrow" w:hAnsi="Arial Narrow" w:cs="Arial"/>
                <w:sz w:val="18"/>
                <w:szCs w:val="18"/>
              </w:rPr>
              <w:t>AutoPap not for review (986, 16.4%)</w:t>
            </w:r>
          </w:p>
        </w:tc>
        <w:tc>
          <w:tcPr>
            <w:tcW w:w="3989" w:type="dxa"/>
            <w:gridSpan w:val="4"/>
          </w:tcPr>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Quality: fair Q2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Prospective: no</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Consecutive: no (</w:t>
            </w:r>
            <w:r w:rsidRPr="00BB76D8">
              <w:rPr>
                <w:rFonts w:ascii="Arial Narrow" w:hAnsi="Arial Narrow" w:cs="Arial"/>
                <w:sz w:val="18"/>
                <w:szCs w:val="18"/>
              </w:rPr>
              <w:t>NFR</w:t>
            </w:r>
            <w:r w:rsidRPr="00537C3C">
              <w:rPr>
                <w:rFonts w:ascii="Arial Narrow" w:hAnsi="Arial Narrow" w:cs="Arial"/>
                <w:sz w:val="18"/>
                <w:szCs w:val="18"/>
              </w:rPr>
              <w:t xml:space="preserve"> excluded)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Explicit selection criteria: no</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threshold specified: yes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Reference standard</w:t>
            </w:r>
          </w:p>
          <w:p w:rsidR="00234376" w:rsidRPr="00537C3C" w:rsidRDefault="00234376" w:rsidP="00600AC0">
            <w:pPr>
              <w:numPr>
                <w:ilvl w:val="0"/>
                <w:numId w:val="18"/>
              </w:numPr>
              <w:spacing w:before="40" w:after="40"/>
              <w:ind w:left="20" w:firstLine="0"/>
              <w:rPr>
                <w:rFonts w:ascii="Arial Narrow" w:hAnsi="Arial Narrow" w:cs="Arial"/>
                <w:sz w:val="18"/>
                <w:szCs w:val="18"/>
              </w:rPr>
            </w:pPr>
            <w:r w:rsidRPr="00537C3C">
              <w:rPr>
                <w:rFonts w:ascii="Arial Narrow" w:hAnsi="Arial Narrow" w:cs="Arial"/>
                <w:sz w:val="18"/>
                <w:szCs w:val="18"/>
              </w:rPr>
              <w:t>Valid (suboptimal)</w:t>
            </w:r>
          </w:p>
          <w:p w:rsidR="00234376" w:rsidRDefault="00234376" w:rsidP="00600AC0">
            <w:pPr>
              <w:numPr>
                <w:ilvl w:val="0"/>
                <w:numId w:val="18"/>
              </w:numPr>
              <w:spacing w:before="40" w:after="40"/>
              <w:ind w:left="20" w:firstLine="0"/>
              <w:rPr>
                <w:rFonts w:ascii="Arial Narrow" w:hAnsi="Arial Narrow" w:cs="Arial"/>
                <w:sz w:val="18"/>
                <w:szCs w:val="18"/>
              </w:rPr>
            </w:pPr>
            <w:r w:rsidRPr="00537C3C">
              <w:rPr>
                <w:rFonts w:ascii="Arial Narrow" w:hAnsi="Arial Narrow" w:cs="Arial"/>
                <w:sz w:val="18"/>
                <w:szCs w:val="18"/>
              </w:rPr>
              <w:t>Applied to all discordant participants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interval adequate</w:t>
            </w:r>
          </w:p>
          <w:p w:rsidR="00234376" w:rsidRPr="00537C3C" w:rsidRDefault="00234376" w:rsidP="008E03A7">
            <w:pPr>
              <w:numPr>
                <w:ilvl w:val="0"/>
                <w:numId w:val="18"/>
              </w:numPr>
              <w:spacing w:before="40" w:after="0"/>
              <w:rPr>
                <w:rFonts w:ascii="Arial Narrow" w:hAnsi="Arial Narrow" w:cs="Arial"/>
                <w:sz w:val="18"/>
                <w:szCs w:val="18"/>
              </w:rPr>
            </w:pPr>
            <w:r w:rsidRPr="00537C3C">
              <w:rPr>
                <w:rFonts w:ascii="Arial Narrow" w:hAnsi="Arial Narrow" w:cs="Arial"/>
                <w:sz w:val="18"/>
                <w:szCs w:val="18"/>
              </w:rPr>
              <w:t>reference standard—yes</w:t>
            </w:r>
          </w:p>
          <w:p w:rsidR="00234376" w:rsidRDefault="00234376" w:rsidP="00234376">
            <w:pPr>
              <w:numPr>
                <w:ilvl w:val="0"/>
                <w:numId w:val="18"/>
              </w:numPr>
              <w:spacing w:before="40" w:after="0"/>
              <w:rPr>
                <w:rFonts w:ascii="Arial Narrow" w:hAnsi="Arial Narrow" w:cs="Arial"/>
                <w:sz w:val="18"/>
                <w:szCs w:val="18"/>
              </w:rPr>
            </w:pPr>
            <w:r w:rsidRPr="00537C3C">
              <w:rPr>
                <w:rFonts w:ascii="Arial Narrow" w:hAnsi="Arial Narrow" w:cs="Arial"/>
                <w:sz w:val="18"/>
                <w:szCs w:val="18"/>
              </w:rPr>
              <w:t>comparator—yes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Tests reported blinded to ref standard—yes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 standard reported blinded to tests—NR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Uninterpretable/intermediate results reported: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Study withdrawals explained: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Sufficient data for relative </w:t>
            </w:r>
            <w:r w:rsidRPr="00BB76D8">
              <w:rPr>
                <w:rFonts w:ascii="Arial Narrow" w:hAnsi="Arial Narrow" w:cs="Arial"/>
                <w:sz w:val="18"/>
                <w:szCs w:val="18"/>
              </w:rPr>
              <w:t>TP</w:t>
            </w:r>
            <w:r w:rsidRPr="00537C3C">
              <w:rPr>
                <w:rFonts w:ascii="Arial Narrow" w:hAnsi="Arial Narrow" w:cs="Arial"/>
                <w:sz w:val="18"/>
                <w:szCs w:val="18"/>
              </w:rPr>
              <w:t xml:space="preserve"> &amp; </w:t>
            </w:r>
            <w:r w:rsidRPr="00BB76D8">
              <w:rPr>
                <w:rFonts w:ascii="Arial Narrow" w:hAnsi="Arial Narrow" w:cs="Arial"/>
                <w:sz w:val="18"/>
                <w:szCs w:val="18"/>
              </w:rPr>
              <w:t>FP</w:t>
            </w:r>
            <w:r w:rsidRPr="00537C3C">
              <w:rPr>
                <w:rFonts w:ascii="Arial Narrow" w:hAnsi="Arial Narrow" w:cs="Arial"/>
                <w:sz w:val="18"/>
                <w:szCs w:val="18"/>
              </w:rPr>
              <w:t>: no</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Applicability: limited P2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population: unclear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comparator: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lastRenderedPageBreak/>
              <w:t>Intervention limited (</w:t>
            </w:r>
            <w:r w:rsidRPr="00BB76D8">
              <w:rPr>
                <w:rFonts w:ascii="Arial Narrow" w:hAnsi="Arial Narrow" w:cs="Arial"/>
                <w:sz w:val="18"/>
                <w:szCs w:val="18"/>
              </w:rPr>
              <w:t>NFR</w:t>
            </w:r>
            <w:r w:rsidRPr="00537C3C">
              <w:rPr>
                <w:rFonts w:ascii="Arial Narrow" w:hAnsi="Arial Narrow" w:cs="Arial"/>
                <w:sz w:val="18"/>
                <w:szCs w:val="18"/>
              </w:rPr>
              <w:t xml:space="preserve"> slides)</w:t>
            </w:r>
          </w:p>
        </w:tc>
      </w:tr>
      <w:tr w:rsidR="00234376" w:rsidRPr="00537C3C">
        <w:trPr>
          <w:gridAfter w:val="4"/>
          <w:wAfter w:w="458" w:type="dxa"/>
          <w:trHeight w:val="127"/>
        </w:trPr>
        <w:tc>
          <w:tcPr>
            <w:tcW w:w="14341" w:type="dxa"/>
            <w:gridSpan w:val="5"/>
            <w:tcBorders>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lastRenderedPageBreak/>
              <w:t>RESULTS:</w:t>
            </w:r>
          </w:p>
          <w:p w:rsidR="00234376" w:rsidRPr="00537C3C" w:rsidRDefault="00234376" w:rsidP="008E03A7">
            <w:pPr>
              <w:spacing w:before="40" w:after="40"/>
              <w:ind w:left="20"/>
              <w:rPr>
                <w:rFonts w:ascii="Arial Narrow" w:hAnsi="Arial Narrow" w:cs="Arial"/>
                <w:b/>
                <w:sz w:val="18"/>
                <w:szCs w:val="18"/>
              </w:rPr>
            </w:pPr>
            <w:r w:rsidRPr="00537C3C">
              <w:rPr>
                <w:rFonts w:ascii="Arial Narrow" w:hAnsi="Arial Narrow" w:cs="Arial"/>
                <w:b/>
                <w:sz w:val="18"/>
                <w:szCs w:val="18"/>
              </w:rPr>
              <w:t>Test accuracy—</w:t>
            </w:r>
            <w:r w:rsidRPr="00537C3C">
              <w:rPr>
                <w:rFonts w:ascii="Arial Narrow" w:hAnsi="Arial Narrow" w:cs="Arial"/>
                <w:sz w:val="18"/>
                <w:szCs w:val="18"/>
              </w:rPr>
              <w:t>data not clearly reported</w:t>
            </w:r>
          </w:p>
          <w:p w:rsidR="00234376" w:rsidRPr="00537C3C" w:rsidRDefault="00234376" w:rsidP="008E03A7">
            <w:pPr>
              <w:spacing w:before="40" w:after="40"/>
              <w:ind w:left="20"/>
              <w:rPr>
                <w:rFonts w:ascii="Arial Narrow" w:hAnsi="Arial Narrow" w:cs="Arial"/>
                <w:sz w:val="18"/>
                <w:szCs w:val="18"/>
              </w:rPr>
            </w:pPr>
            <w:r w:rsidRPr="00537C3C">
              <w:rPr>
                <w:rFonts w:ascii="Arial Narrow" w:hAnsi="Arial Narrow" w:cs="Arial"/>
                <w:sz w:val="18"/>
                <w:szCs w:val="18"/>
              </w:rPr>
              <w:t xml:space="preserve">Discordant </w:t>
            </w:r>
            <w:r w:rsidRPr="006C24DD">
              <w:rPr>
                <w:rFonts w:ascii="Arial Narrow" w:hAnsi="Arial Narrow" w:cs="Arial"/>
                <w:sz w:val="18"/>
                <w:szCs w:val="18"/>
              </w:rPr>
              <w:t>high-grade epithelial abnormality (HGEA)</w:t>
            </w:r>
            <w:r w:rsidRPr="00537C3C">
              <w:rPr>
                <w:rFonts w:ascii="Arial Narrow" w:hAnsi="Arial Narrow" w:cs="Arial"/>
                <w:sz w:val="18"/>
                <w:szCs w:val="18"/>
              </w:rPr>
              <w:t xml:space="preserve"> vs normal (excludes 18 HGEA on AutoPap, </w:t>
            </w:r>
            <w:r w:rsidRPr="006C24DD">
              <w:rPr>
                <w:rFonts w:ascii="Arial Narrow" w:hAnsi="Arial Narrow" w:cs="Arial"/>
                <w:sz w:val="18"/>
                <w:szCs w:val="18"/>
              </w:rPr>
              <w:t>low-grade epithelial abnormality</w:t>
            </w:r>
            <w:r w:rsidRPr="00234376">
              <w:rPr>
                <w:rFonts w:ascii="Arial Narrow" w:hAnsi="Arial Narrow" w:cs="Arial"/>
                <w:sz w:val="18"/>
                <w:szCs w:val="18"/>
              </w:rPr>
              <w:t xml:space="preserve"> </w:t>
            </w:r>
            <w:r w:rsidRPr="006C24DD">
              <w:rPr>
                <w:rFonts w:ascii="Arial Narrow" w:hAnsi="Arial Narrow" w:cs="Arial"/>
                <w:sz w:val="18"/>
                <w:szCs w:val="18"/>
              </w:rPr>
              <w:t>[LGEA]</w:t>
            </w:r>
            <w:r w:rsidRPr="00537C3C">
              <w:rPr>
                <w:rFonts w:ascii="Arial Narrow" w:hAnsi="Arial Narrow" w:cs="Arial"/>
                <w:sz w:val="18"/>
                <w:szCs w:val="18"/>
              </w:rPr>
              <w:t xml:space="preserve"> on conventional): AutoPap 4 HGEA normal on conventional; conventional 5 HGEA normal on AutoPap</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pStyle w:val="TableTextCharCharChar"/>
              <w:spacing w:after="0"/>
              <w:rPr>
                <w:rFonts w:cs="Arial"/>
                <w:b/>
                <w:szCs w:val="18"/>
              </w:rPr>
            </w:pPr>
            <w:r w:rsidRPr="00537C3C">
              <w:rPr>
                <w:rFonts w:cs="Arial"/>
                <w:b/>
                <w:szCs w:val="18"/>
              </w:rPr>
              <w:t>Test characteristics</w:t>
            </w:r>
          </w:p>
          <w:p w:rsidR="00234376" w:rsidRPr="00537C3C" w:rsidRDefault="00234376" w:rsidP="008E03A7">
            <w:pPr>
              <w:pStyle w:val="TableTextCharCharChar"/>
              <w:spacing w:after="0"/>
              <w:rPr>
                <w:rFonts w:cs="Arial"/>
                <w:szCs w:val="18"/>
                <w:u w:val="single"/>
              </w:rPr>
            </w:pPr>
            <w:r w:rsidRPr="00537C3C">
              <w:rPr>
                <w:rFonts w:cs="Arial"/>
                <w:szCs w:val="18"/>
                <w:u w:val="single"/>
              </w:rPr>
              <w:t>Yield</w:t>
            </w:r>
          </w:p>
          <w:p w:rsidR="00234376" w:rsidRPr="00537C3C" w:rsidRDefault="00234376" w:rsidP="008E03A7">
            <w:pPr>
              <w:spacing w:before="40" w:after="0"/>
              <w:ind w:left="0"/>
              <w:rPr>
                <w:rFonts w:ascii="Arial Narrow" w:hAnsi="Arial Narrow" w:cs="Arial"/>
                <w:i/>
                <w:sz w:val="18"/>
                <w:szCs w:val="18"/>
                <w:lang w:eastAsia="en-AU"/>
              </w:rPr>
            </w:pPr>
            <w:r w:rsidRPr="00537C3C">
              <w:rPr>
                <w:rFonts w:ascii="Arial Narrow" w:hAnsi="Arial Narrow" w:cs="Arial"/>
                <w:i/>
                <w:sz w:val="18"/>
                <w:szCs w:val="18"/>
                <w:lang w:eastAsia="en-AU"/>
              </w:rPr>
              <w:t xml:space="preserve">LGEA+: </w:t>
            </w:r>
            <w:r w:rsidRPr="00537C3C">
              <w:rPr>
                <w:rFonts w:ascii="Arial Narrow" w:hAnsi="Arial Narrow" w:cs="Arial"/>
                <w:sz w:val="18"/>
                <w:szCs w:val="18"/>
                <w:lang w:eastAsia="en-AU"/>
              </w:rPr>
              <w:t>AutoPap 4.3% (193/4493), conv 5.5% (250/4493)</w:t>
            </w:r>
          </w:p>
          <w:p w:rsidR="00234376" w:rsidRPr="00537C3C" w:rsidRDefault="00234376" w:rsidP="008E03A7">
            <w:pPr>
              <w:pStyle w:val="TableTextCharCharChar"/>
              <w:spacing w:after="0"/>
              <w:rPr>
                <w:rFonts w:cs="Arial"/>
                <w:szCs w:val="18"/>
              </w:rPr>
            </w:pPr>
            <w:r w:rsidRPr="00537C3C">
              <w:rPr>
                <w:rFonts w:cs="Arial"/>
                <w:szCs w:val="18"/>
              </w:rPr>
              <w:t>Process outcomes</w:t>
            </w:r>
          </w:p>
          <w:p w:rsidR="00234376" w:rsidRPr="00537C3C" w:rsidRDefault="00234376" w:rsidP="00600AC0">
            <w:pPr>
              <w:numPr>
                <w:ilvl w:val="0"/>
                <w:numId w:val="17"/>
              </w:numPr>
              <w:tabs>
                <w:tab w:val="clear" w:pos="360"/>
                <w:tab w:val="num" w:pos="222"/>
              </w:tabs>
              <w:spacing w:before="40" w:after="40"/>
              <w:ind w:left="20" w:firstLine="0"/>
              <w:rPr>
                <w:rFonts w:ascii="Arial Narrow" w:hAnsi="Arial Narrow" w:cs="Arial"/>
                <w:sz w:val="18"/>
                <w:szCs w:val="18"/>
                <w:lang w:eastAsia="en-AU"/>
              </w:rPr>
            </w:pPr>
            <w:r w:rsidRPr="00537C3C">
              <w:rPr>
                <w:rFonts w:ascii="Arial Narrow" w:hAnsi="Arial Narrow" w:cs="Arial"/>
                <w:sz w:val="18"/>
                <w:szCs w:val="18"/>
              </w:rPr>
              <w:t xml:space="preserve">986 </w:t>
            </w:r>
            <w:r w:rsidRPr="00BB76D8">
              <w:rPr>
                <w:rFonts w:ascii="Arial Narrow" w:hAnsi="Arial Narrow" w:cs="Arial"/>
                <w:sz w:val="18"/>
                <w:szCs w:val="18"/>
              </w:rPr>
              <w:t>N</w:t>
            </w:r>
            <w:r w:rsidRPr="00BB76D8">
              <w:rPr>
                <w:rFonts w:ascii="Arial Narrow" w:hAnsi="Arial Narrow" w:cs="Arial"/>
                <w:sz w:val="18"/>
                <w:szCs w:val="18"/>
                <w:lang w:eastAsia="en-AU"/>
              </w:rPr>
              <w:t>FR</w:t>
            </w:r>
          </w:p>
        </w:tc>
      </w:tr>
      <w:tr w:rsidR="00234376" w:rsidRPr="00537C3C">
        <w:trPr>
          <w:gridAfter w:val="4"/>
          <w:wAfter w:w="458" w:type="dxa"/>
          <w:trHeight w:val="127"/>
        </w:trPr>
        <w:tc>
          <w:tcPr>
            <w:tcW w:w="14341" w:type="dxa"/>
            <w:gridSpan w:val="5"/>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20"/>
              <w:ind w:left="20"/>
              <w:rPr>
                <w:rFonts w:ascii="Arial Narrow" w:hAnsi="Arial Narrow" w:cs="Arial"/>
                <w:b/>
                <w:i/>
                <w:sz w:val="18"/>
                <w:szCs w:val="18"/>
              </w:rPr>
            </w:pPr>
            <w:r w:rsidRPr="00537C3C">
              <w:rPr>
                <w:rFonts w:ascii="Arial Narrow" w:hAnsi="Arial Narrow" w:cs="Arial"/>
                <w:b/>
                <w:i/>
                <w:sz w:val="18"/>
                <w:szCs w:val="18"/>
              </w:rPr>
              <w:t xml:space="preserve">Primary studies: Automated </w:t>
            </w:r>
            <w:r w:rsidRPr="00BB76D8">
              <w:rPr>
                <w:rFonts w:ascii="Arial Narrow" w:hAnsi="Arial Narrow" w:cs="Arial"/>
                <w:b/>
                <w:i/>
                <w:sz w:val="18"/>
                <w:szCs w:val="18"/>
              </w:rPr>
              <w:t>LBC</w:t>
            </w:r>
            <w:r w:rsidRPr="00537C3C">
              <w:rPr>
                <w:rFonts w:ascii="Arial Narrow" w:hAnsi="Arial Narrow" w:cs="Arial"/>
                <w:b/>
                <w:i/>
                <w:sz w:val="18"/>
                <w:szCs w:val="18"/>
              </w:rPr>
              <w:t xml:space="preserve"> vs manual </w:t>
            </w:r>
            <w:r w:rsidRPr="00BB76D8">
              <w:rPr>
                <w:rFonts w:ascii="Arial Narrow" w:hAnsi="Arial Narrow" w:cs="Arial"/>
                <w:b/>
                <w:i/>
                <w:sz w:val="18"/>
                <w:szCs w:val="18"/>
              </w:rPr>
              <w:t>LBC</w:t>
            </w:r>
          </w:p>
        </w:tc>
      </w:tr>
      <w:tr w:rsidR="00234376" w:rsidRPr="00537C3C">
        <w:trPr>
          <w:gridAfter w:val="4"/>
          <w:wAfter w:w="458" w:type="dxa"/>
          <w:trHeight w:val="127"/>
        </w:trPr>
        <w:tc>
          <w:tcPr>
            <w:tcW w:w="1723"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20" w:after="40"/>
              <w:ind w:left="20"/>
              <w:rPr>
                <w:rFonts w:ascii="Arial Narrow" w:hAnsi="Arial Narrow" w:cs="Arial"/>
                <w:b/>
                <w:sz w:val="18"/>
                <w:szCs w:val="18"/>
              </w:rPr>
            </w:pPr>
            <w:r w:rsidRPr="00537C3C">
              <w:rPr>
                <w:rFonts w:ascii="Arial Narrow" w:hAnsi="Arial Narrow" w:cs="Arial"/>
                <w:b/>
                <w:sz w:val="18"/>
                <w:szCs w:val="18"/>
              </w:rPr>
              <w:t>Biscotti et al. 2005</w:t>
            </w:r>
          </w:p>
          <w:p w:rsidR="00234376" w:rsidRPr="00537C3C" w:rsidRDefault="00234376" w:rsidP="008E03A7">
            <w:pPr>
              <w:spacing w:before="20" w:after="40"/>
              <w:ind w:left="20"/>
              <w:rPr>
                <w:rFonts w:ascii="Arial Narrow" w:hAnsi="Arial Narrow" w:cs="Arial"/>
                <w:sz w:val="18"/>
                <w:szCs w:val="18"/>
              </w:rPr>
            </w:pPr>
          </w:p>
          <w:p w:rsidR="00234376" w:rsidRPr="00537C3C" w:rsidRDefault="00234376" w:rsidP="008E03A7">
            <w:pPr>
              <w:spacing w:before="20" w:after="40"/>
              <w:ind w:left="20"/>
              <w:rPr>
                <w:rFonts w:ascii="Arial Narrow" w:hAnsi="Arial Narrow" w:cs="Arial"/>
                <w:sz w:val="18"/>
                <w:szCs w:val="18"/>
              </w:rPr>
            </w:pPr>
            <w:r w:rsidRPr="00537C3C">
              <w:rPr>
                <w:rFonts w:ascii="Arial Narrow" w:hAnsi="Arial Narrow" w:cs="Arial"/>
                <w:sz w:val="18"/>
                <w:szCs w:val="18"/>
              </w:rPr>
              <w:t>US</w:t>
            </w:r>
          </w:p>
          <w:p w:rsidR="00234376" w:rsidRPr="00537C3C" w:rsidRDefault="00234376" w:rsidP="008E03A7">
            <w:pPr>
              <w:spacing w:before="20" w:after="40"/>
              <w:ind w:left="20"/>
              <w:rPr>
                <w:rFonts w:ascii="Arial Narrow" w:hAnsi="Arial Narrow" w:cs="Arial"/>
                <w:sz w:val="18"/>
                <w:szCs w:val="18"/>
              </w:rPr>
            </w:pPr>
            <w:r w:rsidRPr="00537C3C">
              <w:rPr>
                <w:rFonts w:ascii="Arial Narrow" w:hAnsi="Arial Narrow" w:cs="Arial"/>
                <w:sz w:val="18"/>
                <w:szCs w:val="18"/>
              </w:rPr>
              <w:t>4 clinical sites</w:t>
            </w:r>
          </w:p>
          <w:p w:rsidR="00234376" w:rsidRPr="00537C3C" w:rsidRDefault="00234376" w:rsidP="008E03A7">
            <w:pPr>
              <w:spacing w:before="20" w:after="40"/>
              <w:ind w:left="20"/>
              <w:rPr>
                <w:rFonts w:ascii="Arial Narrow" w:hAnsi="Arial Narrow" w:cs="Arial"/>
                <w:sz w:val="18"/>
                <w:szCs w:val="18"/>
              </w:rPr>
            </w:pPr>
            <w:r w:rsidRPr="00537C3C">
              <w:rPr>
                <w:rFonts w:ascii="Arial Narrow" w:hAnsi="Arial Narrow" w:cs="Arial"/>
                <w:sz w:val="18"/>
                <w:szCs w:val="18"/>
              </w:rPr>
              <w:t>Dec 2000 – July 2001</w:t>
            </w:r>
          </w:p>
          <w:p w:rsidR="00234376" w:rsidRPr="00537C3C" w:rsidRDefault="00234376" w:rsidP="008E03A7">
            <w:pPr>
              <w:spacing w:before="20" w:after="40"/>
              <w:ind w:left="20"/>
              <w:rPr>
                <w:rFonts w:ascii="Arial Narrow" w:hAnsi="Arial Narrow" w:cs="Arial"/>
                <w:sz w:val="18"/>
                <w:szCs w:val="18"/>
              </w:rPr>
            </w:pPr>
          </w:p>
          <w:p w:rsidR="00234376" w:rsidRPr="00537C3C" w:rsidRDefault="00234376" w:rsidP="008E03A7">
            <w:pPr>
              <w:spacing w:before="20" w:after="40"/>
              <w:ind w:left="20"/>
              <w:rPr>
                <w:rFonts w:ascii="Arial Narrow" w:hAnsi="Arial Narrow" w:cs="Arial"/>
                <w:sz w:val="18"/>
                <w:szCs w:val="18"/>
              </w:rPr>
            </w:pPr>
            <w:r w:rsidRPr="0030078D">
              <w:rPr>
                <w:rFonts w:ascii="Arial Narrow" w:hAnsi="Arial Narrow" w:cs="Arial"/>
                <w:i/>
                <w:sz w:val="18"/>
                <w:szCs w:val="18"/>
              </w:rPr>
              <w:t>N</w:t>
            </w:r>
            <w:r w:rsidRPr="00537C3C">
              <w:rPr>
                <w:rFonts w:ascii="Arial Narrow" w:hAnsi="Arial Narrow" w:cs="Arial"/>
                <w:sz w:val="18"/>
                <w:szCs w:val="18"/>
              </w:rPr>
              <w:t xml:space="preserve"> = 10 742</w:t>
            </w:r>
          </w:p>
          <w:p w:rsidR="00234376" w:rsidRPr="00537C3C" w:rsidRDefault="00234376" w:rsidP="008E03A7">
            <w:pPr>
              <w:spacing w:before="20" w:after="40"/>
              <w:ind w:left="20"/>
              <w:rPr>
                <w:rFonts w:ascii="Arial Narrow" w:hAnsi="Arial Narrow" w:cs="Arial"/>
                <w:sz w:val="18"/>
                <w:szCs w:val="18"/>
              </w:rPr>
            </w:pPr>
          </w:p>
          <w:p w:rsidR="00234376" w:rsidRPr="00537C3C" w:rsidRDefault="00234376" w:rsidP="008E03A7">
            <w:pPr>
              <w:spacing w:before="20" w:after="40"/>
              <w:ind w:left="20"/>
              <w:rPr>
                <w:rFonts w:ascii="Arial Narrow" w:hAnsi="Arial Narrow" w:cs="Arial"/>
                <w:sz w:val="18"/>
                <w:szCs w:val="18"/>
              </w:rPr>
            </w:pPr>
          </w:p>
        </w:tc>
        <w:tc>
          <w:tcPr>
            <w:tcW w:w="5459"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Objective:</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To demonstrate that </w:t>
            </w:r>
            <w:r w:rsidRPr="00BB76D8">
              <w:rPr>
                <w:rFonts w:ascii="Arial Narrow" w:hAnsi="Arial Narrow" w:cs="Arial"/>
                <w:sz w:val="18"/>
                <w:szCs w:val="18"/>
              </w:rPr>
              <w:t>TPI</w:t>
            </w:r>
            <w:r w:rsidRPr="00537C3C">
              <w:rPr>
                <w:rFonts w:ascii="Arial Narrow" w:hAnsi="Arial Narrow" w:cs="Arial"/>
                <w:sz w:val="18"/>
                <w:szCs w:val="18"/>
              </w:rPr>
              <w:t xml:space="preserve"> is at least equivalent in [accuracy and] adequacy to manual screening of </w:t>
            </w:r>
            <w:r w:rsidRPr="00BB76D8">
              <w:rPr>
                <w:rFonts w:ascii="Arial Narrow" w:hAnsi="Arial Narrow" w:cs="Arial"/>
                <w:sz w:val="18"/>
                <w:szCs w:val="18"/>
              </w:rPr>
              <w:t>LBC</w:t>
            </w:r>
            <w:r w:rsidRPr="00537C3C">
              <w:rPr>
                <w:rFonts w:ascii="Arial Narrow" w:hAnsi="Arial Narrow" w:cs="Arial"/>
                <w:sz w:val="18"/>
                <w:szCs w:val="18"/>
              </w:rPr>
              <w:t xml:space="preserve"> for categories of </w:t>
            </w:r>
            <w:smartTag w:uri="urn:schemas-microsoft-com:office:smarttags" w:element="place">
              <w:smartTag w:uri="urn:schemas-microsoft-com:office:smarttags" w:element="City">
                <w:r w:rsidRPr="00537C3C">
                  <w:rPr>
                    <w:rFonts w:ascii="Arial Narrow" w:hAnsi="Arial Narrow" w:cs="Arial"/>
                    <w:sz w:val="18"/>
                    <w:szCs w:val="18"/>
                  </w:rPr>
                  <w:t>Bethesda</w:t>
                </w:r>
              </w:smartTag>
            </w:smartTag>
            <w:r w:rsidRPr="00537C3C">
              <w:rPr>
                <w:rFonts w:ascii="Arial Narrow" w:hAnsi="Arial Narrow" w:cs="Arial"/>
                <w:sz w:val="18"/>
                <w:szCs w:val="18"/>
              </w:rPr>
              <w:t xml:space="preserve"> system</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Study design</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Prospective, masked, paired, diagnostic accuracy study with seeded cases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Index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TPI reading of ThinPrep </w:t>
            </w:r>
            <w:r w:rsidRPr="00BB76D8">
              <w:rPr>
                <w:rFonts w:ascii="Arial Narrow" w:hAnsi="Arial Narrow" w:cs="Arial"/>
                <w:sz w:val="18"/>
                <w:szCs w:val="18"/>
              </w:rPr>
              <w:t>LBC</w:t>
            </w:r>
            <w:r w:rsidRPr="00537C3C">
              <w:rPr>
                <w:rFonts w:ascii="Arial Narrow" w:hAnsi="Arial Narrow" w:cs="Arial"/>
                <w:sz w:val="18"/>
                <w:szCs w:val="18"/>
              </w:rPr>
              <w:t xml:space="preserve"> slides (≥ 48 days following manual screening). Slides randomised; same cytologist and pathologist performing manual &amp; automated reading</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Comparator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Manual reading of ThinPrep </w:t>
            </w:r>
            <w:r w:rsidRPr="00BB76D8">
              <w:rPr>
                <w:rFonts w:ascii="Arial Narrow" w:hAnsi="Arial Narrow" w:cs="Arial"/>
                <w:sz w:val="18"/>
                <w:szCs w:val="18"/>
              </w:rPr>
              <w:t>LBC</w:t>
            </w:r>
            <w:r w:rsidRPr="00537C3C">
              <w:rPr>
                <w:rFonts w:ascii="Arial Narrow" w:hAnsi="Arial Narrow" w:cs="Arial"/>
                <w:sz w:val="18"/>
                <w:szCs w:val="18"/>
              </w:rPr>
              <w:t xml:space="preserve"> slides (2000 or 3000 processor). Marks removed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Reference standard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Accuracy: Cytological adjudication (3 independent pathologists) for concordant </w:t>
            </w:r>
            <w:r w:rsidRPr="00BB76D8">
              <w:rPr>
                <w:rFonts w:ascii="Arial Narrow" w:hAnsi="Arial Narrow" w:cs="Arial"/>
                <w:sz w:val="18"/>
                <w:szCs w:val="18"/>
              </w:rPr>
              <w:t>ASCUS</w:t>
            </w:r>
            <w:r w:rsidRPr="00537C3C">
              <w:rPr>
                <w:rFonts w:ascii="Arial Narrow" w:hAnsi="Arial Narrow" w:cs="Arial"/>
                <w:sz w:val="18"/>
                <w:szCs w:val="18"/>
              </w:rPr>
              <w:t>+, discordant ≥ 1 level &amp; 5% concordant negative</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Adequacy: Independent cytologist for all concordant unsatisfactory, discordant adequacy, random 5% of concordant satisfactory or ‘satisfactory but limited by’</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Test threshold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Test: </w:t>
            </w:r>
            <w:r w:rsidRPr="00BB76D8">
              <w:rPr>
                <w:rFonts w:ascii="Arial Narrow" w:hAnsi="Arial Narrow" w:cs="Arial"/>
                <w:sz w:val="18"/>
                <w:szCs w:val="18"/>
              </w:rPr>
              <w:t>HPV</w:t>
            </w:r>
            <w:r w:rsidRPr="00537C3C">
              <w:rPr>
                <w:rFonts w:ascii="Arial Narrow" w:hAnsi="Arial Narrow" w:cs="Arial"/>
                <w:sz w:val="18"/>
                <w:szCs w:val="18"/>
              </w:rPr>
              <w:t xml:space="preserve"> or reactive cell changes, epithelial abnormalities or malignant cells.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Reference standard: </w:t>
            </w:r>
            <w:r w:rsidRPr="00BB76D8">
              <w:rPr>
                <w:rFonts w:ascii="Arial Narrow" w:hAnsi="Arial Narrow" w:cs="Arial"/>
                <w:sz w:val="18"/>
                <w:szCs w:val="18"/>
              </w:rPr>
              <w:t>ASCUS</w:t>
            </w:r>
            <w:r w:rsidRPr="00537C3C">
              <w:rPr>
                <w:rFonts w:ascii="Arial Narrow" w:hAnsi="Arial Narrow" w:cs="Arial"/>
                <w:sz w:val="18"/>
                <w:szCs w:val="18"/>
              </w:rPr>
              <w: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Primary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Sensitivity &amp; specificity</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lastRenderedPageBreak/>
              <w:t>Secondary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Productivity: average slides screened per day and time expended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Specimen adequacy</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Relevant subgroups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Nil</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Cytological diagnosis system</w:t>
            </w:r>
          </w:p>
          <w:p w:rsidR="00234376" w:rsidRDefault="00234376" w:rsidP="00600AC0">
            <w:pPr>
              <w:numPr>
                <w:ilvl w:val="0"/>
                <w:numId w:val="20"/>
              </w:numPr>
              <w:tabs>
                <w:tab w:val="clear" w:pos="720"/>
                <w:tab w:val="num" w:pos="222"/>
              </w:tabs>
              <w:spacing w:before="40" w:after="0"/>
              <w:ind w:left="0" w:firstLine="0"/>
              <w:rPr>
                <w:rFonts w:ascii="Arial Narrow" w:hAnsi="Arial Narrow" w:cs="Arial"/>
                <w:sz w:val="18"/>
                <w:szCs w:val="18"/>
              </w:rPr>
            </w:pPr>
            <w:r w:rsidRPr="00537C3C">
              <w:rPr>
                <w:rFonts w:ascii="Arial Narrow" w:hAnsi="Arial Narrow" w:cs="Arial"/>
                <w:sz w:val="18"/>
                <w:szCs w:val="18"/>
              </w:rPr>
              <w:t xml:space="preserve">1991 </w:t>
            </w:r>
            <w:smartTag w:uri="urn:schemas-microsoft-com:office:smarttags" w:element="place">
              <w:smartTag w:uri="urn:schemas-microsoft-com:office:smarttags" w:element="City">
                <w:r w:rsidRPr="00537C3C">
                  <w:rPr>
                    <w:rFonts w:ascii="Arial Narrow" w:hAnsi="Arial Narrow" w:cs="Arial"/>
                    <w:sz w:val="18"/>
                    <w:szCs w:val="18"/>
                  </w:rPr>
                  <w:t>Bethesda</w:t>
                </w:r>
              </w:smartTag>
            </w:smartTag>
            <w:r w:rsidRPr="00537C3C">
              <w:rPr>
                <w:rFonts w:ascii="Arial Narrow" w:hAnsi="Arial Narrow" w:cs="Arial"/>
                <w:sz w:val="18"/>
                <w:szCs w:val="18"/>
              </w:rPr>
              <w:t xml:space="preserve"> system</w:t>
            </w:r>
          </w:p>
        </w:tc>
        <w:tc>
          <w:tcPr>
            <w:tcW w:w="3981" w:type="dxa"/>
            <w:gridSpan w:val="2"/>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lastRenderedPageBreak/>
              <w:t>Inclusion criteria</w:t>
            </w:r>
          </w:p>
          <w:p w:rsidR="00234376" w:rsidRPr="00537C3C" w:rsidRDefault="00234376" w:rsidP="00600AC0">
            <w:pPr>
              <w:numPr>
                <w:ilvl w:val="0"/>
                <w:numId w:val="20"/>
              </w:numPr>
              <w:tabs>
                <w:tab w:val="num" w:pos="222"/>
              </w:tabs>
              <w:spacing w:before="40" w:after="0"/>
              <w:ind w:left="222" w:hanging="222"/>
              <w:rPr>
                <w:rFonts w:ascii="Arial Narrow" w:hAnsi="Arial Narrow" w:cs="Arial"/>
                <w:sz w:val="18"/>
                <w:szCs w:val="18"/>
              </w:rPr>
            </w:pPr>
            <w:r w:rsidRPr="00537C3C">
              <w:rPr>
                <w:rFonts w:ascii="Arial Narrow" w:hAnsi="Arial Narrow" w:cs="Arial"/>
                <w:sz w:val="18"/>
                <w:szCs w:val="18"/>
              </w:rPr>
              <w:t>Routine screening &amp; diagnostic population (10</w:t>
            </w:r>
            <w:r w:rsidRPr="00537C3C" w:rsidDel="001E6D1E">
              <w:rPr>
                <w:rFonts w:ascii="Arial Narrow" w:hAnsi="Arial Narrow" w:cs="Arial"/>
                <w:sz w:val="18"/>
                <w:szCs w:val="18"/>
              </w:rPr>
              <w:t> </w:t>
            </w:r>
            <w:r w:rsidRPr="00537C3C">
              <w:rPr>
                <w:rFonts w:ascii="Arial Narrow" w:hAnsi="Arial Narrow" w:cs="Arial"/>
                <w:sz w:val="18"/>
                <w:szCs w:val="18"/>
              </w:rPr>
              <w:t>359)</w:t>
            </w:r>
          </w:p>
          <w:p w:rsidR="00234376" w:rsidRPr="00537C3C" w:rsidRDefault="00234376" w:rsidP="00600AC0">
            <w:pPr>
              <w:numPr>
                <w:ilvl w:val="0"/>
                <w:numId w:val="20"/>
              </w:numPr>
              <w:tabs>
                <w:tab w:val="num" w:pos="222"/>
              </w:tabs>
              <w:spacing w:before="40" w:after="0"/>
              <w:ind w:left="222" w:hanging="222"/>
              <w:rPr>
                <w:rFonts w:ascii="Arial Narrow" w:hAnsi="Arial Narrow" w:cs="Arial"/>
                <w:sz w:val="18"/>
                <w:szCs w:val="18"/>
              </w:rPr>
            </w:pPr>
            <w:r w:rsidRPr="00537C3C">
              <w:rPr>
                <w:rFonts w:ascii="Arial Narrow" w:hAnsi="Arial Narrow" w:cs="Arial"/>
                <w:sz w:val="18"/>
                <w:szCs w:val="18"/>
              </w:rPr>
              <w:t xml:space="preserve">Seeding with </w:t>
            </w:r>
            <w:r w:rsidRPr="00BB76D8">
              <w:rPr>
                <w:rFonts w:ascii="Arial Narrow" w:hAnsi="Arial Narrow" w:cs="Arial"/>
                <w:sz w:val="18"/>
                <w:szCs w:val="18"/>
              </w:rPr>
              <w:t>HSIL</w:t>
            </w:r>
            <w:r w:rsidRPr="00537C3C">
              <w:rPr>
                <w:rFonts w:ascii="Arial Narrow" w:hAnsi="Arial Narrow" w:cs="Arial"/>
                <w:sz w:val="18"/>
                <w:szCs w:val="18"/>
              </w:rPr>
              <w:t xml:space="preserve"> cases (</w:t>
            </w:r>
            <w:r w:rsidRPr="00BB76D8">
              <w:rPr>
                <w:rFonts w:ascii="Arial Narrow" w:hAnsi="Arial Narrow" w:cs="Arial"/>
                <w:sz w:val="18"/>
                <w:szCs w:val="18"/>
              </w:rPr>
              <w:t>NR</w:t>
            </w:r>
            <w:r w:rsidRPr="00537C3C">
              <w:rPr>
                <w:rFonts w:ascii="Arial Narrow" w:hAnsi="Arial Narrow" w:cs="Arial"/>
                <w:sz w:val="18"/>
                <w:szCs w:val="18"/>
              </w:rPr>
              <w:t>, likely 383, 3.6%)</w:t>
            </w:r>
          </w:p>
          <w:p w:rsidR="00234376" w:rsidRPr="00537C3C" w:rsidRDefault="00234376" w:rsidP="008E03A7">
            <w:pPr>
              <w:spacing w:before="40"/>
              <w:rPr>
                <w:rFonts w:ascii="Arial Narrow" w:hAnsi="Arial Narrow" w:cs="Arial"/>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Exclusion criteria</w:t>
            </w:r>
          </w:p>
          <w:p w:rsidR="00234376" w:rsidRPr="00537C3C" w:rsidRDefault="00234376" w:rsidP="00600AC0">
            <w:pPr>
              <w:numPr>
                <w:ilvl w:val="0"/>
                <w:numId w:val="20"/>
              </w:numPr>
              <w:tabs>
                <w:tab w:val="num" w:pos="222"/>
              </w:tabs>
              <w:spacing w:before="40" w:after="0"/>
              <w:ind w:left="222" w:hanging="222"/>
              <w:rPr>
                <w:rFonts w:ascii="Arial Narrow" w:hAnsi="Arial Narrow" w:cs="Arial"/>
                <w:b/>
                <w:i/>
                <w:sz w:val="18"/>
                <w:szCs w:val="18"/>
              </w:rPr>
            </w:pPr>
            <w:r w:rsidRPr="00537C3C">
              <w:rPr>
                <w:rFonts w:ascii="Arial Narrow" w:hAnsi="Arial Narrow" w:cs="Arial"/>
                <w:sz w:val="18"/>
                <w:szCs w:val="18"/>
              </w:rPr>
              <w:t xml:space="preserve">Cases that could not be processed by </w:t>
            </w:r>
            <w:r w:rsidRPr="00BB76D8">
              <w:rPr>
                <w:rFonts w:ascii="Arial Narrow" w:hAnsi="Arial Narrow" w:cs="Arial"/>
                <w:sz w:val="18"/>
                <w:szCs w:val="18"/>
              </w:rPr>
              <w:t>TPI</w:t>
            </w:r>
            <w:r w:rsidRPr="00537C3C">
              <w:rPr>
                <w:rFonts w:ascii="Arial Narrow" w:hAnsi="Arial Narrow" w:cs="Arial"/>
                <w:sz w:val="18"/>
                <w:szCs w:val="18"/>
              </w:rPr>
              <w:t xml:space="preserve">, </w:t>
            </w:r>
            <w:r w:rsidRPr="0030078D">
              <w:rPr>
                <w:rFonts w:ascii="Arial Narrow" w:hAnsi="Arial Narrow" w:cs="Arial"/>
                <w:i/>
                <w:sz w:val="18"/>
                <w:szCs w:val="18"/>
              </w:rPr>
              <w:t>n</w:t>
            </w:r>
            <w:r w:rsidRPr="00537C3C">
              <w:rPr>
                <w:rFonts w:ascii="Arial Narrow" w:hAnsi="Arial Narrow" w:cs="Arial"/>
                <w:sz w:val="18"/>
                <w:szCs w:val="18"/>
              </w:rPr>
              <w:t xml:space="preserve"> = 732/10359 slides, 7.1%) (eg, excessive air bubbles)</w:t>
            </w:r>
          </w:p>
          <w:p w:rsidR="00234376" w:rsidRPr="00537C3C" w:rsidRDefault="00234376" w:rsidP="00600AC0">
            <w:pPr>
              <w:numPr>
                <w:ilvl w:val="0"/>
                <w:numId w:val="20"/>
              </w:numPr>
              <w:tabs>
                <w:tab w:val="num" w:pos="222"/>
              </w:tabs>
              <w:spacing w:before="40" w:after="0"/>
              <w:ind w:left="222" w:hanging="222"/>
              <w:rPr>
                <w:rFonts w:ascii="Arial Narrow" w:hAnsi="Arial Narrow" w:cs="Arial"/>
                <w:b/>
                <w:i/>
                <w:sz w:val="18"/>
                <w:szCs w:val="18"/>
              </w:rPr>
            </w:pPr>
            <w:r w:rsidRPr="00537C3C">
              <w:rPr>
                <w:rFonts w:ascii="Arial Narrow" w:hAnsi="Arial Narrow" w:cs="Arial"/>
                <w:sz w:val="18"/>
                <w:szCs w:val="18"/>
              </w:rPr>
              <w:t>No consensus diagnosis on adjudicated review (</w:t>
            </w:r>
            <w:r w:rsidRPr="0030078D">
              <w:rPr>
                <w:rFonts w:ascii="Arial Narrow" w:hAnsi="Arial Narrow" w:cs="Arial"/>
                <w:i/>
                <w:sz w:val="18"/>
                <w:szCs w:val="18"/>
              </w:rPr>
              <w:t>n</w:t>
            </w:r>
            <w:r w:rsidRPr="00537C3C">
              <w:rPr>
                <w:rFonts w:ascii="Arial Narrow" w:hAnsi="Arial Narrow" w:cs="Arial"/>
                <w:sz w:val="18"/>
                <w:szCs w:val="18"/>
              </w:rPr>
              <w:t xml:space="preserve"> = 6/361 concordant slides)</w:t>
            </w:r>
          </w:p>
          <w:p w:rsidR="00234376" w:rsidRPr="008E03A7" w:rsidRDefault="00234376" w:rsidP="008E03A7">
            <w:pPr>
              <w:spacing w:before="40"/>
              <w:rPr>
                <w:rFonts w:ascii="Arial Narrow" w:hAnsi="Arial Narrow" w:cs="Arial"/>
                <w:b/>
                <w:i/>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Patient characteristics</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NR</w:t>
            </w:r>
          </w:p>
          <w:p w:rsidR="00234376" w:rsidRPr="00537C3C" w:rsidRDefault="00234376" w:rsidP="00600AC0">
            <w:pPr>
              <w:numPr>
                <w:ilvl w:val="0"/>
                <w:numId w:val="20"/>
              </w:numPr>
              <w:tabs>
                <w:tab w:val="num" w:pos="222"/>
              </w:tabs>
              <w:spacing w:before="40" w:after="0"/>
              <w:ind w:left="222" w:hanging="222"/>
              <w:rPr>
                <w:rFonts w:ascii="Arial Narrow" w:hAnsi="Arial Narrow" w:cs="Arial"/>
                <w:sz w:val="18"/>
                <w:szCs w:val="18"/>
              </w:rPr>
            </w:pPr>
            <w:r w:rsidRPr="00537C3C">
              <w:rPr>
                <w:rFonts w:ascii="Arial Narrow" w:hAnsi="Arial Narrow" w:cs="Arial"/>
                <w:sz w:val="18"/>
                <w:szCs w:val="18"/>
              </w:rPr>
              <w:t xml:space="preserve">1.3% (138/10 742) reference standard </w:t>
            </w:r>
            <w:r w:rsidRPr="00BB76D8">
              <w:rPr>
                <w:rFonts w:ascii="Arial Narrow" w:hAnsi="Arial Narrow" w:cs="Arial"/>
                <w:sz w:val="18"/>
                <w:szCs w:val="18"/>
              </w:rPr>
              <w:t>HSIL</w:t>
            </w:r>
            <w:r w:rsidRPr="00537C3C">
              <w:rPr>
                <w:rFonts w:ascii="Arial Narrow" w:hAnsi="Arial Narrow" w:cs="Arial"/>
                <w:sz w:val="18"/>
                <w:szCs w:val="18"/>
              </w:rPr>
              <w:t>+</w:t>
            </w:r>
          </w:p>
          <w:p w:rsidR="00234376" w:rsidRPr="00537C3C" w:rsidRDefault="00234376" w:rsidP="00600AC0">
            <w:pPr>
              <w:numPr>
                <w:ilvl w:val="0"/>
                <w:numId w:val="20"/>
              </w:numPr>
              <w:tabs>
                <w:tab w:val="num" w:pos="222"/>
              </w:tabs>
              <w:spacing w:before="40" w:after="0"/>
              <w:ind w:left="222" w:hanging="222"/>
              <w:rPr>
                <w:rFonts w:ascii="Arial Narrow" w:hAnsi="Arial Narrow" w:cs="Arial"/>
                <w:sz w:val="18"/>
                <w:szCs w:val="18"/>
              </w:rPr>
            </w:pPr>
            <w:r w:rsidRPr="00537C3C">
              <w:rPr>
                <w:rFonts w:ascii="Arial Narrow" w:hAnsi="Arial Narrow" w:cs="Arial"/>
                <w:sz w:val="18"/>
                <w:szCs w:val="18"/>
              </w:rPr>
              <w:t xml:space="preserve">636 </w:t>
            </w:r>
            <w:r w:rsidRPr="00BB76D8">
              <w:rPr>
                <w:rFonts w:ascii="Arial Narrow" w:hAnsi="Arial Narrow" w:cs="Arial"/>
                <w:sz w:val="18"/>
                <w:szCs w:val="18"/>
              </w:rPr>
              <w:t>ASCUS</w:t>
            </w:r>
            <w:r w:rsidRPr="00537C3C">
              <w:rPr>
                <w:rFonts w:ascii="Arial Narrow" w:hAnsi="Arial Narrow" w:cs="Arial"/>
                <w:sz w:val="18"/>
                <w:szCs w:val="18"/>
              </w:rPr>
              <w:t>+ cases</w:t>
            </w:r>
          </w:p>
        </w:tc>
        <w:tc>
          <w:tcPr>
            <w:tcW w:w="3178"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Quality: fair Q2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Prospective: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Consecutive: no</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Explicit selection criteria: no</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threshold specified: yes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Reference standard</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valid (suboptimal)</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applied to all participants—yes</w:t>
            </w:r>
          </w:p>
          <w:p w:rsidR="00234376" w:rsidRPr="00537C3C" w:rsidRDefault="00234376" w:rsidP="008E03A7">
            <w:pPr>
              <w:spacing w:before="4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interval adequate</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reference standard—yes</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comparator—yes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Tests reported blinded to ref standard—yes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 standard reported blinded to tests—</w:t>
            </w:r>
            <w:r w:rsidRPr="00BB76D8">
              <w:rPr>
                <w:rFonts w:ascii="Arial Narrow" w:hAnsi="Arial Narrow" w:cs="Arial"/>
                <w:sz w:val="18"/>
                <w:szCs w:val="18"/>
              </w:rPr>
              <w:t>NR</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Uninterpretable/intermediate results reported: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Study withdrawals explained: no (unclear)</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w:t>
            </w:r>
            <w:r w:rsidRPr="00537C3C">
              <w:rPr>
                <w:rFonts w:ascii="Arial Narrow" w:hAnsi="Arial Narrow" w:cs="Arial"/>
                <w:sz w:val="18"/>
                <w:szCs w:val="18"/>
              </w:rPr>
              <w:t xml:space="preserve"> slides not processed by imager were </w:t>
            </w:r>
            <w:r w:rsidRPr="00537C3C">
              <w:rPr>
                <w:rFonts w:ascii="Arial Narrow" w:hAnsi="Arial Narrow" w:cs="Arial"/>
                <w:sz w:val="18"/>
                <w:szCs w:val="18"/>
              </w:rPr>
              <w:lastRenderedPageBreak/>
              <w:t>excluded from analysis (7.1%)</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Sufficient data for relative </w:t>
            </w:r>
            <w:r w:rsidRPr="00BB76D8">
              <w:rPr>
                <w:rFonts w:ascii="Arial Narrow" w:hAnsi="Arial Narrow" w:cs="Arial"/>
                <w:sz w:val="18"/>
                <w:szCs w:val="18"/>
              </w:rPr>
              <w:t>TP</w:t>
            </w:r>
            <w:r w:rsidRPr="00537C3C">
              <w:rPr>
                <w:rFonts w:ascii="Arial Narrow" w:hAnsi="Arial Narrow" w:cs="Arial"/>
                <w:sz w:val="18"/>
                <w:szCs w:val="18"/>
              </w:rPr>
              <w:t xml:space="preserve"> &amp; </w:t>
            </w:r>
            <w:r w:rsidRPr="00BB76D8">
              <w:rPr>
                <w:rFonts w:ascii="Arial Narrow" w:hAnsi="Arial Narrow" w:cs="Arial"/>
                <w:sz w:val="18"/>
                <w:szCs w:val="18"/>
              </w:rPr>
              <w:t>FP</w:t>
            </w:r>
            <w:r w:rsidRPr="00537C3C">
              <w:rPr>
                <w:rFonts w:ascii="Arial Narrow" w:hAnsi="Arial Narrow" w:cs="Arial"/>
                <w:sz w:val="18"/>
                <w:szCs w:val="18"/>
              </w:rPr>
              <w:t>: yes</w:t>
            </w:r>
          </w:p>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Applicability: limited P2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population: limited (seeded cases)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comparator: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intervention: yes</w:t>
            </w:r>
          </w:p>
        </w:tc>
      </w:tr>
      <w:tr w:rsidR="00234376" w:rsidRPr="00537C3C">
        <w:trPr>
          <w:gridAfter w:val="4"/>
          <w:wAfter w:w="458" w:type="dxa"/>
          <w:trHeight w:val="127"/>
        </w:trPr>
        <w:tc>
          <w:tcPr>
            <w:tcW w:w="14341" w:type="dxa"/>
            <w:gridSpan w:val="5"/>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lastRenderedPageBreak/>
              <w:t>RESULTS: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sz w:val="18"/>
                <w:szCs w:val="18"/>
              </w:rPr>
              <w:t>Test accuracy</w:t>
            </w:r>
          </w:p>
          <w:p w:rsidR="00234376" w:rsidRPr="00537C3C" w:rsidRDefault="00234376" w:rsidP="008E03A7">
            <w:pPr>
              <w:spacing w:before="40" w:after="0"/>
              <w:ind w:left="0"/>
              <w:rPr>
                <w:rFonts w:ascii="Arial Narrow" w:hAnsi="Arial Narrow" w:cs="Arial"/>
                <w:sz w:val="18"/>
                <w:szCs w:val="18"/>
                <w:u w:val="single"/>
              </w:rPr>
            </w:pPr>
            <w:r w:rsidRPr="00537C3C">
              <w:rPr>
                <w:rFonts w:ascii="Arial Narrow" w:hAnsi="Arial Narrow" w:cs="Arial"/>
                <w:sz w:val="18"/>
                <w:szCs w:val="18"/>
                <w:u w:val="single"/>
              </w:rPr>
              <w:t xml:space="preserve">Accuracy for </w:t>
            </w:r>
            <w:r w:rsidRPr="00BB76D8">
              <w:rPr>
                <w:rFonts w:ascii="Arial Narrow" w:hAnsi="Arial Narrow" w:cs="Arial"/>
                <w:sz w:val="18"/>
                <w:szCs w:val="18"/>
                <w:u w:val="single"/>
              </w:rPr>
              <w:t>HSIL</w:t>
            </w:r>
            <w:r w:rsidRPr="00537C3C">
              <w:rPr>
                <w:rFonts w:ascii="Arial Narrow" w:hAnsi="Arial Narrow" w:cs="Arial"/>
                <w:sz w:val="18"/>
                <w:szCs w:val="18"/>
                <w:u w:val="single"/>
              </w:rPr>
              <w:t>+</w:t>
            </w:r>
            <w:r w:rsidRPr="00537C3C">
              <w:rPr>
                <w:rFonts w:ascii="Arial Narrow" w:hAnsi="Arial Narrow" w:cs="Arial"/>
                <w:sz w:val="18"/>
                <w:szCs w:val="18"/>
                <w:u w:val="single"/>
              </w:rPr>
              <w:br/>
            </w:r>
          </w:p>
          <w:p w:rsidR="00234376" w:rsidRPr="00537C3C" w:rsidRDefault="00234376" w:rsidP="008E03A7">
            <w:pPr>
              <w:spacing w:before="40" w:after="0"/>
              <w:ind w:left="0"/>
              <w:rPr>
                <w:rFonts w:ascii="Arial Narrow" w:hAnsi="Arial Narrow" w:cs="Arial"/>
                <w:i/>
                <w:sz w:val="18"/>
                <w:szCs w:val="18"/>
                <w:lang w:eastAsia="en-AU"/>
              </w:rPr>
            </w:pPr>
            <w:r w:rsidRPr="00537C3C">
              <w:rPr>
                <w:rFonts w:ascii="Arial Narrow" w:hAnsi="Arial Narrow" w:cs="Arial"/>
                <w:i/>
                <w:sz w:val="18"/>
                <w:szCs w:val="18"/>
              </w:rPr>
              <w:t xml:space="preserve">Sensitivity, specificity (95% </w:t>
            </w:r>
            <w:r w:rsidRPr="00BB76D8">
              <w:rPr>
                <w:rFonts w:ascii="Arial Narrow" w:hAnsi="Arial Narrow" w:cs="Arial"/>
                <w:i/>
                <w:sz w:val="18"/>
                <w:szCs w:val="18"/>
              </w:rPr>
              <w:t>CI</w:t>
            </w:r>
            <w:r w:rsidRPr="00537C3C">
              <w:rPr>
                <w:rFonts w:ascii="Arial Narrow" w:hAnsi="Arial Narrow" w:cs="Arial"/>
                <w:i/>
                <w:sz w:val="18"/>
                <w:szCs w:val="18"/>
              </w:rPr>
              <w:t xml:space="preserve">), test threshold </w:t>
            </w:r>
            <w:r w:rsidRPr="00BB76D8">
              <w:rPr>
                <w:rFonts w:ascii="Arial Narrow" w:hAnsi="Arial Narrow" w:cs="Arial"/>
                <w:i/>
                <w:sz w:val="18"/>
                <w:szCs w:val="18"/>
              </w:rPr>
              <w:t>HSIL</w:t>
            </w:r>
            <w:r w:rsidRPr="00537C3C">
              <w:rPr>
                <w:rFonts w:ascii="Arial Narrow" w:hAnsi="Arial Narrow" w:cs="Arial"/>
                <w:i/>
                <w:sz w:val="18"/>
                <w:szCs w:val="18"/>
              </w:rPr>
              <w:t>+:</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sz w:val="18"/>
                <w:szCs w:val="18"/>
                <w:lang w:eastAsia="en-AU"/>
              </w:rPr>
              <w:t>TPM</w:t>
            </w:r>
            <w:r w:rsidRPr="00537C3C">
              <w:rPr>
                <w:rFonts w:ascii="Arial Narrow" w:hAnsi="Arial Narrow" w:cs="Arial"/>
                <w:sz w:val="18"/>
                <w:szCs w:val="18"/>
                <w:lang w:eastAsia="en-AU"/>
              </w:rPr>
              <w:t>: Se 74.1% (66.0%–81.2%), Sp 99.4% (99.2%–99.6%)</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sz w:val="18"/>
                <w:szCs w:val="18"/>
                <w:lang w:eastAsia="en-AU"/>
              </w:rPr>
              <w:t>TPI</w:t>
            </w:r>
            <w:r w:rsidRPr="00537C3C">
              <w:rPr>
                <w:rFonts w:ascii="Arial Narrow" w:hAnsi="Arial Narrow" w:cs="Arial"/>
                <w:sz w:val="18"/>
                <w:szCs w:val="18"/>
                <w:lang w:eastAsia="en-AU"/>
              </w:rPr>
              <w:t>: Se 79.9% (72.2%–86.2%), Sp 99.6% (99.5%–99.7%)</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lang w:eastAsia="en-AU"/>
              </w:rPr>
              <w:t xml:space="preserve">Difference: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Se +5.8% (–1.1% to +12.6%), Sp +0.2% (0.06%–0.4%)</w:t>
            </w:r>
          </w:p>
          <w:p w:rsidR="00234376" w:rsidRPr="00537C3C" w:rsidRDefault="00234376" w:rsidP="008E03A7">
            <w:pPr>
              <w:spacing w:before="40" w:after="0"/>
              <w:ind w:left="0"/>
              <w:rPr>
                <w:rFonts w:ascii="Arial Narrow" w:hAnsi="Arial Narrow" w:cs="Arial"/>
                <w:sz w:val="18"/>
                <w:szCs w:val="18"/>
                <w:lang w:eastAsia="en-AU"/>
              </w:rPr>
            </w:pPr>
          </w:p>
          <w:p w:rsidR="00234376" w:rsidRPr="00537C3C" w:rsidRDefault="00234376" w:rsidP="008E03A7">
            <w:pPr>
              <w:spacing w:before="40" w:after="0"/>
              <w:ind w:left="0"/>
              <w:rPr>
                <w:rFonts w:ascii="Arial Narrow" w:hAnsi="Arial Narrow" w:cs="Arial"/>
                <w:i/>
                <w:sz w:val="18"/>
                <w:szCs w:val="18"/>
                <w:lang w:eastAsia="en-AU"/>
              </w:rPr>
            </w:pPr>
            <w:r w:rsidRPr="00537C3C">
              <w:rPr>
                <w:rFonts w:ascii="Arial Narrow" w:hAnsi="Arial Narrow" w:cs="Arial"/>
                <w:i/>
                <w:sz w:val="18"/>
                <w:szCs w:val="18"/>
              </w:rPr>
              <w:t xml:space="preserve">Test threshold </w:t>
            </w:r>
            <w:r w:rsidRPr="00BB76D8">
              <w:rPr>
                <w:rFonts w:ascii="Arial Narrow" w:hAnsi="Arial Narrow" w:cs="Arial"/>
                <w:i/>
                <w:sz w:val="18"/>
                <w:szCs w:val="18"/>
              </w:rPr>
              <w:t>HSIL</w:t>
            </w:r>
            <w:r w:rsidRPr="00537C3C">
              <w:rPr>
                <w:rFonts w:ascii="Arial Narrow" w:hAnsi="Arial Narrow" w:cs="Arial"/>
                <w:i/>
                <w:sz w:val="18"/>
                <w:szCs w:val="18"/>
              </w:rPr>
              <w:t xml:space="preserve">, excluding </w:t>
            </w:r>
            <w:r w:rsidRPr="00BB76D8">
              <w:rPr>
                <w:rFonts w:ascii="Arial Narrow" w:hAnsi="Arial Narrow" w:cs="Arial"/>
                <w:i/>
                <w:sz w:val="18"/>
                <w:szCs w:val="18"/>
              </w:rPr>
              <w:t>AGUS</w:t>
            </w:r>
            <w:r w:rsidRPr="00537C3C">
              <w:rPr>
                <w:rFonts w:ascii="Arial Narrow" w:hAnsi="Arial Narrow" w:cs="Arial"/>
                <w:i/>
                <w:sz w:val="18"/>
                <w:szCs w:val="18"/>
              </w:rPr>
              <w:t xml:space="preserve"> cases:</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 111 </w:t>
            </w:r>
            <w:r w:rsidRPr="00BB76D8">
              <w:rPr>
                <w:rFonts w:ascii="Arial Narrow" w:hAnsi="Arial Narrow" w:cs="Arial"/>
                <w:sz w:val="18"/>
                <w:szCs w:val="18"/>
              </w:rPr>
              <w:t>TP</w:t>
            </w:r>
            <w:r w:rsidRPr="00537C3C">
              <w:rPr>
                <w:rFonts w:ascii="Arial Narrow" w:hAnsi="Arial Narrow" w:cs="Arial"/>
                <w:sz w:val="18"/>
                <w:szCs w:val="18"/>
              </w:rPr>
              <w:t xml:space="preserve">s (includes 1 </w:t>
            </w:r>
            <w:r w:rsidRPr="00BB76D8">
              <w:rPr>
                <w:rFonts w:ascii="Arial Narrow" w:hAnsi="Arial Narrow" w:cs="Arial"/>
                <w:sz w:val="18"/>
                <w:szCs w:val="18"/>
              </w:rPr>
              <w:t>SCC</w:t>
            </w:r>
            <w:r w:rsidRPr="00537C3C">
              <w:rPr>
                <w:rFonts w:ascii="Arial Narrow" w:hAnsi="Arial Narrow" w:cs="Arial"/>
                <w:sz w:val="18"/>
                <w:szCs w:val="18"/>
              </w:rPr>
              <w:t xml:space="preserve"> case), </w:t>
            </w:r>
            <w:r w:rsidRPr="00BB76D8">
              <w:rPr>
                <w:rFonts w:ascii="Arial Narrow" w:hAnsi="Arial Narrow" w:cs="Arial"/>
                <w:sz w:val="18"/>
                <w:szCs w:val="18"/>
              </w:rPr>
              <w:t>TPM</w:t>
            </w:r>
            <w:r w:rsidRPr="00537C3C">
              <w:rPr>
                <w:rFonts w:ascii="Arial Narrow" w:hAnsi="Arial Narrow" w:cs="Arial"/>
                <w:sz w:val="18"/>
                <w:szCs w:val="18"/>
              </w:rPr>
              <w:t xml:space="preserve"> = 103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identified additional 8 </w:t>
            </w:r>
            <w:r w:rsidRPr="00BB76D8">
              <w:rPr>
                <w:rFonts w:ascii="Arial Narrow" w:hAnsi="Arial Narrow" w:cs="Arial"/>
                <w:sz w:val="18"/>
                <w:szCs w:val="18"/>
              </w:rPr>
              <w:t>TP</w:t>
            </w:r>
            <w:r w:rsidRPr="00537C3C">
              <w:rPr>
                <w:rFonts w:ascii="Arial Narrow" w:hAnsi="Arial Narrow" w:cs="Arial"/>
                <w:sz w:val="18"/>
                <w:szCs w:val="18"/>
              </w:rPr>
              <w:t xml:space="preserve">s over </w:t>
            </w:r>
            <w:r w:rsidRPr="00BB76D8">
              <w:rPr>
                <w:rFonts w:ascii="Arial Narrow" w:hAnsi="Arial Narrow" w:cs="Arial"/>
                <w:sz w:val="18"/>
                <w:szCs w:val="18"/>
              </w:rPr>
              <w:t>TPM</w:t>
            </w:r>
            <w:r w:rsidRPr="00537C3C">
              <w:rPr>
                <w:rFonts w:ascii="Arial Narrow" w:hAnsi="Arial Narrow" w:cs="Arial"/>
                <w:sz w:val="18"/>
                <w:szCs w:val="18"/>
              </w:rPr>
              <w:t xml:space="preserve">; additional 0.74 cases per 1000 women screened. </w:t>
            </w:r>
            <w:r w:rsidRPr="00537C3C">
              <w:rPr>
                <w:rFonts w:ascii="Arial Narrow" w:hAnsi="Arial Narrow" w:cs="Arial"/>
                <w:sz w:val="18"/>
                <w:szCs w:val="18"/>
              </w:rPr>
              <w:sym w:font="Symbol" w:char="F063"/>
            </w:r>
            <w:r w:rsidRPr="00537C3C">
              <w:rPr>
                <w:rFonts w:ascii="Arial Narrow" w:hAnsi="Arial Narrow" w:cs="Arial"/>
                <w:sz w:val="18"/>
                <w:szCs w:val="18"/>
                <w:vertAlign w:val="superscript"/>
              </w:rPr>
              <w:t>2</w:t>
            </w:r>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 0.581 (using 10 742 as denominator, but could be 10 359)</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 32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TPM</w:t>
            </w:r>
            <w:r w:rsidRPr="00537C3C">
              <w:rPr>
                <w:rFonts w:ascii="Arial Narrow" w:hAnsi="Arial Narrow" w:cs="Arial"/>
                <w:sz w:val="18"/>
                <w:szCs w:val="18"/>
              </w:rPr>
              <w:t xml:space="preserve"> = 50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identified 18 fewer </w:t>
            </w:r>
            <w:r w:rsidRPr="00BB76D8">
              <w:rPr>
                <w:rFonts w:ascii="Arial Narrow" w:hAnsi="Arial Narrow" w:cs="Arial"/>
                <w:sz w:val="18"/>
                <w:szCs w:val="18"/>
              </w:rPr>
              <w:t>FP</w:t>
            </w:r>
            <w:r w:rsidRPr="00537C3C">
              <w:rPr>
                <w:rFonts w:ascii="Arial Narrow" w:hAnsi="Arial Narrow" w:cs="Arial"/>
                <w:sz w:val="18"/>
                <w:szCs w:val="18"/>
              </w:rPr>
              <w:t xml:space="preserve">s over </w:t>
            </w:r>
            <w:r w:rsidRPr="00BB76D8">
              <w:rPr>
                <w:rFonts w:ascii="Arial Narrow" w:hAnsi="Arial Narrow" w:cs="Arial"/>
                <w:sz w:val="18"/>
                <w:szCs w:val="18"/>
              </w:rPr>
              <w:t>TPM</w:t>
            </w:r>
            <w:r w:rsidRPr="00537C3C">
              <w:rPr>
                <w:rFonts w:ascii="Arial Narrow" w:hAnsi="Arial Narrow" w:cs="Arial"/>
                <w:sz w:val="18"/>
                <w:szCs w:val="18"/>
              </w:rPr>
              <w:t>; 1.68 fewer cases per 1000 women screened</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sz w:val="18"/>
              </w:rPr>
              <w:t xml:space="preserve">Additional </w:t>
            </w:r>
            <w:r w:rsidRPr="00BB76D8">
              <w:rPr>
                <w:rFonts w:ascii="Arial Narrow" w:hAnsi="Arial Narrow"/>
                <w:sz w:val="18"/>
              </w:rPr>
              <w:t>TP</w:t>
            </w:r>
            <w:r w:rsidRPr="00537C3C">
              <w:rPr>
                <w:rFonts w:ascii="Arial Narrow" w:hAnsi="Arial Narrow"/>
                <w:sz w:val="18"/>
              </w:rPr>
              <w:t>:</w:t>
            </w:r>
            <w:r w:rsidRPr="00BB76D8">
              <w:rPr>
                <w:rFonts w:ascii="Arial Narrow" w:hAnsi="Arial Narrow"/>
                <w:sz w:val="18"/>
              </w:rPr>
              <w:t>FP</w:t>
            </w:r>
            <w:r w:rsidRPr="00537C3C">
              <w:rPr>
                <w:rFonts w:ascii="Arial Narrow" w:hAnsi="Arial Narrow"/>
                <w:sz w:val="18"/>
              </w:rPr>
              <w:t xml:space="preserve"> 1:–2</w:t>
            </w:r>
            <w:r w:rsidRPr="00537C3C">
              <w:rPr>
                <w:rFonts w:ascii="Arial Narrow" w:hAnsi="Arial Narrow" w:cs="Arial"/>
                <w:sz w:val="18"/>
                <w:szCs w:val="18"/>
                <w:lang w:eastAsia="en-AU"/>
              </w:rPr>
              <w:t>.25.</w:t>
            </w:r>
          </w:p>
          <w:p w:rsidR="00234376" w:rsidRPr="00537C3C" w:rsidRDefault="00234376" w:rsidP="008E03A7">
            <w:pPr>
              <w:spacing w:before="40" w:after="0"/>
              <w:ind w:left="0"/>
              <w:rPr>
                <w:rFonts w:ascii="Arial Narrow" w:hAnsi="Arial Narrow" w:cs="Arial"/>
                <w:i/>
                <w:sz w:val="18"/>
                <w:szCs w:val="18"/>
                <w:lang w:eastAsia="en-AU"/>
              </w:rPr>
            </w:pPr>
            <w:r w:rsidRPr="00537C3C">
              <w:rPr>
                <w:rFonts w:ascii="Arial Narrow" w:hAnsi="Arial Narrow" w:cs="Arial"/>
                <w:i/>
                <w:sz w:val="18"/>
                <w:szCs w:val="18"/>
              </w:rPr>
              <w:t xml:space="preserve">Test threshold </w:t>
            </w:r>
            <w:r w:rsidRPr="00BB76D8">
              <w:rPr>
                <w:rFonts w:ascii="Arial Narrow" w:hAnsi="Arial Narrow" w:cs="Arial"/>
                <w:i/>
                <w:sz w:val="18"/>
                <w:szCs w:val="18"/>
              </w:rPr>
              <w:t>HSIL</w:t>
            </w:r>
            <w:r w:rsidRPr="00537C3C">
              <w:rPr>
                <w:rFonts w:ascii="Arial Narrow" w:hAnsi="Arial Narrow" w:cs="Arial"/>
                <w:i/>
                <w:sz w:val="18"/>
                <w:szCs w:val="18"/>
              </w:rPr>
              <w:t xml:space="preserve">, including </w:t>
            </w:r>
            <w:r w:rsidRPr="00BB76D8">
              <w:rPr>
                <w:rFonts w:ascii="Arial Narrow" w:hAnsi="Arial Narrow" w:cs="Arial"/>
                <w:i/>
                <w:sz w:val="18"/>
                <w:szCs w:val="18"/>
              </w:rPr>
              <w:t>AGUS</w:t>
            </w:r>
            <w:r w:rsidRPr="00537C3C">
              <w:rPr>
                <w:rFonts w:ascii="Arial Narrow" w:hAnsi="Arial Narrow" w:cs="Arial"/>
                <w:i/>
                <w:sz w:val="18"/>
                <w:szCs w:val="18"/>
              </w:rPr>
              <w:t xml:space="preserve"> cases:</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 111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TPM</w:t>
            </w:r>
            <w:r w:rsidRPr="00537C3C">
              <w:rPr>
                <w:rFonts w:ascii="Arial Narrow" w:hAnsi="Arial Narrow" w:cs="Arial"/>
                <w:sz w:val="18"/>
                <w:szCs w:val="18"/>
              </w:rPr>
              <w:t xml:space="preserve"> = 103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additional 8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 33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TPM</w:t>
            </w:r>
            <w:r w:rsidRPr="00537C3C">
              <w:rPr>
                <w:rFonts w:ascii="Arial Narrow" w:hAnsi="Arial Narrow" w:cs="Arial"/>
                <w:sz w:val="18"/>
                <w:szCs w:val="18"/>
              </w:rPr>
              <w:t xml:space="preserve"> = 52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identified 19 fewer </w:t>
            </w:r>
            <w:r w:rsidRPr="00BB76D8">
              <w:rPr>
                <w:rFonts w:ascii="Arial Narrow" w:hAnsi="Arial Narrow" w:cs="Arial"/>
                <w:sz w:val="18"/>
                <w:szCs w:val="18"/>
              </w:rPr>
              <w:t>FP</w:t>
            </w:r>
            <w:r w:rsidRPr="00537C3C">
              <w:rPr>
                <w:rFonts w:ascii="Arial Narrow" w:hAnsi="Arial Narrow" w:cs="Arial"/>
                <w:sz w:val="18"/>
                <w:szCs w:val="18"/>
              </w:rPr>
              <w:t xml:space="preserve">s over </w:t>
            </w:r>
            <w:r w:rsidRPr="00BB76D8">
              <w:rPr>
                <w:rFonts w:ascii="Arial Narrow" w:hAnsi="Arial Narrow" w:cs="Arial"/>
                <w:sz w:val="18"/>
                <w:szCs w:val="18"/>
              </w:rPr>
              <w:t>TPM</w:t>
            </w:r>
            <w:r w:rsidRPr="00537C3C">
              <w:rPr>
                <w:rFonts w:ascii="Arial Narrow" w:hAnsi="Arial Narrow" w:cs="Arial"/>
                <w:sz w:val="18"/>
                <w:szCs w:val="18"/>
              </w:rPr>
              <w:t>; 1.77 fewer cases per 1000 women screened</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sz w:val="18"/>
              </w:rPr>
              <w:t xml:space="preserve">Additional </w:t>
            </w:r>
            <w:r w:rsidRPr="00BB76D8">
              <w:rPr>
                <w:rFonts w:ascii="Arial Narrow" w:hAnsi="Arial Narrow"/>
                <w:sz w:val="18"/>
              </w:rPr>
              <w:t>TP</w:t>
            </w:r>
            <w:r w:rsidRPr="00537C3C">
              <w:rPr>
                <w:rFonts w:ascii="Arial Narrow" w:hAnsi="Arial Narrow"/>
                <w:sz w:val="18"/>
              </w:rPr>
              <w:t>:</w:t>
            </w:r>
            <w:r w:rsidRPr="00BB76D8">
              <w:rPr>
                <w:rFonts w:ascii="Arial Narrow" w:hAnsi="Arial Narrow"/>
                <w:sz w:val="18"/>
              </w:rPr>
              <w:t>FP</w:t>
            </w:r>
            <w:r w:rsidRPr="00537C3C">
              <w:rPr>
                <w:rFonts w:ascii="Arial Narrow" w:hAnsi="Arial Narrow"/>
                <w:sz w:val="18"/>
              </w:rPr>
              <w:t xml:space="preserve"> 1:–2.38</w:t>
            </w:r>
            <w:r w:rsidRPr="00537C3C">
              <w:rPr>
                <w:rFonts w:ascii="Arial Narrow" w:hAnsi="Arial Narrow" w:cs="Arial"/>
                <w:sz w:val="18"/>
                <w:szCs w:val="18"/>
                <w:lang w:eastAsia="en-AU"/>
              </w:rPr>
              <w:t xml:space="preserve">. Estimated difference in sensitivity = 8/139 = 5.8%. Estimated difference in </w:t>
            </w:r>
            <w:r w:rsidRPr="00BB76D8">
              <w:rPr>
                <w:rFonts w:ascii="Arial Narrow" w:hAnsi="Arial Narrow" w:cs="Arial"/>
                <w:sz w:val="18"/>
                <w:szCs w:val="18"/>
                <w:lang w:eastAsia="en-AU"/>
              </w:rPr>
              <w:t>FP</w:t>
            </w:r>
            <w:r w:rsidRPr="00537C3C">
              <w:rPr>
                <w:rFonts w:ascii="Arial Narrow" w:hAnsi="Arial Narrow" w:cs="Arial"/>
                <w:sz w:val="18"/>
                <w:szCs w:val="18"/>
                <w:lang w:eastAsia="en-AU"/>
              </w:rPr>
              <w:t>R = –19/9401 = 0.20%</w:t>
            </w:r>
          </w:p>
          <w:p w:rsidR="00234376" w:rsidRPr="00537C3C" w:rsidRDefault="00234376" w:rsidP="008E03A7">
            <w:pPr>
              <w:spacing w:before="40" w:after="0"/>
              <w:ind w:left="0"/>
              <w:rPr>
                <w:rFonts w:ascii="Arial Narrow" w:hAnsi="Arial Narrow" w:cs="Arial"/>
                <w:i/>
                <w:sz w:val="18"/>
                <w:szCs w:val="18"/>
              </w:rPr>
            </w:pPr>
          </w:p>
          <w:p w:rsidR="00234376" w:rsidRPr="00537C3C" w:rsidRDefault="00234376" w:rsidP="008E03A7">
            <w:pPr>
              <w:spacing w:before="40" w:after="0"/>
              <w:ind w:left="0"/>
              <w:rPr>
                <w:rFonts w:ascii="Arial Narrow" w:hAnsi="Arial Narrow" w:cs="Arial"/>
                <w:sz w:val="18"/>
                <w:szCs w:val="18"/>
                <w:u w:val="single"/>
              </w:rPr>
            </w:pPr>
            <w:r w:rsidRPr="00537C3C">
              <w:rPr>
                <w:rFonts w:ascii="Arial Narrow" w:hAnsi="Arial Narrow" w:cs="Arial"/>
                <w:i/>
                <w:sz w:val="18"/>
                <w:szCs w:val="18"/>
              </w:rPr>
              <w:t xml:space="preserve">Test threshold </w:t>
            </w:r>
            <w:r w:rsidRPr="00BB76D8">
              <w:rPr>
                <w:rFonts w:ascii="Arial Narrow" w:hAnsi="Arial Narrow" w:cs="Arial"/>
                <w:i/>
                <w:sz w:val="18"/>
                <w:szCs w:val="18"/>
              </w:rPr>
              <w:t>LSIL</w:t>
            </w:r>
            <w:r w:rsidRPr="00537C3C">
              <w:rPr>
                <w:rFonts w:ascii="Arial Narrow" w:hAnsi="Arial Narrow" w:cs="Arial"/>
                <w:sz w:val="18"/>
                <w:szCs w:val="18"/>
              </w:rPr>
              <w:t xml:space="preserve">, </w:t>
            </w:r>
            <w:r w:rsidRPr="00537C3C">
              <w:rPr>
                <w:rFonts w:ascii="Arial Narrow" w:hAnsi="Arial Narrow" w:cs="Arial"/>
                <w:i/>
                <w:sz w:val="18"/>
                <w:szCs w:val="18"/>
              </w:rPr>
              <w:t xml:space="preserve">excluding </w:t>
            </w:r>
            <w:r w:rsidRPr="00BB76D8">
              <w:rPr>
                <w:rFonts w:ascii="Arial Narrow" w:hAnsi="Arial Narrow" w:cs="Arial"/>
                <w:i/>
                <w:sz w:val="18"/>
                <w:szCs w:val="18"/>
              </w:rPr>
              <w:t>AGUS</w:t>
            </w:r>
            <w:r w:rsidRPr="00537C3C">
              <w:rPr>
                <w:rFonts w:ascii="Arial Narrow" w:hAnsi="Arial Narrow" w:cs="Arial"/>
                <w:i/>
                <w:sz w:val="18"/>
                <w:szCs w:val="18"/>
              </w:rPr>
              <w:t xml:space="preserve"> cases:</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sz w:val="18"/>
                <w:szCs w:val="18"/>
              </w:rPr>
              <w:t>TPI</w:t>
            </w:r>
            <w:r w:rsidRPr="00537C3C">
              <w:rPr>
                <w:rFonts w:ascii="Arial Narrow" w:hAnsi="Arial Narrow" w:cs="Arial"/>
                <w:sz w:val="18"/>
                <w:szCs w:val="18"/>
              </w:rPr>
              <w:t xml:space="preserve"> = 128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TPM</w:t>
            </w:r>
            <w:r w:rsidRPr="00537C3C">
              <w:rPr>
                <w:rFonts w:ascii="Arial Narrow" w:hAnsi="Arial Narrow" w:cs="Arial"/>
                <w:sz w:val="18"/>
                <w:szCs w:val="18"/>
              </w:rPr>
              <w:t xml:space="preserve"> = 124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identified additional 4 </w:t>
            </w:r>
            <w:r w:rsidRPr="00BB76D8">
              <w:rPr>
                <w:rFonts w:ascii="Arial Narrow" w:hAnsi="Arial Narrow" w:cs="Arial"/>
                <w:sz w:val="18"/>
                <w:szCs w:val="18"/>
              </w:rPr>
              <w:t>TP</w:t>
            </w:r>
            <w:r w:rsidRPr="00537C3C">
              <w:rPr>
                <w:rFonts w:ascii="Arial Narrow" w:hAnsi="Arial Narrow" w:cs="Arial"/>
                <w:sz w:val="18"/>
                <w:szCs w:val="18"/>
              </w:rPr>
              <w:t xml:space="preserve">s; additional 0.37 cases per 1000 women screened. </w:t>
            </w:r>
            <w:r w:rsidRPr="00BB76D8">
              <w:rPr>
                <w:rFonts w:ascii="Arial Narrow" w:hAnsi="Arial Narrow" w:cs="Arial"/>
                <w:sz w:val="18"/>
                <w:szCs w:val="18"/>
              </w:rPr>
              <w:t>TPI</w:t>
            </w:r>
            <w:r w:rsidRPr="00537C3C">
              <w:rPr>
                <w:rFonts w:ascii="Arial Narrow" w:hAnsi="Arial Narrow" w:cs="Arial"/>
                <w:sz w:val="18"/>
                <w:szCs w:val="18"/>
              </w:rPr>
              <w:t xml:space="preserve"> = 253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TPM</w:t>
            </w:r>
            <w:r w:rsidRPr="00537C3C">
              <w:rPr>
                <w:rFonts w:ascii="Arial Narrow" w:hAnsi="Arial Narrow" w:cs="Arial"/>
                <w:sz w:val="18"/>
                <w:szCs w:val="18"/>
              </w:rPr>
              <w:t xml:space="preserve"> = 265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identified 12 fewer </w:t>
            </w:r>
            <w:r w:rsidRPr="00BB76D8">
              <w:rPr>
                <w:rFonts w:ascii="Arial Narrow" w:hAnsi="Arial Narrow" w:cs="Arial"/>
                <w:sz w:val="18"/>
                <w:szCs w:val="18"/>
              </w:rPr>
              <w:t>FP</w:t>
            </w:r>
            <w:r w:rsidRPr="00537C3C">
              <w:rPr>
                <w:rFonts w:ascii="Arial Narrow" w:hAnsi="Arial Narrow" w:cs="Arial"/>
                <w:sz w:val="18"/>
                <w:szCs w:val="18"/>
              </w:rPr>
              <w:t xml:space="preserve">s over </w:t>
            </w:r>
            <w:r w:rsidRPr="00BB76D8">
              <w:rPr>
                <w:rFonts w:ascii="Arial Narrow" w:hAnsi="Arial Narrow" w:cs="Arial"/>
                <w:sz w:val="18"/>
                <w:szCs w:val="18"/>
              </w:rPr>
              <w:t>TPM</w:t>
            </w:r>
            <w:r w:rsidRPr="00537C3C">
              <w:rPr>
                <w:rFonts w:ascii="Arial Narrow" w:hAnsi="Arial Narrow" w:cs="Arial"/>
                <w:sz w:val="18"/>
                <w:szCs w:val="18"/>
              </w:rPr>
              <w:t xml:space="preserve">; 1.12 fewer cases per 1000 women screened. </w:t>
            </w:r>
            <w:r w:rsidRPr="00537C3C">
              <w:rPr>
                <w:rFonts w:ascii="Arial Narrow" w:hAnsi="Arial Narrow" w:cs="Arial"/>
                <w:sz w:val="18"/>
                <w:szCs w:val="18"/>
                <w:lang w:eastAsia="en-AU"/>
              </w:rPr>
              <w:sym w:font="Symbol" w:char="F063"/>
            </w:r>
            <w:r w:rsidRPr="00537C3C">
              <w:rPr>
                <w:rFonts w:ascii="Arial Narrow" w:hAnsi="Arial Narrow" w:cs="Arial"/>
                <w:sz w:val="18"/>
                <w:szCs w:val="18"/>
                <w:vertAlign w:val="superscript"/>
                <w:lang w:eastAsia="en-AU"/>
              </w:rPr>
              <w:t>2</w:t>
            </w:r>
            <w:r w:rsidRPr="00537C3C">
              <w:rPr>
                <w:rFonts w:ascii="Arial Narrow" w:hAnsi="Arial Narrow" w:cs="Arial"/>
                <w:sz w:val="18"/>
                <w:szCs w:val="18"/>
                <w:lang w:eastAsia="en-AU"/>
              </w:rPr>
              <w:t xml:space="preserve"> </w:t>
            </w:r>
            <w:r w:rsidRPr="0030078D">
              <w:rPr>
                <w:rFonts w:ascii="Arial Narrow" w:hAnsi="Arial Narrow" w:cs="Arial"/>
                <w:i/>
                <w:sz w:val="18"/>
                <w:szCs w:val="18"/>
                <w:lang w:eastAsia="en-AU"/>
              </w:rPr>
              <w:t>P</w:t>
            </w:r>
            <w:r w:rsidRPr="00537C3C">
              <w:rPr>
                <w:rFonts w:ascii="Arial Narrow" w:hAnsi="Arial Narrow" w:cs="Arial"/>
                <w:sz w:val="18"/>
                <w:szCs w:val="18"/>
                <w:lang w:eastAsia="en-AU"/>
              </w:rPr>
              <w:t xml:space="preserve"> = 0.59. </w:t>
            </w:r>
            <w:r w:rsidRPr="00537C3C">
              <w:rPr>
                <w:rFonts w:ascii="Arial Narrow" w:hAnsi="Arial Narrow"/>
                <w:sz w:val="18"/>
              </w:rPr>
              <w:t xml:space="preserve">Additional </w:t>
            </w:r>
            <w:r w:rsidRPr="00BB76D8">
              <w:rPr>
                <w:rFonts w:ascii="Arial Narrow" w:hAnsi="Arial Narrow"/>
                <w:sz w:val="18"/>
              </w:rPr>
              <w:t>TP</w:t>
            </w:r>
            <w:r w:rsidRPr="00537C3C">
              <w:rPr>
                <w:rFonts w:ascii="Arial Narrow" w:hAnsi="Arial Narrow"/>
                <w:sz w:val="18"/>
              </w:rPr>
              <w:t>:</w:t>
            </w:r>
            <w:r w:rsidRPr="00BB76D8">
              <w:rPr>
                <w:rFonts w:ascii="Arial Narrow" w:hAnsi="Arial Narrow" w:cs="Arial"/>
                <w:sz w:val="18"/>
                <w:szCs w:val="18"/>
                <w:lang w:eastAsia="en-AU"/>
              </w:rPr>
              <w:t>FP</w:t>
            </w:r>
            <w:r w:rsidRPr="00537C3C">
              <w:rPr>
                <w:rFonts w:ascii="Arial Narrow" w:hAnsi="Arial Narrow" w:cs="Arial"/>
                <w:sz w:val="18"/>
                <w:szCs w:val="18"/>
                <w:lang w:eastAsia="en-AU"/>
              </w:rPr>
              <w:t xml:space="preserve"> 1:–3. Estimated difference in sensitivity = 4/139 = 2.9% (1.1–7.2).</w:t>
            </w:r>
            <w:r w:rsidRPr="00537C3C">
              <w:t xml:space="preserve"> </w:t>
            </w:r>
            <w:r w:rsidRPr="00537C3C">
              <w:rPr>
                <w:rFonts w:ascii="Arial Narrow" w:hAnsi="Arial Narrow" w:cs="Arial"/>
                <w:sz w:val="18"/>
                <w:szCs w:val="18"/>
                <w:lang w:eastAsia="en-AU"/>
              </w:rPr>
              <w:t xml:space="preserve">Estimated difference in </w:t>
            </w:r>
            <w:r w:rsidRPr="00BB76D8">
              <w:rPr>
                <w:rFonts w:ascii="Arial Narrow" w:hAnsi="Arial Narrow" w:cs="Arial"/>
                <w:sz w:val="18"/>
                <w:szCs w:val="18"/>
                <w:lang w:eastAsia="en-AU"/>
              </w:rPr>
              <w:t>FP</w:t>
            </w:r>
            <w:r w:rsidRPr="00537C3C">
              <w:rPr>
                <w:rFonts w:ascii="Arial Narrow" w:hAnsi="Arial Narrow" w:cs="Arial"/>
                <w:sz w:val="18"/>
                <w:szCs w:val="18"/>
                <w:lang w:eastAsia="en-AU"/>
              </w:rPr>
              <w:t>R = –12/9401 = –0.13% (–0.07 to 0.23) (specificity = +0.13%)</w:t>
            </w:r>
          </w:p>
          <w:p w:rsidR="00234376" w:rsidRPr="00537C3C" w:rsidRDefault="00234376" w:rsidP="008E03A7">
            <w:pPr>
              <w:spacing w:before="40" w:after="0"/>
              <w:ind w:left="0"/>
              <w:rPr>
                <w:rFonts w:ascii="Arial Narrow" w:hAnsi="Arial Narrow" w:cs="Arial"/>
                <w:sz w:val="18"/>
                <w:szCs w:val="18"/>
                <w:lang w:eastAsia="en-AU"/>
              </w:rPr>
            </w:pPr>
          </w:p>
          <w:p w:rsidR="00234376" w:rsidRPr="00537C3C" w:rsidRDefault="00234376" w:rsidP="008E03A7">
            <w:pPr>
              <w:spacing w:before="40" w:after="0"/>
              <w:ind w:left="0"/>
              <w:rPr>
                <w:rFonts w:ascii="Arial Narrow" w:hAnsi="Arial Narrow" w:cs="Arial"/>
                <w:sz w:val="18"/>
                <w:szCs w:val="18"/>
                <w:u w:val="single"/>
              </w:rPr>
            </w:pPr>
            <w:r w:rsidRPr="00537C3C">
              <w:rPr>
                <w:rFonts w:ascii="Arial Narrow" w:hAnsi="Arial Narrow" w:cs="Arial"/>
                <w:i/>
                <w:sz w:val="18"/>
                <w:szCs w:val="18"/>
              </w:rPr>
              <w:t xml:space="preserve">Test threshold </w:t>
            </w:r>
            <w:r w:rsidRPr="00BB76D8">
              <w:rPr>
                <w:rFonts w:ascii="Arial Narrow" w:hAnsi="Arial Narrow" w:cs="Arial"/>
                <w:i/>
                <w:sz w:val="18"/>
                <w:szCs w:val="18"/>
              </w:rPr>
              <w:t>LSIL</w:t>
            </w:r>
            <w:r w:rsidRPr="00537C3C">
              <w:rPr>
                <w:rFonts w:ascii="Arial Narrow" w:hAnsi="Arial Narrow" w:cs="Arial"/>
                <w:sz w:val="18"/>
                <w:szCs w:val="18"/>
              </w:rPr>
              <w:t xml:space="preserve">, </w:t>
            </w:r>
            <w:r w:rsidRPr="00537C3C">
              <w:rPr>
                <w:rFonts w:ascii="Arial Narrow" w:hAnsi="Arial Narrow" w:cs="Arial"/>
                <w:i/>
                <w:sz w:val="18"/>
                <w:szCs w:val="18"/>
              </w:rPr>
              <w:t xml:space="preserve">including </w:t>
            </w:r>
            <w:r w:rsidRPr="00BB76D8">
              <w:rPr>
                <w:rFonts w:ascii="Arial Narrow" w:hAnsi="Arial Narrow" w:cs="Arial"/>
                <w:i/>
                <w:sz w:val="18"/>
                <w:szCs w:val="18"/>
              </w:rPr>
              <w:t>AGUS</w:t>
            </w:r>
            <w:r w:rsidRPr="00537C3C">
              <w:rPr>
                <w:rFonts w:ascii="Arial Narrow" w:hAnsi="Arial Narrow" w:cs="Arial"/>
                <w:i/>
                <w:sz w:val="18"/>
                <w:szCs w:val="18"/>
              </w:rPr>
              <w:t xml:space="preserve"> cases:</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 128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TPM</w:t>
            </w:r>
            <w:r w:rsidRPr="00537C3C">
              <w:rPr>
                <w:rFonts w:ascii="Arial Narrow" w:hAnsi="Arial Narrow" w:cs="Arial"/>
                <w:sz w:val="18"/>
                <w:szCs w:val="18"/>
              </w:rPr>
              <w:t xml:space="preserve"> = 124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identified additional 4 </w:t>
            </w:r>
            <w:r w:rsidRPr="00BB76D8">
              <w:rPr>
                <w:rFonts w:ascii="Arial Narrow" w:hAnsi="Arial Narrow" w:cs="Arial"/>
                <w:sz w:val="18"/>
                <w:szCs w:val="18"/>
              </w:rPr>
              <w:t>TP</w:t>
            </w:r>
            <w:r w:rsidRPr="00537C3C">
              <w:rPr>
                <w:rFonts w:ascii="Arial Narrow" w:hAnsi="Arial Narrow" w:cs="Arial"/>
                <w:sz w:val="18"/>
                <w:szCs w:val="18"/>
              </w:rPr>
              <w:t xml:space="preserve">s; additional 0.37 cases per 1000 women screened. </w:t>
            </w:r>
            <w:r w:rsidRPr="00BB76D8">
              <w:rPr>
                <w:rFonts w:ascii="Arial Narrow" w:hAnsi="Arial Narrow" w:cs="Arial"/>
                <w:sz w:val="18"/>
                <w:szCs w:val="18"/>
              </w:rPr>
              <w:t>TPI</w:t>
            </w:r>
            <w:r w:rsidRPr="00537C3C">
              <w:rPr>
                <w:rFonts w:ascii="Arial Narrow" w:hAnsi="Arial Narrow" w:cs="Arial"/>
                <w:sz w:val="18"/>
                <w:szCs w:val="18"/>
              </w:rPr>
              <w:t xml:space="preserve"> = 254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TPM</w:t>
            </w:r>
            <w:r w:rsidRPr="00537C3C">
              <w:rPr>
                <w:rFonts w:ascii="Arial Narrow" w:hAnsi="Arial Narrow" w:cs="Arial"/>
                <w:sz w:val="18"/>
                <w:szCs w:val="18"/>
              </w:rPr>
              <w:t xml:space="preserve"> = 267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identified 13 fewer </w:t>
            </w:r>
            <w:r w:rsidRPr="00BB76D8">
              <w:rPr>
                <w:rFonts w:ascii="Arial Narrow" w:hAnsi="Arial Narrow" w:cs="Arial"/>
                <w:sz w:val="18"/>
                <w:szCs w:val="18"/>
              </w:rPr>
              <w:t>FP</w:t>
            </w:r>
            <w:r w:rsidRPr="00537C3C">
              <w:rPr>
                <w:rFonts w:ascii="Arial Narrow" w:hAnsi="Arial Narrow" w:cs="Arial"/>
                <w:sz w:val="18"/>
                <w:szCs w:val="18"/>
              </w:rPr>
              <w:t xml:space="preserve">s over </w:t>
            </w:r>
            <w:r w:rsidRPr="00BB76D8">
              <w:rPr>
                <w:rFonts w:ascii="Arial Narrow" w:hAnsi="Arial Narrow" w:cs="Arial"/>
                <w:sz w:val="18"/>
                <w:szCs w:val="18"/>
              </w:rPr>
              <w:t>TPM</w:t>
            </w:r>
            <w:r w:rsidRPr="00537C3C">
              <w:rPr>
                <w:rFonts w:ascii="Arial Narrow" w:hAnsi="Arial Narrow" w:cs="Arial"/>
                <w:sz w:val="18"/>
                <w:szCs w:val="18"/>
              </w:rPr>
              <w:t xml:space="preserve">; 1.21 fewer cases per 1000 women screened. Additional </w:t>
            </w:r>
            <w:r w:rsidRPr="00BB76D8">
              <w:rPr>
                <w:rFonts w:ascii="Arial Narrow" w:hAnsi="Arial Narrow" w:cs="Arial"/>
                <w:sz w:val="18"/>
                <w:szCs w:val="18"/>
              </w:rPr>
              <w:t>TP</w:t>
            </w:r>
            <w:r w:rsidRPr="00537C3C">
              <w:rPr>
                <w:rFonts w:ascii="Arial Narrow" w:hAnsi="Arial Narrow" w:cs="Arial"/>
                <w:sz w:val="18"/>
                <w:szCs w:val="18"/>
              </w:rPr>
              <w:t>:</w:t>
            </w:r>
            <w:r w:rsidRPr="00BB76D8">
              <w:rPr>
                <w:rFonts w:ascii="Arial Narrow" w:hAnsi="Arial Narrow" w:cs="Arial"/>
                <w:sz w:val="18"/>
                <w:szCs w:val="18"/>
              </w:rPr>
              <w:t>FP</w:t>
            </w:r>
            <w:r w:rsidRPr="00537C3C">
              <w:rPr>
                <w:rFonts w:ascii="Arial Narrow" w:hAnsi="Arial Narrow" w:cs="Arial"/>
                <w:sz w:val="18"/>
                <w:szCs w:val="18"/>
              </w:rPr>
              <w:t xml:space="preserve"> 1:–3.25.</w:t>
            </w:r>
          </w:p>
          <w:p w:rsidR="00234376" w:rsidRPr="00537C3C" w:rsidRDefault="00234376" w:rsidP="008E03A7">
            <w:pPr>
              <w:pStyle w:val="TableTextCharCharChar"/>
            </w:pPr>
            <w:r w:rsidRPr="00537C3C">
              <w:t xml:space="preserve">Estimated difference in sensitivity = 4/139 = 2.9%. Estimated difference in </w:t>
            </w:r>
            <w:r w:rsidRPr="00BB76D8">
              <w:t>FP</w:t>
            </w:r>
            <w:r w:rsidRPr="00537C3C">
              <w:t>R = –13/9401 = –0.14%</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 xml:space="preserve">Test threshold </w:t>
            </w:r>
            <w:r w:rsidRPr="00BB76D8">
              <w:rPr>
                <w:rFonts w:ascii="Arial Narrow" w:hAnsi="Arial Narrow" w:cs="Arial"/>
                <w:i/>
                <w:sz w:val="18"/>
                <w:szCs w:val="18"/>
              </w:rPr>
              <w:t>ASCUS</w:t>
            </w:r>
            <w:r w:rsidRPr="00537C3C">
              <w:rPr>
                <w:rFonts w:ascii="Arial Narrow" w:hAnsi="Arial Narrow" w:cs="Arial"/>
                <w:i/>
                <w:sz w:val="18"/>
                <w:szCs w:val="18"/>
              </w:rPr>
              <w:t xml:space="preserve">, excluding </w:t>
            </w:r>
            <w:r w:rsidRPr="00BB76D8">
              <w:rPr>
                <w:rFonts w:ascii="Arial Narrow" w:hAnsi="Arial Narrow" w:cs="Arial"/>
                <w:i/>
                <w:sz w:val="18"/>
                <w:szCs w:val="18"/>
              </w:rPr>
              <w:t>AGUS</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 137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TPM</w:t>
            </w:r>
            <w:r w:rsidRPr="00537C3C">
              <w:rPr>
                <w:rFonts w:ascii="Arial Narrow" w:hAnsi="Arial Narrow" w:cs="Arial"/>
                <w:sz w:val="18"/>
                <w:szCs w:val="18"/>
              </w:rPr>
              <w:t xml:space="preserve"> = 132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identified additional 5 </w:t>
            </w:r>
            <w:r w:rsidRPr="00BB76D8">
              <w:rPr>
                <w:rFonts w:ascii="Arial Narrow" w:hAnsi="Arial Narrow" w:cs="Arial"/>
                <w:sz w:val="18"/>
                <w:szCs w:val="18"/>
              </w:rPr>
              <w:t>TP</w:t>
            </w:r>
            <w:r w:rsidRPr="00537C3C">
              <w:rPr>
                <w:rFonts w:ascii="Arial Narrow" w:hAnsi="Arial Narrow" w:cs="Arial"/>
                <w:sz w:val="18"/>
                <w:szCs w:val="18"/>
              </w:rPr>
              <w:t xml:space="preserve">s over </w:t>
            </w:r>
            <w:r w:rsidRPr="00BB76D8">
              <w:rPr>
                <w:rFonts w:ascii="Arial Narrow" w:hAnsi="Arial Narrow" w:cs="Arial"/>
                <w:sz w:val="18"/>
                <w:szCs w:val="18"/>
              </w:rPr>
              <w:t>TPM</w:t>
            </w:r>
            <w:r w:rsidRPr="00537C3C">
              <w:rPr>
                <w:rFonts w:ascii="Arial Narrow" w:hAnsi="Arial Narrow" w:cs="Arial"/>
                <w:sz w:val="18"/>
                <w:szCs w:val="18"/>
              </w:rPr>
              <w:t xml:space="preserve">; additional 0.47 cases per 1000 women screened. </w:t>
            </w:r>
            <w:r w:rsidRPr="00BB76D8">
              <w:rPr>
                <w:rFonts w:ascii="Arial Narrow" w:hAnsi="Arial Narrow" w:cs="Arial"/>
                <w:sz w:val="18"/>
                <w:szCs w:val="18"/>
              </w:rPr>
              <w:t>TPI</w:t>
            </w:r>
            <w:r w:rsidRPr="00537C3C">
              <w:rPr>
                <w:rFonts w:ascii="Arial Narrow" w:hAnsi="Arial Narrow" w:cs="Arial"/>
                <w:sz w:val="18"/>
                <w:szCs w:val="18"/>
              </w:rPr>
              <w:t xml:space="preserve"> = 618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TPM</w:t>
            </w:r>
            <w:r w:rsidRPr="00537C3C">
              <w:rPr>
                <w:rFonts w:ascii="Arial Narrow" w:hAnsi="Arial Narrow" w:cs="Arial"/>
                <w:sz w:val="18"/>
                <w:szCs w:val="18"/>
              </w:rPr>
              <w:t xml:space="preserve"> = 591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identified additional 27 </w:t>
            </w:r>
            <w:r w:rsidRPr="00BB76D8">
              <w:rPr>
                <w:rFonts w:ascii="Arial Narrow" w:hAnsi="Arial Narrow" w:cs="Arial"/>
                <w:sz w:val="18"/>
                <w:szCs w:val="18"/>
              </w:rPr>
              <w:t>FP</w:t>
            </w:r>
            <w:r w:rsidRPr="00537C3C">
              <w:rPr>
                <w:rFonts w:ascii="Arial Narrow" w:hAnsi="Arial Narrow" w:cs="Arial"/>
                <w:sz w:val="18"/>
                <w:szCs w:val="18"/>
              </w:rPr>
              <w:t xml:space="preserve">s over </w:t>
            </w:r>
            <w:r w:rsidRPr="00BB76D8">
              <w:rPr>
                <w:rFonts w:ascii="Arial Narrow" w:hAnsi="Arial Narrow" w:cs="Arial"/>
                <w:sz w:val="18"/>
                <w:szCs w:val="18"/>
              </w:rPr>
              <w:t>TPM</w:t>
            </w:r>
            <w:r w:rsidRPr="00537C3C">
              <w:rPr>
                <w:rFonts w:ascii="Arial Narrow" w:hAnsi="Arial Narrow" w:cs="Arial"/>
                <w:sz w:val="18"/>
                <w:szCs w:val="18"/>
              </w:rPr>
              <w:t xml:space="preserve">; additional 2.51 per 1000 women screened. </w:t>
            </w:r>
            <w:r w:rsidRPr="00537C3C">
              <w:rPr>
                <w:rFonts w:ascii="Arial Narrow" w:hAnsi="Arial Narrow" w:cs="Arial"/>
                <w:sz w:val="18"/>
                <w:szCs w:val="18"/>
                <w:lang w:eastAsia="en-AU"/>
              </w:rPr>
              <w:sym w:font="Symbol" w:char="F063"/>
            </w:r>
            <w:r w:rsidRPr="00537C3C">
              <w:rPr>
                <w:rFonts w:ascii="Arial Narrow" w:hAnsi="Arial Narrow" w:cs="Arial"/>
                <w:sz w:val="18"/>
                <w:szCs w:val="18"/>
                <w:vertAlign w:val="superscript"/>
                <w:lang w:eastAsia="en-AU"/>
              </w:rPr>
              <w:t>2</w:t>
            </w:r>
            <w:r w:rsidRPr="00537C3C">
              <w:rPr>
                <w:rFonts w:ascii="Arial Narrow" w:hAnsi="Arial Narrow" w:cs="Arial"/>
                <w:sz w:val="18"/>
                <w:szCs w:val="18"/>
                <w:lang w:eastAsia="en-AU"/>
              </w:rPr>
              <w:t xml:space="preserve"> </w:t>
            </w:r>
            <w:r w:rsidRPr="0030078D">
              <w:rPr>
                <w:rFonts w:ascii="Arial Narrow" w:hAnsi="Arial Narrow" w:cs="Arial"/>
                <w:i/>
                <w:sz w:val="18"/>
                <w:szCs w:val="18"/>
                <w:lang w:eastAsia="en-AU"/>
              </w:rPr>
              <w:t>P</w:t>
            </w:r>
            <w:r w:rsidRPr="00537C3C">
              <w:rPr>
                <w:rFonts w:ascii="Arial Narrow" w:hAnsi="Arial Narrow" w:cs="Arial"/>
                <w:sz w:val="18"/>
                <w:szCs w:val="18"/>
                <w:lang w:eastAsia="en-AU"/>
              </w:rPr>
              <w:t xml:space="preserve"> = 0.42</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sz w:val="18"/>
              </w:rPr>
              <w:lastRenderedPageBreak/>
              <w:t xml:space="preserve">Additional </w:t>
            </w:r>
            <w:r w:rsidRPr="00BB76D8">
              <w:rPr>
                <w:rFonts w:ascii="Arial Narrow" w:hAnsi="Arial Narrow"/>
                <w:sz w:val="18"/>
              </w:rPr>
              <w:t>TP</w:t>
            </w:r>
            <w:r w:rsidRPr="00537C3C">
              <w:rPr>
                <w:rFonts w:ascii="Arial Narrow" w:hAnsi="Arial Narrow"/>
                <w:sz w:val="18"/>
              </w:rPr>
              <w:t>:</w:t>
            </w:r>
            <w:r w:rsidRPr="00BB76D8">
              <w:rPr>
                <w:rFonts w:ascii="Arial Narrow" w:hAnsi="Arial Narrow"/>
                <w:sz w:val="18"/>
              </w:rPr>
              <w:t>FP</w:t>
            </w:r>
            <w:r w:rsidRPr="00537C3C">
              <w:rPr>
                <w:rFonts w:ascii="Arial Narrow" w:hAnsi="Arial Narrow"/>
                <w:sz w:val="18"/>
              </w:rPr>
              <w:t xml:space="preserve"> 1:5.4. </w:t>
            </w:r>
            <w:r w:rsidRPr="00537C3C">
              <w:rPr>
                <w:rFonts w:ascii="Arial Narrow" w:hAnsi="Arial Narrow" w:cs="Arial"/>
                <w:sz w:val="18"/>
                <w:szCs w:val="18"/>
              </w:rPr>
              <w:t>Estimated difference in sensitivity = 5/139 = 3.6% (1.6–8.2). Estimated</w:t>
            </w:r>
            <w:r w:rsidRPr="00537C3C">
              <w:rPr>
                <w:rFonts w:ascii="Arial Narrow" w:hAnsi="Arial Narrow" w:cs="Arial"/>
                <w:sz w:val="18"/>
                <w:szCs w:val="18"/>
                <w:lang w:eastAsia="en-AU"/>
              </w:rPr>
              <w:t xml:space="preserve"> difference in </w:t>
            </w:r>
            <w:r w:rsidRPr="00BB76D8">
              <w:rPr>
                <w:rFonts w:ascii="Arial Narrow" w:hAnsi="Arial Narrow" w:cs="Arial"/>
                <w:sz w:val="18"/>
                <w:szCs w:val="18"/>
                <w:lang w:eastAsia="en-AU"/>
              </w:rPr>
              <w:t>FP</w:t>
            </w:r>
            <w:r w:rsidRPr="00537C3C">
              <w:rPr>
                <w:rFonts w:ascii="Arial Narrow" w:hAnsi="Arial Narrow" w:cs="Arial"/>
                <w:sz w:val="18"/>
                <w:szCs w:val="18"/>
                <w:lang w:eastAsia="en-AU"/>
              </w:rPr>
              <w:t>R = 27/9401 = 0.29% (0.20–0.42)</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 xml:space="preserve">Test threshold </w:t>
            </w:r>
            <w:r w:rsidRPr="00BB76D8">
              <w:rPr>
                <w:rFonts w:ascii="Arial Narrow" w:hAnsi="Arial Narrow" w:cs="Arial"/>
                <w:i/>
                <w:sz w:val="18"/>
                <w:szCs w:val="18"/>
              </w:rPr>
              <w:t>ASCUS</w:t>
            </w:r>
            <w:r w:rsidRPr="00537C3C">
              <w:rPr>
                <w:rFonts w:ascii="Arial Narrow" w:hAnsi="Arial Narrow" w:cs="Arial"/>
                <w:i/>
                <w:sz w:val="18"/>
                <w:szCs w:val="18"/>
              </w:rPr>
              <w:t xml:space="preserve">, including </w:t>
            </w:r>
            <w:r w:rsidRPr="00BB76D8">
              <w:rPr>
                <w:rFonts w:ascii="Arial Narrow" w:hAnsi="Arial Narrow" w:cs="Arial"/>
                <w:i/>
                <w:sz w:val="18"/>
                <w:szCs w:val="18"/>
              </w:rPr>
              <w:t>AGUS</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TPI</w:t>
            </w:r>
            <w:r w:rsidRPr="00537C3C">
              <w:rPr>
                <w:rFonts w:ascii="Arial Narrow" w:hAnsi="Arial Narrow" w:cs="Arial"/>
                <w:sz w:val="18"/>
                <w:szCs w:val="18"/>
              </w:rPr>
              <w:t xml:space="preserve"> = 137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TPM</w:t>
            </w:r>
            <w:r w:rsidRPr="00537C3C">
              <w:rPr>
                <w:rFonts w:ascii="Arial Narrow" w:hAnsi="Arial Narrow" w:cs="Arial"/>
                <w:sz w:val="18"/>
                <w:szCs w:val="18"/>
              </w:rPr>
              <w:t xml:space="preserve"> = 132 </w:t>
            </w:r>
            <w:r w:rsidRPr="00BB76D8">
              <w:rPr>
                <w:rFonts w:ascii="Arial Narrow" w:hAnsi="Arial Narrow" w:cs="Arial"/>
                <w:sz w:val="18"/>
                <w:szCs w:val="18"/>
              </w:rPr>
              <w:t>TP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identified additional 5 </w:t>
            </w:r>
            <w:r w:rsidRPr="00BB76D8">
              <w:rPr>
                <w:rFonts w:ascii="Arial Narrow" w:hAnsi="Arial Narrow" w:cs="Arial"/>
                <w:sz w:val="18"/>
                <w:szCs w:val="18"/>
              </w:rPr>
              <w:t>TP</w:t>
            </w:r>
            <w:r w:rsidRPr="00537C3C">
              <w:rPr>
                <w:rFonts w:ascii="Arial Narrow" w:hAnsi="Arial Narrow" w:cs="Arial"/>
                <w:sz w:val="18"/>
                <w:szCs w:val="18"/>
              </w:rPr>
              <w:t xml:space="preserve">s over </w:t>
            </w:r>
            <w:r w:rsidRPr="00BB76D8">
              <w:rPr>
                <w:rFonts w:ascii="Arial Narrow" w:hAnsi="Arial Narrow" w:cs="Arial"/>
                <w:sz w:val="18"/>
                <w:szCs w:val="18"/>
              </w:rPr>
              <w:t>TPM</w:t>
            </w:r>
            <w:r w:rsidRPr="00537C3C">
              <w:rPr>
                <w:rFonts w:ascii="Arial Narrow" w:hAnsi="Arial Narrow" w:cs="Arial"/>
                <w:sz w:val="18"/>
                <w:szCs w:val="18"/>
              </w:rPr>
              <w:t xml:space="preserve">; additional 0.47 cases per 1000 women screened. </w:t>
            </w:r>
            <w:r w:rsidRPr="00BB76D8">
              <w:rPr>
                <w:rFonts w:ascii="Arial Narrow" w:hAnsi="Arial Narrow" w:cs="Arial"/>
                <w:sz w:val="18"/>
                <w:szCs w:val="18"/>
              </w:rPr>
              <w:t>TPI</w:t>
            </w:r>
            <w:r w:rsidRPr="00537C3C">
              <w:rPr>
                <w:rFonts w:ascii="Arial Narrow" w:hAnsi="Arial Narrow" w:cs="Arial"/>
                <w:sz w:val="18"/>
                <w:szCs w:val="18"/>
              </w:rPr>
              <w:t xml:space="preserve"> = 624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TPM</w:t>
            </w:r>
            <w:r w:rsidRPr="00537C3C">
              <w:rPr>
                <w:rFonts w:ascii="Arial Narrow" w:hAnsi="Arial Narrow" w:cs="Arial"/>
                <w:sz w:val="18"/>
                <w:szCs w:val="18"/>
              </w:rPr>
              <w:t xml:space="preserve"> = 598 </w:t>
            </w:r>
            <w:r w:rsidRPr="00BB76D8">
              <w:rPr>
                <w:rFonts w:ascii="Arial Narrow" w:hAnsi="Arial Narrow" w:cs="Arial"/>
                <w:sz w:val="18"/>
                <w:szCs w:val="18"/>
              </w:rPr>
              <w:t>FP</w:t>
            </w:r>
            <w:r w:rsidRPr="00537C3C">
              <w:rPr>
                <w:rFonts w:ascii="Arial Narrow" w:hAnsi="Arial Narrow" w:cs="Arial"/>
                <w:sz w:val="18"/>
                <w:szCs w:val="18"/>
              </w:rPr>
              <w:t xml:space="preserve">s. </w:t>
            </w:r>
            <w:r w:rsidRPr="00BB76D8">
              <w:rPr>
                <w:rFonts w:ascii="Arial Narrow" w:hAnsi="Arial Narrow" w:cs="Arial"/>
                <w:sz w:val="18"/>
                <w:szCs w:val="18"/>
              </w:rPr>
              <w:t>TPI</w:t>
            </w:r>
            <w:r w:rsidRPr="00537C3C">
              <w:rPr>
                <w:rFonts w:ascii="Arial Narrow" w:hAnsi="Arial Narrow" w:cs="Arial"/>
                <w:sz w:val="18"/>
                <w:szCs w:val="18"/>
              </w:rPr>
              <w:t xml:space="preserve"> identified additional 26 </w:t>
            </w:r>
            <w:r w:rsidRPr="00BB76D8">
              <w:rPr>
                <w:rFonts w:ascii="Arial Narrow" w:hAnsi="Arial Narrow" w:cs="Arial"/>
                <w:sz w:val="18"/>
                <w:szCs w:val="18"/>
              </w:rPr>
              <w:t>FP</w:t>
            </w:r>
            <w:r w:rsidRPr="00537C3C">
              <w:rPr>
                <w:rFonts w:ascii="Arial Narrow" w:hAnsi="Arial Narrow" w:cs="Arial"/>
                <w:sz w:val="18"/>
                <w:szCs w:val="18"/>
              </w:rPr>
              <w:t xml:space="preserve">s over </w:t>
            </w:r>
            <w:r w:rsidRPr="00BB76D8">
              <w:rPr>
                <w:rFonts w:ascii="Arial Narrow" w:hAnsi="Arial Narrow" w:cs="Arial"/>
                <w:sz w:val="18"/>
                <w:szCs w:val="18"/>
              </w:rPr>
              <w:t>TPM</w:t>
            </w:r>
            <w:r w:rsidRPr="00537C3C">
              <w:rPr>
                <w:rFonts w:ascii="Arial Narrow" w:hAnsi="Arial Narrow" w:cs="Arial"/>
                <w:sz w:val="18"/>
                <w:szCs w:val="18"/>
              </w:rPr>
              <w:t>; additional 2.42 per 1000 women screened.</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sz w:val="18"/>
              </w:rPr>
              <w:t xml:space="preserve">Additional </w:t>
            </w:r>
            <w:r w:rsidRPr="00BB76D8">
              <w:rPr>
                <w:rFonts w:ascii="Arial Narrow" w:hAnsi="Arial Narrow"/>
                <w:sz w:val="18"/>
              </w:rPr>
              <w:t>TP</w:t>
            </w:r>
            <w:r w:rsidRPr="00537C3C">
              <w:rPr>
                <w:rFonts w:ascii="Arial Narrow" w:hAnsi="Arial Narrow"/>
                <w:sz w:val="18"/>
              </w:rPr>
              <w:t>:</w:t>
            </w:r>
            <w:r w:rsidRPr="00BB76D8">
              <w:rPr>
                <w:rFonts w:ascii="Arial Narrow" w:hAnsi="Arial Narrow"/>
                <w:sz w:val="18"/>
              </w:rPr>
              <w:t>FP</w:t>
            </w:r>
            <w:r w:rsidRPr="00537C3C">
              <w:rPr>
                <w:rFonts w:ascii="Arial Narrow" w:hAnsi="Arial Narrow"/>
                <w:sz w:val="18"/>
              </w:rPr>
              <w:t xml:space="preserve"> 1:5.2</w:t>
            </w:r>
            <w:r w:rsidRPr="00537C3C">
              <w:rPr>
                <w:rFonts w:ascii="Arial Narrow" w:hAnsi="Arial Narrow" w:cs="Arial"/>
                <w:sz w:val="18"/>
                <w:szCs w:val="18"/>
                <w:lang w:eastAsia="en-AU"/>
              </w:rPr>
              <w:t>. Estimated difference in sensitivity = 5/139 = 3.6%.</w:t>
            </w:r>
            <w:r w:rsidRPr="00537C3C">
              <w:t xml:space="preserve"> </w:t>
            </w:r>
            <w:r w:rsidRPr="00537C3C">
              <w:rPr>
                <w:rFonts w:ascii="Arial Narrow" w:hAnsi="Arial Narrow" w:cs="Arial"/>
                <w:sz w:val="18"/>
                <w:szCs w:val="18"/>
                <w:lang w:eastAsia="en-AU"/>
              </w:rPr>
              <w:t xml:space="preserve">Estimated difference in </w:t>
            </w:r>
            <w:r w:rsidRPr="00BB76D8">
              <w:rPr>
                <w:rFonts w:ascii="Arial Narrow" w:hAnsi="Arial Narrow" w:cs="Arial"/>
                <w:sz w:val="18"/>
                <w:szCs w:val="18"/>
                <w:lang w:eastAsia="en-AU"/>
              </w:rPr>
              <w:t>FP</w:t>
            </w:r>
            <w:r w:rsidRPr="00537C3C">
              <w:rPr>
                <w:rFonts w:ascii="Arial Narrow" w:hAnsi="Arial Narrow" w:cs="Arial"/>
                <w:sz w:val="18"/>
                <w:szCs w:val="18"/>
                <w:lang w:eastAsia="en-AU"/>
              </w:rPr>
              <w:t>R = 26/9401 = 0.28%</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u w:val="single"/>
              </w:rPr>
            </w:pPr>
            <w:r w:rsidRPr="00537C3C">
              <w:rPr>
                <w:rFonts w:ascii="Arial Narrow" w:hAnsi="Arial Narrow" w:cs="Arial"/>
                <w:i/>
                <w:sz w:val="18"/>
                <w:szCs w:val="18"/>
              </w:rPr>
              <w:t xml:space="preserve">Reference standard </w:t>
            </w:r>
            <w:r w:rsidRPr="00BB76D8">
              <w:rPr>
                <w:rFonts w:ascii="Arial Narrow" w:hAnsi="Arial Narrow" w:cs="Arial"/>
                <w:i/>
                <w:sz w:val="18"/>
                <w:szCs w:val="18"/>
              </w:rPr>
              <w:t>AGUS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10 cases (ref std)</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sz w:val="18"/>
                <w:szCs w:val="18"/>
              </w:rPr>
              <w:t>TPI</w:t>
            </w:r>
            <w:r w:rsidRPr="00537C3C">
              <w:rPr>
                <w:rFonts w:ascii="Arial Narrow" w:hAnsi="Arial Narrow" w:cs="Arial"/>
                <w:sz w:val="18"/>
                <w:szCs w:val="18"/>
              </w:rPr>
              <w:t xml:space="preserve"> = 4 neg, 1 </w:t>
            </w:r>
            <w:r w:rsidRPr="00BB76D8">
              <w:rPr>
                <w:rFonts w:ascii="Arial Narrow" w:hAnsi="Arial Narrow" w:cs="Arial"/>
                <w:sz w:val="18"/>
                <w:szCs w:val="18"/>
              </w:rPr>
              <w:t>ASCUS</w:t>
            </w:r>
            <w:r w:rsidRPr="00537C3C">
              <w:rPr>
                <w:rFonts w:ascii="Arial Narrow" w:hAnsi="Arial Narrow" w:cs="Arial"/>
                <w:sz w:val="18"/>
                <w:szCs w:val="18"/>
              </w:rPr>
              <w:t xml:space="preserve">, 4 </w:t>
            </w:r>
            <w:r w:rsidRPr="00BB76D8">
              <w:rPr>
                <w:rFonts w:ascii="Arial Narrow" w:hAnsi="Arial Narrow" w:cs="Arial"/>
                <w:sz w:val="18"/>
                <w:szCs w:val="18"/>
              </w:rPr>
              <w:t>AGUS</w:t>
            </w:r>
            <w:r w:rsidRPr="00537C3C">
              <w:rPr>
                <w:rFonts w:ascii="Arial Narrow" w:hAnsi="Arial Narrow" w:cs="Arial"/>
                <w:sz w:val="18"/>
                <w:szCs w:val="18"/>
              </w:rPr>
              <w:t xml:space="preserve">, 1 </w:t>
            </w:r>
            <w:r w:rsidRPr="00BB76D8">
              <w:rPr>
                <w:rFonts w:ascii="Arial Narrow" w:hAnsi="Arial Narrow" w:cs="Arial"/>
                <w:sz w:val="18"/>
                <w:szCs w:val="18"/>
              </w:rPr>
              <w:t>SCC</w:t>
            </w:r>
            <w:r w:rsidRPr="00537C3C">
              <w:rPr>
                <w:rFonts w:ascii="Arial Narrow" w:hAnsi="Arial Narrow" w:cs="Arial"/>
                <w:sz w:val="18"/>
                <w:szCs w:val="18"/>
              </w:rPr>
              <w:t xml:space="preserve">. </w:t>
            </w:r>
            <w:r w:rsidRPr="00BB76D8">
              <w:rPr>
                <w:rFonts w:ascii="Arial Narrow" w:hAnsi="Arial Narrow" w:cs="Arial"/>
                <w:sz w:val="18"/>
                <w:szCs w:val="18"/>
              </w:rPr>
              <w:t>TPM</w:t>
            </w:r>
            <w:r w:rsidRPr="00537C3C">
              <w:rPr>
                <w:rFonts w:ascii="Arial Narrow" w:hAnsi="Arial Narrow" w:cs="Arial"/>
                <w:sz w:val="18"/>
                <w:szCs w:val="18"/>
              </w:rPr>
              <w:t xml:space="preserve"> = 2 neg, 2 </w:t>
            </w:r>
            <w:r w:rsidRPr="00BB76D8">
              <w:rPr>
                <w:rFonts w:ascii="Arial Narrow" w:hAnsi="Arial Narrow" w:cs="Arial"/>
                <w:sz w:val="18"/>
                <w:szCs w:val="18"/>
              </w:rPr>
              <w:t>ASCUS</w:t>
            </w:r>
            <w:r w:rsidRPr="00537C3C">
              <w:rPr>
                <w:rFonts w:ascii="Arial Narrow" w:hAnsi="Arial Narrow" w:cs="Arial"/>
                <w:sz w:val="18"/>
                <w:szCs w:val="18"/>
              </w:rPr>
              <w:t xml:space="preserve">, 3 </w:t>
            </w:r>
            <w:r w:rsidRPr="00BB76D8">
              <w:rPr>
                <w:rFonts w:ascii="Arial Narrow" w:hAnsi="Arial Narrow" w:cs="Arial"/>
                <w:sz w:val="18"/>
                <w:szCs w:val="18"/>
              </w:rPr>
              <w:t>AGUS</w:t>
            </w:r>
            <w:r w:rsidRPr="00537C3C">
              <w:rPr>
                <w:rFonts w:ascii="Arial Narrow" w:hAnsi="Arial Narrow" w:cs="Arial"/>
                <w:sz w:val="18"/>
                <w:szCs w:val="18"/>
              </w:rPr>
              <w:t xml:space="preserve">, 1 </w:t>
            </w:r>
            <w:r w:rsidRPr="00BB76D8">
              <w:rPr>
                <w:rFonts w:ascii="Arial Narrow" w:hAnsi="Arial Narrow" w:cs="Arial"/>
                <w:sz w:val="18"/>
                <w:szCs w:val="18"/>
              </w:rPr>
              <w:t>HSIL</w:t>
            </w:r>
            <w:r w:rsidRPr="00537C3C">
              <w:rPr>
                <w:rFonts w:ascii="Arial Narrow" w:hAnsi="Arial Narrow" w:cs="Arial"/>
                <w:sz w:val="18"/>
                <w:szCs w:val="18"/>
              </w:rPr>
              <w:t xml:space="preserve">, 1 </w:t>
            </w:r>
            <w:r w:rsidRPr="00BB76D8">
              <w:rPr>
                <w:rFonts w:ascii="Arial Narrow" w:hAnsi="Arial Narrow" w:cs="Arial"/>
                <w:sz w:val="18"/>
                <w:szCs w:val="18"/>
              </w:rPr>
              <w:t>SCC</w:t>
            </w:r>
            <w:r w:rsidRPr="00537C3C">
              <w:rPr>
                <w:rFonts w:ascii="Arial Narrow" w:hAnsi="Arial Narrow" w:cs="Arial"/>
                <w:sz w:val="18"/>
                <w:szCs w:val="18"/>
              </w:rPr>
              <w:t xml:space="preserve">.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 5 </w:t>
            </w:r>
            <w:r w:rsidRPr="00BB76D8">
              <w:rPr>
                <w:rFonts w:ascii="Arial Narrow" w:hAnsi="Arial Narrow" w:cs="Arial"/>
                <w:sz w:val="18"/>
                <w:szCs w:val="18"/>
                <w:lang w:eastAsia="en-AU"/>
              </w:rPr>
              <w:t>TP</w:t>
            </w:r>
            <w:r w:rsidRPr="00537C3C">
              <w:rPr>
                <w:rFonts w:ascii="Arial Narrow" w:hAnsi="Arial Narrow" w:cs="Arial"/>
                <w:sz w:val="18"/>
                <w:szCs w:val="18"/>
                <w:lang w:eastAsia="en-AU"/>
              </w:rPr>
              <w:t xml:space="preserve">s, </w:t>
            </w:r>
            <w:r w:rsidRPr="00BB76D8">
              <w:rPr>
                <w:rFonts w:ascii="Arial Narrow" w:hAnsi="Arial Narrow" w:cs="Arial"/>
                <w:sz w:val="18"/>
                <w:szCs w:val="18"/>
                <w:lang w:eastAsia="en-AU"/>
              </w:rPr>
              <w:t>TPM</w:t>
            </w:r>
            <w:r w:rsidRPr="00537C3C">
              <w:rPr>
                <w:rFonts w:ascii="Arial Narrow" w:hAnsi="Arial Narrow" w:cs="Arial"/>
                <w:sz w:val="18"/>
                <w:szCs w:val="18"/>
                <w:lang w:eastAsia="en-AU"/>
              </w:rPr>
              <w:t xml:space="preserve"> = 5 </w:t>
            </w:r>
            <w:r w:rsidRPr="00BB76D8">
              <w:rPr>
                <w:rFonts w:ascii="Arial Narrow" w:hAnsi="Arial Narrow" w:cs="Arial"/>
                <w:sz w:val="18"/>
                <w:szCs w:val="18"/>
                <w:lang w:eastAsia="en-AU"/>
              </w:rPr>
              <w:t>TP</w:t>
            </w:r>
            <w:r w:rsidRPr="00537C3C">
              <w:rPr>
                <w:rFonts w:ascii="Arial Narrow" w:hAnsi="Arial Narrow" w:cs="Arial"/>
                <w:sz w:val="18"/>
                <w:szCs w:val="18"/>
                <w:lang w:eastAsia="en-AU"/>
              </w:rPr>
              <w:t xml:space="preserve">s.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w:t>
            </w:r>
            <w:r w:rsidRPr="00537C3C">
              <w:rPr>
                <w:rFonts w:ascii="Arial Narrow" w:hAnsi="Arial Narrow" w:cs="Arial"/>
                <w:sz w:val="18"/>
                <w:szCs w:val="18"/>
              </w:rPr>
              <w:t>identified</w:t>
            </w:r>
            <w:r w:rsidRPr="00537C3C">
              <w:rPr>
                <w:rFonts w:ascii="Arial Narrow" w:hAnsi="Arial Narrow" w:cs="Arial"/>
                <w:sz w:val="18"/>
                <w:szCs w:val="18"/>
                <w:lang w:eastAsia="en-AU"/>
              </w:rPr>
              <w:t xml:space="preserve"> 0 additional </w:t>
            </w:r>
            <w:r w:rsidRPr="00BB76D8">
              <w:rPr>
                <w:rFonts w:ascii="Arial Narrow" w:hAnsi="Arial Narrow" w:cs="Arial"/>
                <w:sz w:val="18"/>
                <w:szCs w:val="18"/>
                <w:lang w:eastAsia="en-AU"/>
              </w:rPr>
              <w:t>TP</w:t>
            </w:r>
            <w:r w:rsidRPr="00537C3C">
              <w:rPr>
                <w:rFonts w:ascii="Arial Narrow" w:hAnsi="Arial Narrow" w:cs="Arial"/>
                <w:sz w:val="18"/>
                <w:szCs w:val="18"/>
                <w:lang w:eastAsia="en-AU"/>
              </w:rPr>
              <w:t>s</w:t>
            </w:r>
          </w:p>
          <w:p w:rsidR="00234376" w:rsidRPr="00537C3C" w:rsidRDefault="00234376" w:rsidP="008E03A7">
            <w:pPr>
              <w:spacing w:before="40" w:after="0"/>
              <w:ind w:left="0"/>
              <w:rPr>
                <w:rFonts w:ascii="Arial Narrow" w:hAnsi="Arial Narrow" w:cs="Arial"/>
                <w:sz w:val="18"/>
                <w:szCs w:val="18"/>
                <w:u w:val="single"/>
                <w:lang w:eastAsia="en-AU"/>
              </w:rPr>
            </w:pPr>
          </w:p>
          <w:p w:rsidR="00234376" w:rsidRPr="00537C3C" w:rsidRDefault="00234376" w:rsidP="008E03A7">
            <w:pPr>
              <w:spacing w:before="40" w:after="0"/>
              <w:ind w:left="0"/>
              <w:rPr>
                <w:rFonts w:ascii="Arial Narrow" w:hAnsi="Arial Narrow" w:cs="Arial"/>
                <w:i/>
                <w:sz w:val="18"/>
                <w:szCs w:val="18"/>
                <w:lang w:eastAsia="en-AU"/>
              </w:rPr>
            </w:pPr>
            <w:r w:rsidRPr="00537C3C">
              <w:rPr>
                <w:rFonts w:ascii="Arial Narrow" w:hAnsi="Arial Narrow" w:cs="Arial"/>
                <w:i/>
                <w:sz w:val="18"/>
                <w:szCs w:val="18"/>
                <w:lang w:eastAsia="en-AU"/>
              </w:rPr>
              <w:t>FNs:</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rPr>
              <w:t xml:space="preserve">Of 428 concordant neg undergoing ref std, 3 (0.7%) were adjudicated as </w:t>
            </w:r>
            <w:r w:rsidRPr="00BB76D8">
              <w:rPr>
                <w:rFonts w:ascii="Arial Narrow" w:hAnsi="Arial Narrow" w:cs="Arial"/>
                <w:sz w:val="18"/>
                <w:szCs w:val="18"/>
              </w:rPr>
              <w:t>ASCUS</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lang w:eastAsia="en-AU"/>
              </w:rPr>
              <w:t xml:space="preserve">Discordant </w:t>
            </w:r>
            <w:r w:rsidRPr="00BB76D8">
              <w:rPr>
                <w:rFonts w:ascii="Arial Narrow" w:hAnsi="Arial Narrow" w:cs="Arial"/>
                <w:sz w:val="18"/>
                <w:szCs w:val="18"/>
                <w:lang w:eastAsia="en-AU"/>
              </w:rPr>
              <w:t>FN</w:t>
            </w:r>
            <w:r w:rsidRPr="00537C3C">
              <w:rPr>
                <w:rFonts w:ascii="Arial Narrow" w:hAnsi="Arial Narrow" w:cs="Arial"/>
                <w:sz w:val="18"/>
                <w:szCs w:val="18"/>
                <w:lang w:eastAsia="en-AU"/>
              </w:rPr>
              <w:t xml:space="preserve">s: 68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112 </w:t>
            </w:r>
            <w:r w:rsidRPr="00BB76D8">
              <w:rPr>
                <w:rFonts w:ascii="Arial Narrow" w:hAnsi="Arial Narrow" w:cs="Arial"/>
                <w:sz w:val="18"/>
                <w:szCs w:val="18"/>
                <w:lang w:eastAsia="en-AU"/>
              </w:rPr>
              <w:t>TPM</w:t>
            </w:r>
          </w:p>
          <w:p w:rsidR="00234376" w:rsidRPr="00537C3C" w:rsidRDefault="00234376" w:rsidP="008E03A7">
            <w:pPr>
              <w:spacing w:before="40" w:after="0"/>
              <w:ind w:left="0"/>
              <w:rPr>
                <w:rFonts w:ascii="Arial Narrow" w:hAnsi="Arial Narrow" w:cs="Arial"/>
                <w:sz w:val="18"/>
                <w:szCs w:val="18"/>
                <w:lang w:eastAsia="en-AU"/>
              </w:rPr>
            </w:pPr>
          </w:p>
          <w:p w:rsidR="00234376" w:rsidRPr="00537C3C" w:rsidRDefault="00234376" w:rsidP="008E03A7">
            <w:pPr>
              <w:spacing w:before="40" w:after="0"/>
              <w:ind w:left="0"/>
              <w:rPr>
                <w:rFonts w:ascii="Arial Narrow" w:hAnsi="Arial Narrow" w:cs="Arial"/>
                <w:i/>
                <w:sz w:val="18"/>
                <w:szCs w:val="18"/>
                <w:lang w:eastAsia="en-AU"/>
              </w:rPr>
            </w:pPr>
            <w:r w:rsidRPr="00537C3C">
              <w:rPr>
                <w:rFonts w:ascii="Arial Narrow" w:hAnsi="Arial Narrow" w:cs="Arial"/>
                <w:sz w:val="18"/>
                <w:szCs w:val="18"/>
                <w:u w:val="single"/>
              </w:rPr>
              <w:t xml:space="preserve">Accuracy for </w:t>
            </w:r>
            <w:r w:rsidRPr="00BB76D8">
              <w:rPr>
                <w:rFonts w:ascii="Arial Narrow" w:hAnsi="Arial Narrow" w:cs="Arial"/>
                <w:sz w:val="18"/>
                <w:szCs w:val="18"/>
                <w:u w:val="single"/>
              </w:rPr>
              <w:t>LSIL</w:t>
            </w:r>
            <w:r w:rsidRPr="00537C3C">
              <w:rPr>
                <w:rFonts w:ascii="Arial Narrow" w:hAnsi="Arial Narrow" w:cs="Arial"/>
                <w:sz w:val="18"/>
                <w:szCs w:val="18"/>
                <w:u w:val="single"/>
              </w:rPr>
              <w:t>+</w:t>
            </w:r>
            <w:r w:rsidRPr="00537C3C">
              <w:rPr>
                <w:rFonts w:ascii="Arial Narrow" w:hAnsi="Arial Narrow" w:cs="Arial"/>
                <w:sz w:val="18"/>
                <w:szCs w:val="18"/>
                <w:u w:val="single"/>
              </w:rPr>
              <w:br/>
            </w:r>
            <w:r w:rsidRPr="00537C3C">
              <w:rPr>
                <w:rFonts w:ascii="Arial Narrow" w:hAnsi="Arial Narrow" w:cs="Arial"/>
                <w:i/>
                <w:sz w:val="18"/>
                <w:szCs w:val="18"/>
              </w:rPr>
              <w:t xml:space="preserve">Sensitivity, specificity (95% </w:t>
            </w:r>
            <w:r w:rsidRPr="00BB76D8">
              <w:rPr>
                <w:rFonts w:ascii="Arial Narrow" w:hAnsi="Arial Narrow" w:cs="Arial"/>
                <w:i/>
                <w:sz w:val="18"/>
                <w:szCs w:val="18"/>
              </w:rPr>
              <w:t>CI</w:t>
            </w:r>
            <w:r w:rsidRPr="00537C3C">
              <w:rPr>
                <w:rFonts w:ascii="Arial Narrow" w:hAnsi="Arial Narrow" w:cs="Arial"/>
                <w:i/>
                <w:sz w:val="18"/>
                <w:szCs w:val="18"/>
              </w:rPr>
              <w:t xml:space="preserve">), test threshold </w:t>
            </w:r>
            <w:r w:rsidRPr="00BB76D8">
              <w:rPr>
                <w:rFonts w:ascii="Arial Narrow" w:hAnsi="Arial Narrow" w:cs="Arial"/>
                <w:i/>
                <w:sz w:val="18"/>
                <w:szCs w:val="18"/>
              </w:rPr>
              <w:t>LSIL</w:t>
            </w:r>
            <w:r w:rsidRPr="00537C3C">
              <w:rPr>
                <w:rFonts w:ascii="Arial Narrow" w:hAnsi="Arial Narrow" w:cs="Arial"/>
                <w:i/>
                <w:sz w:val="18"/>
                <w:szCs w:val="18"/>
              </w:rPr>
              <w:t>+:</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lang w:eastAsia="en-AU"/>
              </w:rPr>
              <w:t>TPM</w:t>
            </w:r>
            <w:r w:rsidRPr="00537C3C">
              <w:rPr>
                <w:rFonts w:ascii="Arial Narrow" w:hAnsi="Arial Narrow" w:cs="Arial"/>
                <w:sz w:val="18"/>
                <w:szCs w:val="18"/>
                <w:lang w:eastAsia="en-AU"/>
              </w:rPr>
              <w:t xml:space="preserve">: Se 79.7% (75.3%–83.7%), Sp 99.0% (98.8%–99.2%).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Se 79.2% (74.7%–83.2%), Sp 99.1% (98.9%–99.3%). Difference: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Se –0.5% (–5.0% to +4.0%), Sp +0.09% (–0.1% to +0.3%)</w:t>
            </w:r>
          </w:p>
          <w:p w:rsidR="00234376" w:rsidRPr="00537C3C" w:rsidRDefault="00234376" w:rsidP="008E03A7">
            <w:pPr>
              <w:spacing w:before="40" w:after="0"/>
              <w:ind w:left="0"/>
              <w:rPr>
                <w:rFonts w:ascii="Arial Narrow" w:hAnsi="Arial Narrow" w:cs="Arial"/>
                <w:i/>
                <w:sz w:val="18"/>
                <w:szCs w:val="18"/>
                <w:lang w:eastAsia="en-AU"/>
              </w:rPr>
            </w:pPr>
            <w:r w:rsidRPr="00537C3C">
              <w:rPr>
                <w:rFonts w:ascii="Arial Narrow" w:hAnsi="Arial Narrow" w:cs="Arial"/>
                <w:sz w:val="18"/>
                <w:szCs w:val="18"/>
                <w:u w:val="single"/>
              </w:rPr>
              <w:t xml:space="preserve">Accuracy for </w:t>
            </w:r>
            <w:r w:rsidRPr="00BB76D8">
              <w:rPr>
                <w:rFonts w:ascii="Arial Narrow" w:hAnsi="Arial Narrow" w:cs="Arial"/>
                <w:sz w:val="18"/>
                <w:szCs w:val="18"/>
                <w:u w:val="single"/>
              </w:rPr>
              <w:t>LSIL</w:t>
            </w:r>
            <w:r w:rsidRPr="00537C3C">
              <w:rPr>
                <w:rFonts w:ascii="Arial Narrow" w:hAnsi="Arial Narrow" w:cs="Arial"/>
                <w:sz w:val="18"/>
                <w:szCs w:val="18"/>
                <w:u w:val="single"/>
              </w:rPr>
              <w:t>+</w:t>
            </w:r>
            <w:r w:rsidRPr="00537C3C">
              <w:rPr>
                <w:rFonts w:ascii="Arial Narrow" w:hAnsi="Arial Narrow" w:cs="Arial"/>
                <w:sz w:val="18"/>
                <w:szCs w:val="18"/>
                <w:u w:val="single"/>
              </w:rPr>
              <w:br/>
            </w:r>
            <w:r w:rsidRPr="00537C3C">
              <w:rPr>
                <w:rFonts w:ascii="Arial Narrow" w:hAnsi="Arial Narrow" w:cs="Arial"/>
                <w:i/>
                <w:sz w:val="18"/>
                <w:szCs w:val="18"/>
              </w:rPr>
              <w:t xml:space="preserve">Sensitivity, specificity (95% </w:t>
            </w:r>
            <w:r w:rsidRPr="00BB76D8">
              <w:rPr>
                <w:rFonts w:ascii="Arial Narrow" w:hAnsi="Arial Narrow" w:cs="Arial"/>
                <w:i/>
                <w:sz w:val="18"/>
                <w:szCs w:val="18"/>
              </w:rPr>
              <w:t>CI</w:t>
            </w:r>
            <w:r w:rsidRPr="00537C3C">
              <w:rPr>
                <w:rFonts w:ascii="Arial Narrow" w:hAnsi="Arial Narrow" w:cs="Arial"/>
                <w:i/>
                <w:sz w:val="18"/>
                <w:szCs w:val="18"/>
              </w:rPr>
              <w:t xml:space="preserve">), test threshold </w:t>
            </w:r>
            <w:r w:rsidRPr="00BB76D8">
              <w:rPr>
                <w:rFonts w:ascii="Arial Narrow" w:hAnsi="Arial Narrow" w:cs="Arial"/>
                <w:i/>
                <w:sz w:val="18"/>
                <w:szCs w:val="18"/>
              </w:rPr>
              <w:t>ASCUS</w:t>
            </w:r>
            <w:r w:rsidRPr="00537C3C">
              <w:rPr>
                <w:rFonts w:ascii="Arial Narrow" w:hAnsi="Arial Narrow" w:cs="Arial"/>
                <w:i/>
                <w:sz w:val="18"/>
                <w:szCs w:val="18"/>
              </w:rPr>
              <w:t>+:</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sz w:val="18"/>
                <w:szCs w:val="18"/>
                <w:lang w:eastAsia="en-AU"/>
              </w:rPr>
              <w:t>TPM</w:t>
            </w:r>
            <w:r w:rsidRPr="00537C3C">
              <w:rPr>
                <w:rFonts w:ascii="Arial Narrow" w:hAnsi="Arial Narrow" w:cs="Arial"/>
                <w:sz w:val="18"/>
                <w:szCs w:val="18"/>
                <w:lang w:eastAsia="en-AU"/>
              </w:rPr>
              <w:t xml:space="preserve">: Se 75.6% (72.2%–78.8%), Sp 97.6% (97.2%–97.9%).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Se 82.0% (78.8%–84.8%), Sp 97.8% (97.4%–98.1%). Difference: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Se 6.4% (2.6%–10.0%), Sp +0.09% (–0.2% to +0.6%)</w:t>
            </w:r>
          </w:p>
          <w:p w:rsidR="00234376" w:rsidRPr="00537C3C" w:rsidRDefault="00234376" w:rsidP="008E03A7">
            <w:pPr>
              <w:pStyle w:val="TableTextCharCharChar"/>
              <w:rPr>
                <w:rFonts w:cs="Arial"/>
                <w:szCs w:val="18"/>
              </w:rPr>
            </w:pPr>
          </w:p>
          <w:p w:rsidR="00234376" w:rsidRPr="00537C3C" w:rsidRDefault="00234376" w:rsidP="008E03A7">
            <w:pPr>
              <w:pStyle w:val="TableTextCharCharChar"/>
              <w:rPr>
                <w:rFonts w:cs="Arial"/>
                <w:b/>
                <w:szCs w:val="18"/>
              </w:rPr>
            </w:pPr>
            <w:r w:rsidRPr="00537C3C">
              <w:rPr>
                <w:rFonts w:cs="Arial"/>
                <w:b/>
                <w:szCs w:val="18"/>
              </w:rPr>
              <w:t>Test characteristics</w:t>
            </w:r>
          </w:p>
          <w:p w:rsidR="00234376" w:rsidRPr="00537C3C" w:rsidRDefault="00234376" w:rsidP="008E03A7">
            <w:pPr>
              <w:pStyle w:val="TableTextCharCharChar"/>
              <w:rPr>
                <w:rFonts w:cs="Arial"/>
                <w:szCs w:val="18"/>
              </w:rPr>
            </w:pPr>
            <w:r w:rsidRPr="00537C3C">
              <w:rPr>
                <w:rFonts w:cs="Arial"/>
                <w:szCs w:val="18"/>
                <w:u w:val="single"/>
              </w:rPr>
              <w:t>Yield</w:t>
            </w:r>
            <w:r w:rsidRPr="00537C3C">
              <w:rPr>
                <w:rFonts w:cs="Arial"/>
                <w:szCs w:val="18"/>
              </w:rPr>
              <w:t xml:space="preserve">, excluding 10 </w:t>
            </w:r>
            <w:r w:rsidRPr="00BB76D8">
              <w:rPr>
                <w:rFonts w:cs="Arial"/>
                <w:szCs w:val="18"/>
              </w:rPr>
              <w:t>AGUS</w:t>
            </w:r>
            <w:r w:rsidRPr="00537C3C">
              <w:rPr>
                <w:rFonts w:cs="Arial"/>
                <w:szCs w:val="18"/>
              </w:rPr>
              <w:t xml:space="preserve"> cases</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i/>
                <w:sz w:val="18"/>
                <w:szCs w:val="18"/>
              </w:rPr>
              <w:t>SCC</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3, </w:t>
            </w:r>
            <w:r w:rsidRPr="00BB76D8">
              <w:rPr>
                <w:rFonts w:ascii="Arial Narrow" w:hAnsi="Arial Narrow" w:cs="Arial"/>
                <w:sz w:val="18"/>
                <w:szCs w:val="18"/>
              </w:rPr>
              <w:t>TPM</w:t>
            </w:r>
            <w:r w:rsidRPr="00537C3C">
              <w:rPr>
                <w:rFonts w:ascii="Arial Narrow" w:hAnsi="Arial Narrow" w:cs="Arial"/>
                <w:sz w:val="18"/>
                <w:szCs w:val="18"/>
              </w:rPr>
              <w:t xml:space="preserve"> 5; </w:t>
            </w:r>
            <w:r w:rsidRPr="00BB76D8">
              <w:rPr>
                <w:rFonts w:ascii="Arial Narrow" w:hAnsi="Arial Narrow" w:cs="Arial"/>
                <w:i/>
                <w:sz w:val="18"/>
                <w:szCs w:val="18"/>
              </w:rPr>
              <w:t>HSIL</w:t>
            </w:r>
            <w:r w:rsidRPr="00537C3C">
              <w:rPr>
                <w:rFonts w:ascii="Arial Narrow" w:hAnsi="Arial Narrow" w:cs="Arial"/>
                <w:i/>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139, </w:t>
            </w:r>
            <w:r w:rsidRPr="00BB76D8">
              <w:rPr>
                <w:rFonts w:ascii="Arial Narrow" w:hAnsi="Arial Narrow" w:cs="Arial"/>
                <w:sz w:val="18"/>
                <w:szCs w:val="18"/>
              </w:rPr>
              <w:t>TPM</w:t>
            </w:r>
            <w:r w:rsidRPr="00537C3C">
              <w:rPr>
                <w:rFonts w:ascii="Arial Narrow" w:hAnsi="Arial Narrow" w:cs="Arial"/>
                <w:sz w:val="18"/>
                <w:szCs w:val="18"/>
              </w:rPr>
              <w:t xml:space="preserve"> 147; </w:t>
            </w:r>
            <w:r w:rsidRPr="00BB76D8">
              <w:rPr>
                <w:rFonts w:ascii="Arial Narrow" w:hAnsi="Arial Narrow" w:cs="Arial"/>
                <w:i/>
                <w:sz w:val="18"/>
                <w:szCs w:val="18"/>
              </w:rPr>
              <w:t>LSIL</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238, </w:t>
            </w:r>
            <w:r w:rsidRPr="00BB76D8">
              <w:rPr>
                <w:rFonts w:ascii="Arial Narrow" w:hAnsi="Arial Narrow" w:cs="Arial"/>
                <w:sz w:val="18"/>
                <w:szCs w:val="18"/>
              </w:rPr>
              <w:t>TPM</w:t>
            </w:r>
            <w:r w:rsidRPr="00537C3C">
              <w:rPr>
                <w:rFonts w:ascii="Arial Narrow" w:hAnsi="Arial Narrow" w:cs="Arial"/>
                <w:sz w:val="18"/>
                <w:szCs w:val="18"/>
              </w:rPr>
              <w:t xml:space="preserve"> 236; </w:t>
            </w:r>
            <w:r w:rsidRPr="00BB76D8">
              <w:rPr>
                <w:rFonts w:ascii="Arial Narrow" w:hAnsi="Arial Narrow" w:cs="Arial"/>
                <w:i/>
                <w:sz w:val="18"/>
                <w:szCs w:val="18"/>
              </w:rPr>
              <w:t>AGUS</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6, </w:t>
            </w:r>
            <w:r w:rsidRPr="00BB76D8">
              <w:rPr>
                <w:rFonts w:ascii="Arial Narrow" w:hAnsi="Arial Narrow" w:cs="Arial"/>
                <w:sz w:val="18"/>
                <w:szCs w:val="18"/>
              </w:rPr>
              <w:t>TPM</w:t>
            </w:r>
            <w:r w:rsidRPr="00537C3C">
              <w:rPr>
                <w:rFonts w:ascii="Arial Narrow" w:hAnsi="Arial Narrow" w:cs="Arial"/>
                <w:sz w:val="18"/>
                <w:szCs w:val="18"/>
              </w:rPr>
              <w:t xml:space="preserve"> 9; </w:t>
            </w:r>
            <w:r w:rsidRPr="00BB76D8">
              <w:rPr>
                <w:rFonts w:ascii="Arial Narrow" w:hAnsi="Arial Narrow" w:cs="Arial"/>
                <w:i/>
                <w:sz w:val="18"/>
                <w:szCs w:val="18"/>
              </w:rPr>
              <w:t>ASCUS</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374, </w:t>
            </w:r>
            <w:r w:rsidRPr="00BB76D8">
              <w:rPr>
                <w:rFonts w:ascii="Arial Narrow" w:hAnsi="Arial Narrow" w:cs="Arial"/>
                <w:sz w:val="18"/>
                <w:szCs w:val="18"/>
              </w:rPr>
              <w:t>TPM</w:t>
            </w:r>
            <w:r w:rsidRPr="00537C3C">
              <w:rPr>
                <w:rFonts w:ascii="Arial Narrow" w:hAnsi="Arial Narrow" w:cs="Arial"/>
                <w:sz w:val="18"/>
                <w:szCs w:val="18"/>
              </w:rPr>
              <w:t xml:space="preserve"> 334</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pStyle w:val="TableTextCharCharChar"/>
              <w:rPr>
                <w:rFonts w:cs="Arial"/>
                <w:szCs w:val="18"/>
              </w:rPr>
            </w:pPr>
            <w:r w:rsidRPr="00537C3C">
              <w:rPr>
                <w:rFonts w:cs="Arial"/>
                <w:szCs w:val="18"/>
                <w:u w:val="single"/>
              </w:rPr>
              <w:t>Yield</w:t>
            </w:r>
            <w:r w:rsidRPr="00234376">
              <w:rPr>
                <w:rFonts w:cs="Arial"/>
                <w:szCs w:val="18"/>
              </w:rPr>
              <w:t xml:space="preserve"> </w:t>
            </w:r>
            <w:r w:rsidRPr="00537C3C">
              <w:rPr>
                <w:rFonts w:cs="Arial"/>
                <w:szCs w:val="18"/>
              </w:rPr>
              <w:t xml:space="preserve">(% x/9627), including </w:t>
            </w:r>
            <w:r w:rsidRPr="00BB76D8">
              <w:rPr>
                <w:rFonts w:cs="Arial"/>
                <w:szCs w:val="18"/>
              </w:rPr>
              <w:t>AGUS</w:t>
            </w:r>
            <w:r w:rsidRPr="00537C3C">
              <w:rPr>
                <w:rFonts w:cs="Arial"/>
                <w:szCs w:val="18"/>
              </w:rPr>
              <w:t xml:space="preserve"> cases</w:t>
            </w:r>
          </w:p>
          <w:p w:rsidR="00234376" w:rsidRPr="00537C3C" w:rsidRDefault="00234376" w:rsidP="008E03A7">
            <w:pPr>
              <w:tabs>
                <w:tab w:val="left" w:pos="3105"/>
              </w:tabs>
              <w:spacing w:before="40" w:after="0"/>
              <w:ind w:left="0"/>
              <w:rPr>
                <w:rFonts w:ascii="Arial Narrow" w:hAnsi="Arial Narrow" w:cs="Arial"/>
                <w:sz w:val="18"/>
                <w:szCs w:val="18"/>
              </w:rPr>
            </w:pPr>
            <w:r w:rsidRPr="00BB76D8">
              <w:rPr>
                <w:rFonts w:ascii="Arial Narrow" w:hAnsi="Arial Narrow" w:cs="Arial"/>
                <w:i/>
                <w:sz w:val="18"/>
                <w:szCs w:val="18"/>
              </w:rPr>
              <w:t>SCC</w:t>
            </w:r>
            <w:r w:rsidRPr="00537C3C">
              <w:rPr>
                <w:rFonts w:ascii="Arial Narrow" w:hAnsi="Arial Narrow" w:cs="Arial"/>
                <w:i/>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4 (0.04%), </w:t>
            </w:r>
            <w:r w:rsidRPr="00BB76D8">
              <w:rPr>
                <w:rFonts w:ascii="Arial Narrow" w:hAnsi="Arial Narrow" w:cs="Arial"/>
                <w:sz w:val="18"/>
                <w:szCs w:val="18"/>
              </w:rPr>
              <w:t>TPM</w:t>
            </w:r>
            <w:r w:rsidRPr="00537C3C">
              <w:rPr>
                <w:rFonts w:ascii="Arial Narrow" w:hAnsi="Arial Narrow" w:cs="Arial"/>
                <w:sz w:val="18"/>
                <w:szCs w:val="18"/>
              </w:rPr>
              <w:t xml:space="preserve"> 6 (0.06%); </w:t>
            </w:r>
            <w:r w:rsidRPr="00BB76D8">
              <w:rPr>
                <w:rFonts w:ascii="Arial Narrow" w:hAnsi="Arial Narrow" w:cs="Arial"/>
                <w:i/>
                <w:sz w:val="18"/>
                <w:szCs w:val="18"/>
              </w:rPr>
              <w:t>HSIL</w:t>
            </w:r>
            <w:r w:rsidRPr="00537C3C">
              <w:rPr>
                <w:rFonts w:ascii="Arial Narrow" w:hAnsi="Arial Narrow" w:cs="Arial"/>
                <w:i/>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139 (1.44), </w:t>
            </w:r>
            <w:r w:rsidRPr="00BB76D8">
              <w:rPr>
                <w:rFonts w:ascii="Arial Narrow" w:hAnsi="Arial Narrow" w:cs="Arial"/>
                <w:sz w:val="18"/>
                <w:szCs w:val="18"/>
              </w:rPr>
              <w:t>TPM</w:t>
            </w:r>
            <w:r w:rsidRPr="00537C3C">
              <w:rPr>
                <w:rFonts w:ascii="Arial Narrow" w:hAnsi="Arial Narrow" w:cs="Arial"/>
                <w:sz w:val="18"/>
                <w:szCs w:val="18"/>
              </w:rPr>
              <w:t xml:space="preserve"> 148 (1.54); </w:t>
            </w:r>
            <w:r w:rsidRPr="00BB76D8">
              <w:rPr>
                <w:rFonts w:ascii="Arial Narrow" w:hAnsi="Arial Narrow" w:cs="Arial"/>
                <w:i/>
                <w:sz w:val="18"/>
                <w:szCs w:val="18"/>
              </w:rPr>
              <w:t>LSIL</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238 (2.47), </w:t>
            </w:r>
            <w:r w:rsidRPr="00BB76D8">
              <w:rPr>
                <w:rFonts w:ascii="Arial Narrow" w:hAnsi="Arial Narrow" w:cs="Arial"/>
                <w:sz w:val="18"/>
                <w:szCs w:val="18"/>
              </w:rPr>
              <w:t>TPM</w:t>
            </w:r>
            <w:r w:rsidRPr="00537C3C">
              <w:rPr>
                <w:rFonts w:ascii="Arial Narrow" w:hAnsi="Arial Narrow" w:cs="Arial"/>
                <w:sz w:val="18"/>
                <w:szCs w:val="18"/>
              </w:rPr>
              <w:t xml:space="preserve"> 236 (2.45); </w:t>
            </w:r>
            <w:r w:rsidRPr="00BB76D8">
              <w:rPr>
                <w:rFonts w:ascii="Arial Narrow" w:hAnsi="Arial Narrow" w:cs="Arial"/>
                <w:i/>
                <w:sz w:val="18"/>
                <w:szCs w:val="18"/>
              </w:rPr>
              <w:t>AGUS</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10 (0.10), </w:t>
            </w:r>
            <w:r w:rsidRPr="00BB76D8">
              <w:rPr>
                <w:rFonts w:ascii="Arial Narrow" w:hAnsi="Arial Narrow" w:cs="Arial"/>
                <w:sz w:val="18"/>
                <w:szCs w:val="18"/>
              </w:rPr>
              <w:t>TPM</w:t>
            </w:r>
            <w:r w:rsidRPr="00537C3C">
              <w:rPr>
                <w:rFonts w:ascii="Arial Narrow" w:hAnsi="Arial Narrow" w:cs="Arial"/>
                <w:sz w:val="18"/>
                <w:szCs w:val="18"/>
              </w:rPr>
              <w:t xml:space="preserve"> 12 (0.12); </w:t>
            </w:r>
            <w:r w:rsidRPr="00BB76D8">
              <w:rPr>
                <w:rFonts w:ascii="Arial Narrow" w:hAnsi="Arial Narrow" w:cs="Arial"/>
                <w:i/>
                <w:sz w:val="18"/>
                <w:szCs w:val="18"/>
              </w:rPr>
              <w:t>ASCUS</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375 (3.90), </w:t>
            </w:r>
            <w:r w:rsidRPr="00BB76D8">
              <w:rPr>
                <w:rFonts w:ascii="Arial Narrow" w:hAnsi="Arial Narrow" w:cs="Arial"/>
                <w:sz w:val="18"/>
                <w:szCs w:val="18"/>
              </w:rPr>
              <w:t>TPM</w:t>
            </w:r>
            <w:r w:rsidRPr="00537C3C">
              <w:rPr>
                <w:rFonts w:ascii="Arial Narrow" w:hAnsi="Arial Narrow" w:cs="Arial"/>
                <w:sz w:val="18"/>
                <w:szCs w:val="18"/>
              </w:rPr>
              <w:t xml:space="preserve"> 336 (3.49)</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u w:val="single"/>
              </w:rPr>
            </w:pPr>
            <w:r w:rsidRPr="00537C3C">
              <w:rPr>
                <w:rFonts w:ascii="Arial Narrow" w:hAnsi="Arial Narrow" w:cs="Arial"/>
                <w:sz w:val="18"/>
                <w:szCs w:val="18"/>
                <w:u w:val="single"/>
              </w:rPr>
              <w:t>Process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Not processed:</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 732/10 742 (6.8%)</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 xml:space="preserve">Unsatisfactory: </w:t>
            </w:r>
            <w:r w:rsidRPr="00BB76D8">
              <w:rPr>
                <w:rFonts w:ascii="Arial Narrow" w:hAnsi="Arial Narrow" w:cs="Arial"/>
                <w:sz w:val="18"/>
                <w:szCs w:val="18"/>
              </w:rPr>
              <w:t>TPI</w:t>
            </w:r>
            <w:r w:rsidRPr="00537C3C">
              <w:rPr>
                <w:rFonts w:ascii="Arial Narrow" w:hAnsi="Arial Narrow" w:cs="Arial"/>
                <w:sz w:val="18"/>
                <w:szCs w:val="18"/>
              </w:rPr>
              <w:t xml:space="preserve"> = 29/9627 (0.30%), </w:t>
            </w:r>
            <w:r w:rsidRPr="00BB76D8">
              <w:rPr>
                <w:rFonts w:ascii="Arial Narrow" w:hAnsi="Arial Narrow" w:cs="Arial"/>
                <w:sz w:val="18"/>
                <w:szCs w:val="18"/>
              </w:rPr>
              <w:t>TPM</w:t>
            </w:r>
            <w:r w:rsidRPr="00537C3C">
              <w:rPr>
                <w:rFonts w:ascii="Arial Narrow" w:hAnsi="Arial Narrow" w:cs="Arial"/>
                <w:sz w:val="18"/>
                <w:szCs w:val="18"/>
              </w:rPr>
              <w:t xml:space="preserve"> = 66/9627 (0.69%); </w:t>
            </w:r>
            <w:r w:rsidRPr="00BB76D8">
              <w:rPr>
                <w:rFonts w:ascii="Arial Narrow" w:hAnsi="Arial Narrow" w:cs="Arial"/>
                <w:sz w:val="18"/>
                <w:szCs w:val="18"/>
              </w:rPr>
              <w:t>TPI</w:t>
            </w:r>
            <w:r w:rsidRPr="00537C3C">
              <w:rPr>
                <w:rFonts w:ascii="Arial Narrow" w:hAnsi="Arial Narrow" w:cs="Arial"/>
                <w:sz w:val="18"/>
                <w:szCs w:val="18"/>
              </w:rPr>
              <w:t xml:space="preserve"> = 29/10 742 (0.27%), </w:t>
            </w:r>
            <w:r w:rsidRPr="00BB76D8">
              <w:rPr>
                <w:rFonts w:ascii="Arial Narrow" w:hAnsi="Arial Narrow" w:cs="Arial"/>
                <w:sz w:val="18"/>
                <w:szCs w:val="18"/>
              </w:rPr>
              <w:t>TPM</w:t>
            </w:r>
            <w:r w:rsidRPr="00537C3C">
              <w:rPr>
                <w:rFonts w:ascii="Arial Narrow" w:hAnsi="Arial Narrow" w:cs="Arial"/>
                <w:sz w:val="18"/>
                <w:szCs w:val="18"/>
              </w:rPr>
              <w:t xml:space="preserve"> 66/10 742 (0.61%)</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 xml:space="preserve">Satisfactory but limited by: </w:t>
            </w:r>
            <w:r w:rsidRPr="00BB76D8">
              <w:rPr>
                <w:rFonts w:ascii="Arial Narrow" w:hAnsi="Arial Narrow" w:cs="Arial"/>
                <w:sz w:val="18"/>
                <w:szCs w:val="18"/>
              </w:rPr>
              <w:t>TPI</w:t>
            </w:r>
            <w:r w:rsidRPr="00537C3C">
              <w:rPr>
                <w:rFonts w:ascii="Arial Narrow" w:hAnsi="Arial Narrow" w:cs="Arial"/>
                <w:sz w:val="18"/>
                <w:szCs w:val="18"/>
              </w:rPr>
              <w:t xml:space="preserve"> = 2252/9627 (23.4%), </w:t>
            </w:r>
            <w:r w:rsidRPr="00BB76D8">
              <w:rPr>
                <w:rFonts w:ascii="Arial Narrow" w:hAnsi="Arial Narrow" w:cs="Arial"/>
                <w:sz w:val="18"/>
                <w:szCs w:val="18"/>
              </w:rPr>
              <w:t>TPM</w:t>
            </w:r>
            <w:r w:rsidRPr="00537C3C">
              <w:rPr>
                <w:rFonts w:ascii="Arial Narrow" w:hAnsi="Arial Narrow" w:cs="Arial"/>
                <w:sz w:val="18"/>
                <w:szCs w:val="18"/>
              </w:rPr>
              <w:t xml:space="preserve"> = 2186/9627 (22.7%)</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 xml:space="preserve">Either of above: </w:t>
            </w:r>
            <w:r w:rsidRPr="00BB76D8">
              <w:rPr>
                <w:rFonts w:ascii="Arial Narrow" w:hAnsi="Arial Narrow" w:cs="Arial"/>
                <w:sz w:val="18"/>
                <w:szCs w:val="18"/>
              </w:rPr>
              <w:t>TPI</w:t>
            </w:r>
            <w:r w:rsidRPr="00537C3C">
              <w:rPr>
                <w:rFonts w:ascii="Arial Narrow" w:hAnsi="Arial Narrow" w:cs="Arial"/>
                <w:sz w:val="18"/>
                <w:szCs w:val="18"/>
              </w:rPr>
              <w:t xml:space="preserve"> = 23.7%, </w:t>
            </w:r>
            <w:r w:rsidRPr="00BB76D8">
              <w:rPr>
                <w:rFonts w:ascii="Arial Narrow" w:hAnsi="Arial Narrow" w:cs="Arial"/>
                <w:sz w:val="18"/>
                <w:szCs w:val="18"/>
              </w:rPr>
              <w:t>TPM</w:t>
            </w:r>
            <w:r w:rsidRPr="00537C3C">
              <w:rPr>
                <w:rFonts w:ascii="Arial Narrow" w:hAnsi="Arial Narrow" w:cs="Arial"/>
                <w:sz w:val="18"/>
                <w:szCs w:val="18"/>
              </w:rPr>
              <w:t xml:space="preserve"> = 23.4%</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u w:val="single"/>
                <w:lang w:eastAsia="en-AU"/>
              </w:rPr>
            </w:pPr>
            <w:r w:rsidRPr="00537C3C">
              <w:rPr>
                <w:rFonts w:ascii="Arial Narrow" w:hAnsi="Arial Narrow" w:cs="Arial"/>
                <w:sz w:val="18"/>
                <w:szCs w:val="18"/>
                <w:u w:val="single"/>
                <w:lang w:eastAsia="en-AU"/>
              </w:rPr>
              <w:t>Screening times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lang w:eastAsia="en-AU"/>
              </w:rPr>
              <w:t>Ave slides per 8-h day:</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 151, </w:t>
            </w:r>
            <w:r w:rsidRPr="00BB76D8">
              <w:rPr>
                <w:rFonts w:ascii="Arial Narrow" w:hAnsi="Arial Narrow" w:cs="Arial"/>
                <w:sz w:val="18"/>
                <w:szCs w:val="18"/>
              </w:rPr>
              <w:t>TPM</w:t>
            </w:r>
            <w:r w:rsidRPr="00537C3C">
              <w:rPr>
                <w:rFonts w:ascii="Arial Narrow" w:hAnsi="Arial Narrow" w:cs="Arial"/>
                <w:sz w:val="18"/>
                <w:szCs w:val="18"/>
              </w:rPr>
              <w:t xml:space="preserve"> = 72. </w:t>
            </w:r>
            <w:r w:rsidRPr="00537C3C">
              <w:rPr>
                <w:rFonts w:ascii="Arial Narrow" w:hAnsi="Arial Narrow" w:cs="Arial"/>
                <w:i/>
                <w:sz w:val="18"/>
                <w:szCs w:val="18"/>
              </w:rPr>
              <w:t>Ave screening time (mins):</w:t>
            </w:r>
            <w:r w:rsidRPr="00537C3C">
              <w:rPr>
                <w:rFonts w:ascii="Arial Narrow" w:hAnsi="Arial Narrow" w:cs="Arial"/>
                <w:sz w:val="18"/>
                <w:szCs w:val="18"/>
              </w:rPr>
              <w:t xml:space="preserve"> </w:t>
            </w:r>
            <w:r w:rsidRPr="00BB76D8">
              <w:rPr>
                <w:rFonts w:ascii="Arial Narrow" w:hAnsi="Arial Narrow" w:cs="Arial"/>
                <w:sz w:val="18"/>
                <w:szCs w:val="18"/>
              </w:rPr>
              <w:t>TPI</w:t>
            </w:r>
            <w:r w:rsidRPr="00537C3C">
              <w:rPr>
                <w:rFonts w:ascii="Arial Narrow" w:hAnsi="Arial Narrow" w:cs="Arial"/>
                <w:sz w:val="18"/>
                <w:szCs w:val="18"/>
              </w:rPr>
              <w:t xml:space="preserve"> = 3.2, </w:t>
            </w:r>
            <w:r w:rsidRPr="00BB76D8">
              <w:rPr>
                <w:rFonts w:ascii="Arial Narrow" w:hAnsi="Arial Narrow" w:cs="Arial"/>
                <w:sz w:val="18"/>
                <w:szCs w:val="18"/>
              </w:rPr>
              <w:t>TPM</w:t>
            </w:r>
            <w:r w:rsidRPr="00537C3C">
              <w:rPr>
                <w:rFonts w:ascii="Arial Narrow" w:hAnsi="Arial Narrow" w:cs="Arial"/>
                <w:sz w:val="18"/>
                <w:szCs w:val="18"/>
              </w:rPr>
              <w:t xml:space="preserve"> = 6.7</w:t>
            </w:r>
          </w:p>
        </w:tc>
      </w:tr>
      <w:tr w:rsidR="00234376" w:rsidRPr="00537C3C">
        <w:trPr>
          <w:gridAfter w:val="4"/>
          <w:wAfter w:w="458" w:type="dxa"/>
          <w:trHeight w:val="127"/>
        </w:trPr>
        <w:tc>
          <w:tcPr>
            <w:tcW w:w="1723"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20" w:after="40"/>
              <w:ind w:left="20"/>
              <w:rPr>
                <w:rFonts w:ascii="Arial Narrow" w:hAnsi="Arial Narrow" w:cs="Arial"/>
                <w:b/>
                <w:sz w:val="18"/>
                <w:szCs w:val="18"/>
              </w:rPr>
            </w:pPr>
            <w:r w:rsidRPr="00537C3C">
              <w:rPr>
                <w:rFonts w:ascii="Arial Narrow" w:hAnsi="Arial Narrow" w:cs="Arial"/>
                <w:b/>
                <w:sz w:val="18"/>
                <w:szCs w:val="18"/>
              </w:rPr>
              <w:lastRenderedPageBreak/>
              <w:t>Bolger et al. 2006</w:t>
            </w:r>
          </w:p>
          <w:p w:rsidR="00234376" w:rsidRPr="00537C3C" w:rsidRDefault="00234376" w:rsidP="008E03A7">
            <w:pPr>
              <w:spacing w:before="20" w:after="40"/>
              <w:ind w:left="20"/>
              <w:rPr>
                <w:rFonts w:ascii="Arial Narrow" w:hAnsi="Arial Narrow" w:cs="Arial"/>
                <w:sz w:val="18"/>
                <w:szCs w:val="18"/>
              </w:rPr>
            </w:pPr>
          </w:p>
          <w:p w:rsidR="00234376" w:rsidRPr="00537C3C" w:rsidRDefault="00234376" w:rsidP="008E03A7">
            <w:pPr>
              <w:spacing w:before="20" w:after="40"/>
              <w:ind w:left="20"/>
              <w:rPr>
                <w:rFonts w:ascii="Arial Narrow" w:hAnsi="Arial Narrow" w:cs="Arial"/>
                <w:sz w:val="18"/>
                <w:szCs w:val="18"/>
              </w:rPr>
            </w:pPr>
            <w:smartTag w:uri="urn:schemas-microsoft-com:office:smarttags" w:element="place">
              <w:smartTag w:uri="urn:schemas-microsoft-com:office:smarttags" w:element="country-region">
                <w:r w:rsidRPr="00537C3C">
                  <w:rPr>
                    <w:rFonts w:ascii="Arial Narrow" w:hAnsi="Arial Narrow" w:cs="Arial"/>
                    <w:sz w:val="18"/>
                    <w:szCs w:val="18"/>
                  </w:rPr>
                  <w:t>Ireland</w:t>
                </w:r>
              </w:smartTag>
            </w:smartTag>
          </w:p>
          <w:p w:rsidR="00234376" w:rsidRPr="00537C3C" w:rsidRDefault="00234376" w:rsidP="008E03A7">
            <w:pPr>
              <w:spacing w:before="20" w:after="40"/>
              <w:ind w:left="20"/>
              <w:rPr>
                <w:rFonts w:ascii="Arial Narrow" w:hAnsi="Arial Narrow" w:cs="Arial"/>
                <w:sz w:val="18"/>
                <w:szCs w:val="18"/>
              </w:rPr>
            </w:pPr>
            <w:r w:rsidRPr="00537C3C">
              <w:rPr>
                <w:rFonts w:ascii="Arial Narrow" w:hAnsi="Arial Narrow" w:cs="Arial"/>
                <w:sz w:val="18"/>
                <w:szCs w:val="18"/>
              </w:rPr>
              <w:t>1 clinical site</w:t>
            </w:r>
          </w:p>
          <w:p w:rsidR="00234376" w:rsidRPr="00537C3C" w:rsidRDefault="00234376" w:rsidP="008E03A7">
            <w:pPr>
              <w:spacing w:before="20" w:after="40"/>
              <w:ind w:left="20"/>
              <w:rPr>
                <w:rFonts w:ascii="Arial Narrow" w:hAnsi="Arial Narrow" w:cs="Arial"/>
                <w:sz w:val="18"/>
                <w:szCs w:val="18"/>
              </w:rPr>
            </w:pPr>
            <w:r w:rsidRPr="00537C3C">
              <w:rPr>
                <w:rFonts w:ascii="Arial Narrow" w:hAnsi="Arial Narrow" w:cs="Arial"/>
                <w:sz w:val="18"/>
                <w:szCs w:val="18"/>
              </w:rPr>
              <w:t>April 2004 – March 2005, second half of cases</w:t>
            </w:r>
          </w:p>
          <w:p w:rsidR="00234376" w:rsidRPr="00537C3C" w:rsidRDefault="00234376" w:rsidP="008E03A7">
            <w:pPr>
              <w:spacing w:before="20" w:after="40"/>
              <w:ind w:left="20"/>
              <w:rPr>
                <w:rFonts w:ascii="Arial Narrow" w:hAnsi="Arial Narrow" w:cs="Arial"/>
                <w:sz w:val="18"/>
                <w:szCs w:val="18"/>
              </w:rPr>
            </w:pPr>
          </w:p>
          <w:p w:rsidR="00234376" w:rsidRPr="00537C3C" w:rsidRDefault="00234376" w:rsidP="008E03A7">
            <w:pPr>
              <w:spacing w:before="20" w:after="40"/>
              <w:ind w:left="20"/>
              <w:rPr>
                <w:rFonts w:ascii="Arial Narrow" w:hAnsi="Arial Narrow" w:cs="Arial"/>
                <w:sz w:val="18"/>
                <w:szCs w:val="18"/>
              </w:rPr>
            </w:pPr>
            <w:r w:rsidRPr="0030078D">
              <w:rPr>
                <w:rFonts w:ascii="Arial Narrow" w:hAnsi="Arial Narrow" w:cs="Arial"/>
                <w:i/>
                <w:sz w:val="18"/>
                <w:szCs w:val="18"/>
              </w:rPr>
              <w:t>N</w:t>
            </w:r>
            <w:r w:rsidRPr="00537C3C">
              <w:rPr>
                <w:rFonts w:ascii="Arial Narrow" w:hAnsi="Arial Narrow" w:cs="Arial"/>
                <w:sz w:val="18"/>
                <w:szCs w:val="18"/>
              </w:rPr>
              <w:t xml:space="preserve"> = 6000</w:t>
            </w:r>
          </w:p>
        </w:tc>
        <w:tc>
          <w:tcPr>
            <w:tcW w:w="5459"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Objective:</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To compare </w:t>
            </w:r>
            <w:r w:rsidRPr="00BB76D8">
              <w:rPr>
                <w:rFonts w:ascii="Arial Narrow" w:hAnsi="Arial Narrow" w:cs="Arial"/>
                <w:sz w:val="18"/>
                <w:szCs w:val="18"/>
              </w:rPr>
              <w:t>TPI</w:t>
            </w:r>
            <w:r w:rsidRPr="00537C3C">
              <w:rPr>
                <w:rFonts w:ascii="Arial Narrow" w:hAnsi="Arial Narrow" w:cs="Arial"/>
                <w:sz w:val="18"/>
                <w:szCs w:val="18"/>
              </w:rPr>
              <w:t xml:space="preserve"> with manual screening of </w:t>
            </w:r>
            <w:r w:rsidRPr="00BB76D8">
              <w:rPr>
                <w:rFonts w:ascii="Arial Narrow" w:hAnsi="Arial Narrow" w:cs="Arial"/>
                <w:sz w:val="18"/>
                <w:szCs w:val="18"/>
              </w:rPr>
              <w:t>TP</w:t>
            </w:r>
            <w:r w:rsidRPr="00537C3C">
              <w:rPr>
                <w:rFonts w:ascii="Arial Narrow" w:hAnsi="Arial Narrow" w:cs="Arial"/>
                <w:sz w:val="18"/>
                <w:szCs w:val="18"/>
              </w:rPr>
              <w:t xml:space="preserve"> slides. Second study using </w:t>
            </w:r>
            <w:r w:rsidRPr="00BB76D8">
              <w:rPr>
                <w:rFonts w:ascii="Arial Narrow" w:hAnsi="Arial Narrow" w:cs="Arial"/>
                <w:sz w:val="18"/>
                <w:szCs w:val="18"/>
              </w:rPr>
              <w:t>TPI</w:t>
            </w:r>
            <w:r w:rsidRPr="00537C3C">
              <w:rPr>
                <w:rFonts w:ascii="Arial Narrow" w:hAnsi="Arial Narrow" w:cs="Arial"/>
                <w:sz w:val="18"/>
                <w:szCs w:val="18"/>
              </w:rPr>
              <w:t xml:space="preserve"> as in standard practice included in review</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Study design</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Prospective, paired, diagnostic accuracy study</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Index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TPI reading of ThinPrep </w:t>
            </w:r>
            <w:r w:rsidRPr="00BB76D8">
              <w:rPr>
                <w:rFonts w:ascii="Arial Narrow" w:hAnsi="Arial Narrow" w:cs="Arial"/>
                <w:sz w:val="18"/>
                <w:szCs w:val="18"/>
              </w:rPr>
              <w:t>LBC</w:t>
            </w:r>
            <w:r w:rsidRPr="00537C3C">
              <w:rPr>
                <w:rFonts w:ascii="Arial Narrow" w:hAnsi="Arial Narrow" w:cs="Arial"/>
                <w:sz w:val="18"/>
                <w:szCs w:val="18"/>
              </w:rPr>
              <w:t xml:space="preserve"> slides (± manual screening following </w:t>
            </w:r>
            <w:r w:rsidRPr="00BB76D8">
              <w:rPr>
                <w:rFonts w:ascii="Arial Narrow" w:hAnsi="Arial Narrow" w:cs="Arial"/>
                <w:sz w:val="18"/>
                <w:szCs w:val="18"/>
              </w:rPr>
              <w:t>FOV</w:t>
            </w:r>
            <w:r w:rsidRPr="00537C3C">
              <w:rPr>
                <w:rFonts w:ascii="Arial Narrow" w:hAnsi="Arial Narrow" w:cs="Arial"/>
                <w:sz w:val="18"/>
                <w:szCs w:val="18"/>
              </w:rPr>
              <w:t xml:space="preserve"> results)</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Comparator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Manual reading of ThinPrep </w:t>
            </w:r>
            <w:r w:rsidRPr="00BB76D8">
              <w:rPr>
                <w:rFonts w:ascii="Arial Narrow" w:hAnsi="Arial Narrow" w:cs="Arial"/>
                <w:sz w:val="18"/>
                <w:szCs w:val="18"/>
              </w:rPr>
              <w:t>LBC</w:t>
            </w:r>
            <w:r w:rsidRPr="00537C3C">
              <w:rPr>
                <w:rFonts w:ascii="Arial Narrow" w:hAnsi="Arial Narrow" w:cs="Arial"/>
                <w:sz w:val="18"/>
                <w:szCs w:val="18"/>
              </w:rPr>
              <w:t xml:space="preserve"> slides, by different cytologist. Slide markings removed.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Reference standar</w:t>
            </w:r>
            <w:r w:rsidR="00B12E00">
              <w:rPr>
                <w:rFonts w:ascii="Arial Narrow" w:hAnsi="Arial Narrow" w:cs="Arial"/>
                <w:b/>
                <w:i/>
                <w:sz w:val="18"/>
                <w:szCs w:val="18"/>
              </w:rPr>
              <w:t>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Positive and discordant cases: adjudicated cytology (one senior cytologist + one cytopathologist)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Negative cases: nil</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Test threshold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Test: </w:t>
            </w:r>
            <w:r w:rsidRPr="00BB76D8">
              <w:rPr>
                <w:rFonts w:ascii="Arial Narrow" w:hAnsi="Arial Narrow" w:cs="Arial"/>
                <w:sz w:val="18"/>
                <w:szCs w:val="18"/>
              </w:rPr>
              <w:t>NR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Reference standard: </w:t>
            </w:r>
            <w:r w:rsidRPr="00BB76D8">
              <w:rPr>
                <w:rFonts w:ascii="Arial Narrow" w:hAnsi="Arial Narrow" w:cs="Arial"/>
                <w:sz w:val="18"/>
                <w:szCs w:val="18"/>
              </w:rPr>
              <w:t>NR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Primary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Sensitivity &amp; specificity</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Secondary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Nil</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Relevant subgroups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Nil</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Cytological diagnosis system</w:t>
            </w: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sz w:val="18"/>
                <w:szCs w:val="18"/>
              </w:rPr>
              <w:t>British Society for Clinical Cytology (</w:t>
            </w:r>
            <w:r w:rsidRPr="001E6D1E">
              <w:rPr>
                <w:rFonts w:ascii="Arial Narrow" w:hAnsi="Arial Narrow" w:cs="Arial"/>
                <w:sz w:val="18"/>
                <w:szCs w:val="18"/>
              </w:rPr>
              <w:t>BSCC</w:t>
            </w:r>
            <w:r w:rsidRPr="00537C3C">
              <w:rPr>
                <w:rFonts w:ascii="Arial Narrow" w:hAnsi="Arial Narrow" w:cs="Arial"/>
                <w:sz w:val="18"/>
                <w:szCs w:val="18"/>
              </w:rPr>
              <w:t>) guidelines</w:t>
            </w:r>
          </w:p>
        </w:tc>
        <w:tc>
          <w:tcPr>
            <w:tcW w:w="3981" w:type="dxa"/>
            <w:gridSpan w:val="2"/>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Inclusion criteria</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Routine samples</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Likely screening and diagnostic population—unclear</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Exclusion criteria</w:t>
            </w:r>
          </w:p>
          <w:p w:rsidR="00234376" w:rsidRPr="00537C3C" w:rsidRDefault="00234376" w:rsidP="008E03A7">
            <w:pPr>
              <w:numPr>
                <w:ilvl w:val="0"/>
                <w:numId w:val="16"/>
              </w:numPr>
              <w:spacing w:before="40" w:after="0"/>
              <w:rPr>
                <w:rFonts w:ascii="Arial Narrow" w:hAnsi="Arial Narrow" w:cs="Arial"/>
                <w:b/>
                <w:i/>
                <w:sz w:val="18"/>
                <w:szCs w:val="18"/>
              </w:rPr>
            </w:pPr>
            <w:r w:rsidRPr="00537C3C">
              <w:rPr>
                <w:rFonts w:ascii="Arial Narrow" w:hAnsi="Arial Narrow" w:cs="Arial"/>
                <w:sz w:val="18"/>
                <w:szCs w:val="18"/>
              </w:rPr>
              <w:t xml:space="preserve">Cases not scanned by </w:t>
            </w:r>
            <w:r w:rsidRPr="00BB76D8">
              <w:rPr>
                <w:rFonts w:ascii="Arial Narrow" w:hAnsi="Arial Narrow" w:cs="Arial"/>
                <w:sz w:val="18"/>
                <w:szCs w:val="18"/>
              </w:rPr>
              <w:t>TPI</w:t>
            </w:r>
            <w:r w:rsidRPr="00537C3C">
              <w:rPr>
                <w:rFonts w:ascii="Arial Narrow" w:hAnsi="Arial Narrow" w:cs="Arial"/>
                <w:sz w:val="18"/>
                <w:szCs w:val="18"/>
              </w:rPr>
              <w:t xml:space="preserve"> (approx 3%)</w:t>
            </w:r>
          </w:p>
          <w:p w:rsidR="00234376" w:rsidRPr="00537C3C" w:rsidRDefault="00234376" w:rsidP="008E03A7">
            <w:pPr>
              <w:spacing w:before="40" w:after="0"/>
              <w:ind w:left="0"/>
              <w:rPr>
                <w:rFonts w:ascii="Arial Narrow" w:hAnsi="Arial Narrow" w:cs="Arial"/>
                <w:b/>
                <w:i/>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Patient characteristics</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NR</w:t>
            </w:r>
          </w:p>
          <w:p w:rsidR="00234376" w:rsidRPr="00537C3C" w:rsidRDefault="00234376" w:rsidP="008E03A7">
            <w:pPr>
              <w:numPr>
                <w:ilvl w:val="0"/>
                <w:numId w:val="16"/>
              </w:numPr>
              <w:spacing w:before="40" w:after="0"/>
              <w:rPr>
                <w:rFonts w:ascii="Arial Narrow" w:hAnsi="Arial Narrow" w:cs="Arial"/>
                <w:i/>
                <w:sz w:val="18"/>
                <w:szCs w:val="18"/>
              </w:rPr>
            </w:pPr>
            <w:r w:rsidRPr="00537C3C">
              <w:rPr>
                <w:rFonts w:ascii="Arial Narrow" w:hAnsi="Arial Narrow" w:cs="Arial"/>
                <w:sz w:val="18"/>
                <w:szCs w:val="18"/>
              </w:rPr>
              <w:t xml:space="preserve">1.4% (83/6000) reference standard </w:t>
            </w:r>
            <w:r w:rsidRPr="00BB76D8">
              <w:rPr>
                <w:rFonts w:ascii="Arial Narrow" w:hAnsi="Arial Narrow" w:cs="Arial"/>
                <w:sz w:val="18"/>
                <w:szCs w:val="18"/>
              </w:rPr>
              <w:t>CIN</w:t>
            </w:r>
            <w:r w:rsidRPr="00537C3C">
              <w:rPr>
                <w:rFonts w:ascii="Arial Narrow" w:hAnsi="Arial Narrow" w:cs="Arial"/>
                <w:sz w:val="18"/>
                <w:szCs w:val="18"/>
              </w:rPr>
              <w:t xml:space="preserve"> 2+</w:t>
            </w:r>
          </w:p>
          <w:p w:rsidR="00234376" w:rsidRPr="00537C3C" w:rsidRDefault="00234376" w:rsidP="008E03A7">
            <w:pPr>
              <w:spacing w:before="40" w:after="0"/>
              <w:ind w:left="0"/>
              <w:rPr>
                <w:rFonts w:ascii="Arial Narrow" w:hAnsi="Arial Narrow" w:cs="Arial"/>
                <w:i/>
                <w:sz w:val="18"/>
                <w:szCs w:val="18"/>
              </w:rPr>
            </w:pP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lang w:eastAsia="en-AU"/>
              </w:rPr>
              <w:t xml:space="preserve">Data from 1st set 6000 cases not used as they do not represent intended clinical use of </w:t>
            </w:r>
            <w:r w:rsidRPr="00BB76D8">
              <w:rPr>
                <w:rFonts w:ascii="Arial Narrow" w:hAnsi="Arial Narrow" w:cs="Arial"/>
                <w:sz w:val="18"/>
                <w:szCs w:val="18"/>
                <w:lang w:eastAsia="en-AU"/>
              </w:rPr>
              <w:t>TPI</w:t>
            </w:r>
          </w:p>
          <w:p w:rsidR="00234376" w:rsidRPr="00537C3C" w:rsidRDefault="00234376" w:rsidP="008E03A7">
            <w:pPr>
              <w:spacing w:before="40"/>
              <w:rPr>
                <w:rFonts w:ascii="Arial Narrow" w:hAnsi="Arial Narrow" w:cs="Arial"/>
                <w:i/>
                <w:sz w:val="18"/>
                <w:szCs w:val="18"/>
              </w:rPr>
            </w:pPr>
          </w:p>
        </w:tc>
        <w:tc>
          <w:tcPr>
            <w:tcW w:w="3178"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Quality: fair Q2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Prospective: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Consecutive: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Explicit selection criteria: no</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threshold specified: no (sens &amp; spec)</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Reference standard</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valid (suboptimal)</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applied to all discordant &amp; positive participants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interval adequate</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reference standard—</w:t>
            </w:r>
            <w:r w:rsidRPr="00BB76D8">
              <w:rPr>
                <w:rFonts w:ascii="Arial Narrow" w:hAnsi="Arial Narrow" w:cs="Arial"/>
                <w:sz w:val="18"/>
                <w:szCs w:val="18"/>
              </w:rPr>
              <w:t>NR</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comparator—yes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Tests reported blinded to ref standard—yes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 standard reported blinded to tests—</w:t>
            </w:r>
            <w:r w:rsidRPr="00BB76D8">
              <w:rPr>
                <w:rFonts w:ascii="Arial Narrow" w:hAnsi="Arial Narrow" w:cs="Arial"/>
                <w:sz w:val="18"/>
                <w:szCs w:val="18"/>
              </w:rPr>
              <w:t>NR</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Uninterpretable/intermediate results reported: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Study withdrawals explained: no (no. </w:t>
            </w:r>
            <w:r w:rsidRPr="00BB76D8">
              <w:rPr>
                <w:rFonts w:ascii="Arial Narrow" w:hAnsi="Arial Narrow" w:cs="Arial"/>
                <w:sz w:val="18"/>
                <w:szCs w:val="18"/>
              </w:rPr>
              <w:t>TP</w:t>
            </w:r>
            <w:r w:rsidRPr="00537C3C">
              <w:rPr>
                <w:rFonts w:ascii="Arial Narrow" w:hAnsi="Arial Narrow" w:cs="Arial"/>
                <w:sz w:val="18"/>
                <w:szCs w:val="18"/>
              </w:rPr>
              <w:t xml:space="preserve"> slides not processed by imager </w:t>
            </w:r>
            <w:r w:rsidRPr="00BB76D8">
              <w:rPr>
                <w:rFonts w:ascii="Arial Narrow" w:hAnsi="Arial Narrow" w:cs="Arial"/>
                <w:sz w:val="18"/>
                <w:szCs w:val="18"/>
              </w:rPr>
              <w:t>NR</w:t>
            </w:r>
            <w:r w:rsidRPr="00537C3C">
              <w:rPr>
                <w:rFonts w:ascii="Arial Narrow" w:hAnsi="Arial Narrow" w:cs="Arial"/>
                <w:sz w:val="18"/>
                <w:szCs w:val="18"/>
              </w:rPr>
              <w:t>)</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Sufficient data for relative </w:t>
            </w:r>
            <w:r w:rsidRPr="00BB76D8">
              <w:rPr>
                <w:rFonts w:ascii="Arial Narrow" w:hAnsi="Arial Narrow" w:cs="Arial"/>
                <w:sz w:val="18"/>
                <w:szCs w:val="18"/>
              </w:rPr>
              <w:t>TP</w:t>
            </w:r>
            <w:r w:rsidRPr="00537C3C">
              <w:rPr>
                <w:rFonts w:ascii="Arial Narrow" w:hAnsi="Arial Narrow" w:cs="Arial"/>
                <w:sz w:val="18"/>
                <w:szCs w:val="18"/>
              </w:rPr>
              <w:t xml:space="preserve"> &amp; </w:t>
            </w:r>
            <w:r w:rsidRPr="00BB76D8">
              <w:rPr>
                <w:rFonts w:ascii="Arial Narrow" w:hAnsi="Arial Narrow" w:cs="Arial"/>
                <w:sz w:val="18"/>
                <w:szCs w:val="18"/>
              </w:rPr>
              <w:t>FP</w:t>
            </w:r>
            <w:r w:rsidRPr="00537C3C">
              <w:rPr>
                <w:rFonts w:ascii="Arial Narrow" w:hAnsi="Arial Narrow" w:cs="Arial"/>
                <w:sz w:val="18"/>
                <w:szCs w:val="18"/>
              </w:rPr>
              <w:t>: yes</w:t>
            </w:r>
          </w:p>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Applicability: unclear P2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population: unclear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comparator: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intervention: yes</w:t>
            </w:r>
          </w:p>
        </w:tc>
      </w:tr>
      <w:tr w:rsidR="00234376" w:rsidRPr="00537C3C">
        <w:trPr>
          <w:gridAfter w:val="4"/>
          <w:wAfter w:w="458" w:type="dxa"/>
          <w:trHeight w:val="127"/>
        </w:trPr>
        <w:tc>
          <w:tcPr>
            <w:tcW w:w="14341" w:type="dxa"/>
            <w:gridSpan w:val="5"/>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b/>
                <w:sz w:val="18"/>
                <w:szCs w:val="18"/>
              </w:rPr>
              <w:t>Test accuracy</w:t>
            </w: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i/>
                <w:sz w:val="18"/>
                <w:szCs w:val="18"/>
              </w:rPr>
              <w:t>Sensitivity, specificity</w:t>
            </w: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sz w:val="18"/>
                <w:szCs w:val="18"/>
              </w:rPr>
              <w:t>Test &amp; ref std thresholds not reported. Basis of calculation not reported; likely c</w:t>
            </w:r>
            <w:r w:rsidRPr="00537C3C">
              <w:rPr>
                <w:rFonts w:ascii="Arial Narrow" w:hAnsi="Arial Narrow" w:cs="Garamond"/>
                <w:sz w:val="18"/>
                <w:szCs w:val="18"/>
                <w:lang w:eastAsia="en-AU"/>
              </w:rPr>
              <w:t>oncordant negative results assumed to be TN. Cannot confirm calculations: reliability of reported values unclear</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Se 92.84 (95% </w:t>
            </w:r>
            <w:r w:rsidRPr="00BB76D8">
              <w:rPr>
                <w:rFonts w:ascii="Arial Narrow" w:hAnsi="Arial Narrow" w:cs="Arial"/>
                <w:sz w:val="18"/>
                <w:szCs w:val="18"/>
                <w:lang w:eastAsia="en-AU"/>
              </w:rPr>
              <w:t>CI</w:t>
            </w:r>
            <w:r w:rsidRPr="00537C3C">
              <w:rPr>
                <w:rFonts w:ascii="Arial Narrow" w:hAnsi="Arial Narrow" w:cs="Arial"/>
                <w:sz w:val="18"/>
                <w:szCs w:val="18"/>
                <w:lang w:eastAsia="en-AU"/>
              </w:rPr>
              <w:t xml:space="preserve"> 90.82–94.45), Sp 98.62 (95% </w:t>
            </w:r>
            <w:r w:rsidRPr="00BB76D8">
              <w:rPr>
                <w:rFonts w:ascii="Arial Narrow" w:hAnsi="Arial Narrow" w:cs="Arial"/>
                <w:sz w:val="18"/>
                <w:szCs w:val="18"/>
                <w:lang w:eastAsia="en-AU"/>
              </w:rPr>
              <w:t>CI</w:t>
            </w:r>
            <w:r w:rsidRPr="00537C3C">
              <w:rPr>
                <w:rFonts w:ascii="Arial Narrow" w:hAnsi="Arial Narrow" w:cs="Arial"/>
                <w:sz w:val="18"/>
                <w:szCs w:val="18"/>
                <w:lang w:eastAsia="en-AU"/>
              </w:rPr>
              <w:t xml:space="preserve"> 98.26–98.91)</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lang w:eastAsia="en-AU"/>
              </w:rPr>
              <w:t xml:space="preserve">Manual </w:t>
            </w:r>
            <w:r w:rsidRPr="00BB76D8">
              <w:rPr>
                <w:rFonts w:ascii="Arial Narrow" w:hAnsi="Arial Narrow" w:cs="Arial"/>
                <w:sz w:val="18"/>
                <w:szCs w:val="18"/>
                <w:lang w:eastAsia="en-AU"/>
              </w:rPr>
              <w:t>LBC</w:t>
            </w:r>
            <w:r w:rsidRPr="00537C3C">
              <w:rPr>
                <w:rFonts w:ascii="Arial Narrow" w:hAnsi="Arial Narrow" w:cs="Arial"/>
                <w:sz w:val="18"/>
                <w:szCs w:val="18"/>
                <w:lang w:eastAsia="en-AU"/>
              </w:rPr>
              <w:t xml:space="preserve">: Se 94.42 (95% </w:t>
            </w:r>
            <w:r w:rsidRPr="00BB76D8">
              <w:rPr>
                <w:rFonts w:ascii="Arial Narrow" w:hAnsi="Arial Narrow" w:cs="Arial"/>
                <w:sz w:val="18"/>
                <w:szCs w:val="18"/>
                <w:lang w:eastAsia="en-AU"/>
              </w:rPr>
              <w:t>CI</w:t>
            </w:r>
            <w:r w:rsidRPr="00537C3C">
              <w:rPr>
                <w:rFonts w:ascii="Arial Narrow" w:hAnsi="Arial Narrow" w:cs="Arial"/>
                <w:sz w:val="18"/>
                <w:szCs w:val="18"/>
                <w:lang w:eastAsia="en-AU"/>
              </w:rPr>
              <w:t xml:space="preserve"> 92.57–95.84), Sp 98.77 (95% </w:t>
            </w:r>
            <w:r w:rsidRPr="00BB76D8">
              <w:rPr>
                <w:rFonts w:ascii="Arial Narrow" w:hAnsi="Arial Narrow" w:cs="Arial"/>
                <w:sz w:val="18"/>
                <w:szCs w:val="18"/>
                <w:lang w:eastAsia="en-AU"/>
              </w:rPr>
              <w:t>CI</w:t>
            </w:r>
            <w:r w:rsidRPr="00537C3C">
              <w:rPr>
                <w:rFonts w:ascii="Arial Narrow" w:hAnsi="Arial Narrow" w:cs="Arial"/>
                <w:sz w:val="18"/>
                <w:szCs w:val="18"/>
                <w:lang w:eastAsia="en-AU"/>
              </w:rPr>
              <w:t xml:space="preserve"> 98.42–99.04)</w:t>
            </w:r>
          </w:p>
          <w:p w:rsidR="00234376" w:rsidRPr="00537C3C" w:rsidRDefault="00234376" w:rsidP="008E03A7">
            <w:pPr>
              <w:pStyle w:val="TableTextCharCharChar"/>
              <w:keepNext w:val="0"/>
              <w:spacing w:after="0"/>
              <w:rPr>
                <w:rFonts w:cs="Arial"/>
                <w:i/>
                <w:szCs w:val="18"/>
              </w:rPr>
            </w:pPr>
            <w:r w:rsidRPr="00537C3C">
              <w:rPr>
                <w:rFonts w:cs="Arial"/>
                <w:szCs w:val="18"/>
              </w:rPr>
              <w:t>No significant statistical difference in sensitivity or specificity</w:t>
            </w:r>
          </w:p>
          <w:p w:rsidR="00234376" w:rsidRPr="00537C3C" w:rsidRDefault="00234376" w:rsidP="008E03A7">
            <w:pPr>
              <w:pStyle w:val="TableTextCharCharChar"/>
              <w:rPr>
                <w:rFonts w:cs="Arial"/>
                <w:i/>
                <w:szCs w:val="18"/>
              </w:rPr>
            </w:pPr>
          </w:p>
          <w:p w:rsidR="00234376" w:rsidRPr="00537C3C" w:rsidRDefault="00234376" w:rsidP="008E03A7">
            <w:pPr>
              <w:pStyle w:val="TableTextCharCharChar"/>
              <w:rPr>
                <w:rFonts w:cs="Arial"/>
                <w:szCs w:val="18"/>
                <w:u w:val="single"/>
              </w:rPr>
            </w:pPr>
            <w:r w:rsidRPr="00537C3C">
              <w:rPr>
                <w:rFonts w:cs="Arial"/>
                <w:szCs w:val="18"/>
                <w:u w:val="single"/>
              </w:rPr>
              <w:t xml:space="preserve">Accuracy for </w:t>
            </w:r>
            <w:r w:rsidRPr="00BB76D8">
              <w:rPr>
                <w:rFonts w:cs="Arial"/>
                <w:szCs w:val="18"/>
                <w:u w:val="single"/>
              </w:rPr>
              <w:t>CIN</w:t>
            </w:r>
            <w:r w:rsidRPr="00537C3C">
              <w:rPr>
                <w:rFonts w:cs="Arial"/>
                <w:szCs w:val="18"/>
                <w:u w:val="single"/>
              </w:rPr>
              <w:t xml:space="preserve"> 2+ (</w:t>
            </w:r>
            <w:r w:rsidRPr="00BB76D8">
              <w:rPr>
                <w:rFonts w:cs="Arial"/>
                <w:szCs w:val="18"/>
                <w:u w:val="single"/>
              </w:rPr>
              <w:t>HSIL</w:t>
            </w:r>
            <w:r w:rsidRPr="00537C3C">
              <w:rPr>
                <w:rFonts w:cs="Arial"/>
                <w:szCs w:val="18"/>
              </w:rPr>
              <w:t>) (excl glandular—but same differences as including glandular as 0%; see below):</w:t>
            </w:r>
          </w:p>
          <w:p w:rsidR="00234376" w:rsidRPr="00537C3C" w:rsidRDefault="00234376" w:rsidP="008E03A7">
            <w:pPr>
              <w:pStyle w:val="TableTextCharCharChar"/>
              <w:spacing w:after="0"/>
              <w:rPr>
                <w:rFonts w:cs="Arial"/>
                <w:i/>
                <w:szCs w:val="18"/>
              </w:rPr>
            </w:pPr>
            <w:r w:rsidRPr="00537C3C">
              <w:rPr>
                <w:rFonts w:cs="Arial"/>
                <w:i/>
                <w:szCs w:val="18"/>
              </w:rPr>
              <w:t xml:space="preserve">Test threshold </w:t>
            </w:r>
            <w:r w:rsidRPr="00BB76D8">
              <w:rPr>
                <w:rFonts w:cs="Arial"/>
                <w:i/>
                <w:szCs w:val="18"/>
              </w:rPr>
              <w:t>CIN</w:t>
            </w:r>
            <w:r w:rsidRPr="00537C3C">
              <w:rPr>
                <w:rFonts w:cs="Arial"/>
                <w:i/>
                <w:szCs w:val="18"/>
              </w:rPr>
              <w:t xml:space="preserve"> 2:</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 69 </w:t>
            </w:r>
            <w:r w:rsidRPr="00BB76D8">
              <w:rPr>
                <w:rFonts w:ascii="Arial Narrow" w:hAnsi="Arial Narrow" w:cs="Arial"/>
                <w:sz w:val="18"/>
                <w:szCs w:val="18"/>
                <w:lang w:eastAsia="en-AU"/>
              </w:rPr>
              <w:t>TP</w:t>
            </w:r>
            <w:r w:rsidRPr="00537C3C">
              <w:rPr>
                <w:rFonts w:ascii="Arial Narrow" w:hAnsi="Arial Narrow" w:cs="Arial"/>
                <w:sz w:val="18"/>
                <w:szCs w:val="18"/>
                <w:lang w:eastAsia="en-AU"/>
              </w:rPr>
              <w:t xml:space="preserve">s, manual = 74 </w:t>
            </w:r>
            <w:r w:rsidRPr="00BB76D8">
              <w:rPr>
                <w:rFonts w:ascii="Arial Narrow" w:hAnsi="Arial Narrow" w:cs="Arial"/>
                <w:sz w:val="18"/>
                <w:szCs w:val="18"/>
                <w:lang w:eastAsia="en-AU"/>
              </w:rPr>
              <w:t>TP</w:t>
            </w:r>
            <w:r w:rsidRPr="00537C3C">
              <w:rPr>
                <w:rFonts w:ascii="Arial Narrow" w:hAnsi="Arial Narrow" w:cs="Arial"/>
                <w:sz w:val="18"/>
                <w:szCs w:val="18"/>
                <w:lang w:eastAsia="en-AU"/>
              </w:rPr>
              <w:t xml:space="preserve">s.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identified 5 fewer </w:t>
            </w:r>
            <w:r w:rsidRPr="00BB76D8">
              <w:rPr>
                <w:rFonts w:ascii="Arial Narrow" w:hAnsi="Arial Narrow" w:cs="Arial"/>
                <w:sz w:val="18"/>
                <w:szCs w:val="18"/>
                <w:lang w:eastAsia="en-AU"/>
              </w:rPr>
              <w:t>TP</w:t>
            </w:r>
            <w:r w:rsidRPr="00537C3C">
              <w:rPr>
                <w:rFonts w:ascii="Arial Narrow" w:hAnsi="Arial Narrow" w:cs="Arial"/>
                <w:sz w:val="18"/>
                <w:szCs w:val="18"/>
                <w:lang w:eastAsia="en-AU"/>
              </w:rPr>
              <w:t xml:space="preserve">, 0.83 fewer per 1000 women screened. </w:t>
            </w:r>
            <w:r w:rsidRPr="00537C3C">
              <w:rPr>
                <w:rFonts w:ascii="Arial Narrow" w:hAnsi="Arial Narrow" w:cs="Arial"/>
                <w:sz w:val="18"/>
                <w:szCs w:val="18"/>
              </w:rPr>
              <w:sym w:font="Symbol" w:char="F063"/>
            </w:r>
            <w:r w:rsidRPr="00537C3C">
              <w:rPr>
                <w:rFonts w:ascii="Arial Narrow" w:hAnsi="Arial Narrow" w:cs="Arial"/>
                <w:sz w:val="18"/>
                <w:szCs w:val="18"/>
                <w:vertAlign w:val="superscript"/>
              </w:rPr>
              <w:t>2</w:t>
            </w:r>
            <w:r w:rsidRPr="00537C3C">
              <w:rPr>
                <w:rFonts w:ascii="Arial Narrow" w:hAnsi="Arial Narrow" w:cs="Arial"/>
                <w:sz w:val="18"/>
                <w:szCs w:val="18"/>
              </w:rPr>
              <w:t xml:space="preserve"> </w:t>
            </w:r>
            <w:r w:rsidRPr="0030078D">
              <w:rPr>
                <w:rFonts w:ascii="Arial Narrow" w:hAnsi="Arial Narrow" w:cs="Arial"/>
                <w:i/>
                <w:sz w:val="18"/>
                <w:szCs w:val="18"/>
              </w:rPr>
              <w:t>P</w:t>
            </w:r>
            <w:r w:rsidRPr="00537C3C">
              <w:rPr>
                <w:rFonts w:ascii="Arial Narrow" w:hAnsi="Arial Narrow" w:cs="Arial"/>
                <w:sz w:val="18"/>
                <w:szCs w:val="18"/>
              </w:rPr>
              <w:t xml:space="preserve"> = 0.674.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 5 </w:t>
            </w:r>
            <w:r w:rsidRPr="00BB76D8">
              <w:rPr>
                <w:rFonts w:ascii="Arial Narrow" w:hAnsi="Arial Narrow" w:cs="Arial"/>
                <w:sz w:val="18"/>
                <w:szCs w:val="18"/>
                <w:lang w:eastAsia="en-AU"/>
              </w:rPr>
              <w:t>FP</w:t>
            </w:r>
            <w:r w:rsidRPr="00537C3C">
              <w:rPr>
                <w:rFonts w:ascii="Arial Narrow" w:hAnsi="Arial Narrow" w:cs="Arial"/>
                <w:sz w:val="18"/>
                <w:szCs w:val="18"/>
                <w:lang w:eastAsia="en-AU"/>
              </w:rPr>
              <w:t xml:space="preserve">s, manual = 7 </w:t>
            </w:r>
            <w:r w:rsidRPr="00BB76D8">
              <w:rPr>
                <w:rFonts w:ascii="Arial Narrow" w:hAnsi="Arial Narrow" w:cs="Arial"/>
                <w:sz w:val="18"/>
                <w:szCs w:val="18"/>
                <w:lang w:eastAsia="en-AU"/>
              </w:rPr>
              <w:t>FP</w:t>
            </w:r>
            <w:r w:rsidRPr="00537C3C">
              <w:rPr>
                <w:rFonts w:ascii="Arial Narrow" w:hAnsi="Arial Narrow" w:cs="Arial"/>
                <w:sz w:val="18"/>
                <w:szCs w:val="18"/>
                <w:lang w:eastAsia="en-AU"/>
              </w:rPr>
              <w:t xml:space="preserve">s.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identified 2 fewer </w:t>
            </w:r>
            <w:r w:rsidRPr="00BB76D8">
              <w:rPr>
                <w:rFonts w:ascii="Arial Narrow" w:hAnsi="Arial Narrow" w:cs="Arial"/>
                <w:sz w:val="18"/>
                <w:szCs w:val="18"/>
                <w:lang w:eastAsia="en-AU"/>
              </w:rPr>
              <w:t>FP</w:t>
            </w:r>
            <w:r w:rsidRPr="00537C3C">
              <w:rPr>
                <w:rFonts w:ascii="Arial Narrow" w:hAnsi="Arial Narrow" w:cs="Arial"/>
                <w:sz w:val="18"/>
                <w:szCs w:val="18"/>
                <w:lang w:eastAsia="en-AU"/>
              </w:rPr>
              <w:t>s, 0.33 fewer per 1000 women screened.</w:t>
            </w:r>
          </w:p>
          <w:p w:rsidR="00234376" w:rsidRPr="00537C3C" w:rsidRDefault="00234376" w:rsidP="008E03A7">
            <w:pPr>
              <w:pStyle w:val="TableTextCharCharChar"/>
              <w:spacing w:after="0"/>
              <w:rPr>
                <w:rFonts w:cs="Arial"/>
                <w:szCs w:val="18"/>
              </w:rPr>
            </w:pPr>
            <w:r w:rsidRPr="00537C3C">
              <w:rPr>
                <w:rFonts w:cs="Arial"/>
                <w:szCs w:val="18"/>
              </w:rPr>
              <w:t xml:space="preserve">Additional </w:t>
            </w:r>
            <w:r w:rsidRPr="00BB76D8">
              <w:rPr>
                <w:rFonts w:cs="Arial"/>
                <w:szCs w:val="18"/>
              </w:rPr>
              <w:t>TP</w:t>
            </w:r>
            <w:r w:rsidRPr="00537C3C">
              <w:rPr>
                <w:rFonts w:cs="Arial"/>
                <w:szCs w:val="18"/>
              </w:rPr>
              <w:t>:</w:t>
            </w:r>
            <w:r w:rsidRPr="00BB76D8">
              <w:rPr>
                <w:rFonts w:cs="Arial"/>
                <w:szCs w:val="18"/>
              </w:rPr>
              <w:t>FP</w:t>
            </w:r>
            <w:r w:rsidRPr="00537C3C">
              <w:rPr>
                <w:rFonts w:cs="Arial"/>
                <w:szCs w:val="18"/>
              </w:rPr>
              <w:t xml:space="preserve"> –1:–0.4. Estimated difference in sensitivity = –5/83 = –6.0% (–2.6 to –13.3). Estimated difference in </w:t>
            </w:r>
            <w:r w:rsidRPr="00BB76D8">
              <w:rPr>
                <w:rFonts w:cs="Arial"/>
                <w:szCs w:val="18"/>
              </w:rPr>
              <w:t>FP</w:t>
            </w:r>
            <w:r w:rsidRPr="00537C3C">
              <w:rPr>
                <w:rFonts w:cs="Arial"/>
                <w:szCs w:val="18"/>
              </w:rPr>
              <w:t>R = –2/5845 = –0.03% (0.01–0.12) (specificity = +0.03%)</w:t>
            </w:r>
          </w:p>
          <w:p w:rsidR="00234376" w:rsidRPr="00537C3C" w:rsidRDefault="00234376" w:rsidP="008E03A7">
            <w:pPr>
              <w:pStyle w:val="TableTextCharCharChar"/>
              <w:keepNext w:val="0"/>
              <w:spacing w:after="0"/>
              <w:rPr>
                <w:rFonts w:cs="Arial"/>
                <w:szCs w:val="18"/>
              </w:rPr>
            </w:pPr>
          </w:p>
          <w:p w:rsidR="00234376" w:rsidRPr="00537C3C" w:rsidRDefault="00234376" w:rsidP="008E03A7">
            <w:pPr>
              <w:pStyle w:val="TableTextCharCharChar"/>
              <w:spacing w:after="0"/>
              <w:rPr>
                <w:rFonts w:cs="Arial"/>
                <w:i/>
                <w:szCs w:val="18"/>
              </w:rPr>
            </w:pPr>
            <w:r w:rsidRPr="00537C3C">
              <w:rPr>
                <w:rFonts w:cs="Arial"/>
                <w:i/>
                <w:szCs w:val="18"/>
              </w:rPr>
              <w:t xml:space="preserve">Test threshold </w:t>
            </w:r>
            <w:r w:rsidRPr="00BB76D8">
              <w:rPr>
                <w:rFonts w:cs="Arial"/>
                <w:i/>
                <w:szCs w:val="18"/>
              </w:rPr>
              <w:t>CIN</w:t>
            </w:r>
            <w:r w:rsidRPr="00537C3C">
              <w:rPr>
                <w:rFonts w:cs="Arial"/>
                <w:i/>
                <w:szCs w:val="18"/>
              </w:rPr>
              <w:t xml:space="preserve"> 1:</w:t>
            </w:r>
          </w:p>
          <w:p w:rsidR="00234376" w:rsidRPr="00537C3C" w:rsidRDefault="00234376" w:rsidP="008E03A7">
            <w:pPr>
              <w:pStyle w:val="TableTextCharCharChar"/>
              <w:spacing w:after="0"/>
            </w:pPr>
            <w:r w:rsidRPr="00BB76D8">
              <w:t>TPI</w:t>
            </w:r>
            <w:r w:rsidRPr="00537C3C">
              <w:t xml:space="preserve"> = 80 </w:t>
            </w:r>
            <w:r w:rsidRPr="00BB76D8">
              <w:t>TP</w:t>
            </w:r>
            <w:r w:rsidRPr="00537C3C">
              <w:t xml:space="preserve">s, manual = 81 </w:t>
            </w:r>
            <w:r w:rsidRPr="00BB76D8">
              <w:t>TP</w:t>
            </w:r>
            <w:r w:rsidRPr="00537C3C">
              <w:t xml:space="preserve">s. </w:t>
            </w:r>
            <w:r w:rsidRPr="00BB76D8">
              <w:t>TPI</w:t>
            </w:r>
            <w:r w:rsidRPr="00537C3C">
              <w:t xml:space="preserve"> identified 1 fewer </w:t>
            </w:r>
            <w:r w:rsidRPr="00BB76D8">
              <w:t>TP</w:t>
            </w:r>
            <w:r w:rsidRPr="00537C3C">
              <w:t xml:space="preserve">, 0.17 fewer per 1000 women screened. </w:t>
            </w:r>
            <w:r w:rsidRPr="00BB76D8">
              <w:t>TPI</w:t>
            </w:r>
            <w:r w:rsidRPr="00537C3C">
              <w:t xml:space="preserve"> = 370 </w:t>
            </w:r>
            <w:r w:rsidRPr="00BB76D8">
              <w:t>FP</w:t>
            </w:r>
            <w:r w:rsidRPr="00537C3C">
              <w:t xml:space="preserve">s, manual = 375 </w:t>
            </w:r>
            <w:r w:rsidRPr="00BB76D8">
              <w:t>FP</w:t>
            </w:r>
            <w:r w:rsidRPr="00537C3C">
              <w:t xml:space="preserve">s. </w:t>
            </w:r>
            <w:r w:rsidRPr="00BB76D8">
              <w:t>TPI</w:t>
            </w:r>
            <w:r w:rsidRPr="00537C3C">
              <w:t xml:space="preserve"> identified 5 fewer </w:t>
            </w:r>
            <w:r w:rsidRPr="00BB76D8">
              <w:t>FP</w:t>
            </w:r>
            <w:r w:rsidRPr="00537C3C">
              <w:t xml:space="preserve">s, 0.83 fewer per 1000 women screened. </w:t>
            </w:r>
            <w:r w:rsidRPr="00537C3C">
              <w:rPr>
                <w:szCs w:val="18"/>
              </w:rPr>
              <w:sym w:font="Symbol" w:char="F063"/>
            </w:r>
            <w:r w:rsidRPr="00537C3C">
              <w:rPr>
                <w:vertAlign w:val="superscript"/>
              </w:rPr>
              <w:t>2</w:t>
            </w:r>
            <w:r w:rsidRPr="00537C3C">
              <w:t xml:space="preserve"> </w:t>
            </w:r>
            <w:r w:rsidRPr="0030078D">
              <w:rPr>
                <w:i/>
              </w:rPr>
              <w:t>P</w:t>
            </w:r>
            <w:r w:rsidRPr="00537C3C">
              <w:t xml:space="preserve"> = 0.85</w:t>
            </w:r>
          </w:p>
          <w:p w:rsidR="00234376" w:rsidRPr="00537C3C" w:rsidRDefault="00234376" w:rsidP="008E03A7">
            <w:pPr>
              <w:pStyle w:val="TableTextCharCharChar"/>
              <w:spacing w:after="0"/>
              <w:rPr>
                <w:rFonts w:cs="Arial"/>
                <w:szCs w:val="18"/>
              </w:rPr>
            </w:pPr>
            <w:r w:rsidRPr="00537C3C">
              <w:rPr>
                <w:rFonts w:cs="Arial"/>
                <w:szCs w:val="18"/>
              </w:rPr>
              <w:t xml:space="preserve">Additional </w:t>
            </w:r>
            <w:r w:rsidRPr="00BB76D8">
              <w:rPr>
                <w:rFonts w:cs="Arial"/>
                <w:szCs w:val="18"/>
              </w:rPr>
              <w:t>TP</w:t>
            </w:r>
            <w:r w:rsidRPr="00537C3C">
              <w:rPr>
                <w:rFonts w:cs="Arial"/>
                <w:szCs w:val="18"/>
              </w:rPr>
              <w:t>:</w:t>
            </w:r>
            <w:r w:rsidRPr="00BB76D8">
              <w:rPr>
                <w:rFonts w:cs="Arial"/>
                <w:szCs w:val="18"/>
              </w:rPr>
              <w:t>FP</w:t>
            </w:r>
            <w:r w:rsidRPr="00537C3C">
              <w:rPr>
                <w:rFonts w:cs="Arial"/>
                <w:szCs w:val="18"/>
              </w:rPr>
              <w:t xml:space="preserve"> –1:–5. Estimated difference in sensitivity = –1/83 = –1.2% (–0.21 to –6.51). Estimated difference in </w:t>
            </w:r>
            <w:r w:rsidRPr="00BB76D8">
              <w:rPr>
                <w:rFonts w:cs="Arial"/>
                <w:szCs w:val="18"/>
              </w:rPr>
              <w:t>FP</w:t>
            </w:r>
            <w:r w:rsidRPr="00537C3C">
              <w:rPr>
                <w:rFonts w:cs="Arial"/>
                <w:szCs w:val="18"/>
              </w:rPr>
              <w:t>R = –5/5845 = –0.09% (–0.04 to –0.21)</w:t>
            </w:r>
          </w:p>
          <w:p w:rsidR="00234376" w:rsidRPr="00537C3C" w:rsidRDefault="00234376" w:rsidP="008E03A7">
            <w:pPr>
              <w:pStyle w:val="TableTextCharCharChar"/>
              <w:keepNext w:val="0"/>
              <w:spacing w:after="0"/>
              <w:rPr>
                <w:rFonts w:cs="Arial"/>
                <w:i/>
                <w:szCs w:val="18"/>
              </w:rPr>
            </w:pPr>
          </w:p>
          <w:p w:rsidR="00234376" w:rsidRPr="00537C3C" w:rsidRDefault="00234376" w:rsidP="008E03A7">
            <w:pPr>
              <w:pStyle w:val="TableTextCharCharChar"/>
              <w:spacing w:after="0"/>
              <w:rPr>
                <w:rFonts w:cs="Arial"/>
                <w:i/>
                <w:szCs w:val="18"/>
              </w:rPr>
            </w:pPr>
            <w:r w:rsidRPr="00537C3C">
              <w:rPr>
                <w:rFonts w:cs="Arial"/>
                <w:i/>
                <w:szCs w:val="18"/>
              </w:rPr>
              <w:t>Test threshold BNA (borderline nuclear abnormality):</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 82 </w:t>
            </w:r>
            <w:r w:rsidRPr="00BB76D8">
              <w:rPr>
                <w:rFonts w:ascii="Arial Narrow" w:hAnsi="Arial Narrow" w:cs="Arial"/>
                <w:sz w:val="18"/>
                <w:szCs w:val="18"/>
                <w:lang w:eastAsia="en-AU"/>
              </w:rPr>
              <w:t>TP</w:t>
            </w:r>
            <w:r w:rsidRPr="00537C3C">
              <w:rPr>
                <w:rFonts w:ascii="Arial Narrow" w:hAnsi="Arial Narrow" w:cs="Arial"/>
                <w:sz w:val="18"/>
                <w:szCs w:val="18"/>
                <w:lang w:eastAsia="en-AU"/>
              </w:rPr>
              <w:t xml:space="preserve">s, manual = 82 </w:t>
            </w:r>
            <w:r w:rsidRPr="00BB76D8">
              <w:rPr>
                <w:rFonts w:ascii="Arial Narrow" w:hAnsi="Arial Narrow" w:cs="Arial"/>
                <w:sz w:val="18"/>
                <w:szCs w:val="18"/>
                <w:lang w:eastAsia="en-AU"/>
              </w:rPr>
              <w:t>TP</w:t>
            </w:r>
            <w:r w:rsidRPr="00537C3C">
              <w:rPr>
                <w:rFonts w:ascii="Arial Narrow" w:hAnsi="Arial Narrow" w:cs="Arial"/>
                <w:sz w:val="18"/>
                <w:szCs w:val="18"/>
                <w:lang w:eastAsia="en-AU"/>
              </w:rPr>
              <w:t xml:space="preserve">s.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identified 0 additional </w:t>
            </w:r>
            <w:r w:rsidRPr="00BB76D8">
              <w:rPr>
                <w:rFonts w:ascii="Arial Narrow" w:hAnsi="Arial Narrow" w:cs="Arial"/>
                <w:sz w:val="18"/>
                <w:szCs w:val="18"/>
                <w:lang w:eastAsia="en-AU"/>
              </w:rPr>
              <w:t>TP</w:t>
            </w:r>
            <w:r w:rsidRPr="00537C3C">
              <w:rPr>
                <w:rFonts w:ascii="Arial Narrow" w:hAnsi="Arial Narrow" w:cs="Arial"/>
                <w:sz w:val="18"/>
                <w:szCs w:val="18"/>
                <w:lang w:eastAsia="en-AU"/>
              </w:rPr>
              <w:t xml:space="preserve">s, 0 fewer per 1000 women screened.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 706 </w:t>
            </w:r>
            <w:r w:rsidRPr="00BB76D8">
              <w:rPr>
                <w:rFonts w:ascii="Arial Narrow" w:hAnsi="Arial Narrow" w:cs="Arial"/>
                <w:sz w:val="18"/>
                <w:szCs w:val="18"/>
                <w:lang w:eastAsia="en-AU"/>
              </w:rPr>
              <w:t>FP</w:t>
            </w:r>
            <w:r w:rsidRPr="00537C3C">
              <w:rPr>
                <w:rFonts w:ascii="Arial Narrow" w:hAnsi="Arial Narrow" w:cs="Arial"/>
                <w:sz w:val="18"/>
                <w:szCs w:val="18"/>
                <w:lang w:eastAsia="en-AU"/>
              </w:rPr>
              <w:t xml:space="preserve">s, manual = 711 </w:t>
            </w:r>
            <w:r w:rsidRPr="00BB76D8">
              <w:rPr>
                <w:rFonts w:ascii="Arial Narrow" w:hAnsi="Arial Narrow" w:cs="Arial"/>
                <w:sz w:val="18"/>
                <w:szCs w:val="18"/>
                <w:lang w:eastAsia="en-AU"/>
              </w:rPr>
              <w:t>FP</w:t>
            </w:r>
            <w:r w:rsidRPr="00537C3C">
              <w:rPr>
                <w:rFonts w:ascii="Arial Narrow" w:hAnsi="Arial Narrow" w:cs="Arial"/>
                <w:sz w:val="18"/>
                <w:szCs w:val="18"/>
                <w:lang w:eastAsia="en-AU"/>
              </w:rPr>
              <w:t xml:space="preserve">s.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identified 5 fewer </w:t>
            </w:r>
            <w:r w:rsidRPr="00BB76D8">
              <w:rPr>
                <w:rFonts w:ascii="Arial Narrow" w:hAnsi="Arial Narrow" w:cs="Arial"/>
                <w:sz w:val="18"/>
                <w:szCs w:val="18"/>
                <w:lang w:eastAsia="en-AU"/>
              </w:rPr>
              <w:t>FP</w:t>
            </w:r>
            <w:r w:rsidRPr="00537C3C">
              <w:rPr>
                <w:rFonts w:ascii="Arial Narrow" w:hAnsi="Arial Narrow" w:cs="Arial"/>
                <w:sz w:val="18"/>
                <w:szCs w:val="18"/>
                <w:lang w:eastAsia="en-AU"/>
              </w:rPr>
              <w:t xml:space="preserve">s, 0.83 fewer per 1000 women screened. </w:t>
            </w:r>
            <w:r w:rsidRPr="00537C3C">
              <w:rPr>
                <w:rFonts w:ascii="Arial Narrow" w:hAnsi="Arial Narrow" w:cs="Arial"/>
                <w:sz w:val="18"/>
                <w:szCs w:val="18"/>
                <w:lang w:eastAsia="en-AU"/>
              </w:rPr>
              <w:sym w:font="Symbol" w:char="F063"/>
            </w:r>
            <w:r w:rsidRPr="00537C3C">
              <w:rPr>
                <w:rFonts w:ascii="Arial Narrow" w:hAnsi="Arial Narrow" w:cs="Arial"/>
                <w:sz w:val="18"/>
                <w:szCs w:val="18"/>
                <w:vertAlign w:val="superscript"/>
                <w:lang w:eastAsia="en-AU"/>
              </w:rPr>
              <w:t>2</w:t>
            </w:r>
            <w:r w:rsidRPr="00537C3C">
              <w:rPr>
                <w:rFonts w:ascii="Arial Narrow" w:hAnsi="Arial Narrow" w:cs="Arial"/>
                <w:sz w:val="18"/>
                <w:szCs w:val="18"/>
                <w:lang w:eastAsia="en-AU"/>
              </w:rPr>
              <w:t xml:space="preserve"> </w:t>
            </w:r>
            <w:r w:rsidRPr="0030078D">
              <w:rPr>
                <w:rFonts w:ascii="Arial Narrow" w:hAnsi="Arial Narrow" w:cs="Arial"/>
                <w:i/>
                <w:sz w:val="18"/>
                <w:szCs w:val="18"/>
                <w:lang w:eastAsia="en-AU"/>
              </w:rPr>
              <w:t>P</w:t>
            </w:r>
            <w:r w:rsidRPr="00537C3C">
              <w:rPr>
                <w:rFonts w:ascii="Arial Narrow" w:hAnsi="Arial Narrow" w:cs="Arial"/>
                <w:sz w:val="18"/>
                <w:szCs w:val="18"/>
                <w:lang w:eastAsia="en-AU"/>
              </w:rPr>
              <w:t xml:space="preserve"> = 0.89</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sz w:val="18"/>
                <w:lang w:eastAsia="en-AU"/>
              </w:rPr>
              <w:t xml:space="preserve">Additional </w:t>
            </w:r>
            <w:r w:rsidRPr="00BB76D8">
              <w:rPr>
                <w:rFonts w:ascii="Arial Narrow" w:hAnsi="Arial Narrow"/>
                <w:sz w:val="18"/>
                <w:lang w:eastAsia="en-AU"/>
              </w:rPr>
              <w:t>TP</w:t>
            </w:r>
            <w:r w:rsidRPr="00537C3C">
              <w:rPr>
                <w:rFonts w:ascii="Arial Narrow" w:hAnsi="Arial Narrow"/>
                <w:sz w:val="18"/>
                <w:lang w:eastAsia="en-AU"/>
              </w:rPr>
              <w:t>:</w:t>
            </w:r>
            <w:r w:rsidRPr="00BB76D8">
              <w:rPr>
                <w:rFonts w:ascii="Arial Narrow" w:hAnsi="Arial Narrow"/>
                <w:sz w:val="18"/>
                <w:lang w:eastAsia="en-AU"/>
              </w:rPr>
              <w:t>FP</w:t>
            </w:r>
            <w:r w:rsidRPr="00537C3C">
              <w:rPr>
                <w:rFonts w:ascii="Arial Narrow" w:hAnsi="Arial Narrow"/>
                <w:sz w:val="18"/>
                <w:lang w:eastAsia="en-AU"/>
              </w:rPr>
              <w:t xml:space="preserve"> </w:t>
            </w:r>
            <w:r w:rsidRPr="00A316F5">
              <w:rPr>
                <w:rFonts w:ascii="Arial Narrow" w:hAnsi="Arial Narrow"/>
                <w:sz w:val="18"/>
                <w:lang w:eastAsia="en-AU"/>
              </w:rPr>
              <w:t>N/</w:t>
            </w:r>
            <w:r w:rsidRPr="00537C3C">
              <w:rPr>
                <w:rFonts w:ascii="Arial Narrow" w:hAnsi="Arial Narrow"/>
                <w:sz w:val="18"/>
                <w:lang w:eastAsia="en-AU"/>
              </w:rPr>
              <w:t>A</w:t>
            </w:r>
            <w:r w:rsidRPr="00537C3C">
              <w:rPr>
                <w:rFonts w:ascii="Arial Narrow" w:hAnsi="Arial Narrow" w:cs="Arial"/>
                <w:sz w:val="18"/>
                <w:szCs w:val="18"/>
                <w:lang w:eastAsia="en-AU"/>
              </w:rPr>
              <w:t>. Estimated difference in sensitivity = 0/83 = 0% (0–0.04</w:t>
            </w:r>
            <w:r w:rsidRPr="00537C3C">
              <w:t xml:space="preserve">). </w:t>
            </w:r>
            <w:r w:rsidRPr="00537C3C">
              <w:rPr>
                <w:rFonts w:ascii="Arial Narrow" w:hAnsi="Arial Narrow" w:cs="Arial"/>
                <w:sz w:val="18"/>
                <w:szCs w:val="18"/>
                <w:lang w:eastAsia="en-AU"/>
              </w:rPr>
              <w:t xml:space="preserve">Estimated difference in </w:t>
            </w:r>
            <w:r w:rsidRPr="00BB76D8">
              <w:rPr>
                <w:rFonts w:ascii="Arial Narrow" w:hAnsi="Arial Narrow" w:cs="Arial"/>
                <w:sz w:val="18"/>
                <w:szCs w:val="18"/>
                <w:lang w:eastAsia="en-AU"/>
              </w:rPr>
              <w:t>FP</w:t>
            </w:r>
            <w:r w:rsidRPr="00537C3C">
              <w:rPr>
                <w:rFonts w:ascii="Arial Narrow" w:hAnsi="Arial Narrow" w:cs="Arial"/>
                <w:sz w:val="18"/>
                <w:szCs w:val="18"/>
                <w:lang w:eastAsia="en-AU"/>
              </w:rPr>
              <w:t>R = –5/5845 = –0.09% (–0.04 to –0.21)</w:t>
            </w:r>
          </w:p>
          <w:p w:rsidR="00234376" w:rsidRPr="00537C3C" w:rsidRDefault="00234376" w:rsidP="008E03A7">
            <w:pPr>
              <w:spacing w:before="40" w:after="0"/>
              <w:ind w:left="0"/>
              <w:rPr>
                <w:rFonts w:ascii="Arial Narrow" w:hAnsi="Arial Narrow" w:cs="Arial"/>
                <w:sz w:val="18"/>
                <w:szCs w:val="18"/>
                <w:lang w:eastAsia="en-AU"/>
              </w:rPr>
            </w:pPr>
          </w:p>
          <w:p w:rsidR="00234376" w:rsidRPr="00537C3C" w:rsidRDefault="00234376" w:rsidP="008E03A7">
            <w:pPr>
              <w:pStyle w:val="TableTextCharCharChar"/>
              <w:rPr>
                <w:rFonts w:cs="Arial"/>
                <w:szCs w:val="18"/>
                <w:u w:val="single"/>
              </w:rPr>
            </w:pPr>
            <w:r w:rsidRPr="00537C3C">
              <w:rPr>
                <w:rFonts w:cs="Arial"/>
                <w:szCs w:val="18"/>
                <w:u w:val="single"/>
              </w:rPr>
              <w:t>Accuracy for glandular:</w:t>
            </w:r>
          </w:p>
          <w:p w:rsidR="00234376" w:rsidRPr="00537C3C" w:rsidRDefault="00234376" w:rsidP="008E03A7">
            <w:pPr>
              <w:spacing w:before="40" w:after="0"/>
              <w:ind w:left="0"/>
              <w:rPr>
                <w:rFonts w:ascii="Arial Narrow" w:hAnsi="Arial Narrow" w:cs="Arial"/>
                <w:sz w:val="18"/>
                <w:szCs w:val="18"/>
                <w:lang w:eastAsia="en-AU"/>
              </w:rPr>
            </w:pP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 2 </w:t>
            </w:r>
            <w:r w:rsidRPr="00BB76D8">
              <w:rPr>
                <w:rFonts w:ascii="Arial Narrow" w:hAnsi="Arial Narrow" w:cs="Arial"/>
                <w:sz w:val="18"/>
                <w:szCs w:val="18"/>
                <w:lang w:eastAsia="en-AU"/>
              </w:rPr>
              <w:t>TP</w:t>
            </w:r>
            <w:r w:rsidRPr="00537C3C">
              <w:rPr>
                <w:rFonts w:ascii="Arial Narrow" w:hAnsi="Arial Narrow" w:cs="Arial"/>
                <w:sz w:val="18"/>
                <w:szCs w:val="18"/>
                <w:lang w:eastAsia="en-AU"/>
              </w:rPr>
              <w:t xml:space="preserve">s, 0 </w:t>
            </w:r>
            <w:r w:rsidRPr="00BB76D8">
              <w:rPr>
                <w:rFonts w:ascii="Arial Narrow" w:hAnsi="Arial Narrow" w:cs="Arial"/>
                <w:sz w:val="18"/>
                <w:szCs w:val="18"/>
                <w:lang w:eastAsia="en-AU"/>
              </w:rPr>
              <w:t>FP</w:t>
            </w:r>
            <w:r w:rsidRPr="00537C3C">
              <w:rPr>
                <w:rFonts w:ascii="Arial Narrow" w:hAnsi="Arial Narrow" w:cs="Arial"/>
                <w:sz w:val="18"/>
                <w:szCs w:val="18"/>
                <w:lang w:eastAsia="en-AU"/>
              </w:rPr>
              <w:t xml:space="preserve">s; </w:t>
            </w:r>
            <w:r w:rsidRPr="00BB76D8">
              <w:rPr>
                <w:rFonts w:ascii="Arial Narrow" w:hAnsi="Arial Narrow" w:cs="Arial"/>
                <w:sz w:val="18"/>
                <w:szCs w:val="18"/>
                <w:lang w:eastAsia="en-AU"/>
              </w:rPr>
              <w:t>TPM</w:t>
            </w:r>
            <w:r w:rsidRPr="00537C3C">
              <w:rPr>
                <w:rFonts w:ascii="Arial Narrow" w:hAnsi="Arial Narrow" w:cs="Arial"/>
                <w:sz w:val="18"/>
                <w:szCs w:val="18"/>
                <w:lang w:eastAsia="en-AU"/>
              </w:rPr>
              <w:t xml:space="preserve"> = 2 </w:t>
            </w:r>
            <w:r w:rsidRPr="00BB76D8">
              <w:rPr>
                <w:rFonts w:ascii="Arial Narrow" w:hAnsi="Arial Narrow" w:cs="Arial"/>
                <w:sz w:val="18"/>
                <w:szCs w:val="18"/>
                <w:lang w:eastAsia="en-AU"/>
              </w:rPr>
              <w:t>TP</w:t>
            </w:r>
            <w:r w:rsidRPr="00537C3C">
              <w:rPr>
                <w:rFonts w:ascii="Arial Narrow" w:hAnsi="Arial Narrow" w:cs="Arial"/>
                <w:sz w:val="18"/>
                <w:szCs w:val="18"/>
                <w:lang w:eastAsia="en-AU"/>
              </w:rPr>
              <w:t xml:space="preserve">s, 0 </w:t>
            </w:r>
            <w:r w:rsidRPr="00BB76D8">
              <w:rPr>
                <w:rFonts w:ascii="Arial Narrow" w:hAnsi="Arial Narrow" w:cs="Arial"/>
                <w:sz w:val="18"/>
                <w:szCs w:val="18"/>
                <w:lang w:eastAsia="en-AU"/>
              </w:rPr>
              <w:t>FP</w:t>
            </w:r>
            <w:r w:rsidRPr="00537C3C">
              <w:rPr>
                <w:rFonts w:ascii="Arial Narrow" w:hAnsi="Arial Narrow" w:cs="Arial"/>
                <w:sz w:val="18"/>
                <w:szCs w:val="18"/>
                <w:lang w:eastAsia="en-AU"/>
              </w:rPr>
              <w:t>s. 0% difference in sensitivity or specificity.</w:t>
            </w:r>
          </w:p>
          <w:p w:rsidR="00234376" w:rsidRPr="00537C3C" w:rsidRDefault="00234376" w:rsidP="008E03A7">
            <w:pPr>
              <w:spacing w:before="40" w:after="0"/>
              <w:ind w:left="0"/>
              <w:rPr>
                <w:rFonts w:ascii="Arial Narrow" w:hAnsi="Arial Narrow" w:cs="Arial"/>
                <w:sz w:val="18"/>
                <w:szCs w:val="18"/>
                <w:lang w:eastAsia="en-AU"/>
              </w:rPr>
            </w:pPr>
          </w:p>
          <w:p w:rsidR="00234376" w:rsidRPr="00537C3C" w:rsidRDefault="00234376" w:rsidP="008E03A7">
            <w:pPr>
              <w:spacing w:before="40" w:after="0"/>
              <w:ind w:left="0"/>
              <w:rPr>
                <w:rFonts w:ascii="Arial Narrow" w:hAnsi="Arial Narrow" w:cs="Arial"/>
                <w:sz w:val="18"/>
                <w:szCs w:val="18"/>
                <w:u w:val="single"/>
                <w:lang w:eastAsia="en-AU"/>
              </w:rPr>
            </w:pPr>
            <w:r w:rsidRPr="00537C3C">
              <w:rPr>
                <w:rFonts w:ascii="Arial Narrow" w:hAnsi="Arial Narrow" w:cs="Arial"/>
                <w:sz w:val="18"/>
                <w:szCs w:val="18"/>
                <w:u w:val="single"/>
                <w:lang w:eastAsia="en-AU"/>
              </w:rPr>
              <w:t>Biopsy confirmation:</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lang w:eastAsia="en-AU"/>
              </w:rPr>
              <w:t xml:space="preserve">Of 83 </w:t>
            </w:r>
            <w:r w:rsidRPr="00BB76D8">
              <w:rPr>
                <w:rFonts w:ascii="Arial Narrow" w:hAnsi="Arial Narrow" w:cs="Arial"/>
                <w:sz w:val="18"/>
                <w:szCs w:val="18"/>
                <w:lang w:eastAsia="en-AU"/>
              </w:rPr>
              <w:t>CIN</w:t>
            </w:r>
            <w:r w:rsidRPr="00537C3C">
              <w:rPr>
                <w:rFonts w:ascii="Arial Narrow" w:hAnsi="Arial Narrow" w:cs="Arial"/>
                <w:sz w:val="18"/>
                <w:szCs w:val="18"/>
                <w:lang w:eastAsia="en-AU"/>
              </w:rPr>
              <w:t xml:space="preserve"> 2+ on adjudicated cytology, histology available for 51: 43 confirmed high-grade, 6 low-grade, 2 negative (8 </w:t>
            </w:r>
            <w:r w:rsidRPr="00BB76D8">
              <w:rPr>
                <w:rFonts w:ascii="Arial Narrow" w:hAnsi="Arial Narrow" w:cs="Arial"/>
                <w:sz w:val="18"/>
                <w:szCs w:val="18"/>
                <w:lang w:eastAsia="en-AU"/>
              </w:rPr>
              <w:t>FN</w:t>
            </w:r>
            <w:r w:rsidRPr="00537C3C">
              <w:rPr>
                <w:rFonts w:ascii="Arial Narrow" w:hAnsi="Arial Narrow" w:cs="Arial"/>
                <w:sz w:val="18"/>
                <w:szCs w:val="18"/>
                <w:lang w:eastAsia="en-AU"/>
              </w:rPr>
              <w:t xml:space="preserve">). Not reported contingent on screening method results, ie, unclear if these cases were concordant on </w:t>
            </w:r>
            <w:r w:rsidRPr="00BB76D8">
              <w:rPr>
                <w:rFonts w:ascii="Arial Narrow" w:hAnsi="Arial Narrow" w:cs="Arial"/>
                <w:sz w:val="18"/>
                <w:szCs w:val="18"/>
                <w:lang w:eastAsia="en-AU"/>
              </w:rPr>
              <w:t>TPI</w:t>
            </w:r>
            <w:r w:rsidRPr="00537C3C">
              <w:rPr>
                <w:rFonts w:ascii="Arial Narrow" w:hAnsi="Arial Narrow" w:cs="Arial"/>
                <w:sz w:val="18"/>
                <w:szCs w:val="18"/>
                <w:lang w:eastAsia="en-AU"/>
              </w:rPr>
              <w:t xml:space="preserve"> and </w:t>
            </w:r>
            <w:r w:rsidRPr="00BB76D8">
              <w:rPr>
                <w:rFonts w:ascii="Arial Narrow" w:hAnsi="Arial Narrow" w:cs="Arial"/>
                <w:sz w:val="18"/>
                <w:szCs w:val="18"/>
                <w:lang w:eastAsia="en-AU"/>
              </w:rPr>
              <w:t>TPM</w:t>
            </w:r>
            <w:r w:rsidRPr="00537C3C">
              <w:rPr>
                <w:rFonts w:ascii="Arial Narrow" w:hAnsi="Arial Narrow" w:cs="Arial"/>
                <w:sz w:val="18"/>
                <w:szCs w:val="18"/>
                <w:lang w:eastAsia="en-AU"/>
              </w:rPr>
              <w:t xml:space="preserve"> (adjudicated cytology </w:t>
            </w:r>
            <w:r w:rsidRPr="006C24DD">
              <w:rPr>
                <w:rFonts w:ascii="Arial Narrow" w:hAnsi="Arial Narrow" w:cs="Arial"/>
                <w:sz w:val="18"/>
                <w:szCs w:val="18"/>
                <w:lang w:eastAsia="en-AU"/>
              </w:rPr>
              <w:t>positive predictive value</w:t>
            </w:r>
            <w:r w:rsidRPr="006C24DD" w:rsidDel="006C24DD">
              <w:rPr>
                <w:rFonts w:ascii="Arial Narrow" w:hAnsi="Arial Narrow" w:cs="Arial"/>
                <w:sz w:val="18"/>
                <w:szCs w:val="18"/>
                <w:lang w:eastAsia="en-AU"/>
              </w:rPr>
              <w:t xml:space="preserve"> </w:t>
            </w:r>
            <w:r w:rsidRPr="00537C3C" w:rsidDel="006C24DD">
              <w:rPr>
                <w:rFonts w:ascii="Arial Narrow" w:hAnsi="Arial Narrow" w:cs="Arial"/>
                <w:sz w:val="18"/>
                <w:szCs w:val="18"/>
                <w:lang w:eastAsia="en-AU"/>
              </w:rPr>
              <w:t xml:space="preserve">of </w:t>
            </w:r>
            <w:r w:rsidRPr="00537C3C">
              <w:rPr>
                <w:rFonts w:ascii="Arial Narrow" w:hAnsi="Arial Narrow" w:cs="Arial"/>
                <w:sz w:val="18"/>
                <w:szCs w:val="18"/>
                <w:lang w:eastAsia="en-AU"/>
              </w:rPr>
              <w:t>84% for biopsy confirmed high-grade disease)</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lang w:eastAsia="en-AU"/>
              </w:rPr>
              <w:t xml:space="preserve">Of 2 glandular cases, cytology indicated 1 low-grade </w:t>
            </w:r>
            <w:r w:rsidRPr="001E6D1E">
              <w:rPr>
                <w:rFonts w:ascii="Arial Narrow" w:hAnsi="Arial Narrow" w:cs="Arial"/>
                <w:sz w:val="18"/>
                <w:szCs w:val="18"/>
                <w:lang w:eastAsia="en-AU"/>
              </w:rPr>
              <w:t>c</w:t>
            </w:r>
            <w:r w:rsidR="00DE79DC">
              <w:rPr>
                <w:rFonts w:ascii="Arial Narrow" w:hAnsi="Arial Narrow" w:cs="Arial"/>
                <w:sz w:val="18"/>
                <w:szCs w:val="18"/>
                <w:lang w:eastAsia="en-AU"/>
              </w:rPr>
              <w:t>ervical glandular intraepithelial neoplasia (c</w:t>
            </w:r>
            <w:r w:rsidRPr="001E6D1E">
              <w:rPr>
                <w:rFonts w:ascii="Arial Narrow" w:hAnsi="Arial Narrow" w:cs="Arial"/>
                <w:sz w:val="18"/>
                <w:szCs w:val="18"/>
                <w:lang w:eastAsia="en-AU"/>
              </w:rPr>
              <w:t>GIN</w:t>
            </w:r>
            <w:r w:rsidR="00DE79DC">
              <w:rPr>
                <w:rFonts w:ascii="Arial Narrow" w:hAnsi="Arial Narrow" w:cs="Arial"/>
                <w:sz w:val="18"/>
                <w:szCs w:val="18"/>
                <w:lang w:eastAsia="en-AU"/>
              </w:rPr>
              <w:t>)</w:t>
            </w:r>
            <w:r w:rsidRPr="00537C3C">
              <w:rPr>
                <w:rFonts w:ascii="Arial Narrow" w:hAnsi="Arial Narrow" w:cs="Arial"/>
                <w:sz w:val="18"/>
                <w:szCs w:val="18"/>
                <w:lang w:eastAsia="en-AU"/>
              </w:rPr>
              <w:t xml:space="preserve"> (no biopsy available), 1 case endometrial (confirmed as endometrial adenocarcinoma on biopsy).</w:t>
            </w:r>
          </w:p>
          <w:p w:rsidR="00234376" w:rsidRPr="00537C3C" w:rsidRDefault="00234376" w:rsidP="008E03A7">
            <w:pPr>
              <w:spacing w:before="40" w:after="0"/>
              <w:ind w:left="0"/>
              <w:rPr>
                <w:rFonts w:ascii="Arial Narrow" w:hAnsi="Arial Narrow" w:cs="Arial"/>
                <w:sz w:val="18"/>
                <w:szCs w:val="18"/>
                <w:lang w:eastAsia="en-AU"/>
              </w:rPr>
            </w:pPr>
          </w:p>
          <w:p w:rsidR="00234376" w:rsidRPr="00537C3C" w:rsidRDefault="00234376" w:rsidP="008E03A7">
            <w:pPr>
              <w:pStyle w:val="TableTextCharCharChar"/>
              <w:rPr>
                <w:rFonts w:cs="Arial"/>
                <w:b/>
                <w:szCs w:val="18"/>
              </w:rPr>
            </w:pPr>
            <w:r w:rsidRPr="00537C3C">
              <w:rPr>
                <w:rFonts w:cs="Arial"/>
                <w:b/>
                <w:szCs w:val="18"/>
              </w:rPr>
              <w:t>Test characteristics</w:t>
            </w:r>
          </w:p>
          <w:p w:rsidR="00234376" w:rsidRPr="00537C3C" w:rsidRDefault="00234376" w:rsidP="008E03A7">
            <w:pPr>
              <w:pStyle w:val="TableTextCharCharChar"/>
              <w:rPr>
                <w:rFonts w:cs="Arial"/>
                <w:szCs w:val="18"/>
              </w:rPr>
            </w:pPr>
            <w:r w:rsidRPr="00537C3C">
              <w:rPr>
                <w:rFonts w:cs="Arial"/>
                <w:szCs w:val="18"/>
                <w:u w:val="single"/>
              </w:rPr>
              <w:t>Yield (denominator 6000)</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 xml:space="preserve">BNA: </w:t>
            </w:r>
            <w:r w:rsidRPr="00BB76D8">
              <w:rPr>
                <w:rFonts w:ascii="Arial Narrow" w:hAnsi="Arial Narrow" w:cs="Arial"/>
                <w:sz w:val="18"/>
                <w:szCs w:val="18"/>
              </w:rPr>
              <w:t>TPI</w:t>
            </w:r>
            <w:r w:rsidRPr="00537C3C">
              <w:rPr>
                <w:rFonts w:ascii="Arial Narrow" w:hAnsi="Arial Narrow" w:cs="Arial"/>
                <w:sz w:val="18"/>
                <w:szCs w:val="18"/>
              </w:rPr>
              <w:t xml:space="preserve"> 5.7%, </w:t>
            </w:r>
            <w:r w:rsidRPr="00BB76D8">
              <w:rPr>
                <w:rFonts w:ascii="Arial Narrow" w:hAnsi="Arial Narrow" w:cs="Arial"/>
                <w:sz w:val="18"/>
                <w:szCs w:val="18"/>
              </w:rPr>
              <w:t>TPM</w:t>
            </w:r>
            <w:r w:rsidRPr="00537C3C">
              <w:rPr>
                <w:rFonts w:ascii="Arial Narrow" w:hAnsi="Arial Narrow" w:cs="Arial"/>
                <w:sz w:val="18"/>
                <w:szCs w:val="18"/>
              </w:rPr>
              <w:t xml:space="preserve"> 5.6%; </w:t>
            </w:r>
            <w:r w:rsidRPr="00BB76D8">
              <w:rPr>
                <w:rFonts w:ascii="Arial Narrow" w:hAnsi="Arial Narrow" w:cs="Arial"/>
                <w:i/>
                <w:sz w:val="18"/>
                <w:szCs w:val="18"/>
              </w:rPr>
              <w:t>CIN</w:t>
            </w:r>
            <w:r w:rsidRPr="00537C3C">
              <w:rPr>
                <w:rFonts w:ascii="Arial Narrow" w:hAnsi="Arial Narrow" w:cs="Arial"/>
                <w:i/>
                <w:sz w:val="18"/>
                <w:szCs w:val="18"/>
              </w:rPr>
              <w:t xml:space="preserve"> 1: </w:t>
            </w:r>
            <w:r w:rsidRPr="00BB76D8">
              <w:rPr>
                <w:rFonts w:ascii="Arial Narrow" w:hAnsi="Arial Narrow" w:cs="Arial"/>
                <w:sz w:val="18"/>
                <w:szCs w:val="18"/>
              </w:rPr>
              <w:t>TPI</w:t>
            </w:r>
            <w:r w:rsidRPr="00537C3C">
              <w:rPr>
                <w:rFonts w:ascii="Arial Narrow" w:hAnsi="Arial Narrow" w:cs="Arial"/>
                <w:sz w:val="18"/>
                <w:szCs w:val="18"/>
              </w:rPr>
              <w:t xml:space="preserve"> 6.3%, </w:t>
            </w:r>
            <w:r w:rsidRPr="00BB76D8">
              <w:rPr>
                <w:rFonts w:ascii="Arial Narrow" w:hAnsi="Arial Narrow" w:cs="Arial"/>
                <w:sz w:val="18"/>
                <w:szCs w:val="18"/>
              </w:rPr>
              <w:t>TPM</w:t>
            </w:r>
            <w:r w:rsidRPr="00537C3C">
              <w:rPr>
                <w:rFonts w:ascii="Arial Narrow" w:hAnsi="Arial Narrow" w:cs="Arial"/>
                <w:sz w:val="18"/>
                <w:szCs w:val="18"/>
              </w:rPr>
              <w:t xml:space="preserve"> 6.3%; </w:t>
            </w:r>
            <w:r w:rsidRPr="00BB76D8">
              <w:rPr>
                <w:rFonts w:ascii="Arial Narrow" w:hAnsi="Arial Narrow" w:cs="Arial"/>
                <w:i/>
                <w:sz w:val="18"/>
                <w:szCs w:val="18"/>
              </w:rPr>
              <w:t>CIN</w:t>
            </w:r>
            <w:r w:rsidRPr="00537C3C">
              <w:rPr>
                <w:rFonts w:ascii="Arial Narrow" w:hAnsi="Arial Narrow" w:cs="Arial"/>
                <w:i/>
                <w:sz w:val="18"/>
                <w:szCs w:val="18"/>
              </w:rPr>
              <w:t xml:space="preserve"> 2: </w:t>
            </w:r>
            <w:r w:rsidRPr="00BB76D8">
              <w:rPr>
                <w:rFonts w:ascii="Arial Narrow" w:hAnsi="Arial Narrow" w:cs="Arial"/>
                <w:sz w:val="18"/>
                <w:szCs w:val="18"/>
              </w:rPr>
              <w:t>TPI</w:t>
            </w:r>
            <w:r w:rsidRPr="00537C3C">
              <w:rPr>
                <w:rFonts w:ascii="Arial Narrow" w:hAnsi="Arial Narrow" w:cs="Arial"/>
                <w:sz w:val="18"/>
                <w:szCs w:val="18"/>
              </w:rPr>
              <w:t xml:space="preserve"> 0.92%, </w:t>
            </w:r>
            <w:r w:rsidRPr="00BB76D8">
              <w:rPr>
                <w:rFonts w:ascii="Arial Narrow" w:hAnsi="Arial Narrow" w:cs="Arial"/>
                <w:sz w:val="18"/>
                <w:szCs w:val="18"/>
              </w:rPr>
              <w:t>TPM</w:t>
            </w:r>
            <w:r w:rsidRPr="00537C3C">
              <w:rPr>
                <w:rFonts w:ascii="Arial Narrow" w:hAnsi="Arial Narrow" w:cs="Arial"/>
                <w:sz w:val="18"/>
                <w:szCs w:val="18"/>
              </w:rPr>
              <w:t xml:space="preserve"> 0.95%; </w:t>
            </w:r>
            <w:r w:rsidRPr="00BB76D8">
              <w:rPr>
                <w:rFonts w:ascii="Arial Narrow" w:hAnsi="Arial Narrow" w:cs="Arial"/>
                <w:i/>
                <w:sz w:val="18"/>
                <w:szCs w:val="18"/>
              </w:rPr>
              <w:t>CIN</w:t>
            </w:r>
            <w:r w:rsidRPr="00537C3C">
              <w:rPr>
                <w:rFonts w:ascii="Arial Narrow" w:hAnsi="Arial Narrow" w:cs="Arial"/>
                <w:i/>
                <w:sz w:val="18"/>
                <w:szCs w:val="18"/>
              </w:rPr>
              <w:t xml:space="preserve"> 3: </w:t>
            </w:r>
            <w:r w:rsidRPr="00BB76D8">
              <w:rPr>
                <w:rFonts w:ascii="Arial Narrow" w:hAnsi="Arial Narrow" w:cs="Arial"/>
                <w:sz w:val="18"/>
                <w:szCs w:val="18"/>
              </w:rPr>
              <w:t>TPI</w:t>
            </w:r>
            <w:r w:rsidRPr="00537C3C">
              <w:rPr>
                <w:rFonts w:ascii="Arial Narrow" w:hAnsi="Arial Narrow" w:cs="Arial"/>
                <w:sz w:val="18"/>
                <w:szCs w:val="18"/>
              </w:rPr>
              <w:t xml:space="preserve"> 0.32%, </w:t>
            </w:r>
            <w:r w:rsidRPr="00BB76D8">
              <w:rPr>
                <w:rFonts w:ascii="Arial Narrow" w:hAnsi="Arial Narrow" w:cs="Arial"/>
                <w:sz w:val="18"/>
                <w:szCs w:val="18"/>
              </w:rPr>
              <w:t>TPM</w:t>
            </w:r>
            <w:r w:rsidRPr="00537C3C">
              <w:rPr>
                <w:rFonts w:ascii="Arial Narrow" w:hAnsi="Arial Narrow" w:cs="Arial"/>
                <w:sz w:val="18"/>
                <w:szCs w:val="18"/>
              </w:rPr>
              <w:t xml:space="preserve"> 0.40% ; </w:t>
            </w:r>
            <w:r w:rsidRPr="00BB76D8">
              <w:rPr>
                <w:rFonts w:ascii="Arial Narrow" w:hAnsi="Arial Narrow" w:cs="Arial"/>
                <w:sz w:val="18"/>
                <w:szCs w:val="18"/>
              </w:rPr>
              <w:t>HSIL</w:t>
            </w:r>
            <w:r w:rsidRPr="00537C3C">
              <w:rPr>
                <w:rFonts w:ascii="Arial Narrow" w:hAnsi="Arial Narrow" w:cs="Arial"/>
                <w:sz w:val="18"/>
                <w:szCs w:val="18"/>
              </w:rPr>
              <w:t xml:space="preserve"> (</w:t>
            </w:r>
            <w:r w:rsidRPr="00BB76D8">
              <w:rPr>
                <w:rFonts w:ascii="Arial Narrow" w:hAnsi="Arial Narrow" w:cs="Arial"/>
                <w:sz w:val="18"/>
                <w:szCs w:val="18"/>
              </w:rPr>
              <w:t>CIN</w:t>
            </w:r>
            <w:r w:rsidRPr="00537C3C">
              <w:rPr>
                <w:rFonts w:ascii="Arial Narrow" w:hAnsi="Arial Narrow" w:cs="Arial"/>
                <w:sz w:val="18"/>
                <w:szCs w:val="18"/>
              </w:rPr>
              <w:t xml:space="preserve"> 2 + </w:t>
            </w:r>
            <w:r w:rsidRPr="00BB76D8">
              <w:rPr>
                <w:rFonts w:ascii="Arial Narrow" w:hAnsi="Arial Narrow" w:cs="Arial"/>
                <w:sz w:val="18"/>
                <w:szCs w:val="18"/>
              </w:rPr>
              <w:t>CIN</w:t>
            </w:r>
            <w:r w:rsidRPr="00537C3C">
              <w:rPr>
                <w:rFonts w:ascii="Arial Narrow" w:hAnsi="Arial Narrow" w:cs="Arial"/>
                <w:sz w:val="18"/>
                <w:szCs w:val="18"/>
              </w:rPr>
              <w:t xml:space="preserve"> 3): </w:t>
            </w:r>
            <w:r w:rsidRPr="00BB76D8">
              <w:rPr>
                <w:rFonts w:ascii="Arial Narrow" w:hAnsi="Arial Narrow" w:cs="Arial"/>
                <w:sz w:val="18"/>
                <w:szCs w:val="18"/>
              </w:rPr>
              <w:t>TPI</w:t>
            </w:r>
            <w:r w:rsidRPr="00537C3C">
              <w:rPr>
                <w:rFonts w:ascii="Arial Narrow" w:hAnsi="Arial Narrow" w:cs="Arial"/>
                <w:sz w:val="18"/>
                <w:szCs w:val="18"/>
              </w:rPr>
              <w:t xml:space="preserve"> 1.23%, </w:t>
            </w:r>
            <w:r w:rsidRPr="00BB76D8">
              <w:rPr>
                <w:rFonts w:ascii="Arial Narrow" w:hAnsi="Arial Narrow" w:cs="Arial"/>
                <w:sz w:val="18"/>
                <w:szCs w:val="18"/>
              </w:rPr>
              <w:t>TPM</w:t>
            </w:r>
            <w:r w:rsidRPr="00537C3C">
              <w:rPr>
                <w:rFonts w:ascii="Arial Narrow" w:hAnsi="Arial Narrow" w:cs="Arial"/>
                <w:sz w:val="18"/>
                <w:szCs w:val="18"/>
              </w:rPr>
              <w:t xml:space="preserve"> 1.35%</w:t>
            </w:r>
          </w:p>
          <w:p w:rsidR="00234376" w:rsidRPr="00537C3C" w:rsidRDefault="00234376" w:rsidP="008E03A7">
            <w:pPr>
              <w:pStyle w:val="TableTextCharCharChar"/>
              <w:keepNext w:val="0"/>
              <w:spacing w:after="0"/>
              <w:rPr>
                <w:rFonts w:cs="Arial"/>
                <w:szCs w:val="18"/>
              </w:rPr>
            </w:pPr>
            <w:r w:rsidRPr="00537C3C">
              <w:rPr>
                <w:rFonts w:cs="Arial"/>
                <w:i/>
                <w:szCs w:val="18"/>
              </w:rPr>
              <w:t xml:space="preserve">Glandular: </w:t>
            </w:r>
            <w:r w:rsidRPr="00BB76D8">
              <w:rPr>
                <w:rFonts w:cs="Arial"/>
                <w:szCs w:val="18"/>
              </w:rPr>
              <w:t>TPI</w:t>
            </w:r>
            <w:r w:rsidRPr="00537C3C">
              <w:rPr>
                <w:rFonts w:cs="Arial"/>
                <w:szCs w:val="18"/>
              </w:rPr>
              <w:t xml:space="preserve"> 0.03%, </w:t>
            </w:r>
            <w:r w:rsidRPr="00BB76D8">
              <w:rPr>
                <w:rFonts w:cs="Arial"/>
                <w:szCs w:val="18"/>
              </w:rPr>
              <w:t>TPM</w:t>
            </w:r>
            <w:r w:rsidRPr="00537C3C">
              <w:rPr>
                <w:rFonts w:cs="Arial"/>
                <w:szCs w:val="18"/>
              </w:rPr>
              <w:t xml:space="preserve"> 0.03%</w:t>
            </w:r>
          </w:p>
          <w:p w:rsidR="00234376" w:rsidRPr="00537C3C" w:rsidRDefault="00234376" w:rsidP="008E03A7">
            <w:pPr>
              <w:pStyle w:val="TableTextCharCharChar"/>
              <w:keepNext w:val="0"/>
              <w:spacing w:after="0"/>
              <w:rPr>
                <w:rFonts w:cs="Arial"/>
                <w:szCs w:val="18"/>
                <w:u w:val="single"/>
              </w:rPr>
            </w:pPr>
          </w:p>
          <w:p w:rsidR="00234376" w:rsidRPr="00537C3C" w:rsidRDefault="00234376" w:rsidP="008E03A7">
            <w:pPr>
              <w:spacing w:before="40" w:after="0"/>
              <w:ind w:left="0"/>
              <w:rPr>
                <w:rFonts w:ascii="Arial Narrow" w:hAnsi="Arial Narrow" w:cs="Arial"/>
                <w:sz w:val="18"/>
                <w:szCs w:val="18"/>
                <w:u w:val="single"/>
              </w:rPr>
            </w:pPr>
            <w:r w:rsidRPr="00537C3C">
              <w:rPr>
                <w:rFonts w:ascii="Arial Narrow" w:hAnsi="Arial Narrow" w:cs="Arial"/>
                <w:sz w:val="18"/>
                <w:szCs w:val="18"/>
                <w:u w:val="single"/>
              </w:rPr>
              <w:t>Process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Not processed:</w:t>
            </w:r>
            <w:r w:rsidRPr="00537C3C">
              <w:rPr>
                <w:rFonts w:ascii="Arial Narrow" w:hAnsi="Arial Narrow" w:cs="Arial"/>
                <w:sz w:val="18"/>
                <w:szCs w:val="18"/>
              </w:rPr>
              <w:t xml:space="preserve"> </w:t>
            </w:r>
            <w:r w:rsidRPr="00BB76D8">
              <w:rPr>
                <w:rFonts w:ascii="Arial Narrow" w:hAnsi="Arial Narrow" w:cs="Arial"/>
                <w:sz w:val="18"/>
                <w:szCs w:val="18"/>
              </w:rPr>
              <w:t>NR</w:t>
            </w:r>
            <w:r w:rsidRPr="00537C3C">
              <w:rPr>
                <w:rFonts w:ascii="Arial Narrow" w:hAnsi="Arial Narrow" w:cs="Arial"/>
                <w:sz w:val="18"/>
                <w:szCs w:val="18"/>
              </w:rPr>
              <w:t xml:space="preserve"> (approx 3%)</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i/>
                <w:sz w:val="18"/>
                <w:szCs w:val="18"/>
              </w:rPr>
              <w:t xml:space="preserve">Unsatisfactory: </w:t>
            </w:r>
            <w:r w:rsidRPr="00BB76D8">
              <w:rPr>
                <w:rFonts w:ascii="Arial Narrow" w:hAnsi="Arial Narrow" w:cs="Arial"/>
                <w:sz w:val="18"/>
                <w:szCs w:val="18"/>
              </w:rPr>
              <w:t>TPI</w:t>
            </w:r>
            <w:r w:rsidRPr="00537C3C">
              <w:rPr>
                <w:rFonts w:ascii="Arial Narrow" w:hAnsi="Arial Narrow" w:cs="Arial"/>
                <w:sz w:val="18"/>
                <w:szCs w:val="18"/>
              </w:rPr>
              <w:t xml:space="preserve"> = 63/6000 (1.05%), </w:t>
            </w:r>
            <w:r w:rsidRPr="00BB76D8">
              <w:rPr>
                <w:rFonts w:ascii="Arial Narrow" w:hAnsi="Arial Narrow" w:cs="Arial"/>
                <w:sz w:val="18"/>
                <w:szCs w:val="18"/>
              </w:rPr>
              <w:t>TPM</w:t>
            </w:r>
            <w:r w:rsidRPr="00537C3C">
              <w:rPr>
                <w:rFonts w:ascii="Arial Narrow" w:hAnsi="Arial Narrow" w:cs="Arial"/>
                <w:sz w:val="18"/>
                <w:szCs w:val="18"/>
              </w:rPr>
              <w:t xml:space="preserve"> = 64/6000 (1.07%)</w:t>
            </w:r>
          </w:p>
        </w:tc>
      </w:tr>
      <w:tr w:rsidR="00234376" w:rsidRPr="00537C3C">
        <w:trPr>
          <w:gridAfter w:val="4"/>
          <w:wAfter w:w="458" w:type="dxa"/>
          <w:trHeight w:val="127"/>
        </w:trPr>
        <w:tc>
          <w:tcPr>
            <w:tcW w:w="1723"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20" w:after="40"/>
              <w:ind w:left="20"/>
              <w:rPr>
                <w:rFonts w:ascii="Arial Narrow" w:hAnsi="Arial Narrow" w:cs="Arial"/>
                <w:b/>
                <w:sz w:val="18"/>
                <w:szCs w:val="18"/>
              </w:rPr>
            </w:pPr>
            <w:r w:rsidRPr="00537C3C">
              <w:rPr>
                <w:rFonts w:ascii="Arial Narrow" w:hAnsi="Arial Narrow" w:cs="Arial"/>
                <w:b/>
                <w:sz w:val="18"/>
                <w:szCs w:val="18"/>
              </w:rPr>
              <w:lastRenderedPageBreak/>
              <w:t>Wilbur et al. 2002</w:t>
            </w:r>
          </w:p>
          <w:p w:rsidR="00234376" w:rsidRPr="00537C3C" w:rsidRDefault="00234376" w:rsidP="008E03A7">
            <w:pPr>
              <w:spacing w:before="20" w:after="40"/>
              <w:ind w:left="20"/>
              <w:rPr>
                <w:rFonts w:ascii="Arial Narrow" w:hAnsi="Arial Narrow" w:cs="Arial"/>
                <w:sz w:val="18"/>
                <w:szCs w:val="18"/>
              </w:rPr>
            </w:pPr>
          </w:p>
          <w:p w:rsidR="00234376" w:rsidRPr="00537C3C" w:rsidRDefault="00234376" w:rsidP="008E03A7">
            <w:pPr>
              <w:spacing w:before="20" w:after="40"/>
              <w:ind w:left="20"/>
              <w:rPr>
                <w:rFonts w:ascii="Arial Narrow" w:hAnsi="Arial Narrow" w:cs="Arial"/>
                <w:sz w:val="18"/>
                <w:szCs w:val="18"/>
              </w:rPr>
            </w:pPr>
            <w:r w:rsidRPr="00537C3C">
              <w:rPr>
                <w:rFonts w:ascii="Arial Narrow" w:hAnsi="Arial Narrow" w:cs="Arial"/>
                <w:sz w:val="18"/>
                <w:szCs w:val="18"/>
              </w:rPr>
              <w:t>US</w:t>
            </w:r>
          </w:p>
          <w:p w:rsidR="00234376" w:rsidRPr="00537C3C" w:rsidRDefault="00234376" w:rsidP="008E03A7">
            <w:pPr>
              <w:spacing w:before="20" w:after="40"/>
              <w:ind w:left="20"/>
              <w:rPr>
                <w:rFonts w:ascii="Arial Narrow" w:hAnsi="Arial Narrow" w:cs="Arial"/>
                <w:sz w:val="18"/>
                <w:szCs w:val="18"/>
              </w:rPr>
            </w:pPr>
            <w:r w:rsidRPr="00537C3C">
              <w:rPr>
                <w:rFonts w:ascii="Arial Narrow" w:hAnsi="Arial Narrow" w:cs="Arial"/>
                <w:sz w:val="18"/>
                <w:szCs w:val="18"/>
              </w:rPr>
              <w:t>1 cytopathology laboratory</w:t>
            </w:r>
          </w:p>
          <w:p w:rsidR="00234376" w:rsidRPr="00537C3C" w:rsidRDefault="00234376" w:rsidP="008E03A7">
            <w:pPr>
              <w:spacing w:before="20" w:after="40"/>
              <w:ind w:left="20"/>
              <w:rPr>
                <w:rFonts w:ascii="Arial Narrow" w:hAnsi="Arial Narrow" w:cs="Arial"/>
                <w:sz w:val="18"/>
                <w:szCs w:val="18"/>
              </w:rPr>
            </w:pPr>
            <w:r w:rsidRPr="00537C3C">
              <w:rPr>
                <w:rFonts w:ascii="Arial Narrow" w:hAnsi="Arial Narrow" w:cs="Arial"/>
                <w:sz w:val="18"/>
                <w:szCs w:val="18"/>
              </w:rPr>
              <w:t xml:space="preserve">Recruitment period </w:t>
            </w:r>
            <w:r w:rsidRPr="00BB76D8">
              <w:rPr>
                <w:rFonts w:ascii="Arial Narrow" w:hAnsi="Arial Narrow" w:cs="Arial"/>
                <w:sz w:val="18"/>
                <w:szCs w:val="18"/>
              </w:rPr>
              <w:t>NR</w:t>
            </w:r>
          </w:p>
          <w:p w:rsidR="00234376" w:rsidRPr="00537C3C" w:rsidRDefault="00234376" w:rsidP="008E03A7">
            <w:pPr>
              <w:spacing w:before="20" w:after="40"/>
              <w:ind w:left="20"/>
              <w:rPr>
                <w:rFonts w:ascii="Arial Narrow" w:hAnsi="Arial Narrow" w:cs="Arial"/>
                <w:sz w:val="18"/>
                <w:szCs w:val="18"/>
              </w:rPr>
            </w:pPr>
          </w:p>
          <w:p w:rsidR="00234376" w:rsidRPr="00537C3C" w:rsidRDefault="00234376" w:rsidP="008E03A7">
            <w:pPr>
              <w:spacing w:before="20" w:after="40"/>
              <w:ind w:left="20"/>
              <w:rPr>
                <w:rFonts w:ascii="Arial Narrow" w:hAnsi="Arial Narrow" w:cs="Arial"/>
                <w:sz w:val="18"/>
                <w:szCs w:val="18"/>
              </w:rPr>
            </w:pPr>
            <w:r w:rsidRPr="0030078D">
              <w:rPr>
                <w:rFonts w:ascii="Arial Narrow" w:hAnsi="Arial Narrow" w:cs="Arial"/>
                <w:i/>
                <w:sz w:val="18"/>
                <w:szCs w:val="18"/>
              </w:rPr>
              <w:t>N</w:t>
            </w:r>
            <w:r w:rsidRPr="00537C3C">
              <w:rPr>
                <w:rFonts w:ascii="Arial Narrow" w:hAnsi="Arial Narrow" w:cs="Arial"/>
                <w:sz w:val="18"/>
                <w:szCs w:val="18"/>
              </w:rPr>
              <w:t xml:space="preserve"> = 1275</w:t>
            </w:r>
          </w:p>
        </w:tc>
        <w:tc>
          <w:tcPr>
            <w:tcW w:w="5459" w:type="dxa"/>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Study design</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Prospective, paired-sample, masked, diagnostic accuracy study with retrospectively obtained samples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Index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AutoPap reading of AutoCyte PREP slides (SlideWizard 2), including designation of some slides as NFR. Review slides indicate 10 </w:t>
            </w:r>
            <w:r w:rsidRPr="00BB76D8">
              <w:rPr>
                <w:rFonts w:ascii="Arial Narrow" w:hAnsi="Arial Narrow" w:cs="Arial"/>
                <w:sz w:val="18"/>
                <w:szCs w:val="18"/>
              </w:rPr>
              <w:t>FOVs</w:t>
            </w: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Comparator test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Manual reading of AutoCyte PREP slides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Reference standard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Reviewers aware of slide markings, but not study arm providing markings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Discordant and positive slides: cytological adjudication (1 cytopathologist)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lastRenderedPageBreak/>
              <w:t>Adequacy discrepancy: cytological adjudication (1 senior cytotechnologist)</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Concordant neg: nil (assumed TN)</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b/>
                <w:i/>
                <w:sz w:val="18"/>
                <w:szCs w:val="18"/>
              </w:rPr>
              <w:t>Test threshold</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Test: </w:t>
            </w:r>
            <w:r w:rsidRPr="00BB76D8">
              <w:rPr>
                <w:rFonts w:ascii="Arial Narrow" w:hAnsi="Arial Narrow" w:cs="Arial"/>
                <w:sz w:val="18"/>
                <w:szCs w:val="18"/>
              </w:rPr>
              <w:t>NR</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Reference standard: </w:t>
            </w:r>
            <w:r w:rsidRPr="00BB76D8">
              <w:rPr>
                <w:rFonts w:ascii="Arial Narrow" w:hAnsi="Arial Narrow" w:cs="Arial"/>
                <w:sz w:val="18"/>
                <w:szCs w:val="18"/>
              </w:rPr>
              <w:t>NR</w:t>
            </w:r>
            <w:r w:rsidRPr="00537C3C">
              <w:rPr>
                <w:rFonts w:ascii="Arial Narrow" w:hAnsi="Arial Narrow" w:cs="Arial"/>
                <w:sz w:val="18"/>
                <w:szCs w:val="18"/>
              </w:rPr>
              <w:t xml:space="preserve"> (likely </w:t>
            </w:r>
            <w:r w:rsidRPr="00BB76D8">
              <w:rPr>
                <w:rFonts w:ascii="Arial Narrow" w:hAnsi="Arial Narrow" w:cs="Arial"/>
                <w:sz w:val="18"/>
                <w:szCs w:val="18"/>
              </w:rPr>
              <w:t>ASCUS</w:t>
            </w:r>
            <w:r w:rsidRPr="00537C3C">
              <w:rPr>
                <w:rFonts w:ascii="Arial Narrow" w:hAnsi="Arial Narrow" w:cs="Arial"/>
                <w:sz w:val="18"/>
                <w:szCs w:val="18"/>
              </w:rPr>
              <w:t>+)</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Cytological diagnosis system</w:t>
            </w:r>
          </w:p>
          <w:p w:rsidR="00234376" w:rsidRPr="00537C3C" w:rsidRDefault="00234376" w:rsidP="008E03A7">
            <w:pPr>
              <w:spacing w:before="40" w:after="0"/>
              <w:ind w:left="0"/>
              <w:rPr>
                <w:rFonts w:ascii="Arial Narrow" w:hAnsi="Arial Narrow" w:cs="Arial"/>
                <w:sz w:val="18"/>
                <w:szCs w:val="18"/>
              </w:rPr>
            </w:pPr>
            <w:bookmarkStart w:id="921" w:name="OLE_LINK9"/>
            <w:bookmarkStart w:id="922" w:name="OLE_LINK10"/>
            <w:r w:rsidRPr="00537C3C">
              <w:rPr>
                <w:rFonts w:ascii="Arial Narrow" w:hAnsi="Arial Narrow" w:cs="Arial"/>
                <w:sz w:val="18"/>
                <w:szCs w:val="18"/>
              </w:rPr>
              <w:t xml:space="preserve">1991 </w:t>
            </w:r>
            <w:smartTag w:uri="urn:schemas-microsoft-com:office:smarttags" w:element="place">
              <w:smartTag w:uri="urn:schemas-microsoft-com:office:smarttags" w:element="City">
                <w:r w:rsidRPr="00537C3C">
                  <w:rPr>
                    <w:rFonts w:ascii="Arial Narrow" w:hAnsi="Arial Narrow" w:cs="Arial"/>
                    <w:sz w:val="18"/>
                    <w:szCs w:val="18"/>
                  </w:rPr>
                  <w:t>Bethesda</w:t>
                </w:r>
              </w:smartTag>
            </w:smartTag>
            <w:r w:rsidRPr="00537C3C">
              <w:rPr>
                <w:rFonts w:ascii="Arial Narrow" w:hAnsi="Arial Narrow" w:cs="Arial"/>
                <w:sz w:val="18"/>
                <w:szCs w:val="18"/>
              </w:rPr>
              <w:t xml:space="preserve"> system</w:t>
            </w:r>
            <w:bookmarkEnd w:id="921"/>
            <w:bookmarkEnd w:id="922"/>
          </w:p>
        </w:tc>
        <w:tc>
          <w:tcPr>
            <w:tcW w:w="3981" w:type="dxa"/>
            <w:gridSpan w:val="2"/>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lastRenderedPageBreak/>
              <w:t>Inclusion criteria</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Retrospective sample of slides</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1049 consecutive routine samples + 251 seeded cases</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Likely screening and diagnostic population—unclear</w:t>
            </w:r>
          </w:p>
          <w:p w:rsidR="00234376" w:rsidRPr="00537C3C" w:rsidRDefault="00234376" w:rsidP="008E03A7">
            <w:pPr>
              <w:spacing w:before="40" w:after="0"/>
              <w:ind w:left="0"/>
              <w:rPr>
                <w:rFonts w:ascii="Arial Narrow" w:hAnsi="Arial Narrow" w:cs="Arial"/>
                <w:b/>
                <w:i/>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Exclusion criteria</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Cases with process failure by AutoPap (22/1300, 1.73%)</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No AutoPap review (2)</w:t>
            </w:r>
          </w:p>
          <w:p w:rsidR="00234376" w:rsidRPr="00537C3C" w:rsidRDefault="00234376" w:rsidP="008E03A7">
            <w:pPr>
              <w:numPr>
                <w:ilvl w:val="0"/>
                <w:numId w:val="16"/>
              </w:numPr>
              <w:spacing w:before="40" w:after="0"/>
              <w:rPr>
                <w:rFonts w:ascii="Arial Narrow" w:hAnsi="Arial Narrow" w:cs="Arial"/>
                <w:b/>
                <w:i/>
                <w:sz w:val="18"/>
                <w:szCs w:val="18"/>
              </w:rPr>
            </w:pPr>
            <w:r w:rsidRPr="00537C3C">
              <w:rPr>
                <w:rFonts w:ascii="Arial Narrow" w:hAnsi="Arial Narrow" w:cs="Arial"/>
                <w:sz w:val="18"/>
                <w:szCs w:val="18"/>
              </w:rPr>
              <w:t>Slide read twice (1)</w:t>
            </w:r>
          </w:p>
          <w:p w:rsidR="00234376" w:rsidRPr="00537C3C" w:rsidRDefault="00234376" w:rsidP="008E03A7">
            <w:pPr>
              <w:spacing w:before="40" w:after="0"/>
              <w:ind w:left="0"/>
              <w:rPr>
                <w:rFonts w:ascii="Arial Narrow" w:hAnsi="Arial Narrow" w:cs="Arial"/>
                <w:b/>
                <w:i/>
                <w:sz w:val="18"/>
                <w:szCs w:val="18"/>
              </w:rPr>
            </w:pPr>
          </w:p>
          <w:p w:rsidR="00234376" w:rsidRPr="00537C3C" w:rsidRDefault="00234376" w:rsidP="008E03A7">
            <w:pPr>
              <w:spacing w:before="40" w:after="0"/>
              <w:ind w:left="0"/>
              <w:rPr>
                <w:rFonts w:ascii="Arial Narrow" w:hAnsi="Arial Narrow" w:cs="Arial"/>
                <w:b/>
                <w:i/>
                <w:sz w:val="18"/>
                <w:szCs w:val="18"/>
              </w:rPr>
            </w:pPr>
            <w:r w:rsidRPr="00537C3C">
              <w:rPr>
                <w:rFonts w:ascii="Arial Narrow" w:hAnsi="Arial Narrow" w:cs="Arial"/>
                <w:b/>
                <w:i/>
                <w:sz w:val="18"/>
                <w:szCs w:val="18"/>
              </w:rPr>
              <w:t>Patient characteristics</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t>NR</w:t>
            </w:r>
          </w:p>
          <w:p w:rsidR="00234376" w:rsidRPr="00537C3C" w:rsidRDefault="00234376" w:rsidP="008E03A7">
            <w:pPr>
              <w:numPr>
                <w:ilvl w:val="0"/>
                <w:numId w:val="16"/>
              </w:numPr>
              <w:spacing w:before="40" w:after="0"/>
              <w:rPr>
                <w:rFonts w:ascii="Arial Narrow" w:hAnsi="Arial Narrow" w:cs="Arial"/>
                <w:i/>
                <w:sz w:val="18"/>
                <w:szCs w:val="18"/>
              </w:rPr>
            </w:pPr>
            <w:r w:rsidRPr="00537C3C">
              <w:rPr>
                <w:rFonts w:ascii="Arial Narrow" w:hAnsi="Arial Narrow" w:cs="Arial"/>
                <w:sz w:val="18"/>
                <w:szCs w:val="18"/>
              </w:rPr>
              <w:t xml:space="preserve">9.7% (124/1275) reference standard </w:t>
            </w:r>
            <w:r w:rsidRPr="00BB76D8">
              <w:rPr>
                <w:rFonts w:ascii="Arial Narrow" w:hAnsi="Arial Narrow" w:cs="Arial"/>
                <w:sz w:val="18"/>
                <w:szCs w:val="18"/>
              </w:rPr>
              <w:t>HSIL</w:t>
            </w:r>
            <w:r w:rsidRPr="00537C3C">
              <w:rPr>
                <w:rFonts w:ascii="Arial Narrow" w:hAnsi="Arial Narrow" w:cs="Arial"/>
                <w:sz w:val="18"/>
                <w:szCs w:val="18"/>
              </w:rPr>
              <w:t>+, including 6.8% carcinoma cases</w:t>
            </w:r>
          </w:p>
          <w:p w:rsidR="00234376" w:rsidRPr="00537C3C" w:rsidRDefault="00234376" w:rsidP="008E03A7">
            <w:pPr>
              <w:spacing w:before="40"/>
              <w:rPr>
                <w:rFonts w:ascii="Arial Narrow" w:hAnsi="Arial Narrow" w:cs="Arial"/>
                <w:i/>
                <w:sz w:val="18"/>
                <w:szCs w:val="18"/>
              </w:rPr>
            </w:pPr>
          </w:p>
        </w:tc>
        <w:tc>
          <w:tcPr>
            <w:tcW w:w="3178" w:type="dxa"/>
            <w:tcBorders>
              <w:top w:val="single" w:sz="4" w:space="0" w:color="auto"/>
              <w:left w:val="single" w:sz="4" w:space="0" w:color="auto"/>
              <w:bottom w:val="single" w:sz="4" w:space="0" w:color="auto"/>
              <w:right w:val="single" w:sz="4" w:space="0" w:color="auto"/>
            </w:tcBorders>
          </w:tcPr>
          <w:p w:rsidR="00234376" w:rsidRPr="00537C3C" w:rsidRDefault="00234376" w:rsidP="005C6C0E">
            <w:pPr>
              <w:spacing w:before="40" w:after="0"/>
              <w:ind w:left="0"/>
              <w:rPr>
                <w:rFonts w:ascii="Arial Narrow" w:hAnsi="Arial Narrow" w:cs="Arial"/>
                <w:b/>
                <w:sz w:val="18"/>
                <w:szCs w:val="18"/>
              </w:rPr>
            </w:pPr>
            <w:r w:rsidRPr="00537C3C">
              <w:rPr>
                <w:rFonts w:ascii="Arial Narrow" w:hAnsi="Arial Narrow" w:cs="Arial"/>
                <w:b/>
                <w:sz w:val="18"/>
                <w:szCs w:val="18"/>
              </w:rPr>
              <w:lastRenderedPageBreak/>
              <w:t>Quality: fair Q2</w:t>
            </w:r>
          </w:p>
          <w:p w:rsidR="00234376" w:rsidRPr="00537C3C" w:rsidRDefault="00234376" w:rsidP="005C6C0E">
            <w:pPr>
              <w:spacing w:before="40" w:after="0"/>
              <w:ind w:left="0"/>
              <w:rPr>
                <w:rFonts w:ascii="Arial Narrow" w:hAnsi="Arial Narrow" w:cs="Arial"/>
                <w:sz w:val="18"/>
                <w:szCs w:val="18"/>
              </w:rPr>
            </w:pPr>
            <w:r w:rsidRPr="00537C3C">
              <w:rPr>
                <w:rFonts w:ascii="Arial Narrow" w:hAnsi="Arial Narrow" w:cs="Arial"/>
                <w:sz w:val="18"/>
                <w:szCs w:val="18"/>
              </w:rPr>
              <w:t>Prospective: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Consecutive: no</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Explicit selection criteria: no</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 threshold specified: no (sens &amp; spec)</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Reference standard</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valid (suboptimal)</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applied to all discordant &amp; positive participants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lastRenderedPageBreak/>
              <w:t>Test interval adequate</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reference standard—</w:t>
            </w:r>
            <w:r w:rsidRPr="00A316F5">
              <w:rPr>
                <w:rFonts w:ascii="Arial Narrow" w:hAnsi="Arial Narrow" w:cs="Arial"/>
                <w:sz w:val="18"/>
                <w:szCs w:val="18"/>
              </w:rPr>
              <w:t>N/</w:t>
            </w:r>
            <w:r w:rsidRPr="00537C3C">
              <w:rPr>
                <w:rFonts w:ascii="Arial Narrow" w:hAnsi="Arial Narrow" w:cs="Arial"/>
                <w:sz w:val="18"/>
                <w:szCs w:val="18"/>
              </w:rPr>
              <w:t>A</w:t>
            </w:r>
          </w:p>
          <w:p w:rsidR="00234376" w:rsidRPr="00537C3C" w:rsidRDefault="00234376" w:rsidP="008E03A7">
            <w:pPr>
              <w:numPr>
                <w:ilvl w:val="0"/>
                <w:numId w:val="16"/>
              </w:numPr>
              <w:spacing w:before="40" w:after="0"/>
              <w:rPr>
                <w:rFonts w:ascii="Arial Narrow" w:hAnsi="Arial Narrow" w:cs="Arial"/>
                <w:sz w:val="18"/>
                <w:szCs w:val="18"/>
              </w:rPr>
            </w:pPr>
            <w:r w:rsidRPr="00537C3C">
              <w:rPr>
                <w:rFonts w:ascii="Arial Narrow" w:hAnsi="Arial Narrow" w:cs="Arial"/>
                <w:sz w:val="18"/>
                <w:szCs w:val="18"/>
              </w:rPr>
              <w:t>comparator—yes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Tests reported blinded to ref standard—yes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Ref standard reported blinded to tests—yes</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Uninterpretable/intermediate results reported: no (not contingent on tests)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Study withdrawals explained: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Sufficient data for contingency table: no</w:t>
            </w:r>
          </w:p>
          <w:p w:rsidR="00234376" w:rsidRPr="00537C3C" w:rsidRDefault="00234376" w:rsidP="008E03A7">
            <w:pPr>
              <w:spacing w:before="40" w:after="0"/>
              <w:ind w:left="0"/>
              <w:rPr>
                <w:rFonts w:ascii="Arial Narrow" w:hAnsi="Arial Narrow" w:cs="Arial"/>
                <w:sz w:val="18"/>
                <w:szCs w:val="18"/>
              </w:rPr>
            </w:pPr>
          </w:p>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t>Applicability: limited P2</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population: not applicable (many seeded cases)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Applicable comparator: yes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 xml:space="preserve">Applicable intervention: no (includes </w:t>
            </w:r>
            <w:r w:rsidRPr="00BB76D8">
              <w:rPr>
                <w:rFonts w:ascii="Arial Narrow" w:hAnsi="Arial Narrow" w:cs="Arial"/>
                <w:sz w:val="18"/>
                <w:szCs w:val="18"/>
              </w:rPr>
              <w:t>NFR</w:t>
            </w:r>
            <w:r w:rsidRPr="00537C3C">
              <w:rPr>
                <w:rFonts w:ascii="Arial Narrow" w:hAnsi="Arial Narrow" w:cs="Arial"/>
                <w:sz w:val="18"/>
                <w:szCs w:val="18"/>
              </w:rPr>
              <w:t>)</w:t>
            </w:r>
          </w:p>
        </w:tc>
      </w:tr>
      <w:tr w:rsidR="00234376" w:rsidRPr="00537C3C">
        <w:trPr>
          <w:gridAfter w:val="4"/>
          <w:wAfter w:w="458" w:type="dxa"/>
          <w:trHeight w:val="127"/>
        </w:trPr>
        <w:tc>
          <w:tcPr>
            <w:tcW w:w="14341" w:type="dxa"/>
            <w:gridSpan w:val="5"/>
            <w:tcBorders>
              <w:top w:val="single" w:sz="4" w:space="0" w:color="auto"/>
              <w:left w:val="single" w:sz="4" w:space="0" w:color="auto"/>
              <w:bottom w:val="single" w:sz="4" w:space="0" w:color="auto"/>
              <w:right w:val="single" w:sz="4" w:space="0" w:color="auto"/>
            </w:tcBorders>
          </w:tcPr>
          <w:p w:rsidR="00234376" w:rsidRPr="00537C3C" w:rsidRDefault="00234376" w:rsidP="008E03A7">
            <w:pPr>
              <w:spacing w:before="40" w:after="0"/>
              <w:ind w:left="0"/>
              <w:rPr>
                <w:rFonts w:ascii="Arial Narrow" w:hAnsi="Arial Narrow" w:cs="Arial"/>
                <w:b/>
                <w:sz w:val="18"/>
                <w:szCs w:val="18"/>
              </w:rPr>
            </w:pPr>
            <w:r w:rsidRPr="00537C3C">
              <w:rPr>
                <w:rFonts w:ascii="Arial Narrow" w:hAnsi="Arial Narrow" w:cs="Arial"/>
                <w:b/>
                <w:sz w:val="18"/>
                <w:szCs w:val="18"/>
              </w:rPr>
              <w:lastRenderedPageBreak/>
              <w:t>RESULTS:</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b/>
                <w:sz w:val="18"/>
                <w:szCs w:val="18"/>
              </w:rPr>
              <w:t>Test accuracy</w:t>
            </w:r>
          </w:p>
          <w:p w:rsidR="00234376" w:rsidRPr="00537C3C" w:rsidRDefault="00234376" w:rsidP="008E03A7">
            <w:pPr>
              <w:spacing w:before="40" w:after="0"/>
              <w:ind w:left="0"/>
              <w:rPr>
                <w:rFonts w:ascii="Arial Narrow" w:hAnsi="Arial Narrow" w:cs="Arial"/>
                <w:i/>
                <w:sz w:val="18"/>
                <w:szCs w:val="18"/>
              </w:rPr>
            </w:pPr>
            <w:r w:rsidRPr="00537C3C">
              <w:rPr>
                <w:rFonts w:ascii="Arial Narrow" w:hAnsi="Arial Narrow" w:cs="Arial"/>
                <w:i/>
                <w:sz w:val="18"/>
                <w:szCs w:val="18"/>
              </w:rPr>
              <w:t>Sensitivity, specificity</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lang w:eastAsia="en-AU"/>
              </w:rPr>
              <w:t xml:space="preserve">Study reports overall sensitivity of appropriate </w:t>
            </w:r>
            <w:r w:rsidRPr="00537C3C">
              <w:rPr>
                <w:rFonts w:ascii="Arial Narrow" w:hAnsi="Arial Narrow" w:cs="Arial"/>
                <w:i/>
                <w:sz w:val="18"/>
                <w:szCs w:val="18"/>
                <w:lang w:eastAsia="en-AU"/>
              </w:rPr>
              <w:t>triage to pathologist review</w:t>
            </w:r>
            <w:r w:rsidRPr="00537C3C">
              <w:rPr>
                <w:rFonts w:ascii="Arial Narrow" w:hAnsi="Arial Narrow" w:cs="Arial"/>
                <w:sz w:val="18"/>
                <w:szCs w:val="18"/>
                <w:lang w:eastAsia="en-AU"/>
              </w:rPr>
              <w:t xml:space="preserve"> was 98.4% for location-guided screening and 91.1% for </w:t>
            </w:r>
            <w:r w:rsidR="00E11416">
              <w:rPr>
                <w:rFonts w:ascii="Arial Narrow" w:hAnsi="Arial Narrow" w:cs="Arial"/>
                <w:sz w:val="18"/>
                <w:szCs w:val="18"/>
                <w:lang w:eastAsia="en-AU"/>
              </w:rPr>
              <w:t>current practice</w:t>
            </w:r>
            <w:r w:rsidRPr="00537C3C">
              <w:rPr>
                <w:rFonts w:ascii="Arial Narrow" w:hAnsi="Arial Narrow" w:cs="Arial"/>
                <w:sz w:val="18"/>
                <w:szCs w:val="18"/>
                <w:lang w:eastAsia="en-AU"/>
              </w:rPr>
              <w:t xml:space="preserve"> (not appropriate outcome)</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lang w:eastAsia="en-AU"/>
              </w:rPr>
              <w:t xml:space="preserve">Reference standard threshold unclear—likely to be </w:t>
            </w:r>
            <w:r w:rsidRPr="00BB76D8">
              <w:rPr>
                <w:rFonts w:ascii="Arial Narrow" w:hAnsi="Arial Narrow" w:cs="Arial"/>
                <w:sz w:val="18"/>
                <w:szCs w:val="18"/>
                <w:lang w:eastAsia="en-AU"/>
              </w:rPr>
              <w:t>ASCUS</w:t>
            </w:r>
            <w:r w:rsidRPr="00537C3C">
              <w:rPr>
                <w:rFonts w:ascii="Arial Narrow" w:hAnsi="Arial Narrow" w:cs="Arial"/>
                <w:sz w:val="18"/>
                <w:szCs w:val="18"/>
                <w:lang w:eastAsia="en-AU"/>
              </w:rPr>
              <w:t>+ for sensitivity &amp; specificity calculations</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lang w:eastAsia="en-AU"/>
              </w:rPr>
              <w:t>No true estimates as no ref std of concordant negatives, so true prevalence unknown and spectrum difference from screening population</w:t>
            </w:r>
          </w:p>
          <w:p w:rsidR="00234376" w:rsidRPr="00537C3C" w:rsidRDefault="00234376" w:rsidP="008E03A7">
            <w:pPr>
              <w:spacing w:before="40" w:after="0"/>
              <w:ind w:left="0"/>
              <w:rPr>
                <w:rFonts w:ascii="Arial Narrow" w:hAnsi="Arial Narrow" w:cs="Arial"/>
                <w:sz w:val="18"/>
                <w:szCs w:val="18"/>
                <w:lang w:eastAsia="en-AU"/>
              </w:rPr>
            </w:pP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u w:val="single"/>
                <w:lang w:eastAsia="en-AU"/>
              </w:rPr>
              <w:t xml:space="preserve">Accuracy for </w:t>
            </w:r>
            <w:r w:rsidRPr="00BB76D8">
              <w:rPr>
                <w:rFonts w:ascii="Arial Narrow" w:hAnsi="Arial Narrow" w:cs="Arial"/>
                <w:sz w:val="18"/>
                <w:szCs w:val="18"/>
                <w:u w:val="single"/>
                <w:lang w:eastAsia="en-AU"/>
              </w:rPr>
              <w:t>HSIL</w:t>
            </w:r>
            <w:r w:rsidRPr="00537C3C">
              <w:rPr>
                <w:rFonts w:ascii="Arial Narrow" w:hAnsi="Arial Narrow" w:cs="Arial"/>
                <w:sz w:val="18"/>
                <w:szCs w:val="18"/>
                <w:u w:val="single"/>
                <w:lang w:eastAsia="en-AU"/>
              </w:rPr>
              <w:t>+</w:t>
            </w:r>
          </w:p>
          <w:p w:rsidR="00234376" w:rsidRPr="00537C3C" w:rsidRDefault="00234376" w:rsidP="008E03A7">
            <w:pPr>
              <w:spacing w:before="40" w:after="0"/>
              <w:ind w:left="0"/>
              <w:rPr>
                <w:rFonts w:ascii="Arial Narrow" w:hAnsi="Arial Narrow" w:cs="Arial"/>
                <w:i/>
                <w:sz w:val="18"/>
                <w:szCs w:val="18"/>
                <w:lang w:eastAsia="en-AU"/>
              </w:rPr>
            </w:pPr>
            <w:r w:rsidRPr="00537C3C">
              <w:rPr>
                <w:rFonts w:ascii="Arial Narrow" w:hAnsi="Arial Narrow" w:cs="Arial"/>
                <w:i/>
                <w:sz w:val="18"/>
                <w:szCs w:val="18"/>
                <w:lang w:eastAsia="en-AU"/>
              </w:rPr>
              <w:t xml:space="preserve">Test threshold </w:t>
            </w:r>
            <w:r w:rsidRPr="00BB76D8">
              <w:rPr>
                <w:rFonts w:ascii="Arial Narrow" w:hAnsi="Arial Narrow" w:cs="Arial"/>
                <w:i/>
                <w:sz w:val="18"/>
                <w:szCs w:val="18"/>
                <w:lang w:eastAsia="en-AU"/>
              </w:rPr>
              <w:t>HSIL</w:t>
            </w:r>
            <w:r w:rsidRPr="00537C3C">
              <w:rPr>
                <w:rFonts w:ascii="Arial Narrow" w:hAnsi="Arial Narrow" w:cs="Arial"/>
                <w:i/>
                <w:sz w:val="18"/>
                <w:szCs w:val="18"/>
                <w:lang w:eastAsia="en-AU"/>
              </w:rPr>
              <w:t>+</w:t>
            </w:r>
          </w:p>
          <w:p w:rsidR="00234376" w:rsidRPr="00537C3C" w:rsidRDefault="00234376" w:rsidP="008E03A7">
            <w:pPr>
              <w:spacing w:before="40" w:after="0"/>
              <w:ind w:left="0"/>
              <w:rPr>
                <w:rFonts w:ascii="Arial Narrow" w:hAnsi="Arial Narrow" w:cs="Arial"/>
                <w:sz w:val="18"/>
                <w:szCs w:val="18"/>
                <w:lang w:eastAsia="en-AU"/>
              </w:rPr>
            </w:pPr>
            <w:r w:rsidRPr="00537C3C">
              <w:rPr>
                <w:rFonts w:ascii="Arial Narrow" w:hAnsi="Arial Narrow" w:cs="Arial"/>
                <w:sz w:val="18"/>
                <w:szCs w:val="18"/>
                <w:lang w:eastAsia="en-AU"/>
              </w:rPr>
              <w:t xml:space="preserve">AutoPap = 103 </w:t>
            </w:r>
            <w:r w:rsidRPr="00BB76D8">
              <w:rPr>
                <w:rFonts w:ascii="Arial Narrow" w:hAnsi="Arial Narrow" w:cs="Arial"/>
                <w:sz w:val="18"/>
                <w:szCs w:val="18"/>
                <w:lang w:eastAsia="en-AU"/>
              </w:rPr>
              <w:t>TP</w:t>
            </w:r>
            <w:r w:rsidRPr="00537C3C">
              <w:rPr>
                <w:rFonts w:ascii="Arial Narrow" w:hAnsi="Arial Narrow" w:cs="Arial"/>
                <w:sz w:val="18"/>
                <w:szCs w:val="18"/>
                <w:lang w:eastAsia="en-AU"/>
              </w:rPr>
              <w:t xml:space="preserve">s, manual = 73 </w:t>
            </w:r>
            <w:r w:rsidRPr="00BB76D8">
              <w:rPr>
                <w:rFonts w:ascii="Arial Narrow" w:hAnsi="Arial Narrow" w:cs="Arial"/>
                <w:sz w:val="18"/>
                <w:szCs w:val="18"/>
                <w:lang w:eastAsia="en-AU"/>
              </w:rPr>
              <w:t>TP</w:t>
            </w:r>
            <w:r w:rsidRPr="00537C3C">
              <w:rPr>
                <w:rFonts w:ascii="Arial Narrow" w:hAnsi="Arial Narrow" w:cs="Arial"/>
                <w:sz w:val="18"/>
                <w:szCs w:val="18"/>
                <w:lang w:eastAsia="en-AU"/>
              </w:rPr>
              <w:t>s (</w:t>
            </w:r>
            <w:r w:rsidRPr="00537C3C">
              <w:rPr>
                <w:rFonts w:ascii="Arial Narrow" w:hAnsi="Arial Narrow" w:cs="Arial"/>
                <w:sz w:val="18"/>
                <w:szCs w:val="18"/>
                <w:lang w:eastAsia="en-AU"/>
              </w:rPr>
              <w:sym w:font="Symbol" w:char="F063"/>
            </w:r>
            <w:r w:rsidRPr="00537C3C">
              <w:rPr>
                <w:rFonts w:ascii="Arial Narrow" w:hAnsi="Arial Narrow" w:cs="Arial"/>
                <w:sz w:val="18"/>
                <w:szCs w:val="18"/>
                <w:vertAlign w:val="superscript"/>
                <w:lang w:eastAsia="en-AU"/>
              </w:rPr>
              <w:t>2</w:t>
            </w:r>
            <w:r w:rsidRPr="00537C3C">
              <w:rPr>
                <w:rFonts w:ascii="Arial Narrow" w:hAnsi="Arial Narrow" w:cs="Arial"/>
                <w:sz w:val="18"/>
                <w:szCs w:val="18"/>
                <w:lang w:eastAsia="en-AU"/>
              </w:rPr>
              <w:t xml:space="preserve"> </w:t>
            </w:r>
            <w:r w:rsidRPr="0030078D">
              <w:rPr>
                <w:rFonts w:ascii="Arial Narrow" w:hAnsi="Arial Narrow" w:cs="Arial"/>
                <w:i/>
                <w:sz w:val="18"/>
                <w:szCs w:val="18"/>
                <w:lang w:eastAsia="en-AU"/>
              </w:rPr>
              <w:t>P</w:t>
            </w:r>
            <w:r w:rsidRPr="00537C3C">
              <w:rPr>
                <w:rFonts w:ascii="Arial Narrow" w:hAnsi="Arial Narrow" w:cs="Arial"/>
                <w:sz w:val="18"/>
                <w:szCs w:val="18"/>
                <w:lang w:eastAsia="en-AU"/>
              </w:rPr>
              <w:t xml:space="preserve"> = 0.019). AutoPap identified 30 additional </w:t>
            </w:r>
            <w:r w:rsidRPr="00BB76D8">
              <w:rPr>
                <w:rFonts w:ascii="Arial Narrow" w:hAnsi="Arial Narrow" w:cs="Arial"/>
                <w:sz w:val="18"/>
                <w:szCs w:val="18"/>
                <w:lang w:eastAsia="en-AU"/>
              </w:rPr>
              <w:t>TP</w:t>
            </w:r>
            <w:r w:rsidRPr="00537C3C">
              <w:rPr>
                <w:rFonts w:ascii="Arial Narrow" w:hAnsi="Arial Narrow" w:cs="Arial"/>
                <w:sz w:val="18"/>
                <w:szCs w:val="18"/>
                <w:lang w:eastAsia="en-AU"/>
              </w:rPr>
              <w:t>s. Not applicable to screening population</w:t>
            </w:r>
          </w:p>
          <w:p w:rsidR="00234376" w:rsidRPr="00537C3C" w:rsidRDefault="00234376" w:rsidP="008E03A7">
            <w:pPr>
              <w:pStyle w:val="TableTextCharCharChar"/>
              <w:rPr>
                <w:rFonts w:cs="Arial"/>
                <w:szCs w:val="18"/>
              </w:rPr>
            </w:pPr>
            <w:r w:rsidRPr="00BB76D8">
              <w:rPr>
                <w:rFonts w:cs="Arial"/>
                <w:szCs w:val="18"/>
              </w:rPr>
              <w:t>FP</w:t>
            </w:r>
            <w:r w:rsidRPr="00537C3C">
              <w:rPr>
                <w:rFonts w:cs="Arial"/>
                <w:szCs w:val="18"/>
              </w:rPr>
              <w:t xml:space="preserve">s for </w:t>
            </w:r>
            <w:r w:rsidRPr="00BB76D8">
              <w:rPr>
                <w:rFonts w:cs="Arial"/>
                <w:szCs w:val="18"/>
              </w:rPr>
              <w:t>HSIL</w:t>
            </w:r>
            <w:r w:rsidRPr="00537C3C">
              <w:rPr>
                <w:rFonts w:cs="Arial"/>
                <w:szCs w:val="18"/>
              </w:rPr>
              <w:t>+ test threshold not reported</w:t>
            </w:r>
          </w:p>
          <w:p w:rsidR="00234376" w:rsidRPr="00537C3C" w:rsidRDefault="00234376" w:rsidP="008E03A7">
            <w:pPr>
              <w:pStyle w:val="TableTextCharCharChar"/>
              <w:rPr>
                <w:rFonts w:cs="Arial"/>
                <w:szCs w:val="18"/>
              </w:rPr>
            </w:pPr>
            <w:r w:rsidRPr="00537C3C">
              <w:rPr>
                <w:rFonts w:cs="Arial"/>
                <w:szCs w:val="18"/>
              </w:rPr>
              <w:t>Estimated difference in sensitivity = 30/124 = 24.2%</w:t>
            </w:r>
          </w:p>
          <w:p w:rsidR="00234376" w:rsidRPr="00537C3C" w:rsidRDefault="00234376" w:rsidP="008E03A7">
            <w:pPr>
              <w:pStyle w:val="TableTextCharCharChar"/>
              <w:rPr>
                <w:rFonts w:cs="Arial"/>
                <w:szCs w:val="18"/>
              </w:rPr>
            </w:pPr>
            <w:r w:rsidRPr="00537C3C">
              <w:rPr>
                <w:rFonts w:cs="Arial"/>
                <w:szCs w:val="18"/>
              </w:rPr>
              <w:t>Study reports sensitivity (AutoPap 83.1%, manual 58.9%) but not true estimate; no ref std of concordant negatives and spectrum difference from screening population</w:t>
            </w:r>
          </w:p>
          <w:p w:rsidR="00234376" w:rsidRPr="00537C3C" w:rsidRDefault="00234376" w:rsidP="008E03A7">
            <w:pPr>
              <w:pStyle w:val="TableTextCharCharChar"/>
              <w:rPr>
                <w:rFonts w:cs="Arial"/>
                <w:szCs w:val="18"/>
              </w:rPr>
            </w:pPr>
          </w:p>
          <w:p w:rsidR="00234376" w:rsidRPr="00537C3C" w:rsidRDefault="00234376" w:rsidP="008E03A7">
            <w:pPr>
              <w:pStyle w:val="TableTextCharCharChar"/>
              <w:rPr>
                <w:rFonts w:cs="Arial"/>
                <w:szCs w:val="18"/>
              </w:rPr>
            </w:pPr>
            <w:r w:rsidRPr="00537C3C">
              <w:rPr>
                <w:rFonts w:cs="Arial"/>
                <w:i/>
                <w:szCs w:val="18"/>
              </w:rPr>
              <w:t xml:space="preserve">Test threshold </w:t>
            </w:r>
            <w:r w:rsidRPr="00BB76D8">
              <w:rPr>
                <w:rFonts w:cs="Arial"/>
                <w:i/>
                <w:szCs w:val="18"/>
              </w:rPr>
              <w:t>ASCUS</w:t>
            </w:r>
            <w:r w:rsidRPr="00537C3C">
              <w:rPr>
                <w:rFonts w:cs="Arial"/>
                <w:i/>
                <w:szCs w:val="18"/>
              </w:rPr>
              <w:t>+</w:t>
            </w:r>
          </w:p>
          <w:p w:rsidR="00234376" w:rsidRPr="00537C3C" w:rsidRDefault="00234376" w:rsidP="008E03A7">
            <w:pPr>
              <w:pStyle w:val="TableTextCharCharChar"/>
              <w:spacing w:after="0"/>
              <w:rPr>
                <w:rFonts w:cs="Arial"/>
                <w:szCs w:val="18"/>
              </w:rPr>
            </w:pPr>
            <w:r w:rsidRPr="00537C3C">
              <w:rPr>
                <w:rFonts w:cs="Arial"/>
                <w:szCs w:val="18"/>
              </w:rPr>
              <w:t xml:space="preserve">AutoPap = 122 </w:t>
            </w:r>
            <w:r w:rsidRPr="00BB76D8">
              <w:rPr>
                <w:rFonts w:cs="Arial"/>
                <w:szCs w:val="18"/>
              </w:rPr>
              <w:t>TP</w:t>
            </w:r>
            <w:r w:rsidRPr="00537C3C">
              <w:rPr>
                <w:rFonts w:cs="Arial"/>
                <w:szCs w:val="18"/>
              </w:rPr>
              <w:t xml:space="preserve">s, manual = 111 </w:t>
            </w:r>
            <w:r w:rsidRPr="00BB76D8">
              <w:rPr>
                <w:rFonts w:cs="Arial"/>
                <w:szCs w:val="18"/>
              </w:rPr>
              <w:t>TP</w:t>
            </w:r>
            <w:r w:rsidRPr="00537C3C">
              <w:rPr>
                <w:rFonts w:cs="Arial"/>
                <w:szCs w:val="18"/>
              </w:rPr>
              <w:t xml:space="preserve">s, AutoPap identified 9 additional </w:t>
            </w:r>
            <w:r w:rsidRPr="00BB76D8">
              <w:rPr>
                <w:rFonts w:cs="Arial"/>
                <w:szCs w:val="18"/>
              </w:rPr>
              <w:t>TP</w:t>
            </w:r>
            <w:r w:rsidRPr="00537C3C">
              <w:rPr>
                <w:rFonts w:cs="Arial"/>
                <w:szCs w:val="18"/>
              </w:rPr>
              <w:t>s</w:t>
            </w:r>
          </w:p>
          <w:p w:rsidR="00234376" w:rsidRPr="00537C3C" w:rsidRDefault="00234376" w:rsidP="008E03A7">
            <w:pPr>
              <w:pStyle w:val="TableTextCharCharChar"/>
              <w:spacing w:after="0"/>
              <w:rPr>
                <w:rFonts w:cs="Arial"/>
                <w:szCs w:val="18"/>
              </w:rPr>
            </w:pPr>
          </w:p>
          <w:p w:rsidR="00234376" w:rsidRPr="00537C3C" w:rsidRDefault="00234376" w:rsidP="008E03A7">
            <w:pPr>
              <w:pStyle w:val="TableTextCharCharChar"/>
              <w:spacing w:after="0"/>
              <w:rPr>
                <w:rFonts w:cs="Arial"/>
                <w:b/>
                <w:szCs w:val="18"/>
              </w:rPr>
            </w:pPr>
            <w:r w:rsidRPr="00537C3C">
              <w:rPr>
                <w:rFonts w:cs="Arial"/>
                <w:b/>
                <w:szCs w:val="18"/>
              </w:rPr>
              <w:t>Test characteristics</w:t>
            </w:r>
          </w:p>
          <w:p w:rsidR="00234376" w:rsidRPr="00537C3C" w:rsidRDefault="00234376" w:rsidP="008E03A7">
            <w:pPr>
              <w:spacing w:before="40" w:after="0"/>
              <w:ind w:left="0"/>
              <w:rPr>
                <w:rFonts w:ascii="Arial Narrow" w:hAnsi="Arial Narrow" w:cs="Arial"/>
                <w:sz w:val="18"/>
                <w:szCs w:val="18"/>
                <w:u w:val="single"/>
              </w:rPr>
            </w:pPr>
            <w:r w:rsidRPr="00537C3C">
              <w:rPr>
                <w:rFonts w:ascii="Arial Narrow" w:hAnsi="Arial Narrow" w:cs="Arial"/>
                <w:sz w:val="18"/>
                <w:szCs w:val="18"/>
                <w:u w:val="single"/>
              </w:rPr>
              <w:t>Yield</w:t>
            </w:r>
          </w:p>
          <w:p w:rsidR="00234376" w:rsidRPr="00537C3C" w:rsidRDefault="00234376" w:rsidP="008E03A7">
            <w:pPr>
              <w:spacing w:before="40" w:after="0"/>
              <w:ind w:left="0"/>
              <w:rPr>
                <w:rFonts w:ascii="Arial Narrow" w:hAnsi="Arial Narrow" w:cs="Arial"/>
                <w:sz w:val="18"/>
                <w:szCs w:val="18"/>
              </w:rPr>
            </w:pPr>
            <w:r w:rsidRPr="00BB76D8">
              <w:rPr>
                <w:rFonts w:ascii="Arial Narrow" w:hAnsi="Arial Narrow" w:cs="Arial"/>
                <w:sz w:val="18"/>
                <w:szCs w:val="18"/>
              </w:rPr>
              <w:lastRenderedPageBreak/>
              <w:t>NR</w:t>
            </w:r>
            <w:r w:rsidRPr="00537C3C">
              <w:rPr>
                <w:rFonts w:ascii="Arial Narrow" w:hAnsi="Arial Narrow" w:cs="Arial"/>
                <w:sz w:val="18"/>
                <w:szCs w:val="18"/>
              </w:rPr>
              <w:t xml:space="preserve"> according to screening methods</w:t>
            </w:r>
          </w:p>
          <w:p w:rsidR="00234376" w:rsidRPr="00537C3C" w:rsidRDefault="00234376" w:rsidP="008E03A7">
            <w:pPr>
              <w:spacing w:before="40" w:after="0"/>
              <w:ind w:left="0"/>
              <w:rPr>
                <w:rFonts w:ascii="Arial Narrow" w:hAnsi="Arial Narrow" w:cs="Arial"/>
                <w:sz w:val="18"/>
                <w:szCs w:val="18"/>
                <w:u w:val="single"/>
              </w:rPr>
            </w:pPr>
            <w:r w:rsidRPr="00537C3C">
              <w:rPr>
                <w:rFonts w:ascii="Arial Narrow" w:hAnsi="Arial Narrow" w:cs="Arial"/>
                <w:sz w:val="18"/>
                <w:szCs w:val="18"/>
                <w:u w:val="single"/>
              </w:rPr>
              <w:t>Process outcomes</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sz w:val="18"/>
                <w:szCs w:val="18"/>
              </w:rPr>
              <w:t>No further review following AutoPap 218/1275 (17.1%)</w:t>
            </w:r>
          </w:p>
          <w:p w:rsidR="00234376" w:rsidRPr="00537C3C" w:rsidRDefault="00234376" w:rsidP="008E03A7">
            <w:pPr>
              <w:spacing w:before="40" w:after="0"/>
              <w:ind w:left="0"/>
              <w:rPr>
                <w:rFonts w:ascii="Arial Narrow" w:hAnsi="Arial Narrow" w:cs="Arial"/>
                <w:sz w:val="18"/>
                <w:szCs w:val="18"/>
              </w:rPr>
            </w:pPr>
            <w:r w:rsidRPr="00537C3C">
              <w:rPr>
                <w:rFonts w:ascii="Arial Narrow" w:hAnsi="Arial Narrow" w:cs="Arial"/>
                <w:i/>
                <w:sz w:val="18"/>
                <w:szCs w:val="18"/>
              </w:rPr>
              <w:t>Not processed:</w:t>
            </w:r>
            <w:r w:rsidRPr="00537C3C">
              <w:rPr>
                <w:rFonts w:ascii="Arial Narrow" w:hAnsi="Arial Narrow" w:cs="Arial"/>
                <w:sz w:val="18"/>
                <w:szCs w:val="18"/>
              </w:rPr>
              <w:t xml:space="preserve"> 22/1300 (1.69%)</w:t>
            </w:r>
          </w:p>
          <w:p w:rsidR="00234376" w:rsidRPr="00537C3C" w:rsidRDefault="00234376" w:rsidP="008E03A7">
            <w:pPr>
              <w:spacing w:before="40" w:after="0"/>
              <w:ind w:left="0"/>
            </w:pPr>
            <w:r w:rsidRPr="00537C3C">
              <w:rPr>
                <w:rFonts w:ascii="Arial Narrow" w:hAnsi="Arial Narrow"/>
                <w:i/>
                <w:sz w:val="18"/>
              </w:rPr>
              <w:t xml:space="preserve">Unsatisfactory: </w:t>
            </w:r>
            <w:r w:rsidRPr="00BB76D8">
              <w:rPr>
                <w:rFonts w:ascii="Arial Narrow" w:hAnsi="Arial Narrow" w:cs="Arial"/>
                <w:sz w:val="18"/>
                <w:szCs w:val="18"/>
              </w:rPr>
              <w:t>NR</w:t>
            </w:r>
            <w:r w:rsidRPr="00537C3C">
              <w:rPr>
                <w:rFonts w:ascii="Arial Narrow" w:hAnsi="Arial Narrow" w:cs="Arial"/>
                <w:sz w:val="18"/>
                <w:szCs w:val="18"/>
              </w:rPr>
              <w:t xml:space="preserve"> separately for manual vs auto screening</w:t>
            </w:r>
          </w:p>
          <w:p w:rsidR="00234376" w:rsidRPr="00537C3C" w:rsidRDefault="00234376" w:rsidP="008E03A7">
            <w:pPr>
              <w:pStyle w:val="TableTextCharCharChar"/>
              <w:rPr>
                <w:rFonts w:cs="Arial"/>
                <w:szCs w:val="18"/>
              </w:rPr>
            </w:pPr>
            <w:r w:rsidRPr="00537C3C">
              <w:rPr>
                <w:rFonts w:cs="Arial"/>
                <w:i/>
                <w:szCs w:val="18"/>
              </w:rPr>
              <w:t xml:space="preserve">Auto classified as no further review: </w:t>
            </w:r>
            <w:r w:rsidRPr="00537C3C">
              <w:rPr>
                <w:rFonts w:cs="Arial"/>
                <w:szCs w:val="18"/>
              </w:rPr>
              <w:t>17.1%</w:t>
            </w:r>
          </w:p>
        </w:tc>
      </w:tr>
    </w:tbl>
    <w:p w:rsidR="00234376" w:rsidRDefault="00234376" w:rsidP="00234376">
      <w:pPr>
        <w:pStyle w:val="TableNotes"/>
      </w:pPr>
      <w:r w:rsidRPr="00234376">
        <w:rPr>
          <w:i/>
        </w:rPr>
        <w:lastRenderedPageBreak/>
        <w:t>Abbreviations:</w:t>
      </w:r>
      <w:r w:rsidRPr="00537C3C">
        <w:t xml:space="preserve"> Se = sensitivity, Sp = specificity.</w:t>
      </w:r>
    </w:p>
    <w:p w:rsidR="00234376" w:rsidRPr="00537C3C" w:rsidRDefault="00234376">
      <w:pPr>
        <w:pStyle w:val="TableNotes"/>
        <w:ind w:left="0" w:firstLine="0"/>
        <w:sectPr w:rsidR="00234376" w:rsidRPr="00537C3C" w:rsidSect="008E03A7">
          <w:headerReference w:type="even" r:id="rId105"/>
          <w:headerReference w:type="default" r:id="rId106"/>
          <w:headerReference w:type="first" r:id="rId107"/>
          <w:pgSz w:w="16838" w:h="11906" w:orient="landscape" w:code="9"/>
          <w:pgMar w:top="1440" w:right="1440" w:bottom="1440" w:left="1440" w:header="720" w:footer="720" w:gutter="0"/>
          <w:paperSrc w:first="15" w:other="15"/>
          <w:cols w:space="720"/>
        </w:sectPr>
      </w:pPr>
    </w:p>
    <w:p w:rsidR="00333EE0" w:rsidRDefault="00333EE0" w:rsidP="00333EE0">
      <w:pPr>
        <w:pStyle w:val="Heading1"/>
      </w:pPr>
      <w:bookmarkStart w:id="923" w:name="_Toc216170241"/>
      <w:bookmarkStart w:id="924" w:name="_Toc241658207"/>
      <w:r>
        <w:lastRenderedPageBreak/>
        <w:t xml:space="preserve">Appendix </w:t>
      </w:r>
      <w:fldSimple w:instr=" SEQ Appendix \* ALPHABETIC ">
        <w:r w:rsidR="007D3DFF">
          <w:rPr>
            <w:noProof/>
          </w:rPr>
          <w:t>G</w:t>
        </w:r>
      </w:fldSimple>
      <w:r>
        <w:tab/>
        <w:t>Clinical flowchart</w:t>
      </w:r>
      <w:bookmarkEnd w:id="923"/>
      <w:bookmarkEnd w:id="924"/>
    </w:p>
    <w:p w:rsidR="00DF5A41" w:rsidRPr="00AE195E" w:rsidRDefault="00DF5A41" w:rsidP="00DF5A41">
      <w:pPr>
        <w:pStyle w:val="Caption"/>
        <w:jc w:val="center"/>
        <w:rPr>
          <w:rFonts w:ascii="Garamond" w:hAnsi="Garamond"/>
          <w:noProof/>
          <w:sz w:val="24"/>
        </w:rPr>
      </w:pPr>
      <w:r>
        <w:t xml:space="preserve">Figure </w:t>
      </w:r>
      <w:r>
        <w:fldChar w:fldCharType="begin"/>
      </w:r>
      <w:r>
        <w:instrText xml:space="preserve"> SEQ Figure \* ARABIC </w:instrText>
      </w:r>
      <w:r>
        <w:fldChar w:fldCharType="separate"/>
      </w:r>
      <w:r w:rsidR="007D3DFF">
        <w:rPr>
          <w:noProof/>
        </w:rPr>
        <w:t>15</w:t>
      </w:r>
      <w:r>
        <w:rPr>
          <w:noProof/>
        </w:rPr>
        <w:fldChar w:fldCharType="end"/>
      </w:r>
      <w:r w:rsidRPr="00CA7D2F">
        <w:rPr>
          <w:noProof/>
        </w:rPr>
        <w:t>Clinical flowchart of cervical cytology testing</w:t>
      </w:r>
    </w:p>
    <w:p w:rsidR="00DF5A41" w:rsidRDefault="00DF5A41" w:rsidP="00333EE0">
      <w:pPr>
        <w:spacing w:before="40" w:after="40"/>
        <w:ind w:left="0"/>
        <w:rPr>
          <w:lang w:val="en-US"/>
        </w:rPr>
      </w:pPr>
    </w:p>
    <w:p w:rsidR="00333EE0" w:rsidRDefault="00BB366E" w:rsidP="00333EE0">
      <w:pPr>
        <w:spacing w:before="40" w:after="40"/>
        <w:ind w:left="0"/>
        <w:rPr>
          <w:lang w:val="en-US"/>
        </w:rPr>
      </w:pPr>
      <w:r>
        <w:rPr>
          <w:noProof/>
          <w:lang w:eastAsia="en-AU"/>
        </w:rPr>
        <w:drawing>
          <wp:inline distT="0" distB="0" distL="0" distR="0" wp14:anchorId="4E595F0B" wp14:editId="55A00B60">
            <wp:extent cx="6347925" cy="7677150"/>
            <wp:effectExtent l="0" t="0" r="0" b="0"/>
            <wp:docPr id="142" name="Picture 142" title="Clinical flowchart of cervical cytology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1.tif"/>
                    <pic:cNvPicPr/>
                  </pic:nvPicPr>
                  <pic:blipFill>
                    <a:blip r:embed="rId108">
                      <a:extLst>
                        <a:ext uri="{28A0092B-C50C-407E-A947-70E740481C1C}">
                          <a14:useLocalDpi xmlns:a14="http://schemas.microsoft.com/office/drawing/2010/main" val="0"/>
                        </a:ext>
                      </a:extLst>
                    </a:blip>
                    <a:stretch>
                      <a:fillRect/>
                    </a:stretch>
                  </pic:blipFill>
                  <pic:spPr>
                    <a:xfrm>
                      <a:off x="0" y="0"/>
                      <a:ext cx="6345600" cy="7674338"/>
                    </a:xfrm>
                    <a:prstGeom prst="rect">
                      <a:avLst/>
                    </a:prstGeom>
                  </pic:spPr>
                </pic:pic>
              </a:graphicData>
            </a:graphic>
          </wp:inline>
        </w:drawing>
      </w:r>
    </w:p>
    <w:p w:rsidR="00333EE0" w:rsidRDefault="00333EE0" w:rsidP="00333EE0">
      <w:pPr>
        <w:spacing w:before="40" w:after="40"/>
        <w:ind w:left="0"/>
      </w:pPr>
    </w:p>
    <w:p w:rsidR="00DF5A41" w:rsidRPr="008419A2" w:rsidRDefault="00DF5A41" w:rsidP="00DF5A41">
      <w:pPr>
        <w:pStyle w:val="Caption"/>
      </w:pPr>
      <w:bookmarkStart w:id="925" w:name="_Toc231895857"/>
      <w:r>
        <w:lastRenderedPageBreak/>
        <w:t xml:space="preserve">Figure </w:t>
      </w:r>
      <w:r>
        <w:fldChar w:fldCharType="begin"/>
      </w:r>
      <w:r>
        <w:instrText xml:space="preserve"> SEQ Figure \* ARABIC </w:instrText>
      </w:r>
      <w:r>
        <w:fldChar w:fldCharType="separate"/>
      </w:r>
      <w:r w:rsidR="007D3DFF">
        <w:rPr>
          <w:noProof/>
        </w:rPr>
        <w:t>16</w:t>
      </w:r>
      <w:r>
        <w:rPr>
          <w:noProof/>
        </w:rPr>
        <w:fldChar w:fldCharType="end"/>
      </w:r>
      <w:r>
        <w:t xml:space="preserve"> </w:t>
      </w:r>
      <w:r>
        <w:tab/>
      </w:r>
      <w:r>
        <w:tab/>
      </w:r>
      <w:r w:rsidRPr="009B2D0F">
        <w:t>Management of participants testing positive in screening program.</w:t>
      </w:r>
      <w:bookmarkEnd w:id="925"/>
    </w:p>
    <w:p w:rsidR="00BB366E" w:rsidRDefault="00BB366E" w:rsidP="00333EE0">
      <w:pPr>
        <w:spacing w:before="40" w:after="40"/>
        <w:ind w:left="0"/>
      </w:pPr>
    </w:p>
    <w:p w:rsidR="00234376" w:rsidRDefault="00C97E47" w:rsidP="00BB366E">
      <w:pPr>
        <w:spacing w:before="40" w:after="40"/>
        <w:ind w:left="0"/>
      </w:pPr>
      <w:r>
        <w:fldChar w:fldCharType="begin" w:fldLock="1"/>
      </w:r>
      <w:r>
        <w:instrText xml:space="preserve">ref  SHAPE  \* MERGEFORMAT </w:instrText>
      </w:r>
      <w:r>
        <w:fldChar w:fldCharType="end"/>
      </w:r>
      <w:bookmarkStart w:id="926" w:name="_GoBack"/>
      <w:bookmarkEnd w:id="926"/>
      <w:r w:rsidR="00DF5A41">
        <w:rPr>
          <w:noProof/>
          <w:lang w:eastAsia="en-AU"/>
        </w:rPr>
        <w:drawing>
          <wp:inline distT="0" distB="0" distL="0" distR="0">
            <wp:extent cx="5419725" cy="7962900"/>
            <wp:effectExtent l="0" t="0" r="9525" b="0"/>
            <wp:docPr id="2" name="Picture 2" title="Figure 16   Management of participants testing positive in scree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19725" cy="7962900"/>
                    </a:xfrm>
                    <a:prstGeom prst="rect">
                      <a:avLst/>
                    </a:prstGeom>
                    <a:noFill/>
                    <a:ln>
                      <a:noFill/>
                    </a:ln>
                  </pic:spPr>
                </pic:pic>
              </a:graphicData>
            </a:graphic>
          </wp:inline>
        </w:drawing>
      </w:r>
    </w:p>
    <w:p w:rsidR="00907149" w:rsidRDefault="00907149" w:rsidP="00BB366E">
      <w:pPr>
        <w:spacing w:before="40" w:after="40"/>
        <w:ind w:left="0"/>
      </w:pPr>
      <w:r>
        <w:rPr>
          <w:noProof/>
          <w:lang w:eastAsia="en-AU"/>
        </w:rPr>
        <mc:AlternateContent>
          <mc:Choice Requires="wps">
            <w:drawing>
              <wp:inline distT="0" distB="0" distL="0" distR="0" wp14:anchorId="658C4B90" wp14:editId="523BB4DE">
                <wp:extent cx="5066665" cy="240030"/>
                <wp:effectExtent l="0" t="0" r="635" b="7620"/>
                <wp:docPr id="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149" w:rsidRDefault="00907149" w:rsidP="00907149">
                            <w:r w:rsidRPr="00A82928">
                              <w:rPr>
                                <w:rFonts w:ascii="Arial Narrow" w:hAnsi="Arial Narrow"/>
                                <w:sz w:val="16"/>
                                <w:vertAlign w:val="superscript"/>
                              </w:rPr>
                              <w:t>a</w:t>
                            </w:r>
                            <w:r w:rsidRPr="00A82928">
                              <w:rPr>
                                <w:rFonts w:ascii="Arial Narrow" w:hAnsi="Arial Narrow"/>
                                <w:sz w:val="16"/>
                              </w:rPr>
                              <w:t xml:space="preserve"> If repeat cytology tests at 12 and 24 months show no abnormalities, these women return to 2-yearly cytology screening.</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5" o:spid="_x0000_s1026" type="#_x0000_t202" style="width:398.9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u2hQIAABc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" stroked="f">
                <v:textbox>
                  <w:txbxContent>
                    <w:p w:rsidR="00907149" w:rsidRDefault="00907149" w:rsidP="00907149">
                      <w:r w:rsidRPr="00A82928">
                        <w:rPr>
                          <w:rFonts w:ascii="Arial Narrow" w:hAnsi="Arial Narrow"/>
                          <w:sz w:val="16"/>
                          <w:vertAlign w:val="superscript"/>
                        </w:rPr>
                        <w:t>a</w:t>
                      </w:r>
                      <w:r w:rsidRPr="00A82928">
                        <w:rPr>
                          <w:rFonts w:ascii="Arial Narrow" w:hAnsi="Arial Narrow"/>
                          <w:sz w:val="16"/>
                        </w:rPr>
                        <w:t xml:space="preserve"> If repeat cytology tests at 12 and 24 months show no abnormalities, these women return to 2-yearly cytology screening.</w:t>
                      </w:r>
                    </w:p>
                  </w:txbxContent>
                </v:textbox>
                <w10:anchorlock/>
              </v:shape>
            </w:pict>
          </mc:Fallback>
        </mc:AlternateContent>
      </w:r>
    </w:p>
    <w:p w:rsidR="00234376" w:rsidRPr="00537C3C" w:rsidRDefault="00234376" w:rsidP="008E03A7">
      <w:pPr>
        <w:pStyle w:val="Heading1"/>
        <w:pBdr>
          <w:bottom w:val="single" w:sz="4" w:space="0" w:color="auto"/>
        </w:pBdr>
      </w:pPr>
      <w:bookmarkStart w:id="927" w:name="_Toc95971110"/>
      <w:bookmarkStart w:id="928" w:name="_Toc241658208"/>
      <w:r w:rsidRPr="00537C3C">
        <w:lastRenderedPageBreak/>
        <w:t xml:space="preserve">Appendix </w:t>
      </w:r>
      <w:fldSimple w:instr=" SEQ Appendix \* ALPHABETIC ">
        <w:r w:rsidR="007D3DFF">
          <w:rPr>
            <w:noProof/>
          </w:rPr>
          <w:t>H</w:t>
        </w:r>
      </w:fldSimple>
      <w:bookmarkEnd w:id="0"/>
      <w:r w:rsidRPr="00537C3C">
        <w:tab/>
        <w:t xml:space="preserve">Existing </w:t>
      </w:r>
      <w:r w:rsidRPr="00BB76D8">
        <w:t>HTA</w:t>
      </w:r>
      <w:r w:rsidRPr="00537C3C">
        <w:t xml:space="preserve"> reports 2002–2008</w:t>
      </w:r>
      <w:bookmarkEnd w:id="927"/>
      <w:bookmarkEnd w:id="928"/>
    </w:p>
    <w:p w:rsidR="00234376" w:rsidRPr="00537C3C" w:rsidRDefault="00C54979" w:rsidP="008E03A7">
      <w:pPr>
        <w:pStyle w:val="TableHeading0"/>
      </w:pPr>
      <w:r>
        <w:tab/>
      </w:r>
      <w:r w:rsidR="00234376" w:rsidRPr="00537C3C">
        <w:t xml:space="preserve">Relevant existing </w:t>
      </w:r>
      <w:r w:rsidR="00234376" w:rsidRPr="00BB76D8">
        <w:t>HTA</w:t>
      </w:r>
      <w:r w:rsidR="00234376" w:rsidRPr="00537C3C">
        <w:t xml:space="preserve">s and systematic reviews published since the previous </w:t>
      </w:r>
      <w:r w:rsidR="00234376" w:rsidRPr="00BB76D8">
        <w:t>MSAC</w:t>
      </w:r>
      <w:r w:rsidR="00234376" w:rsidRPr="00537C3C">
        <w:t xml:space="preserve"> reviews </w:t>
      </w:r>
      <w:r>
        <w:tab/>
      </w:r>
      <w:r w:rsidR="00234376" w:rsidRPr="00537C3C">
        <w:t>(2002–2008).</w:t>
      </w:r>
    </w:p>
    <w:tbl>
      <w:tblPr>
        <w:tblW w:w="0" w:type="auto"/>
        <w:tblInd w:w="520" w:type="dxa"/>
        <w:tblLook w:val="01E0" w:firstRow="1" w:lastRow="1" w:firstColumn="1" w:lastColumn="1" w:noHBand="0" w:noVBand="0"/>
      </w:tblPr>
      <w:tblGrid>
        <w:gridCol w:w="1998"/>
        <w:gridCol w:w="709"/>
        <w:gridCol w:w="3071"/>
        <w:gridCol w:w="2744"/>
      </w:tblGrid>
      <w:tr w:rsidR="00234376" w:rsidRPr="00537C3C" w:rsidTr="00C54979">
        <w:tc>
          <w:tcPr>
            <w:tcW w:w="1998" w:type="dxa"/>
            <w:tcBorders>
              <w:top w:val="single" w:sz="4" w:space="0" w:color="auto"/>
            </w:tcBorders>
          </w:tcPr>
          <w:p w:rsidR="00234376" w:rsidRPr="00537C3C" w:rsidRDefault="00234376" w:rsidP="008E03A7">
            <w:pPr>
              <w:pStyle w:val="TableHeading0"/>
            </w:pPr>
            <w:r w:rsidRPr="00537C3C">
              <w:t>Organisation</w:t>
            </w:r>
          </w:p>
          <w:p w:rsidR="00234376" w:rsidRPr="00537C3C" w:rsidRDefault="00234376" w:rsidP="008E03A7">
            <w:pPr>
              <w:pStyle w:val="TableHeading0"/>
            </w:pPr>
            <w:r w:rsidRPr="00537C3C">
              <w:t>Country</w:t>
            </w:r>
          </w:p>
        </w:tc>
        <w:tc>
          <w:tcPr>
            <w:tcW w:w="709" w:type="dxa"/>
            <w:tcBorders>
              <w:top w:val="single" w:sz="4" w:space="0" w:color="auto"/>
            </w:tcBorders>
          </w:tcPr>
          <w:p w:rsidR="00234376" w:rsidRPr="00537C3C" w:rsidRDefault="00234376" w:rsidP="008E03A7">
            <w:pPr>
              <w:pStyle w:val="TableHeading0"/>
            </w:pPr>
            <w:r w:rsidRPr="00537C3C">
              <w:t>Date</w:t>
            </w:r>
          </w:p>
        </w:tc>
        <w:tc>
          <w:tcPr>
            <w:tcW w:w="3071" w:type="dxa"/>
            <w:tcBorders>
              <w:top w:val="single" w:sz="4" w:space="0" w:color="auto"/>
            </w:tcBorders>
          </w:tcPr>
          <w:p w:rsidR="00234376" w:rsidRPr="00537C3C" w:rsidRDefault="00234376" w:rsidP="008E03A7">
            <w:pPr>
              <w:pStyle w:val="TableHeading0"/>
            </w:pPr>
            <w:r w:rsidRPr="00537C3C">
              <w:t>Title</w:t>
            </w:r>
          </w:p>
        </w:tc>
        <w:tc>
          <w:tcPr>
            <w:tcW w:w="2744" w:type="dxa"/>
            <w:tcBorders>
              <w:top w:val="single" w:sz="4" w:space="0" w:color="auto"/>
            </w:tcBorders>
          </w:tcPr>
          <w:p w:rsidR="00234376" w:rsidRPr="00537C3C" w:rsidRDefault="00234376" w:rsidP="008E03A7">
            <w:pPr>
              <w:pStyle w:val="TableHeading0"/>
            </w:pPr>
            <w:r w:rsidRPr="00537C3C">
              <w:t>Scope</w:t>
            </w:r>
          </w:p>
        </w:tc>
      </w:tr>
      <w:tr w:rsidR="00234376" w:rsidRPr="00537C3C" w:rsidTr="00C54979">
        <w:tblPrEx>
          <w:tblBorders>
            <w:top w:val="single" w:sz="4" w:space="0" w:color="auto"/>
            <w:bottom w:val="single" w:sz="4" w:space="0" w:color="auto"/>
            <w:insideH w:val="single" w:sz="4" w:space="0" w:color="auto"/>
          </w:tblBorders>
        </w:tblPrEx>
        <w:tc>
          <w:tcPr>
            <w:tcW w:w="1998"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Arbyn et al. (systematic review)</w:t>
            </w:r>
          </w:p>
        </w:tc>
        <w:tc>
          <w:tcPr>
            <w:tcW w:w="709"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2008</w:t>
            </w:r>
          </w:p>
        </w:tc>
        <w:tc>
          <w:tcPr>
            <w:tcW w:w="3071"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Liquid compared with conventional cervical cytology: a systematic review and meta-analysis</w:t>
            </w:r>
          </w:p>
        </w:tc>
        <w:tc>
          <w:tcPr>
            <w:tcW w:w="2744" w:type="dxa"/>
          </w:tcPr>
          <w:p w:rsidR="00234376" w:rsidRPr="00537C3C" w:rsidRDefault="00234376" w:rsidP="008E03A7">
            <w:pPr>
              <w:spacing w:after="0"/>
              <w:ind w:left="0"/>
              <w:rPr>
                <w:rFonts w:ascii="Arial Narrow" w:hAnsi="Arial Narrow"/>
                <w:sz w:val="20"/>
              </w:rPr>
            </w:pPr>
            <w:r w:rsidRPr="00537C3C">
              <w:rPr>
                <w:rFonts w:ascii="Arial Narrow" w:hAnsi="Arial Narrow"/>
                <w:b/>
                <w:sz w:val="20"/>
              </w:rPr>
              <w:t xml:space="preserve">Manual </w:t>
            </w:r>
            <w:r w:rsidRPr="00BB76D8">
              <w:rPr>
                <w:rFonts w:ascii="Arial Narrow" w:hAnsi="Arial Narrow"/>
                <w:b/>
                <w:sz w:val="20"/>
              </w:rPr>
              <w:t>LBC</w:t>
            </w:r>
            <w:r w:rsidRPr="00537C3C">
              <w:rPr>
                <w:rFonts w:ascii="Arial Narrow" w:hAnsi="Arial Narrow"/>
                <w:b/>
                <w:sz w:val="20"/>
              </w:rPr>
              <w:t xml:space="preserve"> </w:t>
            </w:r>
            <w:r w:rsidRPr="00537C3C">
              <w:rPr>
                <w:rFonts w:ascii="Arial Narrow" w:hAnsi="Arial Narrow"/>
                <w:sz w:val="20"/>
              </w:rPr>
              <w:t>versus conventional cytology (accuracy).</w:t>
            </w:r>
          </w:p>
          <w:p w:rsidR="00234376" w:rsidRPr="00537C3C" w:rsidRDefault="00234376" w:rsidP="008E03A7">
            <w:pPr>
              <w:spacing w:after="0"/>
              <w:ind w:left="0"/>
              <w:rPr>
                <w:rFonts w:ascii="Arial Narrow" w:hAnsi="Arial Narrow"/>
                <w:b/>
                <w:sz w:val="20"/>
              </w:rPr>
            </w:pPr>
            <w:r w:rsidRPr="00537C3C">
              <w:rPr>
                <w:rFonts w:ascii="Arial Narrow" w:hAnsi="Arial Narrow"/>
                <w:sz w:val="20"/>
              </w:rPr>
              <w:t>Search to May 2007</w:t>
            </w:r>
          </w:p>
        </w:tc>
      </w:tr>
      <w:tr w:rsidR="00234376" w:rsidRPr="00537C3C" w:rsidTr="00C54979">
        <w:tblPrEx>
          <w:tblBorders>
            <w:top w:val="single" w:sz="4" w:space="0" w:color="auto"/>
            <w:bottom w:val="single" w:sz="4" w:space="0" w:color="auto"/>
            <w:insideH w:val="single" w:sz="4" w:space="0" w:color="auto"/>
          </w:tblBorders>
        </w:tblPrEx>
        <w:tc>
          <w:tcPr>
            <w:tcW w:w="1998" w:type="dxa"/>
          </w:tcPr>
          <w:p w:rsidR="00234376" w:rsidRPr="00537C3C" w:rsidRDefault="00234376" w:rsidP="008E03A7">
            <w:pPr>
              <w:spacing w:after="40"/>
              <w:ind w:left="0"/>
              <w:rPr>
                <w:rFonts w:ascii="Arial Narrow" w:hAnsi="Arial Narrow"/>
                <w:sz w:val="20"/>
              </w:rPr>
            </w:pPr>
            <w:r w:rsidRPr="00BB76D8">
              <w:rPr>
                <w:rFonts w:ascii="Arial Narrow" w:hAnsi="Arial Narrow"/>
                <w:sz w:val="20"/>
              </w:rPr>
              <w:t>CADTH</w:t>
            </w:r>
            <w:r w:rsidRPr="00537C3C">
              <w:rPr>
                <w:rFonts w:ascii="Arial Narrow" w:hAnsi="Arial Narrow"/>
                <w:sz w:val="20"/>
              </w:rPr>
              <w:t xml:space="preserve"> 2008 (Krahn et al.)</w:t>
            </w:r>
          </w:p>
          <w:p w:rsidR="00234376" w:rsidRPr="00537C3C" w:rsidRDefault="00234376" w:rsidP="008E03A7">
            <w:pPr>
              <w:spacing w:after="40"/>
              <w:ind w:left="0"/>
              <w:rPr>
                <w:rFonts w:ascii="Arial Narrow" w:hAnsi="Arial Narrow"/>
                <w:sz w:val="20"/>
              </w:rPr>
            </w:pPr>
            <w:smartTag w:uri="urn:schemas-microsoft-com:office:smarttags" w:element="place">
              <w:smartTag w:uri="urn:schemas-microsoft-com:office:smarttags" w:element="country-region">
                <w:r w:rsidRPr="00537C3C">
                  <w:rPr>
                    <w:rFonts w:ascii="Arial Narrow" w:hAnsi="Arial Narrow"/>
                    <w:sz w:val="20"/>
                  </w:rPr>
                  <w:t>Canada</w:t>
                </w:r>
              </w:smartTag>
            </w:smartTag>
          </w:p>
        </w:tc>
        <w:tc>
          <w:tcPr>
            <w:tcW w:w="709"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2008</w:t>
            </w:r>
          </w:p>
        </w:tc>
        <w:tc>
          <w:tcPr>
            <w:tcW w:w="3071"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Liquid-based techniques for cervical cancer screening: systematic review and cost-effectiveness analysis</w:t>
            </w:r>
          </w:p>
        </w:tc>
        <w:tc>
          <w:tcPr>
            <w:tcW w:w="2744" w:type="dxa"/>
          </w:tcPr>
          <w:p w:rsidR="00234376" w:rsidRPr="00537C3C" w:rsidRDefault="00234376" w:rsidP="008E03A7">
            <w:pPr>
              <w:spacing w:after="0"/>
              <w:ind w:left="0"/>
              <w:rPr>
                <w:rFonts w:ascii="Arial Narrow" w:hAnsi="Arial Narrow"/>
                <w:sz w:val="20"/>
              </w:rPr>
            </w:pPr>
            <w:r w:rsidRPr="00537C3C">
              <w:rPr>
                <w:rFonts w:ascii="Arial Narrow" w:hAnsi="Arial Narrow"/>
                <w:b/>
                <w:sz w:val="20"/>
              </w:rPr>
              <w:t xml:space="preserve">Manual </w:t>
            </w:r>
            <w:r w:rsidRPr="00BB76D8">
              <w:rPr>
                <w:rFonts w:ascii="Arial Narrow" w:hAnsi="Arial Narrow"/>
                <w:b/>
                <w:sz w:val="20"/>
              </w:rPr>
              <w:t>LBC</w:t>
            </w:r>
            <w:r w:rsidRPr="00537C3C">
              <w:rPr>
                <w:rFonts w:ascii="Arial Narrow" w:hAnsi="Arial Narrow"/>
                <w:b/>
                <w:sz w:val="20"/>
              </w:rPr>
              <w:t xml:space="preserve"> </w:t>
            </w:r>
            <w:r w:rsidRPr="00537C3C">
              <w:rPr>
                <w:rFonts w:ascii="Arial Narrow" w:hAnsi="Arial Narrow"/>
                <w:sz w:val="20"/>
              </w:rPr>
              <w:t>versus conventional cytology (accuracy &amp; unsatisfactory rates).</w:t>
            </w:r>
          </w:p>
          <w:p w:rsidR="00234376" w:rsidRPr="00537C3C" w:rsidRDefault="00234376" w:rsidP="008E03A7">
            <w:pPr>
              <w:spacing w:after="0"/>
              <w:ind w:left="0"/>
              <w:rPr>
                <w:rFonts w:ascii="Arial Narrow" w:hAnsi="Arial Narrow"/>
                <w:sz w:val="20"/>
              </w:rPr>
            </w:pPr>
            <w:r w:rsidRPr="00537C3C">
              <w:rPr>
                <w:rFonts w:ascii="Arial Narrow" w:hAnsi="Arial Narrow"/>
                <w:sz w:val="20"/>
              </w:rPr>
              <w:t>Search to June 2006</w:t>
            </w:r>
          </w:p>
        </w:tc>
      </w:tr>
      <w:tr w:rsidR="00234376" w:rsidRPr="00537C3C" w:rsidTr="00C54979">
        <w:tblPrEx>
          <w:tblBorders>
            <w:top w:val="single" w:sz="4" w:space="0" w:color="auto"/>
            <w:bottom w:val="single" w:sz="4" w:space="0" w:color="auto"/>
            <w:insideH w:val="single" w:sz="4" w:space="0" w:color="auto"/>
          </w:tblBorders>
        </w:tblPrEx>
        <w:tc>
          <w:tcPr>
            <w:tcW w:w="1998"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Davey et al. (systematic review)</w:t>
            </w:r>
          </w:p>
          <w:p w:rsidR="00234376" w:rsidRPr="00537C3C" w:rsidRDefault="00234376" w:rsidP="008E03A7">
            <w:pPr>
              <w:spacing w:after="40"/>
              <w:ind w:left="0"/>
              <w:rPr>
                <w:rFonts w:ascii="Arial Narrow" w:hAnsi="Arial Narrow"/>
                <w:sz w:val="20"/>
              </w:rPr>
            </w:pPr>
            <w:smartTag w:uri="urn:schemas-microsoft-com:office:smarttags" w:element="place">
              <w:smartTag w:uri="urn:schemas-microsoft-com:office:smarttags" w:element="country-region">
                <w:r w:rsidRPr="00537C3C">
                  <w:rPr>
                    <w:rFonts w:ascii="Arial Narrow" w:hAnsi="Arial Narrow"/>
                    <w:sz w:val="20"/>
                  </w:rPr>
                  <w:t>Australia</w:t>
                </w:r>
              </w:smartTag>
            </w:smartTag>
          </w:p>
        </w:tc>
        <w:tc>
          <w:tcPr>
            <w:tcW w:w="709"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Jan 2006</w:t>
            </w:r>
          </w:p>
        </w:tc>
        <w:tc>
          <w:tcPr>
            <w:tcW w:w="3071"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Effect of study design and quality on unsatisfactory rates, cytology classifications, and accuracy in liquid-based versus conventional cervical cytology: a systematic review</w:t>
            </w:r>
          </w:p>
        </w:tc>
        <w:tc>
          <w:tcPr>
            <w:tcW w:w="2744" w:type="dxa"/>
          </w:tcPr>
          <w:p w:rsidR="00234376" w:rsidRPr="00537C3C" w:rsidRDefault="00234376" w:rsidP="008E03A7">
            <w:pPr>
              <w:spacing w:after="40"/>
              <w:ind w:left="0"/>
              <w:rPr>
                <w:rFonts w:ascii="Arial Narrow" w:hAnsi="Arial Narrow"/>
                <w:sz w:val="20"/>
              </w:rPr>
            </w:pPr>
            <w:r w:rsidRPr="00537C3C">
              <w:rPr>
                <w:rFonts w:ascii="Arial Narrow" w:hAnsi="Arial Narrow"/>
                <w:b/>
                <w:sz w:val="20"/>
              </w:rPr>
              <w:t xml:space="preserve">Manual </w:t>
            </w:r>
            <w:r w:rsidRPr="00BB76D8">
              <w:rPr>
                <w:rFonts w:ascii="Arial Narrow" w:hAnsi="Arial Narrow"/>
                <w:b/>
                <w:sz w:val="20"/>
              </w:rPr>
              <w:t>LBC</w:t>
            </w:r>
            <w:r w:rsidRPr="00537C3C">
              <w:rPr>
                <w:rFonts w:ascii="Arial Narrow" w:hAnsi="Arial Narrow"/>
                <w:sz w:val="20"/>
              </w:rPr>
              <w:t xml:space="preserve"> versus conventional cytology in cervical screening. Accuracy, yield &amp; unsatisfactory rates.</w:t>
            </w:r>
          </w:p>
          <w:p w:rsidR="00234376" w:rsidRPr="00537C3C" w:rsidRDefault="00234376" w:rsidP="008E03A7">
            <w:pPr>
              <w:spacing w:after="40"/>
              <w:ind w:left="0"/>
              <w:rPr>
                <w:rFonts w:ascii="Arial Narrow" w:hAnsi="Arial Narrow"/>
                <w:sz w:val="20"/>
              </w:rPr>
            </w:pPr>
            <w:r w:rsidRPr="00537C3C">
              <w:rPr>
                <w:rFonts w:ascii="Arial Narrow" w:hAnsi="Arial Narrow"/>
                <w:sz w:val="20"/>
              </w:rPr>
              <w:t>Search 1966 to Jan 2004</w:t>
            </w:r>
          </w:p>
        </w:tc>
      </w:tr>
      <w:tr w:rsidR="00234376" w:rsidRPr="00537C3C" w:rsidTr="00C54979">
        <w:tblPrEx>
          <w:tblBorders>
            <w:top w:val="single" w:sz="4" w:space="0" w:color="auto"/>
            <w:bottom w:val="single" w:sz="4" w:space="0" w:color="auto"/>
            <w:insideH w:val="single" w:sz="4" w:space="0" w:color="auto"/>
          </w:tblBorders>
        </w:tblPrEx>
        <w:tc>
          <w:tcPr>
            <w:tcW w:w="1998"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Danish Centre for Evaluation and Health Technology Assessment</w:t>
            </w:r>
          </w:p>
          <w:p w:rsidR="00234376" w:rsidRPr="00537C3C" w:rsidRDefault="00234376" w:rsidP="008E03A7">
            <w:pPr>
              <w:spacing w:after="40"/>
              <w:ind w:left="0"/>
              <w:rPr>
                <w:rFonts w:ascii="Arial Narrow" w:hAnsi="Arial Narrow"/>
                <w:sz w:val="20"/>
              </w:rPr>
            </w:pPr>
            <w:smartTag w:uri="urn:schemas-microsoft-com:office:smarttags" w:element="place">
              <w:smartTag w:uri="urn:schemas-microsoft-com:office:smarttags" w:element="country-region">
                <w:r w:rsidRPr="00537C3C">
                  <w:rPr>
                    <w:rFonts w:ascii="Arial Narrow" w:hAnsi="Arial Narrow"/>
                    <w:sz w:val="20"/>
                  </w:rPr>
                  <w:t>Denmark</w:t>
                </w:r>
              </w:smartTag>
            </w:smartTag>
          </w:p>
        </w:tc>
        <w:tc>
          <w:tcPr>
            <w:tcW w:w="709"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2005</w:t>
            </w:r>
          </w:p>
        </w:tc>
        <w:tc>
          <w:tcPr>
            <w:tcW w:w="3071"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The use of liquid-based cytology (</w:t>
            </w:r>
            <w:r w:rsidRPr="00BB76D8">
              <w:rPr>
                <w:rFonts w:ascii="Arial Narrow" w:hAnsi="Arial Narrow"/>
                <w:sz w:val="20"/>
              </w:rPr>
              <w:t>LBC</w:t>
            </w:r>
            <w:r w:rsidRPr="00537C3C">
              <w:rPr>
                <w:rFonts w:ascii="Arial Narrow" w:hAnsi="Arial Narrow"/>
                <w:sz w:val="20"/>
              </w:rPr>
              <w:t xml:space="preserve">) and conventional Pap smear (CPS) for cervical screening in </w:t>
            </w:r>
            <w:smartTag w:uri="urn:schemas-microsoft-com:office:smarttags" w:element="place">
              <w:smartTag w:uri="urn:schemas-microsoft-com:office:smarttags" w:element="country-region">
                <w:r w:rsidRPr="00537C3C">
                  <w:rPr>
                    <w:rFonts w:ascii="Arial Narrow" w:hAnsi="Arial Narrow"/>
                    <w:sz w:val="20"/>
                  </w:rPr>
                  <w:t>Denmark</w:t>
                </w:r>
              </w:smartTag>
            </w:smartTag>
            <w:r w:rsidRPr="00537C3C">
              <w:rPr>
                <w:rFonts w:ascii="Arial Narrow" w:hAnsi="Arial Narrow"/>
                <w:sz w:val="20"/>
              </w:rPr>
              <w:t>: a health technology assessment</w:t>
            </w:r>
          </w:p>
        </w:tc>
        <w:tc>
          <w:tcPr>
            <w:tcW w:w="2744"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 xml:space="preserve">Conventional Pap smear (CPS) versus </w:t>
            </w:r>
            <w:r w:rsidRPr="00BB76D8">
              <w:rPr>
                <w:rFonts w:ascii="Arial Narrow" w:hAnsi="Arial Narrow"/>
                <w:b/>
                <w:sz w:val="20"/>
              </w:rPr>
              <w:t>LBC</w:t>
            </w:r>
            <w:r w:rsidRPr="00537C3C">
              <w:rPr>
                <w:rFonts w:ascii="Arial Narrow" w:hAnsi="Arial Narrow"/>
                <w:sz w:val="20"/>
              </w:rPr>
              <w:t xml:space="preserve">, including consequences related to </w:t>
            </w:r>
            <w:r w:rsidRPr="00537C3C">
              <w:rPr>
                <w:rFonts w:ascii="Arial Narrow" w:hAnsi="Arial Narrow"/>
                <w:b/>
                <w:sz w:val="20"/>
              </w:rPr>
              <w:t>automated</w:t>
            </w:r>
            <w:r w:rsidRPr="00537C3C">
              <w:rPr>
                <w:rFonts w:ascii="Arial Narrow" w:hAnsi="Arial Narrow"/>
                <w:sz w:val="20"/>
              </w:rPr>
              <w:t xml:space="preserve"> reading &amp; </w:t>
            </w:r>
            <w:r w:rsidRPr="00BB76D8">
              <w:rPr>
                <w:rFonts w:ascii="Arial Narrow" w:hAnsi="Arial Narrow"/>
                <w:sz w:val="20"/>
              </w:rPr>
              <w:t>HPV</w:t>
            </w:r>
            <w:r w:rsidRPr="00537C3C">
              <w:rPr>
                <w:rFonts w:ascii="Arial Narrow" w:hAnsi="Arial Narrow"/>
                <w:sz w:val="20"/>
              </w:rPr>
              <w:t xml:space="preserve"> testing. English summary only</w:t>
            </w:r>
          </w:p>
        </w:tc>
      </w:tr>
      <w:tr w:rsidR="00234376" w:rsidRPr="00537C3C" w:rsidTr="00C54979">
        <w:tblPrEx>
          <w:tblBorders>
            <w:top w:val="single" w:sz="4" w:space="0" w:color="auto"/>
            <w:bottom w:val="single" w:sz="4" w:space="0" w:color="auto"/>
            <w:insideH w:val="single" w:sz="4" w:space="0" w:color="auto"/>
          </w:tblBorders>
        </w:tblPrEx>
        <w:tc>
          <w:tcPr>
            <w:tcW w:w="1998"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 xml:space="preserve">UK NHS R&amp;D </w:t>
            </w:r>
            <w:r w:rsidRPr="00BB76D8">
              <w:rPr>
                <w:rFonts w:ascii="Arial Narrow" w:hAnsi="Arial Narrow"/>
                <w:sz w:val="20"/>
              </w:rPr>
              <w:t>HTA</w:t>
            </w:r>
            <w:r w:rsidRPr="00537C3C">
              <w:rPr>
                <w:rFonts w:ascii="Arial Narrow" w:hAnsi="Arial Narrow"/>
                <w:sz w:val="20"/>
              </w:rPr>
              <w:t xml:space="preserve"> programme (Willis et al.)</w:t>
            </w:r>
          </w:p>
          <w:p w:rsidR="00234376" w:rsidRPr="00537C3C" w:rsidRDefault="00234376" w:rsidP="008E03A7">
            <w:pPr>
              <w:spacing w:after="40"/>
              <w:ind w:left="0"/>
              <w:rPr>
                <w:rFonts w:ascii="Arial Narrow" w:hAnsi="Arial Narrow"/>
                <w:sz w:val="20"/>
              </w:rPr>
            </w:pPr>
            <w:smartTag w:uri="urn:schemas-microsoft-com:office:smarttags" w:element="place">
              <w:smartTag w:uri="urn:schemas-microsoft-com:office:smarttags" w:element="country-region">
                <w:r w:rsidRPr="00537C3C">
                  <w:rPr>
                    <w:rFonts w:ascii="Arial Narrow" w:hAnsi="Arial Narrow"/>
                    <w:sz w:val="20"/>
                  </w:rPr>
                  <w:t>UK</w:t>
                </w:r>
              </w:smartTag>
            </w:smartTag>
          </w:p>
        </w:tc>
        <w:tc>
          <w:tcPr>
            <w:tcW w:w="709"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2005</w:t>
            </w:r>
          </w:p>
        </w:tc>
        <w:tc>
          <w:tcPr>
            <w:tcW w:w="3071"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 xml:space="preserve">Cervical screening programmes: can automation help? Evidence from systematic reviews, an economic analysis and a simulation modelling exercise applied to the </w:t>
            </w:r>
            <w:smartTag w:uri="urn:schemas-microsoft-com:office:smarttags" w:element="place">
              <w:smartTag w:uri="urn:schemas-microsoft-com:office:smarttags" w:element="country-region">
                <w:r w:rsidRPr="00537C3C">
                  <w:rPr>
                    <w:rFonts w:ascii="Arial Narrow" w:hAnsi="Arial Narrow"/>
                    <w:sz w:val="20"/>
                  </w:rPr>
                  <w:t>UK</w:t>
                </w:r>
              </w:smartTag>
            </w:smartTag>
          </w:p>
        </w:tc>
        <w:tc>
          <w:tcPr>
            <w:tcW w:w="2744" w:type="dxa"/>
          </w:tcPr>
          <w:p w:rsidR="00234376" w:rsidRPr="00537C3C" w:rsidRDefault="00234376" w:rsidP="008E03A7">
            <w:pPr>
              <w:spacing w:after="0"/>
              <w:ind w:left="0"/>
              <w:rPr>
                <w:rFonts w:ascii="Arial Narrow" w:hAnsi="Arial Narrow"/>
                <w:sz w:val="20"/>
              </w:rPr>
            </w:pPr>
            <w:r w:rsidRPr="00537C3C">
              <w:rPr>
                <w:rFonts w:ascii="Arial Narrow" w:hAnsi="Arial Narrow"/>
                <w:b/>
                <w:sz w:val="20"/>
              </w:rPr>
              <w:t>Automated</w:t>
            </w:r>
            <w:r w:rsidRPr="00537C3C">
              <w:rPr>
                <w:rFonts w:ascii="Arial Narrow" w:hAnsi="Arial Narrow"/>
                <w:sz w:val="20"/>
              </w:rPr>
              <w:t xml:space="preserve"> (AutoPap) versus manual reading conventional cytology.</w:t>
            </w:r>
          </w:p>
          <w:p w:rsidR="00234376" w:rsidRPr="00537C3C" w:rsidRDefault="00234376" w:rsidP="008E03A7">
            <w:pPr>
              <w:spacing w:after="0"/>
              <w:ind w:left="0"/>
              <w:rPr>
                <w:rFonts w:ascii="Arial Narrow" w:hAnsi="Arial Narrow"/>
                <w:sz w:val="20"/>
              </w:rPr>
            </w:pPr>
            <w:r w:rsidRPr="00537C3C">
              <w:rPr>
                <w:rFonts w:ascii="Arial Narrow" w:hAnsi="Arial Narrow"/>
                <w:sz w:val="20"/>
              </w:rPr>
              <w:t>Search to end of 2000</w:t>
            </w:r>
          </w:p>
        </w:tc>
      </w:tr>
      <w:tr w:rsidR="00234376" w:rsidRPr="00537C3C" w:rsidTr="00C54979">
        <w:tblPrEx>
          <w:tblBorders>
            <w:top w:val="single" w:sz="4" w:space="0" w:color="auto"/>
            <w:bottom w:val="single" w:sz="4" w:space="0" w:color="auto"/>
            <w:insideH w:val="single" w:sz="4" w:space="0" w:color="auto"/>
          </w:tblBorders>
        </w:tblPrEx>
        <w:tc>
          <w:tcPr>
            <w:tcW w:w="1998" w:type="dxa"/>
          </w:tcPr>
          <w:p w:rsidR="00234376" w:rsidRPr="00537C3C" w:rsidRDefault="00234376" w:rsidP="008E03A7">
            <w:pPr>
              <w:spacing w:after="40"/>
              <w:ind w:left="0"/>
              <w:rPr>
                <w:rFonts w:ascii="Arial Narrow" w:hAnsi="Arial Narrow"/>
                <w:sz w:val="20"/>
              </w:rPr>
            </w:pPr>
            <w:smartTag w:uri="urn:schemas-microsoft-com:office:smarttags" w:element="place">
              <w:smartTag w:uri="urn:schemas-microsoft-com:office:smarttags" w:element="country-region">
                <w:r w:rsidRPr="00537C3C">
                  <w:rPr>
                    <w:rFonts w:ascii="Arial Narrow" w:hAnsi="Arial Narrow"/>
                    <w:sz w:val="20"/>
                  </w:rPr>
                  <w:t>UK</w:t>
                </w:r>
              </w:smartTag>
            </w:smartTag>
            <w:r w:rsidRPr="00537C3C">
              <w:rPr>
                <w:rFonts w:ascii="Arial Narrow" w:hAnsi="Arial Narrow"/>
                <w:sz w:val="20"/>
              </w:rPr>
              <w:t xml:space="preserve"> </w:t>
            </w:r>
            <w:r w:rsidRPr="00BB76D8">
              <w:rPr>
                <w:rFonts w:ascii="Arial Narrow" w:hAnsi="Arial Narrow"/>
                <w:sz w:val="20"/>
              </w:rPr>
              <w:t>HTA</w:t>
            </w:r>
            <w:r w:rsidRPr="00537C3C">
              <w:rPr>
                <w:rFonts w:ascii="Arial Narrow" w:hAnsi="Arial Narrow"/>
                <w:sz w:val="20"/>
              </w:rPr>
              <w:t xml:space="preserve"> (Karnon et al.)</w:t>
            </w:r>
          </w:p>
        </w:tc>
        <w:tc>
          <w:tcPr>
            <w:tcW w:w="709"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May 2004</w:t>
            </w:r>
          </w:p>
        </w:tc>
        <w:tc>
          <w:tcPr>
            <w:tcW w:w="3071"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Liquid-based cytology in cervical screening: an updated rapid and systematic review and economic analysis</w:t>
            </w:r>
          </w:p>
        </w:tc>
        <w:tc>
          <w:tcPr>
            <w:tcW w:w="2744"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 xml:space="preserve">Update on effectiveness and cost-effectiveness of </w:t>
            </w:r>
            <w:r w:rsidRPr="00537C3C">
              <w:rPr>
                <w:rFonts w:ascii="Arial Narrow" w:hAnsi="Arial Narrow"/>
                <w:b/>
                <w:sz w:val="20"/>
              </w:rPr>
              <w:t xml:space="preserve">manual </w:t>
            </w:r>
            <w:r w:rsidRPr="00BB76D8">
              <w:rPr>
                <w:rFonts w:ascii="Arial Narrow" w:hAnsi="Arial Narrow"/>
                <w:b/>
                <w:sz w:val="20"/>
              </w:rPr>
              <w:t>LBC</w:t>
            </w:r>
            <w:r w:rsidRPr="00537C3C">
              <w:rPr>
                <w:rFonts w:ascii="Arial Narrow" w:hAnsi="Arial Narrow"/>
                <w:sz w:val="20"/>
              </w:rPr>
              <w:t xml:space="preserve"> vs conventional Pap smear</w:t>
            </w:r>
          </w:p>
          <w:p w:rsidR="00234376" w:rsidRPr="00537C3C" w:rsidRDefault="00234376" w:rsidP="008E03A7">
            <w:pPr>
              <w:spacing w:after="40"/>
              <w:ind w:left="0"/>
              <w:rPr>
                <w:rFonts w:ascii="Arial Narrow" w:hAnsi="Arial Narrow"/>
                <w:sz w:val="20"/>
              </w:rPr>
            </w:pPr>
            <w:r w:rsidRPr="00537C3C">
              <w:rPr>
                <w:rFonts w:ascii="Arial Narrow" w:hAnsi="Arial Narrow"/>
                <w:sz w:val="20"/>
              </w:rPr>
              <w:t>Search 1999 – October 2002</w:t>
            </w:r>
          </w:p>
          <w:p w:rsidR="00234376" w:rsidRPr="00537C3C" w:rsidRDefault="00234376" w:rsidP="008E03A7">
            <w:pPr>
              <w:spacing w:after="40"/>
              <w:ind w:left="0"/>
              <w:rPr>
                <w:rFonts w:ascii="Arial Narrow" w:hAnsi="Arial Narrow"/>
                <w:sz w:val="20"/>
              </w:rPr>
            </w:pPr>
            <w:r w:rsidRPr="00537C3C">
              <w:rPr>
                <w:rFonts w:ascii="Arial Narrow" w:hAnsi="Arial Narrow"/>
                <w:sz w:val="20"/>
              </w:rPr>
              <w:t>Economic analysis based on English Pilot Study report (revised January 2003).</w:t>
            </w:r>
          </w:p>
        </w:tc>
      </w:tr>
      <w:tr w:rsidR="00234376" w:rsidRPr="00537C3C" w:rsidTr="00C54979">
        <w:tblPrEx>
          <w:tblBorders>
            <w:top w:val="single" w:sz="4" w:space="0" w:color="auto"/>
            <w:bottom w:val="single" w:sz="4" w:space="0" w:color="auto"/>
            <w:insideH w:val="single" w:sz="4" w:space="0" w:color="auto"/>
          </w:tblBorders>
        </w:tblPrEx>
        <w:tc>
          <w:tcPr>
            <w:tcW w:w="1998" w:type="dxa"/>
          </w:tcPr>
          <w:p w:rsidR="00234376" w:rsidRPr="00537C3C" w:rsidRDefault="00404298" w:rsidP="008E03A7">
            <w:pPr>
              <w:spacing w:after="40"/>
              <w:ind w:left="0"/>
              <w:rPr>
                <w:rFonts w:ascii="Arial Narrow" w:hAnsi="Arial Narrow"/>
                <w:sz w:val="20"/>
              </w:rPr>
            </w:pPr>
            <w:r w:rsidRPr="00404298">
              <w:rPr>
                <w:rFonts w:ascii="Arial Narrow" w:hAnsi="Arial Narrow"/>
                <w:sz w:val="20"/>
              </w:rPr>
              <w:t>Canadian Coordinating Office for Health Technology Assessment</w:t>
            </w:r>
            <w:r w:rsidRPr="00404298">
              <w:rPr>
                <w:rFonts w:ascii="Arial Narrow" w:hAnsi="Arial Narrow"/>
              </w:rPr>
              <w:t> </w:t>
            </w:r>
            <w:r w:rsidRPr="00404298">
              <w:rPr>
                <w:rFonts w:ascii="Arial Narrow" w:hAnsi="Arial Narrow"/>
                <w:sz w:val="20"/>
              </w:rPr>
              <w:t xml:space="preserve"> </w:t>
            </w:r>
            <w:r w:rsidR="00234376" w:rsidRPr="00110B9C">
              <w:rPr>
                <w:rFonts w:ascii="Arial Narrow" w:hAnsi="Arial Narrow"/>
                <w:sz w:val="20"/>
              </w:rPr>
              <w:t>CCOHTA</w:t>
            </w:r>
            <w:r w:rsidR="00234376" w:rsidRPr="00537C3C">
              <w:rPr>
                <w:rFonts w:ascii="Arial Narrow" w:hAnsi="Arial Narrow"/>
                <w:sz w:val="20"/>
              </w:rPr>
              <w:t xml:space="preserve"> (</w:t>
            </w:r>
            <w:bookmarkStart w:id="929" w:name="OLE_LINK446"/>
            <w:bookmarkStart w:id="930" w:name="OLE_LINK447"/>
            <w:r w:rsidR="00234376" w:rsidRPr="00537C3C">
              <w:rPr>
                <w:rFonts w:ascii="Arial Narrow" w:hAnsi="Arial Narrow"/>
                <w:sz w:val="20"/>
              </w:rPr>
              <w:t xml:space="preserve">Noorani </w:t>
            </w:r>
            <w:bookmarkEnd w:id="929"/>
            <w:bookmarkEnd w:id="930"/>
            <w:r w:rsidR="00234376" w:rsidRPr="00537C3C">
              <w:rPr>
                <w:rFonts w:ascii="Arial Narrow" w:hAnsi="Arial Narrow"/>
                <w:sz w:val="20"/>
              </w:rPr>
              <w:t>et al.)</w:t>
            </w:r>
          </w:p>
          <w:p w:rsidR="00234376" w:rsidRPr="00537C3C" w:rsidRDefault="00234376" w:rsidP="008E03A7">
            <w:pPr>
              <w:spacing w:after="40"/>
              <w:ind w:left="0"/>
              <w:rPr>
                <w:rFonts w:ascii="Arial Narrow" w:hAnsi="Arial Narrow"/>
                <w:sz w:val="20"/>
              </w:rPr>
            </w:pPr>
            <w:smartTag w:uri="urn:schemas-microsoft-com:office:smarttags" w:element="place">
              <w:smartTag w:uri="urn:schemas-microsoft-com:office:smarttags" w:element="country-region">
                <w:r w:rsidRPr="00537C3C">
                  <w:rPr>
                    <w:rFonts w:ascii="Arial Narrow" w:hAnsi="Arial Narrow"/>
                    <w:sz w:val="20"/>
                  </w:rPr>
                  <w:t>Canada</w:t>
                </w:r>
              </w:smartTag>
            </w:smartTag>
          </w:p>
        </w:tc>
        <w:tc>
          <w:tcPr>
            <w:tcW w:w="709"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 xml:space="preserve">2003 </w:t>
            </w:r>
          </w:p>
        </w:tc>
        <w:tc>
          <w:tcPr>
            <w:tcW w:w="3071"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Liquid-based cytology and human papillomavirus testing in cervical cancer screening</w:t>
            </w:r>
          </w:p>
        </w:tc>
        <w:tc>
          <w:tcPr>
            <w:tcW w:w="2744" w:type="dxa"/>
          </w:tcPr>
          <w:p w:rsidR="00234376" w:rsidRPr="00537C3C" w:rsidRDefault="00234376" w:rsidP="008E03A7">
            <w:pPr>
              <w:spacing w:after="0"/>
              <w:ind w:left="0"/>
              <w:rPr>
                <w:rFonts w:ascii="Arial Narrow" w:hAnsi="Arial Narrow"/>
                <w:sz w:val="20"/>
              </w:rPr>
            </w:pPr>
            <w:r w:rsidRPr="00537C3C">
              <w:rPr>
                <w:rFonts w:ascii="Arial Narrow" w:hAnsi="Arial Narrow"/>
                <w:b/>
                <w:sz w:val="20"/>
              </w:rPr>
              <w:t xml:space="preserve">Manual </w:t>
            </w:r>
            <w:r w:rsidRPr="00BB76D8">
              <w:rPr>
                <w:rFonts w:ascii="Arial Narrow" w:hAnsi="Arial Narrow"/>
                <w:b/>
                <w:sz w:val="20"/>
              </w:rPr>
              <w:t>LBC</w:t>
            </w:r>
            <w:r w:rsidRPr="00537C3C">
              <w:rPr>
                <w:rFonts w:ascii="Arial Narrow" w:hAnsi="Arial Narrow"/>
                <w:b/>
                <w:sz w:val="20"/>
              </w:rPr>
              <w:t xml:space="preserve"> </w:t>
            </w:r>
            <w:r w:rsidRPr="00537C3C">
              <w:rPr>
                <w:rFonts w:ascii="Arial Narrow" w:hAnsi="Arial Narrow"/>
                <w:sz w:val="20"/>
              </w:rPr>
              <w:t>versus conventional cytology.</w:t>
            </w:r>
          </w:p>
          <w:p w:rsidR="00234376" w:rsidRPr="00537C3C" w:rsidRDefault="00234376" w:rsidP="008E03A7">
            <w:pPr>
              <w:spacing w:after="0"/>
              <w:ind w:left="0"/>
              <w:rPr>
                <w:rFonts w:ascii="Arial Narrow" w:hAnsi="Arial Narrow"/>
                <w:b/>
                <w:sz w:val="20"/>
              </w:rPr>
            </w:pPr>
            <w:r w:rsidRPr="00537C3C">
              <w:rPr>
                <w:rFonts w:ascii="Arial Narrow" w:hAnsi="Arial Narrow"/>
                <w:sz w:val="20"/>
              </w:rPr>
              <w:t>Search to July 2003</w:t>
            </w:r>
          </w:p>
        </w:tc>
      </w:tr>
      <w:tr w:rsidR="00234376" w:rsidRPr="00537C3C" w:rsidTr="00C54979">
        <w:tblPrEx>
          <w:tblBorders>
            <w:top w:val="single" w:sz="4" w:space="0" w:color="auto"/>
            <w:bottom w:val="single" w:sz="4" w:space="0" w:color="auto"/>
            <w:insideH w:val="single" w:sz="4" w:space="0" w:color="auto"/>
          </w:tblBorders>
        </w:tblPrEx>
        <w:tc>
          <w:tcPr>
            <w:tcW w:w="1998"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German Agency for Health Technology Assessment at the German Institute for Medical Documentation and Information</w:t>
            </w:r>
          </w:p>
        </w:tc>
        <w:tc>
          <w:tcPr>
            <w:tcW w:w="709"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2003</w:t>
            </w:r>
          </w:p>
        </w:tc>
        <w:tc>
          <w:tcPr>
            <w:tcW w:w="3071"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Efficacy of liquid-based and computer-assisted cervical cytology - medical efficacy, economic efficiency</w:t>
            </w:r>
          </w:p>
        </w:tc>
        <w:tc>
          <w:tcPr>
            <w:tcW w:w="2744"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 xml:space="preserve">Considers </w:t>
            </w:r>
            <w:r w:rsidRPr="00537C3C">
              <w:rPr>
                <w:rFonts w:ascii="Arial Narrow" w:hAnsi="Arial Narrow"/>
                <w:b/>
                <w:sz w:val="20"/>
              </w:rPr>
              <w:t xml:space="preserve">manual </w:t>
            </w:r>
            <w:r w:rsidRPr="00BB76D8">
              <w:rPr>
                <w:rFonts w:ascii="Arial Narrow" w:hAnsi="Arial Narrow"/>
                <w:b/>
                <w:sz w:val="20"/>
              </w:rPr>
              <w:t>LBC</w:t>
            </w:r>
            <w:r w:rsidRPr="00537C3C">
              <w:rPr>
                <w:rFonts w:ascii="Arial Narrow" w:hAnsi="Arial Narrow"/>
                <w:sz w:val="20"/>
              </w:rPr>
              <w:t xml:space="preserve"> &amp;</w:t>
            </w:r>
            <w:r w:rsidRPr="00537C3C">
              <w:rPr>
                <w:rFonts w:ascii="Arial Narrow" w:hAnsi="Arial Narrow"/>
                <w:b/>
                <w:sz w:val="20"/>
              </w:rPr>
              <w:t xml:space="preserve"> automated </w:t>
            </w:r>
            <w:r w:rsidRPr="00BB76D8">
              <w:rPr>
                <w:rFonts w:ascii="Arial Narrow" w:hAnsi="Arial Narrow"/>
                <w:b/>
                <w:sz w:val="20"/>
              </w:rPr>
              <w:t>LBC</w:t>
            </w:r>
            <w:r w:rsidRPr="00537C3C">
              <w:rPr>
                <w:rFonts w:ascii="Arial Narrow" w:hAnsi="Arial Narrow"/>
                <w:sz w:val="20"/>
              </w:rPr>
              <w:t xml:space="preserve"> separately &amp; together, including economic analysis</w:t>
            </w:r>
          </w:p>
          <w:p w:rsidR="00234376" w:rsidRPr="00537C3C" w:rsidRDefault="00234376" w:rsidP="008E03A7">
            <w:pPr>
              <w:spacing w:after="0"/>
              <w:ind w:left="0"/>
              <w:rPr>
                <w:rFonts w:ascii="Arial Narrow" w:hAnsi="Arial Narrow"/>
                <w:sz w:val="20"/>
              </w:rPr>
            </w:pPr>
            <w:r w:rsidRPr="00537C3C">
              <w:rPr>
                <w:rFonts w:ascii="Arial Narrow" w:hAnsi="Arial Narrow"/>
                <w:sz w:val="20"/>
              </w:rPr>
              <w:t>Search to Nov 2001</w:t>
            </w:r>
          </w:p>
        </w:tc>
      </w:tr>
      <w:tr w:rsidR="00234376" w:rsidRPr="00537C3C" w:rsidTr="00C54979">
        <w:tblPrEx>
          <w:tblBorders>
            <w:top w:val="single" w:sz="4" w:space="0" w:color="auto"/>
            <w:bottom w:val="single" w:sz="4" w:space="0" w:color="auto"/>
            <w:insideH w:val="single" w:sz="4" w:space="0" w:color="auto"/>
          </w:tblBorders>
        </w:tblPrEx>
        <w:tc>
          <w:tcPr>
            <w:tcW w:w="1998" w:type="dxa"/>
          </w:tcPr>
          <w:p w:rsidR="00234376" w:rsidRPr="00537C3C" w:rsidRDefault="00234376" w:rsidP="008E03A7">
            <w:pPr>
              <w:spacing w:after="40"/>
              <w:ind w:left="0"/>
              <w:rPr>
                <w:rFonts w:ascii="Arial Narrow" w:hAnsi="Arial Narrow"/>
                <w:sz w:val="20"/>
              </w:rPr>
            </w:pPr>
            <w:r w:rsidRPr="006C24DD">
              <w:rPr>
                <w:rFonts w:ascii="Arial Narrow" w:hAnsi="Arial Narrow"/>
                <w:sz w:val="20"/>
              </w:rPr>
              <w:t>ECRI</w:t>
            </w:r>
          </w:p>
          <w:p w:rsidR="00234376" w:rsidRPr="00537C3C" w:rsidRDefault="00234376" w:rsidP="008E03A7">
            <w:pPr>
              <w:spacing w:after="40"/>
              <w:ind w:left="0"/>
              <w:rPr>
                <w:rFonts w:ascii="Arial Narrow" w:hAnsi="Arial Narrow"/>
                <w:sz w:val="20"/>
              </w:rPr>
            </w:pPr>
            <w:smartTag w:uri="urn:schemas-microsoft-com:office:smarttags" w:element="place">
              <w:smartTag w:uri="urn:schemas-microsoft-com:office:smarttags" w:element="country-region">
                <w:r w:rsidRPr="00537C3C">
                  <w:rPr>
                    <w:rFonts w:ascii="Arial Narrow" w:hAnsi="Arial Narrow"/>
                    <w:sz w:val="20"/>
                  </w:rPr>
                  <w:t>USA</w:t>
                </w:r>
              </w:smartTag>
            </w:smartTag>
          </w:p>
        </w:tc>
        <w:tc>
          <w:tcPr>
            <w:tcW w:w="709"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2003</w:t>
            </w:r>
          </w:p>
        </w:tc>
        <w:tc>
          <w:tcPr>
            <w:tcW w:w="3071"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Automated thin-layer slide preparation systems for cervical cancer screening</w:t>
            </w:r>
          </w:p>
        </w:tc>
        <w:tc>
          <w:tcPr>
            <w:tcW w:w="2744" w:type="dxa"/>
          </w:tcPr>
          <w:p w:rsidR="00234376" w:rsidRPr="00537C3C" w:rsidRDefault="00234376" w:rsidP="008E03A7">
            <w:pPr>
              <w:spacing w:after="0"/>
              <w:ind w:left="0"/>
              <w:rPr>
                <w:rFonts w:ascii="Arial Narrow" w:hAnsi="Arial Narrow"/>
                <w:sz w:val="20"/>
              </w:rPr>
            </w:pPr>
            <w:r w:rsidRPr="00537C3C">
              <w:rPr>
                <w:rFonts w:ascii="Arial Narrow" w:hAnsi="Arial Narrow"/>
                <w:sz w:val="20"/>
              </w:rPr>
              <w:t>Report not freely available</w:t>
            </w:r>
          </w:p>
        </w:tc>
      </w:tr>
      <w:tr w:rsidR="00234376" w:rsidRPr="00537C3C" w:rsidTr="00C54979">
        <w:tblPrEx>
          <w:tblBorders>
            <w:top w:val="single" w:sz="4" w:space="0" w:color="auto"/>
            <w:bottom w:val="single" w:sz="4" w:space="0" w:color="auto"/>
            <w:insideH w:val="single" w:sz="4" w:space="0" w:color="auto"/>
          </w:tblBorders>
        </w:tblPrEx>
        <w:tc>
          <w:tcPr>
            <w:tcW w:w="1998"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Institute for Clinical Systems Improvement</w:t>
            </w:r>
          </w:p>
        </w:tc>
        <w:tc>
          <w:tcPr>
            <w:tcW w:w="709"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Aug 2003</w:t>
            </w:r>
          </w:p>
        </w:tc>
        <w:tc>
          <w:tcPr>
            <w:tcW w:w="3071" w:type="dxa"/>
          </w:tcPr>
          <w:p w:rsidR="00234376" w:rsidRPr="00537C3C" w:rsidRDefault="00234376" w:rsidP="008E03A7">
            <w:pPr>
              <w:spacing w:after="40"/>
              <w:ind w:left="0"/>
              <w:rPr>
                <w:rFonts w:ascii="Arial Narrow" w:hAnsi="Arial Narrow"/>
                <w:sz w:val="20"/>
              </w:rPr>
            </w:pPr>
            <w:r w:rsidRPr="00537C3C">
              <w:rPr>
                <w:rFonts w:ascii="Arial Narrow" w:hAnsi="Arial Narrow"/>
                <w:sz w:val="20"/>
              </w:rPr>
              <w:t>Liquid-based cervical cytology</w:t>
            </w:r>
          </w:p>
        </w:tc>
        <w:tc>
          <w:tcPr>
            <w:tcW w:w="2744" w:type="dxa"/>
          </w:tcPr>
          <w:p w:rsidR="00234376" w:rsidRPr="006C24DD" w:rsidRDefault="00234376" w:rsidP="008E03A7">
            <w:pPr>
              <w:spacing w:after="40"/>
              <w:ind w:left="0"/>
              <w:rPr>
                <w:rFonts w:ascii="Arial Narrow" w:hAnsi="Arial Narrow"/>
                <w:sz w:val="20"/>
              </w:rPr>
            </w:pPr>
            <w:r w:rsidRPr="00537C3C">
              <w:rPr>
                <w:rFonts w:ascii="Arial Narrow" w:hAnsi="Arial Narrow"/>
                <w:b/>
                <w:sz w:val="20"/>
              </w:rPr>
              <w:t xml:space="preserve">Manual </w:t>
            </w:r>
            <w:r w:rsidRPr="00BB76D8">
              <w:rPr>
                <w:rFonts w:ascii="Arial Narrow" w:hAnsi="Arial Narrow"/>
                <w:b/>
                <w:sz w:val="20"/>
              </w:rPr>
              <w:t>LBC</w:t>
            </w:r>
            <w:r w:rsidRPr="00537C3C">
              <w:rPr>
                <w:rFonts w:ascii="Arial Narrow" w:hAnsi="Arial Narrow"/>
                <w:sz w:val="20"/>
              </w:rPr>
              <w:t xml:space="preserve"> versus conventional cytology</w:t>
            </w:r>
          </w:p>
          <w:p w:rsidR="00234376" w:rsidRPr="00537C3C" w:rsidRDefault="00234376" w:rsidP="008E03A7">
            <w:pPr>
              <w:spacing w:after="0"/>
              <w:ind w:left="0"/>
              <w:rPr>
                <w:rFonts w:ascii="Arial Narrow" w:hAnsi="Arial Narrow"/>
                <w:sz w:val="20"/>
              </w:rPr>
            </w:pPr>
            <w:r w:rsidRPr="00537C3C">
              <w:rPr>
                <w:rFonts w:ascii="Arial Narrow" w:hAnsi="Arial Narrow"/>
                <w:sz w:val="20"/>
              </w:rPr>
              <w:t>Search dates unclear</w:t>
            </w:r>
          </w:p>
        </w:tc>
      </w:tr>
    </w:tbl>
    <w:p w:rsidR="00234376" w:rsidRPr="00537C3C" w:rsidRDefault="00234376" w:rsidP="008E03A7">
      <w:pPr>
        <w:pStyle w:val="Heading1"/>
      </w:pPr>
      <w:bookmarkStart w:id="931" w:name="_Ref208903358"/>
      <w:bookmarkStart w:id="932" w:name="_Toc95971111"/>
      <w:bookmarkStart w:id="933" w:name="_Toc241658209"/>
      <w:r w:rsidRPr="00537C3C">
        <w:lastRenderedPageBreak/>
        <w:t xml:space="preserve">Appendix </w:t>
      </w:r>
      <w:fldSimple w:instr=" SEQ Appendix \* ALPHABETIC ">
        <w:r w:rsidR="007D3DFF">
          <w:rPr>
            <w:noProof/>
          </w:rPr>
          <w:t>I</w:t>
        </w:r>
      </w:fldSimple>
      <w:bookmarkEnd w:id="931"/>
      <w:r w:rsidRPr="00537C3C">
        <w:tab/>
        <w:t xml:space="preserve">Davey et al. (2006) </w:t>
      </w:r>
      <w:r w:rsidRPr="00BB76D8">
        <w:t>LBC</w:t>
      </w:r>
      <w:r w:rsidRPr="00537C3C">
        <w:t xml:space="preserve"> review</w:t>
      </w:r>
      <w:bookmarkEnd w:id="932"/>
      <w:bookmarkEnd w:id="933"/>
    </w:p>
    <w:p w:rsidR="00234376" w:rsidRPr="00537C3C" w:rsidRDefault="00234376" w:rsidP="008E03A7">
      <w:pPr>
        <w:keepNext/>
        <w:keepLines/>
      </w:pPr>
      <w:r w:rsidRPr="00537C3C">
        <w:t xml:space="preserve">The most recent systematic review comparing unsatisfactory rates before the </w:t>
      </w:r>
      <w:r w:rsidRPr="00BB76D8">
        <w:t>CADTH</w:t>
      </w:r>
      <w:r w:rsidRPr="00537C3C">
        <w:t xml:space="preserve"> </w:t>
      </w:r>
      <w:r w:rsidRPr="00BB76D8">
        <w:t>HTA</w:t>
      </w:r>
      <w:r w:rsidRPr="00537C3C">
        <w:t xml:space="preserve"> was Davey et al. (2006). This review included 48 datasets (from 46 studies) in a meta-analysis of the rate of unsatisfactory slides. Overall, 0.75 per cent (3646/483</w:t>
      </w:r>
      <w:r w:rsidR="008B0564">
        <w:t xml:space="preserve"> </w:t>
      </w:r>
      <w:r w:rsidRPr="00537C3C">
        <w:t xml:space="preserve">050) of </w:t>
      </w:r>
      <w:r w:rsidRPr="00BB76D8">
        <w:t>LBC</w:t>
      </w:r>
      <w:r w:rsidRPr="00537C3C">
        <w:t xml:space="preserve"> slides and 0.81 per cent (5389/662</w:t>
      </w:r>
      <w:r w:rsidR="008B0564">
        <w:t xml:space="preserve"> </w:t>
      </w:r>
      <w:r w:rsidRPr="00537C3C">
        <w:t xml:space="preserve">401) of conventional slides were unsatisfactory. This gave a summary estimate of difference of –0.14 per cent (95% </w:t>
      </w:r>
      <w:r w:rsidRPr="00BB76D8">
        <w:t>CI</w:t>
      </w:r>
      <w:r w:rsidRPr="00537C3C">
        <w:t xml:space="preserve"> –0.33% to +0.06%), and a median of –0.17 per cent (</w:t>
      </w:r>
      <w:r w:rsidRPr="00BB76D8">
        <w:t xml:space="preserve">LBC – </w:t>
      </w:r>
      <w:r w:rsidRPr="00537C3C">
        <w:t>conventional:</w:t>
      </w:r>
      <w:r w:rsidRPr="006C24DD">
        <w:t xml:space="preserve"> interquartile range</w:t>
      </w:r>
      <w:r w:rsidRPr="00537C3C">
        <w:t xml:space="preserve"> –0.98% to +0.37%). There was strong evidence of heterogeneity in the included studies (</w:t>
      </w:r>
      <w:r w:rsidRPr="0030078D">
        <w:rPr>
          <w:i/>
        </w:rPr>
        <w:t>P</w:t>
      </w:r>
      <w:r w:rsidRPr="00537C3C">
        <w:t xml:space="preserve"> &lt; 0.0001).</w:t>
      </w:r>
    </w:p>
    <w:p w:rsidR="00234376" w:rsidRPr="00537C3C" w:rsidRDefault="00234376" w:rsidP="008E03A7">
      <w:r w:rsidRPr="00537C3C">
        <w:t xml:space="preserve">Davey et al. (2006) found that the median of the differences in unsatisfactory slide rates was not significantly different by study quality (high quality –0.07%, medium quality –0.17%, low quality –0.12%), study design (0% paired studies, –0.17% independent studies) or setting (screening 1.02%, referral clinic 0.03%, mixed screening &amp; referral –0.24%, unspecified –0.38%). Meta-regression findings were consistent with this, except for a clinically non-significant association in setting (differences ranged from 0.4% in screening to –0.4% in mixed settings). There was no correlation of unsatisfactory rate with year of publication, but this measure may not truly reflect experience with reading </w:t>
      </w:r>
      <w:r w:rsidRPr="00BB76D8">
        <w:t>LBC</w:t>
      </w:r>
      <w:r w:rsidRPr="00537C3C">
        <w:t xml:space="preserve"> slides (</w:t>
      </w:r>
      <w:r w:rsidRPr="0030078D">
        <w:rPr>
          <w:i/>
        </w:rPr>
        <w:t>P</w:t>
      </w:r>
      <w:r w:rsidRPr="00537C3C">
        <w:t xml:space="preserve"> = 0.65).</w:t>
      </w:r>
    </w:p>
    <w:p w:rsidR="00234376" w:rsidRPr="00537C3C" w:rsidRDefault="00234376" w:rsidP="008E03A7">
      <w:r w:rsidRPr="00537C3C">
        <w:t xml:space="preserve">A significant difference in unsatisfactory rates was found according to </w:t>
      </w:r>
      <w:r w:rsidRPr="00BB76D8">
        <w:t>LBC</w:t>
      </w:r>
      <w:r w:rsidRPr="00537C3C">
        <w:t xml:space="preserve"> proprietary name (</w:t>
      </w:r>
      <w:r w:rsidRPr="0030078D">
        <w:rPr>
          <w:i/>
        </w:rPr>
        <w:t>P</w:t>
      </w:r>
      <w:r w:rsidRPr="00537C3C">
        <w:t xml:space="preserve"> = 0.01; ThinPrep </w:t>
      </w:r>
      <w:r w:rsidRPr="0030078D">
        <w:rPr>
          <w:i/>
        </w:rPr>
        <w:t>n</w:t>
      </w:r>
      <w:r w:rsidRPr="00537C3C">
        <w:t xml:space="preserve"> = 32, AutoCytePrep </w:t>
      </w:r>
      <w:r w:rsidRPr="0030078D">
        <w:rPr>
          <w:i/>
        </w:rPr>
        <w:t>n</w:t>
      </w:r>
      <w:r w:rsidRPr="00537C3C">
        <w:t xml:space="preserve"> = 7, CytoRich </w:t>
      </w:r>
      <w:r w:rsidRPr="0030078D">
        <w:rPr>
          <w:i/>
        </w:rPr>
        <w:t>n</w:t>
      </w:r>
      <w:r w:rsidRPr="00537C3C">
        <w:t xml:space="preserve"> = 8, Cytoscreen omitted as </w:t>
      </w:r>
      <w:r w:rsidRPr="0030078D">
        <w:rPr>
          <w:i/>
        </w:rPr>
        <w:t>n</w:t>
      </w:r>
      <w:r w:rsidRPr="00537C3C">
        <w:t xml:space="preserve"> = 1) and manufacturer (</w:t>
      </w:r>
      <w:r w:rsidRPr="0030078D">
        <w:rPr>
          <w:i/>
        </w:rPr>
        <w:t>P</w:t>
      </w:r>
      <w:r w:rsidRPr="00537C3C">
        <w:t xml:space="preserve"> = 0.003; ThinPrep </w:t>
      </w:r>
      <w:r w:rsidRPr="0030078D">
        <w:rPr>
          <w:i/>
        </w:rPr>
        <w:t>n</w:t>
      </w:r>
      <w:r w:rsidRPr="00537C3C">
        <w:t xml:space="preserve"> = 32, AutoCytePrep or CytoRich </w:t>
      </w:r>
      <w:r w:rsidRPr="0030078D">
        <w:rPr>
          <w:i/>
        </w:rPr>
        <w:t>n</w:t>
      </w:r>
      <w:r w:rsidRPr="00537C3C">
        <w:t xml:space="preserve"> = 15). However, the differences in the proportions of unsatisfactory slides were small (</w:t>
      </w:r>
      <w:r w:rsidRPr="00BB76D8">
        <w:t xml:space="preserve">LBC – </w:t>
      </w:r>
      <w:r w:rsidRPr="00537C3C">
        <w:t>conventional = 0.12% for ThinPrep and –1.08% for AutoCytePrep or CytoRich). The review did not provide any analyses or inclusio</w:t>
      </w:r>
      <w:r w:rsidRPr="00A316F5">
        <w:t>n/</w:t>
      </w:r>
      <w:r w:rsidRPr="00537C3C">
        <w:t xml:space="preserve">exclusion criteria by generations of </w:t>
      </w:r>
      <w:r w:rsidRPr="00BB76D8">
        <w:t>LBC</w:t>
      </w:r>
      <w:r w:rsidRPr="00537C3C">
        <w:t xml:space="preserve"> technologies. Studies comparing </w:t>
      </w:r>
      <w:r w:rsidRPr="00537C3C" w:rsidDel="00C27CD6">
        <w:t>the</w:t>
      </w:r>
      <w:r w:rsidRPr="00537C3C">
        <w:t xml:space="preserve"> earlier ThinPrep beta </w:t>
      </w:r>
      <w:r w:rsidRPr="00537C3C" w:rsidDel="00C27CD6">
        <w:t>with</w:t>
      </w:r>
      <w:r w:rsidRPr="00537C3C">
        <w:t xml:space="preserve"> the current </w:t>
      </w:r>
      <w:bookmarkStart w:id="934" w:name="OLE_LINK526"/>
      <w:bookmarkStart w:id="935" w:name="OLE_LINK527"/>
      <w:r w:rsidRPr="00537C3C">
        <w:t>ThinPrep 2000</w:t>
      </w:r>
      <w:bookmarkEnd w:id="934"/>
      <w:bookmarkEnd w:id="935"/>
      <w:r w:rsidRPr="00537C3C">
        <w:t xml:space="preserve"> were included in the review.</w:t>
      </w:r>
    </w:p>
    <w:p w:rsidR="00234376" w:rsidRPr="00537C3C" w:rsidRDefault="00234376" w:rsidP="008E03A7">
      <w:r w:rsidRPr="00537C3C">
        <w:t xml:space="preserve">This systematic review concluded that large randomised trials are needed to assess the comparative performance of </w:t>
      </w:r>
      <w:r w:rsidRPr="00BB76D8">
        <w:t>LBC</w:t>
      </w:r>
      <w:r w:rsidRPr="00537C3C">
        <w:t xml:space="preserve"> and conventional cytology.</w:t>
      </w:r>
    </w:p>
    <w:p w:rsidR="00234376" w:rsidRPr="00537C3C" w:rsidRDefault="00234376" w:rsidP="008E03A7">
      <w:pPr>
        <w:pStyle w:val="Heading1"/>
      </w:pPr>
      <w:bookmarkStart w:id="936" w:name="_Ref212432848"/>
      <w:bookmarkStart w:id="937" w:name="_Toc95971112"/>
      <w:bookmarkStart w:id="938" w:name="_Toc241658210"/>
      <w:bookmarkStart w:id="939" w:name="_Ref209241421"/>
      <w:bookmarkStart w:id="940" w:name="_Ref209320391"/>
      <w:bookmarkStart w:id="941" w:name="_Ref211246995"/>
      <w:r w:rsidRPr="00537C3C">
        <w:lastRenderedPageBreak/>
        <w:t xml:space="preserve">Appendix </w:t>
      </w:r>
      <w:fldSimple w:instr=" SEQ Appendix \* ALPHABETIC ">
        <w:r w:rsidR="007D3DFF">
          <w:rPr>
            <w:noProof/>
          </w:rPr>
          <w:t>J</w:t>
        </w:r>
      </w:fldSimple>
      <w:r w:rsidR="00CB16F3">
        <w:t xml:space="preserve">  </w:t>
      </w:r>
      <w:r w:rsidRPr="00537C3C">
        <w:t>Detailed model data sources</w:t>
      </w:r>
      <w:bookmarkEnd w:id="936"/>
      <w:bookmarkEnd w:id="937"/>
      <w:bookmarkEnd w:id="938"/>
    </w:p>
    <w:p w:rsidR="00234376" w:rsidRPr="00DE79DC" w:rsidRDefault="00234376" w:rsidP="008E03A7">
      <w:pPr>
        <w:pStyle w:val="Heading2"/>
      </w:pPr>
      <w:bookmarkStart w:id="942" w:name="_Toc216169872"/>
      <w:bookmarkStart w:id="943" w:name="_Toc216170245"/>
      <w:bookmarkStart w:id="944" w:name="_Toc219865820"/>
      <w:bookmarkStart w:id="945" w:name="_Toc219866028"/>
      <w:bookmarkStart w:id="946" w:name="_Toc219880668"/>
      <w:bookmarkStart w:id="947" w:name="_Toc220144582"/>
      <w:bookmarkStart w:id="948" w:name="_Toc95971113"/>
      <w:bookmarkStart w:id="949" w:name="_Toc231895821"/>
      <w:bookmarkStart w:id="950" w:name="_Toc241658211"/>
      <w:bookmarkEnd w:id="939"/>
      <w:bookmarkEnd w:id="940"/>
      <w:bookmarkEnd w:id="941"/>
      <w:r w:rsidRPr="00DE79DC">
        <w:t>Cervical cancer natural history parameters</w:t>
      </w:r>
      <w:bookmarkEnd w:id="942"/>
      <w:bookmarkEnd w:id="943"/>
      <w:bookmarkEnd w:id="944"/>
      <w:bookmarkEnd w:id="945"/>
      <w:bookmarkEnd w:id="946"/>
      <w:bookmarkEnd w:id="947"/>
      <w:bookmarkEnd w:id="948"/>
      <w:bookmarkEnd w:id="949"/>
      <w:bookmarkEnd w:id="950"/>
    </w:p>
    <w:p w:rsidR="00234376" w:rsidRPr="00DE79DC" w:rsidRDefault="00234376" w:rsidP="00234376">
      <w:pPr>
        <w:pStyle w:val="Heading3"/>
      </w:pPr>
      <w:r w:rsidRPr="00DE79DC">
        <w:t>Invasive cancer survival parameters</w:t>
      </w:r>
    </w:p>
    <w:p w:rsidR="00234376" w:rsidRPr="00DE79DC" w:rsidRDefault="00234376" w:rsidP="00234376">
      <w:pPr>
        <w:rPr>
          <w:rFonts w:cs="Arial"/>
        </w:rPr>
      </w:pPr>
      <w:r w:rsidRPr="00DE79DC">
        <w:rPr>
          <w:rFonts w:cs="Arial"/>
        </w:rPr>
        <w:t>The invasive cancer survival model incorporated states for undiagnosed and symptomatically detected invasive cervical cancer, with separate states for localised cervical cancer and for cervical cancer with regional and distant metastases. We did not directly incorporate FIGO staging in the model, because the available estimates of relative survival after a diagnosis of cervical cancer were calculated according to extent of disease rather than FIGO stage. We used cumulative relative ratios of survival of invasive cervical cancer by extent of disease, based on data from the NSW Central Cancer Registry (NSW CCR) from women diagnosed with cervical cancer between 1991 and 2000, and followed up to 2001 (pers. comm., A/Prof. Dianne O’Connell, Cancer Council NSW). In the model, relative survival after both local and regional disease is assumed to plateau after 10 years, on the bas</w:t>
      </w:r>
      <w:r w:rsidRPr="00DE79DC" w:rsidDel="00C27CD6">
        <w:rPr>
          <w:rFonts w:cs="Arial"/>
        </w:rPr>
        <w:t>is</w:t>
      </w:r>
      <w:r w:rsidRPr="00DE79DC">
        <w:rPr>
          <w:rFonts w:cs="Arial"/>
        </w:rPr>
        <w:t xml:space="preserve"> o</w:t>
      </w:r>
      <w:r w:rsidRPr="00DE79DC" w:rsidDel="00C27CD6">
        <w:rPr>
          <w:rFonts w:cs="Arial"/>
        </w:rPr>
        <w:t>f</w:t>
      </w:r>
      <w:r w:rsidRPr="00DE79DC">
        <w:rPr>
          <w:rFonts w:cs="Arial"/>
        </w:rPr>
        <w:t xml:space="preserve"> projections from the survival data to 10 years. Among women diagnosed with distant metastases, we assumed no survivors after 10 years, based on NSW CCR data which showed that only about 3 per cent of those diagnosed were still alive after 10 years (with a cumulative relative survival probability of approximately 20%).</w:t>
      </w:r>
    </w:p>
    <w:p w:rsidR="00234376" w:rsidRPr="00DE79DC" w:rsidRDefault="00234376" w:rsidP="00234376">
      <w:pPr>
        <w:rPr>
          <w:rFonts w:cs="Arial"/>
        </w:rPr>
      </w:pPr>
      <w:r w:rsidRPr="00DE79DC">
        <w:rPr>
          <w:rFonts w:cs="Arial"/>
        </w:rPr>
        <w:t xml:space="preserve">To model progression of undiagnosed invasive cervical cancer, we adapted previous estimates by Myers et al. </w:t>
      </w:r>
      <w:r w:rsidRPr="00DE79DC">
        <w:rPr>
          <w:rFonts w:cs="Arial"/>
        </w:rPr>
        <w:fldChar w:fldCharType="begin"/>
      </w:r>
      <w:r w:rsidRPr="00DE79DC">
        <w:rPr>
          <w:rFonts w:cs="Arial"/>
        </w:rPr>
        <w:instrText xml:space="preserve"> ADDIN REFMGR.CITE &lt;Refman&gt;&lt;Cite ExcludeAuth="1"&gt;&lt;Author&gt;Myers&lt;/Author&gt;&lt;Year&gt;2000&lt;/Year&gt;&lt;RecNum&gt;3367&lt;/RecNum&gt;&lt;IDText&gt;Mathematical model for the natural history of human papillomavirus infection and cervical carcinogenesis&lt;/IDText&gt;&lt;MDL Ref_Type="Journal"&gt;&lt;Ref_Type&gt;Journal&lt;/Ref_Type&gt;&lt;Ref_ID&gt;3367&lt;/Ref_ID&gt;&lt;Title_Primary&gt;Mathematical model for the natural history of human papillomavirus infection and cervical carcinogenesis&lt;/Title_Primary&gt;&lt;Authors_Primary&gt;Myers,E.R.&lt;/Authors_Primary&gt;&lt;Authors_Primary&gt;McCrory,D.C.&lt;/Authors_Primary&gt;&lt;Authors_Primary&gt;Nanda,K.&lt;/Authors_Primary&gt;&lt;Authors_Primary&gt;Bastian,L.&lt;/Authors_Primary&gt;&lt;Authors_Primary&gt;Matchar,D.B.&lt;/Authors_Primary&gt;&lt;Date_Primary&gt;2000/6/15&lt;/Date_Primary&gt;&lt;Keywords&gt;Adolescent&lt;/Keywords&gt;&lt;Keywords&gt;Adult&lt;/Keywords&gt;&lt;Keywords&gt;Aged&lt;/Keywords&gt;&lt;Keywords&gt;Antiviral Agents&lt;/Keywords&gt;&lt;Keywords&gt;Cell Transformation,Neoplastic&lt;/Keywords&gt;&lt;Keywords&gt;complications&lt;/Keywords&gt;&lt;Keywords&gt;Cost-Benefit Analysis&lt;/Keywords&gt;&lt;Keywords&gt;economics&lt;/Keywords&gt;&lt;Keywords&gt;epidemiology&lt;/Keywords&gt;&lt;Keywords&gt;Female&lt;/Keywords&gt;&lt;Keywords&gt;Humans&lt;/Keywords&gt;&lt;Keywords&gt;Incidence&lt;/Keywords&gt;&lt;Keywords&gt;Markov Chains&lt;/Keywords&gt;&lt;Keywords&gt;Middle Aged&lt;/Keywords&gt;&lt;Keywords&gt;Models,Theoretical&lt;/Keywords&gt;&lt;Keywords&gt;mortality&lt;/Keywords&gt;&lt;Keywords&gt;Papillomaviridae&lt;/Keywords&gt;&lt;Keywords&gt;Papillomavirus Infections&lt;/Keywords&gt;&lt;Keywords&gt;prevention &amp;amp; control&lt;/Keywords&gt;&lt;Keywords&gt;Risk Assessment&lt;/Keywords&gt;&lt;Keywords&gt;therapeutic use&lt;/Keywords&gt;&lt;Keywords&gt;Tumor Virus Infections&lt;/Keywords&gt;&lt;Keywords&gt;Uterine Cervical Neoplasms&lt;/Keywords&gt;&lt;Keywords&gt;virology&lt;/Keywords&gt;&lt;Reprint&gt;Not in File&lt;/Reprint&gt;&lt;Start_Page&gt;1158&lt;/Start_Page&gt;&lt;End_Page&gt;1171&lt;/End_Page&gt;&lt;Periodical&gt;Am.J.Epidemiol.&lt;/Periodical&gt;&lt;Volume&gt;151&lt;/Volume&gt;&lt;Issue&gt;12&lt;/Issue&gt;&lt;ZZ_JournalStdAbbrev&gt;&lt;f name="System"&gt;Am.J.Epidemiol.&lt;/f&gt;&lt;/ZZ_JournalStdAbbrev&gt;&lt;ZZ_WorkformID&gt;1&lt;/ZZ_WorkformID&gt;&lt;/MDL&gt;&lt;/Cite&gt;&lt;/Refman&gt;</w:instrText>
      </w:r>
      <w:r w:rsidRPr="00DE79DC">
        <w:rPr>
          <w:rFonts w:cs="Arial"/>
        </w:rPr>
        <w:fldChar w:fldCharType="separate"/>
      </w:r>
      <w:r w:rsidRPr="00DE79DC">
        <w:rPr>
          <w:rFonts w:cs="Arial"/>
        </w:rPr>
        <w:t>(2000)</w:t>
      </w:r>
      <w:r w:rsidRPr="00DE79DC">
        <w:rPr>
          <w:rFonts w:cs="Arial"/>
        </w:rPr>
        <w:fldChar w:fldCharType="end"/>
      </w:r>
      <w:r w:rsidRPr="00DE79DC">
        <w:rPr>
          <w:rFonts w:cs="Arial"/>
        </w:rPr>
        <w:t xml:space="preserve"> of the rates of progression between undiagnosed FIGO disease states. We also calculated rates of development of symptomatic and therefore diagnosed disease for each possible disease extent from rates in Myers et al. </w:t>
      </w:r>
      <w:r w:rsidRPr="00DE79DC">
        <w:rPr>
          <w:rFonts w:cs="Arial"/>
        </w:rPr>
        <w:fldChar w:fldCharType="begin"/>
      </w:r>
      <w:r w:rsidRPr="00DE79DC">
        <w:rPr>
          <w:rFonts w:cs="Arial"/>
        </w:rPr>
        <w:instrText xml:space="preserve"> ADDIN REFMGR.CITE &lt;Refman&gt;&lt;Cite ExcludeAuth="1"&gt;&lt;Author&gt;Myers&lt;/Author&gt;&lt;Year&gt;2000&lt;/Year&gt;&lt;RecNum&gt;3367&lt;/RecNum&gt;&lt;IDText&gt;Mathematical model for the natural history of human papillomavirus infection and cervical carcinogenesis&lt;/IDText&gt;&lt;MDL Ref_Type="Journal"&gt;&lt;Ref_Type&gt;Journal&lt;/Ref_Type&gt;&lt;Ref_ID&gt;3367&lt;/Ref_ID&gt;&lt;Title_Primary&gt;Mathematical model for the natural history of human papillomavirus infection and cervical carcinogenesis&lt;/Title_Primary&gt;&lt;Authors_Primary&gt;Myers,E.R.&lt;/Authors_Primary&gt;&lt;Authors_Primary&gt;McCrory,D.C.&lt;/Authors_Primary&gt;&lt;Authors_Primary&gt;Nanda,K.&lt;/Authors_Primary&gt;&lt;Authors_Primary&gt;Bastian,L.&lt;/Authors_Primary&gt;&lt;Authors_Primary&gt;Matchar,D.B.&lt;/Authors_Primary&gt;&lt;Date_Primary&gt;2000/6/15&lt;/Date_Primary&gt;&lt;Keywords&gt;Adolescent&lt;/Keywords&gt;&lt;Keywords&gt;Adult&lt;/Keywords&gt;&lt;Keywords&gt;Aged&lt;/Keywords&gt;&lt;Keywords&gt;Antiviral Agents&lt;/Keywords&gt;&lt;Keywords&gt;Cell Transformation,Neoplastic&lt;/Keywords&gt;&lt;Keywords&gt;complications&lt;/Keywords&gt;&lt;Keywords&gt;Cost-Benefit Analysis&lt;/Keywords&gt;&lt;Keywords&gt;economics&lt;/Keywords&gt;&lt;Keywords&gt;epidemiology&lt;/Keywords&gt;&lt;Keywords&gt;Female&lt;/Keywords&gt;&lt;Keywords&gt;Humans&lt;/Keywords&gt;&lt;Keywords&gt;Incidence&lt;/Keywords&gt;&lt;Keywords&gt;Markov Chains&lt;/Keywords&gt;&lt;Keywords&gt;Middle Aged&lt;/Keywords&gt;&lt;Keywords&gt;Models,Theoretical&lt;/Keywords&gt;&lt;Keywords&gt;mortality&lt;/Keywords&gt;&lt;Keywords&gt;Papillomaviridae&lt;/Keywords&gt;&lt;Keywords&gt;Papillomavirus Infections&lt;/Keywords&gt;&lt;Keywords&gt;prevention &amp;amp; control&lt;/Keywords&gt;&lt;Keywords&gt;Risk Assessment&lt;/Keywords&gt;&lt;Keywords&gt;therapeutic use&lt;/Keywords&gt;&lt;Keywords&gt;Tumor Virus Infections&lt;/Keywords&gt;&lt;Keywords&gt;Uterine Cervical Neoplasms&lt;/Keywords&gt;&lt;Keywords&gt;virology&lt;/Keywords&gt;&lt;Reprint&gt;Not in File&lt;/Reprint&gt;&lt;Start_Page&gt;1158&lt;/Start_Page&gt;&lt;End_Page&gt;1171&lt;/End_Page&gt;&lt;Periodical&gt;Am.J.Epidemiol.&lt;/Periodical&gt;&lt;Volume&gt;151&lt;/Volume&gt;&lt;Issue&gt;12&lt;/Issue&gt;&lt;ZZ_JournalStdAbbrev&gt;&lt;f name="System"&gt;Am.J.Epidemiol.&lt;/f&gt;&lt;/ZZ_JournalStdAbbrev&gt;&lt;ZZ_WorkformID&gt;1&lt;/ZZ_WorkformID&gt;&lt;/MDL&gt;&lt;/Cite&gt;&lt;/Refman&gt;</w:instrText>
      </w:r>
      <w:r w:rsidRPr="00DE79DC">
        <w:rPr>
          <w:rFonts w:cs="Arial"/>
        </w:rPr>
        <w:fldChar w:fldCharType="separate"/>
      </w:r>
      <w:r w:rsidRPr="00DE79DC">
        <w:rPr>
          <w:rFonts w:cs="Arial"/>
        </w:rPr>
        <w:t>(2000)</w:t>
      </w:r>
      <w:r w:rsidRPr="00DE79DC">
        <w:rPr>
          <w:rFonts w:cs="Arial"/>
        </w:rPr>
        <w:fldChar w:fldCharType="end"/>
      </w:r>
      <w:r w:rsidRPr="00DE79DC">
        <w:rPr>
          <w:rFonts w:cs="Arial"/>
        </w:rPr>
        <w:t>.</w:t>
      </w:r>
    </w:p>
    <w:p w:rsidR="00234376" w:rsidRPr="00DE79DC" w:rsidRDefault="00234376" w:rsidP="008E03A7">
      <w:pPr>
        <w:pStyle w:val="Heading2"/>
      </w:pPr>
      <w:bookmarkStart w:id="951" w:name="_Toc216169873"/>
      <w:bookmarkStart w:id="952" w:name="_Toc216170246"/>
      <w:bookmarkStart w:id="953" w:name="_Toc219865821"/>
      <w:bookmarkStart w:id="954" w:name="_Toc219866029"/>
      <w:bookmarkStart w:id="955" w:name="_Toc219880669"/>
      <w:bookmarkStart w:id="956" w:name="_Toc220144583"/>
      <w:bookmarkStart w:id="957" w:name="_Toc95971114"/>
      <w:bookmarkStart w:id="958" w:name="_Toc231895822"/>
      <w:bookmarkStart w:id="959" w:name="_Toc241658212"/>
      <w:r w:rsidRPr="00DE79DC">
        <w:t>Screening parameters</w:t>
      </w:r>
      <w:bookmarkEnd w:id="951"/>
      <w:bookmarkEnd w:id="952"/>
      <w:bookmarkEnd w:id="953"/>
      <w:bookmarkEnd w:id="954"/>
      <w:bookmarkEnd w:id="955"/>
      <w:bookmarkEnd w:id="956"/>
      <w:bookmarkEnd w:id="957"/>
      <w:bookmarkEnd w:id="958"/>
      <w:bookmarkEnd w:id="959"/>
    </w:p>
    <w:p w:rsidR="00234376" w:rsidRPr="00DE79DC" w:rsidRDefault="00234376" w:rsidP="00234376">
      <w:pPr>
        <w:pStyle w:val="Heading3"/>
      </w:pPr>
      <w:r w:rsidRPr="00DE79DC">
        <w:t>Compliance with screening and management recommendations</w:t>
      </w:r>
    </w:p>
    <w:p w:rsidR="00234376" w:rsidRPr="00DE79DC" w:rsidRDefault="00234376" w:rsidP="008E03A7">
      <w:r w:rsidRPr="00DE79DC">
        <w:t>The model incorporated information on compliance with screening and management recommendations obtained via analysis of data from the Victorian Cervical Cytology Register (VCCR). During 1995–2007</w:t>
      </w:r>
      <w:r w:rsidR="003C2641" w:rsidRPr="00DE79DC">
        <w:t xml:space="preserve"> in </w:t>
      </w:r>
      <w:smartTag w:uri="urn:schemas-microsoft-com:office:smarttags" w:element="place">
        <w:smartTag w:uri="urn:schemas-microsoft-com:office:smarttags" w:element="State">
          <w:r w:rsidR="003C2641" w:rsidRPr="00DE79DC">
            <w:t>Victoria</w:t>
          </w:r>
        </w:smartTag>
      </w:smartTag>
      <w:r w:rsidRPr="00DE79DC">
        <w:t>, there were 7 501 419 cytology tests for 1 839 179 women, and 218 171 histology tests for 165 201 women.</w:t>
      </w:r>
    </w:p>
    <w:p w:rsidR="00234376" w:rsidRPr="00DE79DC" w:rsidRDefault="00234376" w:rsidP="008E03A7">
      <w:pPr>
        <w:pStyle w:val="Heading4"/>
      </w:pPr>
      <w:r w:rsidRPr="00DE79DC">
        <w:t xml:space="preserve">Probability of being </w:t>
      </w:r>
      <w:bookmarkStart w:id="960" w:name="OLE_LINK41"/>
      <w:bookmarkStart w:id="961" w:name="OLE_LINK42"/>
      <w:r w:rsidRPr="00DE79DC">
        <w:t>rescreened</w:t>
      </w:r>
      <w:bookmarkEnd w:id="960"/>
      <w:bookmarkEnd w:id="961"/>
    </w:p>
    <w:p w:rsidR="00234376" w:rsidRPr="00DE79DC" w:rsidRDefault="00234376" w:rsidP="008E03A7">
      <w:pPr>
        <w:rPr>
          <w:szCs w:val="24"/>
        </w:rPr>
      </w:pPr>
      <w:r w:rsidRPr="00DE79DC">
        <w:rPr>
          <w:szCs w:val="24"/>
        </w:rPr>
        <w:t>The rescreening probabilities were calculated by using standard cohort analysis methods, taking account of the person-time of follow-up and possible censoring. For each index smear, we calculated the earliest of (i) the time to the next smear, (ii) time to death, (iii) 10 years of follow-up, or (iv) time to 31 December 2007. Smears before 1997 were excluded, as there is uncertainty about the level of individual level matching before 2000. Data from 1997–1999 were included to allow for some estimation of longer-term rescreening probabilities. The follow-up was stratified by 3-monthly periods, with recalculation of age and period for each stratum of follow-up. We then aggregated the person-time and the number of events to calculate rates, and subsequently calculated the interval-specific probabilities of rescreening. Rescreening probabilities over longer time intervals were then reported according to the index smear follow-up recommendation and whether a woman had had a high-grade histology in the previous 5 years.</w:t>
      </w:r>
    </w:p>
    <w:p w:rsidR="00234376" w:rsidRPr="00DE79DC" w:rsidRDefault="00234376" w:rsidP="008E03A7">
      <w:pPr>
        <w:rPr>
          <w:szCs w:val="24"/>
        </w:rPr>
      </w:pPr>
      <w:bookmarkStart w:id="962" w:name="OLE_LINK118"/>
      <w:bookmarkStart w:id="963" w:name="OLE_LINK119"/>
      <w:r w:rsidRPr="00DE79DC">
        <w:rPr>
          <w:szCs w:val="24"/>
        </w:rPr>
        <w:lastRenderedPageBreak/>
        <w:t xml:space="preserve">From this, the VCCR data were used to derive rescreening and management probabilities for 10-year periods after each screening or follow-up investigation. These were then applied to the appropriate section of the model. </w:t>
      </w:r>
      <w:r w:rsidR="004150A7" w:rsidRPr="00DE79DC">
        <w:rPr>
          <w:szCs w:val="24"/>
        </w:rPr>
        <w:t>Beyond these 10 year periods, we assumed that each year, among the remaining women who have still not attended any follow-up, 30 per cent of women aged 15-39 years, 20 per cent of women aged 40-49 years, 10 per cent of women aged 50-59 years and 5 per cent of women aged 60 years or more will finally re-attend</w:t>
      </w:r>
      <w:r w:rsidRPr="00DE79DC">
        <w:rPr>
          <w:szCs w:val="24"/>
        </w:rPr>
        <w:t>.</w:t>
      </w:r>
    </w:p>
    <w:bookmarkEnd w:id="962"/>
    <w:bookmarkEnd w:id="963"/>
    <w:p w:rsidR="00234376" w:rsidRPr="00DE79DC" w:rsidRDefault="00234376" w:rsidP="008E03A7">
      <w:pPr>
        <w:pStyle w:val="Heading4"/>
      </w:pPr>
      <w:r w:rsidRPr="00DE79DC">
        <w:t>Screening initiation</w:t>
      </w:r>
    </w:p>
    <w:p w:rsidR="00234376" w:rsidRPr="00DE79DC" w:rsidRDefault="00234376" w:rsidP="008E03A7">
      <w:pPr>
        <w:spacing w:after="0"/>
        <w:rPr>
          <w:szCs w:val="24"/>
        </w:rPr>
      </w:pPr>
      <w:r w:rsidRPr="00DE79DC">
        <w:rPr>
          <w:szCs w:val="24"/>
        </w:rPr>
        <w:t xml:space="preserve">Age at screening initiation (i.e. the distribution of ages </w:t>
      </w:r>
      <w:r w:rsidRPr="00DE79DC" w:rsidDel="00C27CD6">
        <w:rPr>
          <w:szCs w:val="24"/>
        </w:rPr>
        <w:t>at</w:t>
      </w:r>
      <w:r w:rsidRPr="00DE79DC">
        <w:rPr>
          <w:szCs w:val="24"/>
        </w:rPr>
        <w:t xml:space="preserve"> first attending for screening) in the model was informed by the national screening recommendations and target ages of the screening program, data from the VCCR, national data on screening participation at young ages, and survey data on women who report they have never had a Pap smear test </w:t>
      </w:r>
      <w:r w:rsidRPr="00DE79DC">
        <w:rPr>
          <w:szCs w:val="24"/>
        </w:rPr>
        <w:fldChar w:fldCharType="begin"/>
      </w:r>
      <w:r w:rsidRPr="00DE79DC">
        <w:rPr>
          <w:szCs w:val="24"/>
        </w:rPr>
        <w:instrText xml:space="preserve"> ADDIN REFMGR.CITE &lt;Refman&gt;&lt;Cite&gt;&lt;Author&gt;ABS&lt;/Author&gt;&lt;Year&gt;2002&lt;/Year&gt;&lt;RecNum&gt;2250&lt;/RecNum&gt;&lt;IDText&gt;National Health Survey, Summary of Results, Australia, 2001&lt;/IDText&gt;&lt;MDL Ref_Type="Serial (Book,Monograph)"&gt;&lt;Ref_Type&gt;Serial (Book,Monograph)&lt;/Ref_Type&gt;&lt;Ref_ID&gt;2250&lt;/Ref_ID&gt;&lt;Title_Primary&gt;National Health Survey, Summary of Results, Australia, 2001&lt;/Title_Primary&gt;&lt;Authors_Primary&gt;ABS&lt;/Authors_Primary&gt;&lt;Date_Primary&gt;2002&lt;/Date_Primary&gt;&lt;Keywords&gt;Australia&lt;/Keywords&gt;&lt;Reprint&gt;In File&lt;/Reprint&gt;&lt;Volume&gt;Cat. No. 4364.0&lt;/Volume&gt;&lt;Pub_Place&gt;Canberra&lt;/Pub_Place&gt;&lt;Publisher&gt;Australian Bureau of Statistics&lt;/Publisher&gt;&lt;ZZ_WorkformID&gt;25&lt;/ZZ_WorkformID&gt;&lt;/MDL&gt;&lt;/Cite&gt;&lt;Cite&gt;&lt;Author&gt;ABS&lt;/Author&gt;&lt;Year&gt;2006&lt;/Year&gt;&lt;RecNum&gt;3915&lt;/RecNum&gt;&lt;IDText&gt;National Health Survey, Summary of Results, Australia, 2004-05&lt;/IDText&gt;&lt;MDL Ref_Type="Serial (Book,Monograph)"&gt;&lt;Ref_Type&gt;Serial (Book,Monograph)&lt;/Ref_Type&gt;&lt;Ref_ID&gt;3915&lt;/Ref_ID&gt;&lt;Title_Primary&gt;National Health Survey, Summary of Results, Australia, 2004-05&lt;/Title_Primary&gt;&lt;Authors_Primary&gt;ABS&lt;/Authors_Primary&gt;&lt;Date_Primary&gt;2006&lt;/Date_Primary&gt;&lt;Keywords&gt;Australia&lt;/Keywords&gt;&lt;Reprint&gt;In File&lt;/Reprint&gt;&lt;Volume&gt;Cat. No. 4364.0&lt;/Volume&gt;&lt;Pub_Place&gt;Canberra&lt;/Pub_Place&gt;&lt;Publisher&gt;Australian Bureau of Statistics&lt;/Publisher&gt;&lt;ZZ_WorkformID&gt;25&lt;/ZZ_WorkformID&gt;&lt;/MDL&gt;&lt;/Cite&gt;&lt;Cite&gt;&lt;Author&gt;AIHW&lt;/Author&gt;&lt;Year&gt;2007&lt;/Year&gt;&lt;RecNum&gt;4853&lt;/RecNum&gt;&lt;IDText&gt;Cervical screening in Australia 2004-2005&lt;/IDText&gt;&lt;MDL Ref_Type="Report"&gt;&lt;Ref_Type&gt;Report&lt;/Ref_Type&gt;&lt;Ref_ID&gt;4853&lt;/Ref_ID&gt;&lt;Title_Primary&gt;Cervical screening in Australia 2004-2005&lt;/Title_Primary&gt;&lt;Authors_Primary&gt;AIHW&lt;/Authors_Primary&gt;&lt;Date_Primary&gt;2007&lt;/Date_Primary&gt;&lt;Keywords&gt;Australia&lt;/Keywords&gt;&lt;Keywords&gt;Cancer&lt;/Keywords&gt;&lt;Keywords&gt;screening&lt;/Keywords&gt;&lt;Keywords&gt;cervical&lt;/Keywords&gt;&lt;Reprint&gt;Not in File&lt;/Reprint&gt;&lt;Volume&gt;AIHW cat. No. Can 33&lt;/Volume&gt;&lt;Pub_Place&gt;Canberra: AIHW&lt;/Pub_Place&gt;&lt;Publisher&gt;Australian Institute of Health and Welfare&lt;/Publisher&gt;&lt;Title_Series&gt;(Cancer Series number 38)&lt;/Title_Series&gt;&lt;ZZ_WorkformID&gt;24&lt;/ZZ_WorkformID&gt;&lt;/MDL&gt;&lt;/Cite&gt;&lt;Cite&gt;&lt;Author&gt;Victorian Cervical Cytology Registry&lt;/Author&gt;&lt;Year&gt;2006&lt;/Year&gt;&lt;RecNum&gt;4976&lt;/RecNum&gt;&lt;IDText&gt;Statistical Report 2006&lt;/IDText&gt;&lt;MDL Ref_Type="Generic"&gt;&lt;Ref_Type&gt;Generic&lt;/Ref_Type&gt;&lt;Ref_ID&gt;4976&lt;/Ref_ID&gt;&lt;Title_Primary&gt;Statistical Report 2006&lt;/Title_Primary&gt;&lt;Authors_Primary&gt;Victorian Cervical Cytology Registry&lt;/Authors_Primary&gt;&lt;Date_Primary&gt;2006=October &lt;/Date_Primary&gt;&lt;Keywords&gt;cytology&lt;/Keywords&gt;&lt;Keywords&gt;Registries&lt;/Keywords&gt;&lt;Keywords&gt;Statistical&lt;/Keywords&gt;&lt;Reprint&gt;Not in File&lt;/Reprint&gt;&lt;Web_URL&gt;www.vccr.org/downloads/VCCRStatisticalReport2006_Final_114224102007.pdf&lt;/Web_URL&gt;&lt;ZZ_WorkformID&gt;33&lt;/ZZ_WorkformID&gt;&lt;/MDL&gt;&lt;/Cite&gt;&lt;Cite&gt;&lt;Author&gt;Victorian Cervical Cytology Registry&lt;/Author&gt;&lt;Year&gt;2006&lt;/Year&gt;&lt;RecNum&gt;4976&lt;/RecNum&gt;&lt;IDText&gt;Statistical Report 2006&lt;/IDText&gt;&lt;MDL Ref_Type="Generic"&gt;&lt;Ref_Type&gt;Generic&lt;/Ref_Type&gt;&lt;Ref_ID&gt;4976&lt;/Ref_ID&gt;&lt;Title_Primary&gt;Statistical Report 2006&lt;/Title_Primary&gt;&lt;Authors_Primary&gt;Victorian Cervical Cytology Registry&lt;/Authors_Primary&gt;&lt;Date_Primary&gt;2006=October &lt;/Date_Primary&gt;&lt;Keywords&gt;cytology&lt;/Keywords&gt;&lt;Keywords&gt;Registries&lt;/Keywords&gt;&lt;Keywords&gt;Statistical&lt;/Keywords&gt;&lt;Reprint&gt;Not in File&lt;/Reprint&gt;&lt;Web_URL&gt;www.vccr.org/downloads/VCCRStatisticalReport2006_Final_114224102007.pdf&lt;/Web_URL&gt;&lt;ZZ_WorkformID&gt;33&lt;/ZZ_WorkformID&gt;&lt;/MDL&gt;&lt;/Cite&gt;&lt;Cite&gt;&lt;Author&gt;NHMRC&lt;/Author&gt;&lt;Year&gt;2005&lt;/Year&gt;&lt;RecNum&gt;321&lt;/RecNum&gt;&lt;IDText&gt;Screening to prevent cervical cancer: Guidelines for the management of asymptomatic women with screen detected abnormalities&lt;/IDText&gt;&lt;MDL Ref_Type="Report"&gt;&lt;Ref_Type&gt;Report&lt;/Ref_Type&gt;&lt;Ref_ID&gt;321&lt;/Ref_ID&gt;&lt;Title_Primary&gt;Screening to prevent cervical cancer: Guidelines for the management of asymptomatic women with screen detected abnormalities&lt;/Title_Primary&gt;&lt;Authors_Primary&gt;NHMRC&lt;/Authors_Primary&gt;&lt;Date_Primary&gt;2005&lt;/Date_Primary&gt;&lt;Reprint&gt;In File&lt;/Reprint&gt;&lt;Pub_Place&gt;Canberra, ACT&lt;/Pub_Place&gt;&lt;Publisher&gt;National Health and Medical Research Council, Commonwealth of Australia&lt;/Publisher&gt;&lt;Web_URL&gt;&lt;u&gt;www.nhmrc.gov.au/publications&lt;/u&gt;&lt;/Web_URL&gt;&lt;ZZ_WorkformID&gt;24&lt;/ZZ_WorkformID&gt;&lt;/MDL&gt;&lt;/Cite&gt;&lt;/Refman&gt;</w:instrText>
      </w:r>
      <w:r w:rsidRPr="00DE79DC">
        <w:rPr>
          <w:szCs w:val="24"/>
        </w:rPr>
        <w:fldChar w:fldCharType="separate"/>
      </w:r>
      <w:r w:rsidRPr="00DE79DC">
        <w:rPr>
          <w:szCs w:val="24"/>
        </w:rPr>
        <w:t>(ABS 2002; ABS 2006; AIHW 2007b; NHMRC 2005; VCCR 2006)</w:t>
      </w:r>
      <w:r w:rsidRPr="00DE79DC">
        <w:rPr>
          <w:szCs w:val="24"/>
        </w:rPr>
        <w:fldChar w:fldCharType="end"/>
      </w:r>
      <w:r w:rsidRPr="00DE79DC">
        <w:rPr>
          <w:szCs w:val="24"/>
        </w:rPr>
        <w:t>.</w:t>
      </w:r>
    </w:p>
    <w:p w:rsidR="00234376" w:rsidRPr="00DE79DC" w:rsidRDefault="00234376" w:rsidP="008E03A7">
      <w:pPr>
        <w:spacing w:after="0"/>
        <w:rPr>
          <w:szCs w:val="24"/>
        </w:rPr>
      </w:pPr>
    </w:p>
    <w:p w:rsidR="00234376" w:rsidRPr="00DE79DC" w:rsidRDefault="00234376" w:rsidP="008E03A7">
      <w:pPr>
        <w:rPr>
          <w:szCs w:val="24"/>
        </w:rPr>
      </w:pPr>
      <w:r w:rsidRPr="00DE79DC">
        <w:rPr>
          <w:szCs w:val="24"/>
        </w:rPr>
        <w:t xml:space="preserve">We initially assessed age at first screening </w:t>
      </w:r>
      <w:r w:rsidRPr="00DE79DC" w:rsidDel="00C27CD6">
        <w:rPr>
          <w:szCs w:val="24"/>
        </w:rPr>
        <w:t xml:space="preserve">by </w:t>
      </w:r>
      <w:r w:rsidRPr="00DE79DC">
        <w:rPr>
          <w:szCs w:val="24"/>
        </w:rPr>
        <w:t>using VCCR data, as measured by age at first recorded test for a given woman. We did not rely solely on the VCCR data for the distribution of ages at first screening, because many women were over the age of 20 at the time that the National Cervical Screening Program was introduced in 1991. Before this time, opportunistic screening occurred, but we considered that it would not be representative of behaviour in the context of the organised national program. We used the age at first test during 2005–2007 to represent the pattern for an established screening program for younger women.</w:t>
      </w:r>
    </w:p>
    <w:p w:rsidR="00234376" w:rsidRPr="00DE79DC" w:rsidRDefault="00234376" w:rsidP="008E03A7">
      <w:pPr>
        <w:rPr>
          <w:szCs w:val="24"/>
        </w:rPr>
      </w:pPr>
      <w:r w:rsidRPr="00DE79DC">
        <w:rPr>
          <w:szCs w:val="24"/>
        </w:rPr>
        <w:t>The final model was parameterised as follows. The proportion of women who initiate screening under the age of 20 was based on information from the VCCR. From age 20, the additional proportion starting screening each year was chosen so that:</w:t>
      </w:r>
    </w:p>
    <w:p w:rsidR="00234376" w:rsidRPr="00DE79DC" w:rsidRDefault="00234376" w:rsidP="008E03A7">
      <w:pPr>
        <w:numPr>
          <w:ilvl w:val="0"/>
          <w:numId w:val="25"/>
        </w:numPr>
        <w:rPr>
          <w:szCs w:val="24"/>
        </w:rPr>
      </w:pPr>
      <w:r w:rsidRPr="00DE79DC">
        <w:rPr>
          <w:szCs w:val="24"/>
        </w:rPr>
        <w:t xml:space="preserve">the age-standardised rate of women aged 20 or more who are never screened is 12 per cent </w:t>
      </w:r>
      <w:r w:rsidRPr="00DE79DC">
        <w:rPr>
          <w:szCs w:val="24"/>
        </w:rPr>
        <w:fldChar w:fldCharType="begin"/>
      </w:r>
      <w:r w:rsidRPr="00DE79DC">
        <w:rPr>
          <w:szCs w:val="24"/>
        </w:rPr>
        <w:instrText xml:space="preserve"> ADDIN REFMGR.CITE &lt;Refman&gt;&lt;Cite&gt;&lt;Author&gt;ABS&lt;/Author&gt;&lt;Year&gt;2002&lt;/Year&gt;&lt;RecNum&gt;2250&lt;/RecNum&gt;&lt;IDText&gt;National Health Survey, Summary of Results, Australia, 2001&lt;/IDText&gt;&lt;MDL Ref_Type="Serial (Book,Monograph)"&gt;&lt;Ref_Type&gt;Serial (Book,Monograph)&lt;/Ref_Type&gt;&lt;Ref_ID&gt;2250&lt;/Ref_ID&gt;&lt;Title_Primary&gt;National Health Survey, Summary of Results, Australia, 2001&lt;/Title_Primary&gt;&lt;Authors_Primary&gt;ABS&lt;/Authors_Primary&gt;&lt;Date_Primary&gt;2002&lt;/Date_Primary&gt;&lt;Keywords&gt;Australia&lt;/Keywords&gt;&lt;Reprint&gt;In File&lt;/Reprint&gt;&lt;Volume&gt;Cat. No. 4364.0&lt;/Volume&gt;&lt;Pub_Place&gt;Canberra&lt;/Pub_Place&gt;&lt;Publisher&gt;Australian Bureau of Statistics&lt;/Publisher&gt;&lt;ZZ_WorkformID&gt;25&lt;/ZZ_WorkformID&gt;&lt;/MDL&gt;&lt;/Cite&gt;&lt;Cite&gt;&lt;Author&gt;ABS&lt;/Author&gt;&lt;Year&gt;2006&lt;/Year&gt;&lt;RecNum&gt;3915&lt;/RecNum&gt;&lt;IDText&gt;National Health Survey, Summary of Results, Australia, 2004-05&lt;/IDText&gt;&lt;MDL Ref_Type="Serial (Book,Monograph)"&gt;&lt;Ref_Type&gt;Serial (Book,Monograph)&lt;/Ref_Type&gt;&lt;Ref_ID&gt;3915&lt;/Ref_ID&gt;&lt;Title_Primary&gt;National Health Survey, Summary of Results, Australia, 2004-05&lt;/Title_Primary&gt;&lt;Authors_Primary&gt;ABS&lt;/Authors_Primary&gt;&lt;Date_Primary&gt;2006&lt;/Date_Primary&gt;&lt;Keywords&gt;Australia&lt;/Keywords&gt;&lt;Reprint&gt;In File&lt;/Reprint&gt;&lt;Volume&gt;Cat. No. 4364.0&lt;/Volume&gt;&lt;Pub_Place&gt;Canberra&lt;/Pub_Place&gt;&lt;Publisher&gt;Australian Bureau of Statistics&lt;/Publisher&gt;&lt;ZZ_WorkformID&gt;25&lt;/ZZ_WorkformID&gt;&lt;/MDL&gt;&lt;/Cite&gt;&lt;/Refman&gt;</w:instrText>
      </w:r>
      <w:r w:rsidRPr="00DE79DC">
        <w:rPr>
          <w:szCs w:val="24"/>
        </w:rPr>
        <w:fldChar w:fldCharType="separate"/>
      </w:r>
      <w:r w:rsidRPr="00DE79DC">
        <w:rPr>
          <w:szCs w:val="24"/>
        </w:rPr>
        <w:t>(ABS 2002; ABS 2006)</w:t>
      </w:r>
      <w:r w:rsidRPr="00DE79DC">
        <w:rPr>
          <w:szCs w:val="24"/>
        </w:rPr>
        <w:fldChar w:fldCharType="end"/>
      </w:r>
    </w:p>
    <w:p w:rsidR="00234376" w:rsidRPr="00DE79DC" w:rsidRDefault="00234376" w:rsidP="008E03A7">
      <w:pPr>
        <w:numPr>
          <w:ilvl w:val="0"/>
          <w:numId w:val="25"/>
        </w:numPr>
        <w:rPr>
          <w:szCs w:val="24"/>
        </w:rPr>
      </w:pPr>
      <w:r w:rsidRPr="00DE79DC">
        <w:rPr>
          <w:szCs w:val="24"/>
        </w:rPr>
        <w:t xml:space="preserve">the average proportion of women ever screened in the 20–24 years age group was at least as high as 2-year participation </w:t>
      </w:r>
      <w:r w:rsidR="003C2641" w:rsidRPr="00DE79DC">
        <w:rPr>
          <w:szCs w:val="24"/>
        </w:rPr>
        <w:t xml:space="preserve">in cervical cancer screening </w:t>
      </w:r>
      <w:r w:rsidRPr="00DE79DC">
        <w:rPr>
          <w:szCs w:val="24"/>
        </w:rPr>
        <w:t xml:space="preserve">in this age group </w:t>
      </w:r>
      <w:r w:rsidRPr="00DE79DC">
        <w:rPr>
          <w:szCs w:val="24"/>
        </w:rPr>
        <w:fldChar w:fldCharType="begin"/>
      </w:r>
      <w:r w:rsidRPr="00DE79DC">
        <w:rPr>
          <w:szCs w:val="24"/>
        </w:rPr>
        <w:instrText xml:space="preserve"> ADDIN REFMGR.CITE &lt;Refman&gt;&lt;Cite&gt;&lt;Author&gt;AIHW&lt;/Author&gt;&lt;Year&gt;2007&lt;/Year&gt;&lt;RecNum&gt;4853&lt;/RecNum&gt;&lt;IDText&gt;Cervical screening in Australia 2004-2005&lt;/IDText&gt;&lt;MDL Ref_Type="Report"&gt;&lt;Ref_Type&gt;Report&lt;/Ref_Type&gt;&lt;Ref_ID&gt;4853&lt;/Ref_ID&gt;&lt;Title_Primary&gt;Cervical screening in Australia 2004-2005&lt;/Title_Primary&gt;&lt;Authors_Primary&gt;AIHW&lt;/Authors_Primary&gt;&lt;Date_Primary&gt;2007&lt;/Date_Primary&gt;&lt;Keywords&gt;Australia&lt;/Keywords&gt;&lt;Keywords&gt;Cancer&lt;/Keywords&gt;&lt;Keywords&gt;screening&lt;/Keywords&gt;&lt;Keywords&gt;cervical&lt;/Keywords&gt;&lt;Reprint&gt;Not in File&lt;/Reprint&gt;&lt;Volume&gt;AIHW cat. No. Can 33&lt;/Volume&gt;&lt;Pub_Place&gt;Canberra: AIHW&lt;/Pub_Place&gt;&lt;Publisher&gt;Australian Institute of Health and Welfare&lt;/Publisher&gt;&lt;Title_Series&gt;(Cancer Series number 38)&lt;/Title_Series&gt;&lt;ZZ_WorkformID&gt;24&lt;/ZZ_WorkformID&gt;&lt;/MDL&gt;&lt;/Cite&gt;&lt;/Refman&gt;</w:instrText>
      </w:r>
      <w:r w:rsidRPr="00DE79DC">
        <w:rPr>
          <w:szCs w:val="24"/>
        </w:rPr>
        <w:fldChar w:fldCharType="separate"/>
      </w:r>
      <w:r w:rsidRPr="00DE79DC">
        <w:rPr>
          <w:szCs w:val="24"/>
        </w:rPr>
        <w:t>(AIHW 2007b)</w:t>
      </w:r>
      <w:r w:rsidRPr="00DE79DC">
        <w:rPr>
          <w:szCs w:val="24"/>
        </w:rPr>
        <w:fldChar w:fldCharType="end"/>
      </w:r>
      <w:r w:rsidRPr="00DE79DC">
        <w:rPr>
          <w:szCs w:val="24"/>
        </w:rPr>
        <w:t>.</w:t>
      </w:r>
    </w:p>
    <w:p w:rsidR="00234376" w:rsidRPr="00DE79DC" w:rsidRDefault="00234376" w:rsidP="008E03A7">
      <w:pPr>
        <w:rPr>
          <w:szCs w:val="24"/>
        </w:rPr>
      </w:pPr>
      <w:r w:rsidRPr="00DE79DC">
        <w:rPr>
          <w:szCs w:val="24"/>
        </w:rPr>
        <w:t>Most women are expected to attend for their first test soon after the age of 20 years, and the median age of first screening is 22 years. We assumed that over 90 per cent of women will have had at least one screening test by the age of 40 years. The model also assumes that a small proportion of women (~3%) will never be screened during their lifetime, even in the context of the current organised screening program. The modelled proportion of women who have ever been screened by age is shown in</w:t>
      </w:r>
      <w:r w:rsidR="003C2641" w:rsidRPr="00DE79DC">
        <w:rPr>
          <w:szCs w:val="24"/>
        </w:rPr>
        <w:t xml:space="preserve"> </w:t>
      </w:r>
      <w:r w:rsidR="003C2641" w:rsidRPr="00DE79DC">
        <w:rPr>
          <w:szCs w:val="24"/>
        </w:rPr>
        <w:fldChar w:fldCharType="begin"/>
      </w:r>
      <w:r w:rsidR="003C2641" w:rsidRPr="00DE79DC">
        <w:rPr>
          <w:szCs w:val="24"/>
        </w:rPr>
        <w:instrText xml:space="preserve"> REF _Ref222632471 \h </w:instrText>
      </w:r>
      <w:r w:rsidR="00DE79DC">
        <w:rPr>
          <w:szCs w:val="24"/>
        </w:rPr>
        <w:instrText xml:space="preserve"> \* MERGEFORMAT </w:instrText>
      </w:r>
      <w:r w:rsidR="003C2641" w:rsidRPr="00DE79DC">
        <w:rPr>
          <w:szCs w:val="24"/>
        </w:rPr>
      </w:r>
      <w:r w:rsidR="003C2641" w:rsidRPr="00DE79DC">
        <w:rPr>
          <w:szCs w:val="24"/>
        </w:rPr>
        <w:fldChar w:fldCharType="separate"/>
      </w:r>
      <w:r w:rsidR="007D3DFF" w:rsidRPr="00DE79DC">
        <w:t xml:space="preserve">Figure </w:t>
      </w:r>
      <w:r w:rsidR="007D3DFF">
        <w:rPr>
          <w:noProof/>
        </w:rPr>
        <w:t>17</w:t>
      </w:r>
      <w:r w:rsidR="003C2641" w:rsidRPr="00DE79DC">
        <w:rPr>
          <w:szCs w:val="24"/>
        </w:rPr>
        <w:fldChar w:fldCharType="end"/>
      </w:r>
      <w:r w:rsidRPr="00DE79DC">
        <w:rPr>
          <w:szCs w:val="24"/>
        </w:rPr>
        <w:t>.</w:t>
      </w:r>
    </w:p>
    <w:p w:rsidR="00234376" w:rsidRPr="00DE79DC" w:rsidRDefault="00097769" w:rsidP="00097769">
      <w:pPr>
        <w:pStyle w:val="Caption"/>
      </w:pPr>
      <w:bookmarkStart w:id="964" w:name="_Ref222632471"/>
      <w:bookmarkStart w:id="965" w:name="_Toc216169985"/>
      <w:bookmarkStart w:id="966" w:name="OLE_LINK656"/>
      <w:bookmarkStart w:id="967" w:name="_Toc231895858"/>
      <w:bookmarkStart w:id="968" w:name="_Toc222823912"/>
      <w:r w:rsidRPr="00DE79DC">
        <w:lastRenderedPageBreak/>
        <w:t xml:space="preserve">Figure </w:t>
      </w:r>
      <w:fldSimple w:instr=" SEQ Figure \* ARABIC ">
        <w:r w:rsidR="007D3DFF">
          <w:rPr>
            <w:noProof/>
          </w:rPr>
          <w:t>17</w:t>
        </w:r>
      </w:fldSimple>
      <w:bookmarkEnd w:id="964"/>
      <w:r w:rsidRPr="00DE79DC">
        <w:tab/>
      </w:r>
      <w:r w:rsidRPr="00DE79DC">
        <w:tab/>
      </w:r>
      <w:r w:rsidR="00234376" w:rsidRPr="00DE79DC">
        <w:tab/>
        <w:t>Modelled cumulative proportion of women ever screened by age</w:t>
      </w:r>
      <w:bookmarkEnd w:id="965"/>
      <w:r w:rsidR="00234376" w:rsidRPr="00DE79DC">
        <w:t>.</w:t>
      </w:r>
      <w:bookmarkEnd w:id="966"/>
      <w:bookmarkEnd w:id="967"/>
      <w:bookmarkEnd w:id="968"/>
    </w:p>
    <w:p w:rsidR="00234376" w:rsidRPr="00537C3C" w:rsidRDefault="006F242B" w:rsidP="008E03A7">
      <w:r>
        <w:rPr>
          <w:noProof/>
          <w:lang w:eastAsia="en-AU"/>
        </w:rPr>
        <w:drawing>
          <wp:inline distT="0" distB="0" distL="0" distR="0">
            <wp:extent cx="4242435" cy="2552065"/>
            <wp:effectExtent l="0" t="0" r="24765" b="19685"/>
            <wp:docPr id="33" name="Object 33" title="Modelled cumulative proportion of women ever screened by age."/>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234376" w:rsidRPr="00537C3C" w:rsidRDefault="00234376" w:rsidP="008E03A7">
      <w:pPr>
        <w:pStyle w:val="Heading4"/>
      </w:pPr>
      <w:r w:rsidRPr="00537C3C">
        <w:t xml:space="preserve">Follow-up recommendations specific to the 2005 </w:t>
      </w:r>
      <w:r w:rsidRPr="00BB76D8">
        <w:t>NHMRC</w:t>
      </w:r>
      <w:r w:rsidRPr="00537C3C">
        <w:t xml:space="preserve"> Guidelines</w:t>
      </w:r>
    </w:p>
    <w:p w:rsidR="00234376" w:rsidRDefault="00234376" w:rsidP="00234376">
      <w:r w:rsidRPr="00537C3C">
        <w:t xml:space="preserve">The 2005 </w:t>
      </w:r>
      <w:r w:rsidRPr="00BB76D8">
        <w:t>NHMRC</w:t>
      </w:r>
      <w:r w:rsidRPr="00537C3C">
        <w:t xml:space="preserve"> </w:t>
      </w:r>
      <w:r w:rsidRPr="00537C3C">
        <w:rPr>
          <w:i/>
        </w:rPr>
        <w:t>Guidelines for the Management of Asymptomatic Women with Screen Detected Abnormalities</w:t>
      </w:r>
      <w:r w:rsidRPr="00537C3C">
        <w:t xml:space="preserve"> generally recommend 12-month cytological surveillance after a low-grade smear. To model compliance with 12-month follow-up, we used the </w:t>
      </w:r>
      <w:r w:rsidRPr="00BB76D8">
        <w:t>VCCR</w:t>
      </w:r>
      <w:r w:rsidRPr="00537C3C">
        <w:t xml:space="preserve"> data to calculate the distribution of probabilities of re-attending over time for women who were given a 12-month follow-up management recommendation.</w:t>
      </w:r>
    </w:p>
    <w:p w:rsidR="00234376" w:rsidRDefault="00234376" w:rsidP="00234376">
      <w:r w:rsidRPr="00537C3C">
        <w:t xml:space="preserve">The 2005 </w:t>
      </w:r>
      <w:r w:rsidRPr="00BB76D8">
        <w:t>NHMRC</w:t>
      </w:r>
      <w:r w:rsidRPr="00537C3C">
        <w:t xml:space="preserve"> Guidelines incorporate a specific recommendation for more active follow-up in a particular group of women with index low-grade smears (these women are termed ‘exceptions’ here). Exceptions are defined as women with an index </w:t>
      </w:r>
      <w:r w:rsidRPr="00BB76D8">
        <w:t>LSIL</w:t>
      </w:r>
      <w:r w:rsidRPr="00537C3C">
        <w:t xml:space="preserve"> smear who are aged 30 years or older and have no recent history of negative cytology (within 2–3 years). These women should either have immediate colposcopy or a repeat smear in 6 months, at the discretion of the clinician. To estimate the proportion of women assigned to each of these management paths, we used </w:t>
      </w:r>
      <w:r w:rsidRPr="00BB76D8">
        <w:t>VCCR</w:t>
      </w:r>
      <w:r w:rsidRPr="00537C3C">
        <w:t xml:space="preserve"> data to assess management practice since the implementation of the 2005 </w:t>
      </w:r>
      <w:r w:rsidRPr="00BB76D8">
        <w:t>NHMRC</w:t>
      </w:r>
      <w:r w:rsidRPr="00537C3C">
        <w:t xml:space="preserve"> Guidelines.</w:t>
      </w:r>
    </w:p>
    <w:p w:rsidR="00234376" w:rsidRPr="00FA712F" w:rsidRDefault="00234376" w:rsidP="00234376">
      <w:pPr>
        <w:rPr>
          <w:szCs w:val="24"/>
        </w:rPr>
      </w:pPr>
      <w:r w:rsidRPr="00537C3C">
        <w:rPr>
          <w:szCs w:val="24"/>
        </w:rPr>
        <w:t xml:space="preserve">Low-grade cytology tests from 1 July 2006 were extracted from records </w:t>
      </w:r>
      <w:r w:rsidRPr="00537C3C" w:rsidDel="00C27CD6">
        <w:rPr>
          <w:szCs w:val="24"/>
        </w:rPr>
        <w:t>of</w:t>
      </w:r>
      <w:r w:rsidRPr="00537C3C">
        <w:rPr>
          <w:szCs w:val="24"/>
        </w:rPr>
        <w:t xml:space="preserve"> women who (i) were aged 30 years and over, (ii) had no high-grade histology in the previous 5 years and (iii) had no cytology tests in the previous 3 years. Management recommendations for women 30 years and over with an index smear of possible or definite </w:t>
      </w:r>
      <w:r w:rsidRPr="00BB76D8">
        <w:rPr>
          <w:szCs w:val="24"/>
        </w:rPr>
        <w:t>LSIL</w:t>
      </w:r>
      <w:r w:rsidRPr="00537C3C">
        <w:rPr>
          <w:szCs w:val="24"/>
        </w:rPr>
        <w:t xml:space="preserve"> and no history of negative </w:t>
      </w:r>
      <w:r w:rsidRPr="00FA712F">
        <w:rPr>
          <w:szCs w:val="24"/>
        </w:rPr>
        <w:t xml:space="preserve">cytology in the previous 3 years were then assessed. This information is presented in </w:t>
      </w:r>
      <w:r w:rsidRPr="00FA712F">
        <w:fldChar w:fldCharType="begin"/>
      </w:r>
      <w:r w:rsidRPr="00FA712F">
        <w:instrText xml:space="preserve"> REF _Ref215908007 \h  \* MERGEFORMAT </w:instrText>
      </w:r>
      <w:r w:rsidRPr="00FA712F">
        <w:fldChar w:fldCharType="separate"/>
      </w:r>
      <w:r w:rsidR="007D3DFF" w:rsidRPr="00FA712F">
        <w:t xml:space="preserve">Table </w:t>
      </w:r>
      <w:r w:rsidR="007D3DFF">
        <w:rPr>
          <w:noProof/>
        </w:rPr>
        <w:t>60</w:t>
      </w:r>
      <w:r w:rsidRPr="00FA712F">
        <w:fldChar w:fldCharType="end"/>
      </w:r>
      <w:r w:rsidRPr="00FA712F">
        <w:rPr>
          <w:szCs w:val="24"/>
        </w:rPr>
        <w:t>.</w:t>
      </w:r>
    </w:p>
    <w:p w:rsidR="00234376" w:rsidRPr="00FA712F" w:rsidRDefault="00234376" w:rsidP="008E03A7">
      <w:pPr>
        <w:pStyle w:val="TableNamea"/>
        <w:keepLines/>
        <w:ind w:left="1644"/>
      </w:pPr>
      <w:bookmarkStart w:id="969" w:name="_Ref215908007"/>
      <w:bookmarkStart w:id="970" w:name="_Toc216169948"/>
      <w:bookmarkStart w:id="971" w:name="_Toc95971296"/>
      <w:r w:rsidRPr="00FA712F">
        <w:lastRenderedPageBreak/>
        <w:t xml:space="preserve">Table </w:t>
      </w:r>
      <w:fldSimple w:instr=" SEQ Table \* ARABIC ">
        <w:r w:rsidR="007D3DFF">
          <w:rPr>
            <w:noProof/>
          </w:rPr>
          <w:t>60</w:t>
        </w:r>
      </w:fldSimple>
      <w:bookmarkEnd w:id="969"/>
      <w:r w:rsidRPr="00FA712F">
        <w:tab/>
        <w:t>Management recommendations for ‘exception’ cases under the 2005 NHMRC Guidelines—analysis of VCCR data</w:t>
      </w:r>
      <w:bookmarkEnd w:id="970"/>
      <w:r w:rsidRPr="00FA712F">
        <w:t>.</w:t>
      </w:r>
      <w:bookmarkEnd w:id="971"/>
    </w:p>
    <w:tbl>
      <w:tblPr>
        <w:tblW w:w="0" w:type="auto"/>
        <w:tblInd w:w="981" w:type="dxa"/>
        <w:tblCellMar>
          <w:left w:w="0" w:type="dxa"/>
          <w:right w:w="0" w:type="dxa"/>
        </w:tblCellMar>
        <w:tblLook w:val="0000" w:firstRow="0" w:lastRow="0" w:firstColumn="0" w:lastColumn="0" w:noHBand="0" w:noVBand="0"/>
      </w:tblPr>
      <w:tblGrid>
        <w:gridCol w:w="4968"/>
        <w:gridCol w:w="1761"/>
      </w:tblGrid>
      <w:tr w:rsidR="00234376" w:rsidRPr="00FA712F">
        <w:tc>
          <w:tcPr>
            <w:tcW w:w="4968" w:type="dxa"/>
            <w:tcBorders>
              <w:top w:val="single" w:sz="4" w:space="0" w:color="auto"/>
              <w:bottom w:val="single" w:sz="4" w:space="0" w:color="auto"/>
            </w:tcBorders>
            <w:tcMar>
              <w:top w:w="0" w:type="dxa"/>
              <w:left w:w="108" w:type="dxa"/>
              <w:bottom w:w="0" w:type="dxa"/>
              <w:right w:w="108" w:type="dxa"/>
            </w:tcMar>
          </w:tcPr>
          <w:p w:rsidR="00234376" w:rsidRPr="00FA712F" w:rsidRDefault="00234376" w:rsidP="00234376">
            <w:pPr>
              <w:keepNext/>
              <w:keepLines/>
              <w:spacing w:after="0"/>
              <w:ind w:left="439"/>
              <w:rPr>
                <w:b/>
                <w:bCs/>
                <w:szCs w:val="24"/>
              </w:rPr>
            </w:pPr>
            <w:r w:rsidRPr="00FA712F">
              <w:rPr>
                <w:b/>
                <w:bCs/>
                <w:szCs w:val="24"/>
              </w:rPr>
              <w:t>Management recommendation</w:t>
            </w:r>
          </w:p>
        </w:tc>
        <w:tc>
          <w:tcPr>
            <w:tcW w:w="1761" w:type="dxa"/>
            <w:tcBorders>
              <w:top w:val="single" w:sz="4" w:space="0" w:color="auto"/>
              <w:bottom w:val="single" w:sz="4" w:space="0" w:color="auto"/>
            </w:tcBorders>
            <w:tcMar>
              <w:top w:w="0" w:type="dxa"/>
              <w:left w:w="108" w:type="dxa"/>
              <w:bottom w:w="0" w:type="dxa"/>
              <w:right w:w="108" w:type="dxa"/>
            </w:tcMar>
          </w:tcPr>
          <w:p w:rsidR="00234376" w:rsidRPr="00FA712F" w:rsidRDefault="00234376" w:rsidP="008E03A7">
            <w:pPr>
              <w:keepNext/>
              <w:keepLines/>
              <w:spacing w:after="0"/>
              <w:ind w:left="-137"/>
              <w:jc w:val="center"/>
              <w:rPr>
                <w:b/>
                <w:bCs/>
                <w:szCs w:val="24"/>
              </w:rPr>
            </w:pPr>
            <w:r w:rsidRPr="00FA712F">
              <w:rPr>
                <w:b/>
                <w:bCs/>
                <w:szCs w:val="24"/>
              </w:rPr>
              <w:t>Percentage</w:t>
            </w:r>
          </w:p>
        </w:tc>
      </w:tr>
      <w:tr w:rsidR="00234376" w:rsidRPr="00FA712F">
        <w:tc>
          <w:tcPr>
            <w:tcW w:w="4968" w:type="dxa"/>
            <w:tcBorders>
              <w:top w:val="single" w:sz="4" w:space="0" w:color="auto"/>
            </w:tcBorders>
            <w:tcMar>
              <w:top w:w="0" w:type="dxa"/>
              <w:left w:w="108" w:type="dxa"/>
              <w:bottom w:w="0" w:type="dxa"/>
              <w:right w:w="108" w:type="dxa"/>
            </w:tcMar>
          </w:tcPr>
          <w:p w:rsidR="00234376" w:rsidRPr="00FA712F" w:rsidRDefault="00234376" w:rsidP="00234376">
            <w:pPr>
              <w:keepNext/>
              <w:keepLines/>
              <w:spacing w:after="0"/>
              <w:ind w:left="439"/>
              <w:rPr>
                <w:bCs/>
                <w:szCs w:val="24"/>
              </w:rPr>
            </w:pPr>
            <w:r w:rsidRPr="00FA712F">
              <w:rPr>
                <w:bCs/>
                <w:szCs w:val="24"/>
              </w:rPr>
              <w:t>No recommendation</w:t>
            </w:r>
          </w:p>
        </w:tc>
        <w:tc>
          <w:tcPr>
            <w:tcW w:w="1761" w:type="dxa"/>
            <w:tcBorders>
              <w:top w:val="single" w:sz="4" w:space="0" w:color="auto"/>
            </w:tcBorders>
            <w:tcMar>
              <w:top w:w="0" w:type="dxa"/>
              <w:left w:w="108" w:type="dxa"/>
              <w:bottom w:w="0" w:type="dxa"/>
              <w:right w:w="108" w:type="dxa"/>
            </w:tcMar>
          </w:tcPr>
          <w:p w:rsidR="00234376" w:rsidRPr="00FA712F" w:rsidRDefault="00234376" w:rsidP="008E03A7">
            <w:pPr>
              <w:keepNext/>
              <w:keepLines/>
              <w:spacing w:after="0"/>
              <w:ind w:left="147" w:right="406"/>
              <w:jc w:val="right"/>
              <w:rPr>
                <w:szCs w:val="24"/>
              </w:rPr>
            </w:pPr>
            <w:r w:rsidRPr="00FA712F">
              <w:rPr>
                <w:szCs w:val="24"/>
              </w:rPr>
              <w:t>0.73</w:t>
            </w:r>
          </w:p>
        </w:tc>
      </w:tr>
      <w:tr w:rsidR="00234376" w:rsidRPr="00FA712F">
        <w:tc>
          <w:tcPr>
            <w:tcW w:w="4968" w:type="dxa"/>
            <w:tcMar>
              <w:top w:w="0" w:type="dxa"/>
              <w:left w:w="108" w:type="dxa"/>
              <w:bottom w:w="0" w:type="dxa"/>
              <w:right w:w="108" w:type="dxa"/>
            </w:tcMar>
          </w:tcPr>
          <w:p w:rsidR="00234376" w:rsidRPr="00FA712F" w:rsidRDefault="00234376" w:rsidP="00234376">
            <w:pPr>
              <w:keepNext/>
              <w:keepLines/>
              <w:spacing w:after="0"/>
              <w:ind w:left="439"/>
              <w:rPr>
                <w:bCs/>
                <w:szCs w:val="24"/>
              </w:rPr>
            </w:pPr>
            <w:r w:rsidRPr="00FA712F">
              <w:rPr>
                <w:bCs/>
                <w:szCs w:val="24"/>
              </w:rPr>
              <w:t>Repeat smear 12 months</w:t>
            </w:r>
          </w:p>
        </w:tc>
        <w:tc>
          <w:tcPr>
            <w:tcW w:w="1761" w:type="dxa"/>
            <w:tcMar>
              <w:top w:w="0" w:type="dxa"/>
              <w:left w:w="108" w:type="dxa"/>
              <w:bottom w:w="0" w:type="dxa"/>
              <w:right w:w="108" w:type="dxa"/>
            </w:tcMar>
          </w:tcPr>
          <w:p w:rsidR="00234376" w:rsidRPr="00FA712F" w:rsidRDefault="00234376" w:rsidP="008E03A7">
            <w:pPr>
              <w:keepNext/>
              <w:keepLines/>
              <w:spacing w:after="0"/>
              <w:ind w:left="147" w:right="406"/>
              <w:jc w:val="right"/>
              <w:rPr>
                <w:szCs w:val="24"/>
              </w:rPr>
            </w:pPr>
            <w:r w:rsidRPr="00FA712F">
              <w:rPr>
                <w:szCs w:val="24"/>
              </w:rPr>
              <w:t>25.84</w:t>
            </w:r>
          </w:p>
        </w:tc>
      </w:tr>
      <w:tr w:rsidR="00234376" w:rsidRPr="00FA712F">
        <w:tc>
          <w:tcPr>
            <w:tcW w:w="4968" w:type="dxa"/>
            <w:tcMar>
              <w:top w:w="0" w:type="dxa"/>
              <w:left w:w="108" w:type="dxa"/>
              <w:bottom w:w="0" w:type="dxa"/>
              <w:right w:w="108" w:type="dxa"/>
            </w:tcMar>
          </w:tcPr>
          <w:p w:rsidR="00234376" w:rsidRPr="00FA712F" w:rsidRDefault="00234376" w:rsidP="00234376">
            <w:pPr>
              <w:keepNext/>
              <w:keepLines/>
              <w:spacing w:after="0"/>
              <w:ind w:left="439"/>
              <w:rPr>
                <w:bCs/>
                <w:szCs w:val="24"/>
              </w:rPr>
            </w:pPr>
            <w:r w:rsidRPr="00FA712F">
              <w:rPr>
                <w:bCs/>
                <w:szCs w:val="24"/>
              </w:rPr>
              <w:t>Repeat smear 6 months</w:t>
            </w:r>
          </w:p>
        </w:tc>
        <w:tc>
          <w:tcPr>
            <w:tcW w:w="1761" w:type="dxa"/>
            <w:tcMar>
              <w:top w:w="0" w:type="dxa"/>
              <w:left w:w="108" w:type="dxa"/>
              <w:bottom w:w="0" w:type="dxa"/>
              <w:right w:w="108" w:type="dxa"/>
            </w:tcMar>
          </w:tcPr>
          <w:p w:rsidR="00234376" w:rsidRPr="00FA712F" w:rsidRDefault="00234376" w:rsidP="008E03A7">
            <w:pPr>
              <w:keepNext/>
              <w:keepLines/>
              <w:spacing w:after="0"/>
              <w:ind w:left="147" w:right="406"/>
              <w:jc w:val="right"/>
              <w:rPr>
                <w:szCs w:val="24"/>
              </w:rPr>
            </w:pPr>
            <w:r w:rsidRPr="00FA712F">
              <w:rPr>
                <w:szCs w:val="24"/>
              </w:rPr>
              <w:t>8.84</w:t>
            </w:r>
          </w:p>
        </w:tc>
      </w:tr>
      <w:tr w:rsidR="00234376" w:rsidRPr="00FA712F">
        <w:tc>
          <w:tcPr>
            <w:tcW w:w="4968" w:type="dxa"/>
            <w:tcMar>
              <w:top w:w="0" w:type="dxa"/>
              <w:left w:w="108" w:type="dxa"/>
              <w:bottom w:w="0" w:type="dxa"/>
              <w:right w:w="108" w:type="dxa"/>
            </w:tcMar>
          </w:tcPr>
          <w:p w:rsidR="00234376" w:rsidRPr="00FA712F" w:rsidRDefault="00234376" w:rsidP="00234376">
            <w:pPr>
              <w:keepNext/>
              <w:keepLines/>
              <w:spacing w:after="0"/>
              <w:ind w:left="439"/>
              <w:rPr>
                <w:bCs/>
                <w:szCs w:val="24"/>
              </w:rPr>
            </w:pPr>
            <w:r w:rsidRPr="00FA712F">
              <w:rPr>
                <w:bCs/>
                <w:szCs w:val="24"/>
              </w:rPr>
              <w:t>Repeat smear 6–12 weeks</w:t>
            </w:r>
          </w:p>
        </w:tc>
        <w:tc>
          <w:tcPr>
            <w:tcW w:w="1761" w:type="dxa"/>
            <w:tcMar>
              <w:top w:w="0" w:type="dxa"/>
              <w:left w:w="108" w:type="dxa"/>
              <w:bottom w:w="0" w:type="dxa"/>
              <w:right w:w="108" w:type="dxa"/>
            </w:tcMar>
          </w:tcPr>
          <w:p w:rsidR="00234376" w:rsidRPr="00FA712F" w:rsidRDefault="00234376" w:rsidP="008E03A7">
            <w:pPr>
              <w:keepNext/>
              <w:keepLines/>
              <w:spacing w:after="0"/>
              <w:ind w:left="147" w:right="406"/>
              <w:jc w:val="right"/>
              <w:rPr>
                <w:szCs w:val="24"/>
              </w:rPr>
            </w:pPr>
            <w:r w:rsidRPr="00FA712F">
              <w:rPr>
                <w:szCs w:val="24"/>
              </w:rPr>
              <w:t>1.70</w:t>
            </w:r>
          </w:p>
        </w:tc>
      </w:tr>
      <w:tr w:rsidR="00234376" w:rsidRPr="00FA712F">
        <w:tc>
          <w:tcPr>
            <w:tcW w:w="4968" w:type="dxa"/>
            <w:tcMar>
              <w:top w:w="0" w:type="dxa"/>
              <w:left w:w="108" w:type="dxa"/>
              <w:bottom w:w="0" w:type="dxa"/>
              <w:right w:w="108" w:type="dxa"/>
            </w:tcMar>
          </w:tcPr>
          <w:p w:rsidR="00234376" w:rsidRPr="00FA712F" w:rsidRDefault="00234376" w:rsidP="00234376">
            <w:pPr>
              <w:keepNext/>
              <w:keepLines/>
              <w:spacing w:after="0"/>
              <w:ind w:left="439"/>
              <w:rPr>
                <w:bCs/>
                <w:szCs w:val="24"/>
              </w:rPr>
            </w:pPr>
            <w:r w:rsidRPr="00FA712F">
              <w:rPr>
                <w:bCs/>
                <w:szCs w:val="24"/>
              </w:rPr>
              <w:t>Colposcopy/biopsy recommended</w:t>
            </w:r>
          </w:p>
        </w:tc>
        <w:tc>
          <w:tcPr>
            <w:tcW w:w="1761" w:type="dxa"/>
            <w:tcMar>
              <w:top w:w="0" w:type="dxa"/>
              <w:left w:w="108" w:type="dxa"/>
              <w:bottom w:w="0" w:type="dxa"/>
              <w:right w:w="108" w:type="dxa"/>
            </w:tcMar>
          </w:tcPr>
          <w:p w:rsidR="00234376" w:rsidRPr="00FA712F" w:rsidRDefault="00234376" w:rsidP="008E03A7">
            <w:pPr>
              <w:keepNext/>
              <w:keepLines/>
              <w:spacing w:after="0"/>
              <w:ind w:left="147" w:right="406"/>
              <w:jc w:val="right"/>
              <w:rPr>
                <w:szCs w:val="24"/>
              </w:rPr>
            </w:pPr>
            <w:r w:rsidRPr="00FA712F">
              <w:rPr>
                <w:szCs w:val="24"/>
              </w:rPr>
              <w:t>49.14</w:t>
            </w:r>
          </w:p>
        </w:tc>
      </w:tr>
      <w:tr w:rsidR="00234376" w:rsidRPr="00FA712F">
        <w:tc>
          <w:tcPr>
            <w:tcW w:w="4968" w:type="dxa"/>
            <w:tcMar>
              <w:top w:w="0" w:type="dxa"/>
              <w:left w:w="108" w:type="dxa"/>
              <w:bottom w:w="0" w:type="dxa"/>
              <w:right w:w="108" w:type="dxa"/>
            </w:tcMar>
          </w:tcPr>
          <w:p w:rsidR="00234376" w:rsidRPr="00FA712F" w:rsidRDefault="00234376" w:rsidP="00234376">
            <w:pPr>
              <w:keepNext/>
              <w:keepLines/>
              <w:spacing w:after="0"/>
              <w:ind w:left="439"/>
              <w:rPr>
                <w:bCs/>
                <w:szCs w:val="24"/>
              </w:rPr>
            </w:pPr>
            <w:r w:rsidRPr="00FA712F">
              <w:rPr>
                <w:bCs/>
                <w:szCs w:val="24"/>
              </w:rPr>
              <w:t>Already under gynaecological management</w:t>
            </w:r>
          </w:p>
        </w:tc>
        <w:tc>
          <w:tcPr>
            <w:tcW w:w="1761" w:type="dxa"/>
            <w:tcMar>
              <w:top w:w="0" w:type="dxa"/>
              <w:left w:w="108" w:type="dxa"/>
              <w:bottom w:w="0" w:type="dxa"/>
              <w:right w:w="108" w:type="dxa"/>
            </w:tcMar>
          </w:tcPr>
          <w:p w:rsidR="00234376" w:rsidRPr="00FA712F" w:rsidRDefault="00234376" w:rsidP="008E03A7">
            <w:pPr>
              <w:keepNext/>
              <w:keepLines/>
              <w:spacing w:after="0"/>
              <w:ind w:left="147" w:right="406"/>
              <w:jc w:val="right"/>
              <w:rPr>
                <w:szCs w:val="24"/>
              </w:rPr>
            </w:pPr>
            <w:r w:rsidRPr="00FA712F">
              <w:rPr>
                <w:szCs w:val="24"/>
              </w:rPr>
              <w:t>5.88</w:t>
            </w:r>
          </w:p>
        </w:tc>
      </w:tr>
      <w:tr w:rsidR="00234376" w:rsidRPr="00FA712F">
        <w:tc>
          <w:tcPr>
            <w:tcW w:w="4968" w:type="dxa"/>
            <w:tcMar>
              <w:top w:w="0" w:type="dxa"/>
              <w:left w:w="108" w:type="dxa"/>
              <w:bottom w:w="0" w:type="dxa"/>
              <w:right w:w="108" w:type="dxa"/>
            </w:tcMar>
          </w:tcPr>
          <w:p w:rsidR="00234376" w:rsidRPr="00FA712F" w:rsidRDefault="00234376" w:rsidP="00234376">
            <w:pPr>
              <w:keepNext/>
              <w:keepLines/>
              <w:spacing w:after="0"/>
              <w:ind w:left="439"/>
              <w:rPr>
                <w:bCs/>
                <w:szCs w:val="24"/>
              </w:rPr>
            </w:pPr>
            <w:r w:rsidRPr="00FA712F">
              <w:rPr>
                <w:bCs/>
                <w:szCs w:val="24"/>
              </w:rPr>
              <w:t>Referral to specialist</w:t>
            </w:r>
          </w:p>
        </w:tc>
        <w:tc>
          <w:tcPr>
            <w:tcW w:w="1761" w:type="dxa"/>
            <w:tcMar>
              <w:top w:w="0" w:type="dxa"/>
              <w:left w:w="108" w:type="dxa"/>
              <w:bottom w:w="0" w:type="dxa"/>
              <w:right w:w="108" w:type="dxa"/>
            </w:tcMar>
          </w:tcPr>
          <w:p w:rsidR="00234376" w:rsidRPr="00FA712F" w:rsidRDefault="00234376" w:rsidP="008E03A7">
            <w:pPr>
              <w:keepNext/>
              <w:keepLines/>
              <w:spacing w:after="0"/>
              <w:ind w:left="147" w:right="406"/>
              <w:jc w:val="right"/>
              <w:rPr>
                <w:szCs w:val="24"/>
              </w:rPr>
            </w:pPr>
            <w:r w:rsidRPr="00FA712F">
              <w:rPr>
                <w:szCs w:val="24"/>
              </w:rPr>
              <w:t>0.39</w:t>
            </w:r>
          </w:p>
        </w:tc>
      </w:tr>
      <w:tr w:rsidR="00234376" w:rsidRPr="00FA712F">
        <w:tc>
          <w:tcPr>
            <w:tcW w:w="4968" w:type="dxa"/>
            <w:tcMar>
              <w:top w:w="0" w:type="dxa"/>
              <w:left w:w="108" w:type="dxa"/>
              <w:bottom w:w="0" w:type="dxa"/>
              <w:right w:w="108" w:type="dxa"/>
            </w:tcMar>
          </w:tcPr>
          <w:p w:rsidR="00234376" w:rsidRPr="00FA712F" w:rsidRDefault="00234376" w:rsidP="00234376">
            <w:pPr>
              <w:keepNext/>
              <w:keepLines/>
              <w:spacing w:after="0"/>
              <w:ind w:left="439"/>
              <w:rPr>
                <w:bCs/>
                <w:szCs w:val="24"/>
              </w:rPr>
            </w:pPr>
            <w:r w:rsidRPr="00FA712F">
              <w:rPr>
                <w:bCs/>
                <w:szCs w:val="24"/>
              </w:rPr>
              <w:t>Other management recommended</w:t>
            </w:r>
          </w:p>
        </w:tc>
        <w:tc>
          <w:tcPr>
            <w:tcW w:w="1761" w:type="dxa"/>
            <w:tcMar>
              <w:top w:w="0" w:type="dxa"/>
              <w:left w:w="108" w:type="dxa"/>
              <w:bottom w:w="0" w:type="dxa"/>
              <w:right w:w="108" w:type="dxa"/>
            </w:tcMar>
          </w:tcPr>
          <w:p w:rsidR="00234376" w:rsidRPr="00FA712F" w:rsidRDefault="00234376" w:rsidP="008E03A7">
            <w:pPr>
              <w:keepNext/>
              <w:keepLines/>
              <w:spacing w:after="0"/>
              <w:ind w:left="147" w:right="406"/>
              <w:jc w:val="right"/>
              <w:rPr>
                <w:szCs w:val="24"/>
              </w:rPr>
            </w:pPr>
            <w:r w:rsidRPr="00FA712F">
              <w:rPr>
                <w:szCs w:val="24"/>
              </w:rPr>
              <w:t>1.23</w:t>
            </w:r>
          </w:p>
        </w:tc>
      </w:tr>
      <w:tr w:rsidR="00234376" w:rsidRPr="00FA712F">
        <w:tc>
          <w:tcPr>
            <w:tcW w:w="4968" w:type="dxa"/>
            <w:tcBorders>
              <w:bottom w:val="single" w:sz="4" w:space="0" w:color="auto"/>
            </w:tcBorders>
            <w:tcMar>
              <w:top w:w="0" w:type="dxa"/>
              <w:left w:w="108" w:type="dxa"/>
              <w:bottom w:w="0" w:type="dxa"/>
              <w:right w:w="108" w:type="dxa"/>
            </w:tcMar>
          </w:tcPr>
          <w:p w:rsidR="00234376" w:rsidRPr="00FA712F" w:rsidRDefault="00234376" w:rsidP="00234376">
            <w:pPr>
              <w:keepNext/>
              <w:keepLines/>
              <w:spacing w:after="0"/>
              <w:ind w:left="439"/>
              <w:rPr>
                <w:bCs/>
                <w:szCs w:val="24"/>
              </w:rPr>
            </w:pPr>
            <w:r w:rsidRPr="00FA712F">
              <w:rPr>
                <w:bCs/>
                <w:szCs w:val="24"/>
              </w:rPr>
              <w:t>Symptomatic—clinical management required</w:t>
            </w:r>
          </w:p>
        </w:tc>
        <w:tc>
          <w:tcPr>
            <w:tcW w:w="1761" w:type="dxa"/>
            <w:tcBorders>
              <w:bottom w:val="single" w:sz="4" w:space="0" w:color="auto"/>
            </w:tcBorders>
            <w:tcMar>
              <w:top w:w="0" w:type="dxa"/>
              <w:left w:w="108" w:type="dxa"/>
              <w:bottom w:w="0" w:type="dxa"/>
              <w:right w:w="108" w:type="dxa"/>
            </w:tcMar>
          </w:tcPr>
          <w:p w:rsidR="00234376" w:rsidRPr="00FA712F" w:rsidRDefault="00234376" w:rsidP="008E03A7">
            <w:pPr>
              <w:keepNext/>
              <w:keepLines/>
              <w:spacing w:after="0"/>
              <w:ind w:left="147" w:right="406"/>
              <w:jc w:val="right"/>
              <w:rPr>
                <w:szCs w:val="24"/>
              </w:rPr>
            </w:pPr>
            <w:r w:rsidRPr="00FA712F">
              <w:rPr>
                <w:szCs w:val="24"/>
              </w:rPr>
              <w:t>6.25</w:t>
            </w:r>
          </w:p>
        </w:tc>
      </w:tr>
    </w:tbl>
    <w:p w:rsidR="00234376" w:rsidRPr="00FA712F" w:rsidRDefault="00234376" w:rsidP="00234376">
      <w:pPr>
        <w:rPr>
          <w:szCs w:val="24"/>
        </w:rPr>
      </w:pPr>
    </w:p>
    <w:p w:rsidR="00234376" w:rsidRPr="00FA712F" w:rsidRDefault="00234376" w:rsidP="008E03A7">
      <w:pPr>
        <w:rPr>
          <w:szCs w:val="24"/>
        </w:rPr>
      </w:pPr>
      <w:r w:rsidRPr="00FA712F">
        <w:rPr>
          <w:szCs w:val="24"/>
        </w:rPr>
        <w:t xml:space="preserve">To estimate the proportions following each management pathway in the model, we then excluded women with ‘No recommendation’ and ‘Other management recommended’ from the analysis. We also excluded women with a recommendation of ‘Already under gynaecological management’, ‘Referral to specialist’ and ‘Symptomatic—clinical management required’, because we assumed that these women would be accounted for elsewhere in the model, or would already be under management </w:t>
      </w:r>
      <w:r w:rsidRPr="00FA712F" w:rsidDel="0030078D">
        <w:rPr>
          <w:szCs w:val="24"/>
        </w:rPr>
        <w:t>for</w:t>
      </w:r>
      <w:r w:rsidRPr="00FA712F">
        <w:rPr>
          <w:szCs w:val="24"/>
        </w:rPr>
        <w:t xml:space="preserve"> causes unrelated to cervical cancer.</w:t>
      </w:r>
    </w:p>
    <w:p w:rsidR="00234376" w:rsidRPr="00FA712F" w:rsidRDefault="00234376" w:rsidP="008E03A7">
      <w:pPr>
        <w:rPr>
          <w:szCs w:val="24"/>
        </w:rPr>
      </w:pPr>
      <w:r w:rsidRPr="00FA712F">
        <w:rPr>
          <w:szCs w:val="24"/>
        </w:rPr>
        <w:t xml:space="preserve">Therefore, the final assumption used in the model was that 28 per cent of exceptions receive a recommendation of a repeat smear in 12 months, 11 per cent </w:t>
      </w:r>
      <w:r w:rsidR="003C2641" w:rsidRPr="00FA712F">
        <w:rPr>
          <w:szCs w:val="24"/>
        </w:rPr>
        <w:t xml:space="preserve">receive a recommendation of </w:t>
      </w:r>
      <w:r w:rsidRPr="00FA712F">
        <w:rPr>
          <w:szCs w:val="24"/>
        </w:rPr>
        <w:t>a repeat smear within 6 months, and 61 per cent are referred for immediate colposcopy.</w:t>
      </w:r>
    </w:p>
    <w:p w:rsidR="00234376" w:rsidRPr="00FA712F" w:rsidRDefault="00234376" w:rsidP="008E03A7">
      <w:pPr>
        <w:pStyle w:val="Heading2"/>
      </w:pPr>
      <w:bookmarkStart w:id="972" w:name="_Toc216169874"/>
      <w:bookmarkStart w:id="973" w:name="_Toc216170247"/>
      <w:bookmarkStart w:id="974" w:name="_Toc219865822"/>
      <w:bookmarkStart w:id="975" w:name="_Toc219866030"/>
      <w:bookmarkStart w:id="976" w:name="_Toc219880670"/>
      <w:bookmarkStart w:id="977" w:name="_Toc220144584"/>
      <w:bookmarkStart w:id="978" w:name="_Toc95971115"/>
      <w:bookmarkStart w:id="979" w:name="_Toc231895823"/>
      <w:bookmarkStart w:id="980" w:name="_Toc241658213"/>
      <w:r w:rsidRPr="00FA712F">
        <w:t>Test characteristics—cytology</w:t>
      </w:r>
      <w:bookmarkEnd w:id="972"/>
      <w:bookmarkEnd w:id="973"/>
      <w:bookmarkEnd w:id="974"/>
      <w:bookmarkEnd w:id="975"/>
      <w:bookmarkEnd w:id="976"/>
      <w:bookmarkEnd w:id="977"/>
      <w:bookmarkEnd w:id="978"/>
      <w:bookmarkEnd w:id="979"/>
      <w:bookmarkEnd w:id="980"/>
    </w:p>
    <w:p w:rsidR="00234376" w:rsidRPr="00FA712F" w:rsidRDefault="00234376" w:rsidP="00234376">
      <w:r w:rsidRPr="00FA712F">
        <w:t>The model requires parameters that specify the relationship between each possible underlying natural history health state at the time of testing, and each possible test result. In practice, many of these relationships are difficult to observe in the context of routine screening. We therefore derived a series of test probability matrices for each of conventional, liquid-based and automated cytology, based on the available evidence.</w:t>
      </w:r>
    </w:p>
    <w:p w:rsidR="00234376" w:rsidRPr="00FA712F" w:rsidRDefault="00234376" w:rsidP="00234376">
      <w:r w:rsidRPr="00FA712F">
        <w:t>First, we derived a test probability matrix for conventional cytology</w:t>
      </w:r>
      <w:r w:rsidR="0038541A" w:rsidRPr="00FA712F">
        <w:t xml:space="preserve"> (CC)</w:t>
      </w:r>
      <w:r w:rsidRPr="00FA712F">
        <w:t>. We used published data to estimate the distribution of true underlying health states within each cytology result category, and data from registries to determine Australian reporting rates for each cytology test result. These data can be transformed using Bayesian methods to derive the probability of a particular cytology test result, given an underlying health state. Our final choice of baseline test characteristics for conventional cytology was made on the basis of best and most complete verification of results, use of Australian data where possible, and consistency of relative test performance with published data.</w:t>
      </w:r>
    </w:p>
    <w:p w:rsidR="00234376" w:rsidRDefault="00234376" w:rsidP="00234376">
      <w:r w:rsidRPr="00FA712F">
        <w:t>Test probability matrices for manual and automated reading of LBC slides were derived from the baseline CC matrix. We adjusted the distribution of cytology test results to reflect the relative distribution while keeping constant the prevalence of disease implied by the matrix.</w:t>
      </w:r>
    </w:p>
    <w:p w:rsidR="00234376" w:rsidRDefault="00234376" w:rsidP="00FA712F">
      <w:pPr>
        <w:spacing w:after="120"/>
        <w:jc w:val="both"/>
      </w:pPr>
      <w:r w:rsidRPr="00537C3C">
        <w:lastRenderedPageBreak/>
        <w:t xml:space="preserve">We estimated call rates for </w:t>
      </w:r>
      <w:r w:rsidRPr="00BB76D8">
        <w:t>LBC</w:t>
      </w:r>
      <w:r w:rsidRPr="00537C3C">
        <w:t xml:space="preserve"> and automated </w:t>
      </w:r>
      <w:r w:rsidRPr="00BB76D8">
        <w:t>LBC</w:t>
      </w:r>
      <w:r w:rsidRPr="00537C3C">
        <w:t xml:space="preserve"> relative to conventional cytology using data from Davey et al. 2006 and Davey et al. 2007</w:t>
      </w:r>
      <w:r w:rsidR="00E0071D">
        <w:t>a</w:t>
      </w:r>
      <w:r w:rsidRPr="00537C3C">
        <w:t>, and then we applied these ratios to the age-specific call rates for conventional cytology.</w:t>
      </w:r>
    </w:p>
    <w:p w:rsidR="00234376" w:rsidRDefault="00234376" w:rsidP="00FA712F">
      <w:pPr>
        <w:spacing w:after="120"/>
        <w:jc w:val="both"/>
      </w:pPr>
      <w:r w:rsidRPr="00537C3C">
        <w:t xml:space="preserve">Where assumptions had to be made, or constraints could not all be met during the calibration phase, we made assumptions which favoured automated and manual </w:t>
      </w:r>
      <w:r w:rsidRPr="00BB76D8">
        <w:t>LBC</w:t>
      </w:r>
      <w:r w:rsidRPr="00537C3C">
        <w:t xml:space="preserve"> over conventional cytology.</w:t>
      </w:r>
    </w:p>
    <w:p w:rsidR="00234376" w:rsidRPr="00537C3C" w:rsidRDefault="00234376" w:rsidP="008E03A7">
      <w:r w:rsidRPr="00537C3C">
        <w:t xml:space="preserve">The accuracy of the conventional cytology implied by the selected test probability matrix is detailed in </w:t>
      </w:r>
      <w:r>
        <w:fldChar w:fldCharType="begin"/>
      </w:r>
      <w:r>
        <w:instrText xml:space="preserve"> REF _Ref210021208 \h  \* MERGEFORMAT </w:instrText>
      </w:r>
      <w:r>
        <w:fldChar w:fldCharType="separate"/>
      </w:r>
      <w:r w:rsidR="007D3DFF" w:rsidRPr="00537C3C">
        <w:t xml:space="preserve">Table </w:t>
      </w:r>
      <w:r w:rsidR="007D3DFF">
        <w:rPr>
          <w:noProof/>
        </w:rPr>
        <w:t>28</w:t>
      </w:r>
      <w:r>
        <w:fldChar w:fldCharType="end"/>
      </w:r>
      <w:r w:rsidRPr="00537C3C">
        <w:t xml:space="preserve"> (page </w:t>
      </w:r>
      <w:r w:rsidRPr="00537C3C">
        <w:fldChar w:fldCharType="begin"/>
      </w:r>
      <w:r w:rsidRPr="00537C3C">
        <w:instrText xml:space="preserve"> PAGEREF _Ref219606916 \h </w:instrText>
      </w:r>
      <w:r w:rsidRPr="00537C3C">
        <w:fldChar w:fldCharType="separate"/>
      </w:r>
      <w:r w:rsidR="007D3DFF">
        <w:rPr>
          <w:noProof/>
        </w:rPr>
        <w:t>69</w:t>
      </w:r>
      <w:r w:rsidRPr="00537C3C">
        <w:fldChar w:fldCharType="end"/>
      </w:r>
      <w:r w:rsidRPr="00537C3C">
        <w:t xml:space="preserve">). The calibrated accuracy of automated </w:t>
      </w:r>
      <w:r w:rsidRPr="00BB76D8">
        <w:t>LBC</w:t>
      </w:r>
      <w:r w:rsidRPr="00537C3C">
        <w:t xml:space="preserve"> relative to either conventional cytology, or manual </w:t>
      </w:r>
      <w:r w:rsidRPr="00BB76D8">
        <w:t>LBC</w:t>
      </w:r>
      <w:r w:rsidRPr="00537C3C">
        <w:t xml:space="preserve"> is shown in </w:t>
      </w:r>
      <w:r>
        <w:fldChar w:fldCharType="begin"/>
      </w:r>
      <w:r>
        <w:instrText xml:space="preserve"> REF _Ref210021211 \h  \* MERGEFORMAT </w:instrText>
      </w:r>
      <w:r>
        <w:fldChar w:fldCharType="separate"/>
      </w:r>
      <w:r w:rsidR="007D3DFF" w:rsidRPr="00537C3C">
        <w:t xml:space="preserve">Table </w:t>
      </w:r>
      <w:r w:rsidR="007D3DFF">
        <w:rPr>
          <w:noProof/>
        </w:rPr>
        <w:t>29</w:t>
      </w:r>
      <w:r>
        <w:fldChar w:fldCharType="end"/>
      </w:r>
      <w:r w:rsidRPr="00537C3C">
        <w:t xml:space="preserve"> (page </w:t>
      </w:r>
      <w:r w:rsidRPr="00537C3C">
        <w:fldChar w:fldCharType="begin"/>
      </w:r>
      <w:r w:rsidRPr="00537C3C">
        <w:instrText xml:space="preserve"> PAGEREF _Ref213580836 \h </w:instrText>
      </w:r>
      <w:r w:rsidRPr="00537C3C">
        <w:fldChar w:fldCharType="separate"/>
      </w:r>
      <w:r w:rsidR="007D3DFF">
        <w:rPr>
          <w:noProof/>
        </w:rPr>
        <w:t>69</w:t>
      </w:r>
      <w:r w:rsidRPr="00537C3C">
        <w:fldChar w:fldCharType="end"/>
      </w:r>
      <w:r w:rsidRPr="00537C3C">
        <w:t xml:space="preserve">; see also </w:t>
      </w:r>
      <w:r>
        <w:fldChar w:fldCharType="begin"/>
      </w:r>
      <w:r>
        <w:instrText xml:space="preserve"> REF _Ref210623030 \h  \* MERGEFORMAT </w:instrText>
      </w:r>
      <w:r>
        <w:fldChar w:fldCharType="separate"/>
      </w:r>
      <w:r w:rsidR="007D3DFF" w:rsidRPr="00537C3C">
        <w:t xml:space="preserve">Table </w:t>
      </w:r>
      <w:r w:rsidR="007D3DFF">
        <w:rPr>
          <w:noProof/>
        </w:rPr>
        <w:t>49</w:t>
      </w:r>
      <w:r>
        <w:fldChar w:fldCharType="end"/>
      </w:r>
      <w:r w:rsidRPr="00537C3C">
        <w:t xml:space="preserve"> and </w:t>
      </w:r>
      <w:r>
        <w:fldChar w:fldCharType="begin"/>
      </w:r>
      <w:r>
        <w:instrText xml:space="preserve"> REF _Ref210623038 \h  \* MERGEFORMAT </w:instrText>
      </w:r>
      <w:r>
        <w:fldChar w:fldCharType="separate"/>
      </w:r>
      <w:r w:rsidR="007D3DFF" w:rsidRPr="00537C3C">
        <w:t xml:space="preserve">Table </w:t>
      </w:r>
      <w:r w:rsidR="007D3DFF">
        <w:rPr>
          <w:noProof/>
        </w:rPr>
        <w:t>50</w:t>
      </w:r>
      <w:r>
        <w:fldChar w:fldCharType="end"/>
      </w:r>
      <w:r w:rsidRPr="00537C3C">
        <w:t xml:space="preserve"> in ‘</w:t>
      </w:r>
      <w:r w:rsidRPr="00234376">
        <w:fldChar w:fldCharType="begin"/>
      </w:r>
      <w:r w:rsidRPr="00234376">
        <w:instrText xml:space="preserve"> REF _Ref210623061 </w:instrText>
      </w:r>
      <w:r>
        <w:instrText>\</w:instrText>
      </w:r>
      <w:r w:rsidRPr="00234376">
        <w:instrText xml:space="preserve">h  </w:instrText>
      </w:r>
      <w:r>
        <w:instrText>\</w:instrText>
      </w:r>
      <w:r w:rsidRPr="00234376">
        <w:instrText xml:space="preserve">* MERGEFORMAT </w:instrText>
      </w:r>
      <w:r w:rsidRPr="00234376">
        <w:fldChar w:fldCharType="separate"/>
      </w:r>
      <w:r w:rsidR="007D3DFF" w:rsidRPr="00537C3C">
        <w:t>Calibration of the screening model</w:t>
      </w:r>
      <w:r w:rsidRPr="00234376">
        <w:fldChar w:fldCharType="end"/>
      </w:r>
      <w:r w:rsidRPr="00537C3C">
        <w:t>’). A range of values were derived for sensitivity analyses.</w:t>
      </w:r>
    </w:p>
    <w:p w:rsidR="00234376" w:rsidRDefault="00234376" w:rsidP="00234376">
      <w:r w:rsidRPr="00537C3C">
        <w:t xml:space="preserve">The derivation of the test probability matrices is described in detail in </w:t>
      </w:r>
      <w:r w:rsidR="0038541A">
        <w:t>‘</w:t>
      </w:r>
      <w:r w:rsidRPr="00234376">
        <w:fldChar w:fldCharType="begin"/>
      </w:r>
      <w:r w:rsidRPr="00234376">
        <w:instrText xml:space="preserve"> REF _Ref212433107 </w:instrText>
      </w:r>
      <w:r>
        <w:instrText>\</w:instrText>
      </w:r>
      <w:r w:rsidRPr="00234376">
        <w:instrText xml:space="preserve">h  </w:instrText>
      </w:r>
      <w:r>
        <w:instrText>\</w:instrText>
      </w:r>
      <w:r w:rsidRPr="00234376">
        <w:instrText xml:space="preserve">* MERGEFORMAT </w:instrText>
      </w:r>
      <w:r w:rsidRPr="00234376">
        <w:fldChar w:fldCharType="separate"/>
      </w:r>
      <w:r w:rsidR="007D3DFF" w:rsidRPr="00537C3C">
        <w:t xml:space="preserve">Appendix </w:t>
      </w:r>
      <w:r w:rsidR="007D3DFF">
        <w:rPr>
          <w:noProof/>
        </w:rPr>
        <w:t>K</w:t>
      </w:r>
      <w:r w:rsidR="007D3DFF">
        <w:t xml:space="preserve">  </w:t>
      </w:r>
      <w:r w:rsidR="007D3DFF" w:rsidRPr="00537C3C">
        <w:rPr>
          <w:noProof/>
        </w:rPr>
        <w:t>Derivation</w:t>
      </w:r>
      <w:r w:rsidR="007D3DFF" w:rsidRPr="00537C3C">
        <w:t xml:space="preserve"> of test probability matrices for cytology</w:t>
      </w:r>
      <w:r w:rsidRPr="00234376">
        <w:fldChar w:fldCharType="end"/>
      </w:r>
      <w:r w:rsidR="0038541A">
        <w:t>’</w:t>
      </w:r>
      <w:r w:rsidRPr="00537C3C">
        <w:t>.</w:t>
      </w:r>
    </w:p>
    <w:p w:rsidR="00234376" w:rsidRDefault="00234376" w:rsidP="00234376">
      <w:pPr>
        <w:pStyle w:val="Heading3"/>
      </w:pPr>
      <w:r w:rsidRPr="00537C3C">
        <w:t>Cytology unsatisfactory rates</w:t>
      </w:r>
    </w:p>
    <w:p w:rsidR="00234376" w:rsidRPr="00537C3C" w:rsidRDefault="00234376" w:rsidP="008E03A7">
      <w:r w:rsidRPr="00537C3C">
        <w:t xml:space="preserve">We used the available data on cytology unsatisfactory rates in </w:t>
      </w:r>
      <w:smartTag w:uri="urn:schemas-microsoft-com:office:smarttags" w:element="place">
        <w:smartTag w:uri="urn:schemas-microsoft-com:office:smarttags" w:element="country-region">
          <w:r w:rsidRPr="00537C3C">
            <w:t>Australia</w:t>
          </w:r>
        </w:smartTag>
      </w:smartTag>
      <w:r w:rsidRPr="00537C3C">
        <w:t xml:space="preserve"> to derive baseline values and ranges for sensitivity analysis, as summarised in </w:t>
      </w:r>
      <w:r>
        <w:fldChar w:fldCharType="begin"/>
      </w:r>
      <w:r>
        <w:instrText xml:space="preserve"> REF _Ref219607277 \h  \* MERGEFORMAT </w:instrText>
      </w:r>
      <w:r>
        <w:fldChar w:fldCharType="separate"/>
      </w:r>
      <w:r w:rsidR="007D3DFF" w:rsidRPr="00537C3C">
        <w:t xml:space="preserve">Table </w:t>
      </w:r>
      <w:r w:rsidR="007D3DFF">
        <w:rPr>
          <w:noProof/>
        </w:rPr>
        <w:t>61</w:t>
      </w:r>
      <w:r>
        <w:fldChar w:fldCharType="end"/>
      </w:r>
      <w:r w:rsidRPr="00537C3C">
        <w:t xml:space="preserve"> (reproduced from </w:t>
      </w:r>
      <w:r>
        <w:fldChar w:fldCharType="begin"/>
      </w:r>
      <w:r>
        <w:instrText xml:space="preserve"> REF _Ref205197735 \h  \* MERGEFORMAT </w:instrText>
      </w:r>
      <w:r>
        <w:fldChar w:fldCharType="separate"/>
      </w:r>
      <w:r w:rsidR="007D3DFF" w:rsidRPr="008D604B">
        <w:t xml:space="preserve">Table </w:t>
      </w:r>
      <w:r w:rsidR="007D3DFF">
        <w:rPr>
          <w:noProof/>
        </w:rPr>
        <w:t>30</w:t>
      </w:r>
      <w:r>
        <w:fldChar w:fldCharType="end"/>
      </w:r>
      <w:r w:rsidRPr="00537C3C">
        <w:t xml:space="preserve">, page </w:t>
      </w:r>
      <w:r w:rsidRPr="00537C3C">
        <w:fldChar w:fldCharType="begin"/>
      </w:r>
      <w:r w:rsidRPr="00537C3C">
        <w:instrText xml:space="preserve"> PAGEREF _Ref219607006 \h </w:instrText>
      </w:r>
      <w:r w:rsidRPr="00537C3C">
        <w:fldChar w:fldCharType="separate"/>
      </w:r>
      <w:r w:rsidR="007D3DFF">
        <w:rPr>
          <w:noProof/>
        </w:rPr>
        <w:t>70</w:t>
      </w:r>
      <w:r w:rsidRPr="00537C3C">
        <w:fldChar w:fldCharType="end"/>
      </w:r>
      <w:r w:rsidRPr="00537C3C">
        <w:t>).</w:t>
      </w:r>
    </w:p>
    <w:p w:rsidR="00234376" w:rsidRPr="00537C3C" w:rsidRDefault="00234376" w:rsidP="008E03A7">
      <w:r w:rsidRPr="00733570">
        <w:t>For the baseline estimate for conventional cytology, we used aggregate national data from Australian laboratories for 2007 (</w:t>
      </w:r>
      <w:r w:rsidR="00741183" w:rsidRPr="00733570">
        <w:t>Royal College of Pathologists Australasia Cytopathology Quality Assurance Programs, 2008)</w:t>
      </w:r>
      <w:r w:rsidRPr="00733570">
        <w:t xml:space="preserve">. In 2007, 46 451 (2.2%) of 2 135 214 specimens received were reported as unsatisfactory. This figure is consistent with registry data from the VCCR and </w:t>
      </w:r>
      <w:bookmarkStart w:id="981" w:name="OLE_LINK599"/>
      <w:bookmarkStart w:id="982" w:name="OLE_LINK600"/>
      <w:r w:rsidRPr="00733570">
        <w:t>NSW Pap Test Registry (</w:t>
      </w:r>
      <w:bookmarkEnd w:id="981"/>
      <w:bookmarkEnd w:id="982"/>
      <w:r w:rsidRPr="00733570">
        <w:t xml:space="preserve">PTR). In 2007, 11 259 (2.1%) of 546 012 smears in </w:t>
      </w:r>
      <w:smartTag w:uri="urn:schemas-microsoft-com:office:smarttags" w:element="place">
        <w:smartTag w:uri="urn:schemas-microsoft-com:office:smarttags" w:element="State">
          <w:r w:rsidRPr="00733570">
            <w:t>Victoria</w:t>
          </w:r>
        </w:smartTag>
      </w:smartTag>
      <w:r w:rsidRPr="00733570">
        <w:t xml:space="preserve"> were reported as unsatisfactory (from</w:t>
      </w:r>
      <w:r w:rsidRPr="00537C3C">
        <w:t xml:space="preserve"> our analysis of data from VCCR). During the fourth quarter of 2006, 3843 (2.3%) of 163 568 smears processed in </w:t>
      </w:r>
      <w:r w:rsidRPr="00BB76D8">
        <w:t>NSW</w:t>
      </w:r>
      <w:r w:rsidRPr="00537C3C">
        <w:t xml:space="preserve"> were reported as unsatisfactory (pers. comm., Grace </w:t>
      </w:r>
      <w:bookmarkStart w:id="983" w:name="OLE_LINK448"/>
      <w:bookmarkStart w:id="984" w:name="OLE_LINK449"/>
      <w:r w:rsidRPr="00537C3C">
        <w:t>Kwan</w:t>
      </w:r>
      <w:bookmarkEnd w:id="983"/>
      <w:bookmarkEnd w:id="984"/>
      <w:r w:rsidRPr="00537C3C">
        <w:t xml:space="preserve">, Cancer Institute </w:t>
      </w:r>
      <w:r w:rsidRPr="00BB76D8">
        <w:t>NSW</w:t>
      </w:r>
      <w:r w:rsidRPr="00537C3C">
        <w:t>).</w:t>
      </w:r>
    </w:p>
    <w:p w:rsidR="00234376" w:rsidRPr="00FA712F" w:rsidRDefault="00234376" w:rsidP="008E03A7">
      <w:r w:rsidRPr="00537C3C">
        <w:t xml:space="preserve">These values may be underestimates of the true unsatisfactory rate for conventional cytology, because some samples were split conventional and </w:t>
      </w:r>
      <w:r w:rsidRPr="00BB76D8">
        <w:t>LBC</w:t>
      </w:r>
      <w:r w:rsidRPr="00537C3C">
        <w:t xml:space="preserve"> samples, in which only one sample is required to be satisfactory. For this reason, extensive sensitivity analyses was performed, which was </w:t>
      </w:r>
      <w:r w:rsidRPr="00FA712F">
        <w:t>informed by the range of unsatisfactory rates reported by Victorian laboratories in 2006 (0.7% - 4.9%) (</w:t>
      </w:r>
      <w:bookmarkStart w:id="985" w:name="OLE_LINK530"/>
      <w:bookmarkStart w:id="986" w:name="OLE_LINK531"/>
      <w:r w:rsidRPr="00FA712F">
        <w:t>VCCR Statistical Report 2006</w:t>
      </w:r>
      <w:bookmarkEnd w:id="985"/>
      <w:bookmarkEnd w:id="986"/>
      <w:r w:rsidRPr="00FA712F">
        <w:t>).</w:t>
      </w:r>
    </w:p>
    <w:p w:rsidR="00234376" w:rsidRPr="00FA712F" w:rsidRDefault="00234376" w:rsidP="008E03A7">
      <w:r w:rsidRPr="00FA712F">
        <w:t xml:space="preserve">We used 1.8 per cent as the baseline unsatisfactory rate for automated LBC slide reading, based on data from Davey et al. (2007a). The range of unsatisfactory rates for automated cytology </w:t>
      </w:r>
      <w:r w:rsidR="0038541A" w:rsidRPr="00FA712F">
        <w:t>used</w:t>
      </w:r>
      <w:r w:rsidRPr="00FA712F">
        <w:t xml:space="preserve"> in sensitivity analyses was based on data from a pilot study in a Sydney laboratory (pers. comm., Dr Annabelle Farnsworth, Douglass Hanly Moir Pathology) and on the range of values found in the systematic review described in earlier sections of this document (</w:t>
      </w:r>
      <w:r w:rsidRPr="00FA712F">
        <w:fldChar w:fldCharType="begin"/>
      </w:r>
      <w:r w:rsidRPr="00FA712F">
        <w:instrText xml:space="preserve"> REF _Ref200952762 \h  \* MERGEFORMAT </w:instrText>
      </w:r>
      <w:r w:rsidRPr="00FA712F">
        <w:fldChar w:fldCharType="separate"/>
      </w:r>
      <w:r w:rsidR="007D3DFF" w:rsidRPr="00537C3C">
        <w:t xml:space="preserve">Table </w:t>
      </w:r>
      <w:r w:rsidR="007D3DFF">
        <w:rPr>
          <w:noProof/>
        </w:rPr>
        <w:t>19</w:t>
      </w:r>
      <w:r w:rsidRPr="00FA712F">
        <w:fldChar w:fldCharType="end"/>
      </w:r>
      <w:r w:rsidRPr="00FA712F">
        <w:t xml:space="preserve">, page </w:t>
      </w:r>
      <w:r w:rsidRPr="00FA712F">
        <w:fldChar w:fldCharType="begin"/>
      </w:r>
      <w:r w:rsidRPr="00FA712F">
        <w:instrText xml:space="preserve"> PAGEREF _Ref212958920 \h </w:instrText>
      </w:r>
      <w:r w:rsidRPr="00FA712F">
        <w:fldChar w:fldCharType="separate"/>
      </w:r>
      <w:r w:rsidR="007D3DFF">
        <w:rPr>
          <w:noProof/>
        </w:rPr>
        <w:t>46</w:t>
      </w:r>
      <w:r w:rsidRPr="00FA712F">
        <w:fldChar w:fldCharType="end"/>
      </w:r>
      <w:r w:rsidRPr="00FA712F">
        <w:t xml:space="preserve">; </w:t>
      </w:r>
      <w:r w:rsidRPr="00FA712F">
        <w:fldChar w:fldCharType="begin"/>
      </w:r>
      <w:r w:rsidRPr="00FA712F">
        <w:instrText xml:space="preserve"> REF _Ref200987620 \h  \* MERGEFORMAT </w:instrText>
      </w:r>
      <w:r w:rsidRPr="00FA712F">
        <w:fldChar w:fldCharType="separate"/>
      </w:r>
      <w:r w:rsidR="007D3DFF" w:rsidRPr="00537C3C">
        <w:t xml:space="preserve">Table </w:t>
      </w:r>
      <w:r w:rsidR="007D3DFF">
        <w:rPr>
          <w:noProof/>
        </w:rPr>
        <w:t>25</w:t>
      </w:r>
      <w:r w:rsidRPr="00FA712F">
        <w:fldChar w:fldCharType="end"/>
      </w:r>
      <w:r w:rsidRPr="00FA712F">
        <w:t xml:space="preserve">, page </w:t>
      </w:r>
      <w:r w:rsidRPr="00FA712F">
        <w:fldChar w:fldCharType="begin"/>
      </w:r>
      <w:r w:rsidRPr="00FA712F">
        <w:instrText xml:space="preserve"> PAGEREF _Ref212958924 \h </w:instrText>
      </w:r>
      <w:r w:rsidRPr="00FA712F">
        <w:fldChar w:fldCharType="separate"/>
      </w:r>
      <w:r w:rsidR="007D3DFF">
        <w:rPr>
          <w:noProof/>
        </w:rPr>
        <w:t>57</w:t>
      </w:r>
      <w:r w:rsidRPr="00FA712F">
        <w:fldChar w:fldCharType="end"/>
      </w:r>
      <w:r w:rsidRPr="00FA712F">
        <w:t xml:space="preserve">), which includes a published analysis from a study conducted in Ireland </w:t>
      </w:r>
      <w:r w:rsidRPr="00FA712F">
        <w:fldChar w:fldCharType="begin"/>
      </w:r>
      <w:r w:rsidRPr="00FA712F">
        <w:instrText xml:space="preserve"> ADDIN REFMGR.CITE &lt;Refman&gt;&lt;Cite&gt;&lt;Author&gt;Bolger&lt;/Author&gt;&lt;Year&gt;2006&lt;/Year&gt;&lt;RecNum&gt;137&lt;/RecNum&gt;&lt;IDText&gt;Implementation and evaluation of a new automated interactive image analysis system&lt;/IDText&gt;&lt;MDL Ref_Type="Journal"&gt;&lt;Ref_Type&gt;Journal&lt;/Ref_Type&gt;&lt;Ref_ID&gt;137&lt;/Ref_ID&gt;&lt;Title_Primary&gt;Implementation and evaluation of a new automated interactive image analysis system&lt;/Title_Primary&gt;&lt;Authors_Primary&gt;Bolger,N.&lt;/Authors_Primary&gt;&lt;Authors_Primary&gt;Heffron,C.&lt;/Authors_Primary&gt;&lt;Authors_Primary&gt;Regan,I.&lt;/Authors_Primary&gt;&lt;Authors_Primary&gt;Sweeney,M.&lt;/Authors_Primary&gt;&lt;Authors_Primary&gt;Kinsella,S.&lt;/Authors_Primary&gt;&lt;Authors_Primary&gt;McKeown,M.&lt;/Authors_Primary&gt;&lt;Authors_Primary&gt;Creighton,G.&lt;/Authors_Primary&gt;&lt;Authors_Primary&gt;Russell,J.&lt;/Authors_Primary&gt;&lt;Authors_Primary&gt;O&amp;apos;Leary,J.&lt;/Authors_Primary&gt;&lt;Date_Primary&gt;2006&lt;/Date_Primary&gt;&lt;Keywords&gt;article&lt;/Keywords&gt;&lt;Keywords&gt;automated pattern recognition&lt;/Keywords&gt;&lt;Keywords&gt;carcinoma&lt;/Keywords&gt;&lt;Keywords&gt;comparative study&lt;/Keywords&gt;&lt;Keywords&gt;diagnostic error&lt;/Keywords&gt;&lt;Keywords&gt;evaluation&lt;/Keywords&gt;&lt;Keywords&gt;female&lt;/Keywords&gt;&lt;Keywords&gt;human&lt;/Keywords&gt;&lt;Keywords&gt;image cytometry&lt;/Keywords&gt;&lt;Keywords&gt;laboratory diagnosis&lt;/Keywords&gt;&lt;Keywords&gt;mass screening&lt;/Keywords&gt;&lt;Keywords&gt;methodology&lt;/Keywords&gt;&lt;Keywords&gt;observer variation&lt;/Keywords&gt;&lt;Keywords&gt;pathology&lt;/Keywords&gt;&lt;Keywords&gt;prediction and forecasting&lt;/Keywords&gt;&lt;Keywords&gt;reproducibility&lt;/Keywords&gt;&lt;Keywords&gt;sensitivity and specificity&lt;/Keywords&gt;&lt;Keywords&gt;statistics&lt;/Keywords&gt;&lt;Keywords&gt;uterine cervix&lt;/Keywords&gt;&lt;Keywords&gt;uterine cervix tumor&lt;/Keywords&gt;&lt;Keywords&gt;vagina smear&lt;/Keywords&gt;&lt;Reprint&gt;In File&lt;/Reprint&gt;&lt;Start_Page&gt;483&lt;/Start_Page&gt;&lt;End_Page&gt;491&lt;/End_Page&gt;&lt;Periodical&gt;Acta cytologica.&lt;/Periodical&gt;&lt;Volume&gt;50&lt;/Volume&gt;&lt;Issue&gt;5&lt;/Issue&gt;&lt;ISSN_ISBN&gt;0001-5547&lt;/ISSN_ISBN&gt;&lt;Address&gt;Bolger, N., Department of Cytopathology, Coombe Women&amp;apos;s Hospital, Dublin, Ireland&lt;/Address&gt;&lt;ZZ_JournalFull&gt;&lt;f name="System"&gt;Acta cytologica.&lt;/f&gt;&lt;/ZZ_JournalFull&gt;&lt;ZZ_WorkformID&gt;1&lt;/ZZ_WorkformID&gt;&lt;/MDL&gt;&lt;/Cite&gt;&lt;/Refman&gt;</w:instrText>
      </w:r>
      <w:r w:rsidRPr="00FA712F">
        <w:fldChar w:fldCharType="separate"/>
      </w:r>
      <w:r w:rsidRPr="00FA712F">
        <w:t>(Bolger et al. 2006)</w:t>
      </w:r>
      <w:r w:rsidRPr="00FA712F">
        <w:fldChar w:fldCharType="end"/>
      </w:r>
      <w:r w:rsidRPr="00FA712F">
        <w:t>.</w:t>
      </w:r>
    </w:p>
    <w:p w:rsidR="00234376" w:rsidRPr="00FA712F" w:rsidRDefault="00234376" w:rsidP="008E03A7">
      <w:r w:rsidRPr="00FA712F">
        <w:t xml:space="preserve">No Australian registry data on the unsatisfactory rate for manual LBC were available (because manual LBC is currently used only as an adjunct to conventional cytology), </w:t>
      </w:r>
      <w:r w:rsidRPr="00FA712F">
        <w:rPr>
          <w:rFonts w:cs="Arial"/>
        </w:rPr>
        <w:t>nor were data from published Australian comparative studies of manual and automated LBC reading</w:t>
      </w:r>
      <w:r w:rsidRPr="00FA712F">
        <w:t>.</w:t>
      </w:r>
    </w:p>
    <w:p w:rsidR="00234376" w:rsidRPr="00537C3C" w:rsidRDefault="00234376" w:rsidP="008E03A7">
      <w:r w:rsidRPr="00FA712F">
        <w:lastRenderedPageBreak/>
        <w:t xml:space="preserve">Bolger et al. 2006 found similar unsatisfactory rates for manual and automated reading of LBC slides (1.05% vs 1.07%). Therefore, we used the same unsatisfactory rate for manual </w:t>
      </w:r>
      <w:r w:rsidR="00E0071D" w:rsidRPr="00FA712F">
        <w:t xml:space="preserve">LBC as </w:t>
      </w:r>
      <w:r w:rsidR="001F4C22" w:rsidRPr="00FA712F">
        <w:t xml:space="preserve">we did </w:t>
      </w:r>
      <w:r w:rsidR="00E0071D" w:rsidRPr="00FA712F">
        <w:t xml:space="preserve">for </w:t>
      </w:r>
      <w:r w:rsidRPr="00FA712F">
        <w:t>automated LBC</w:t>
      </w:r>
      <w:r w:rsidR="001F4C22" w:rsidRPr="00FA712F">
        <w:t xml:space="preserve"> (1.8%)</w:t>
      </w:r>
      <w:r w:rsidRPr="00FA712F">
        <w:t xml:space="preserve">. </w:t>
      </w:r>
      <w:r w:rsidRPr="00FA712F" w:rsidDel="00C27CD6">
        <w:t>This</w:t>
      </w:r>
      <w:r w:rsidRPr="00FA712F">
        <w:t xml:space="preserve"> similarity </w:t>
      </w:r>
      <w:r w:rsidR="001F4C22" w:rsidRPr="00FA712F">
        <w:t xml:space="preserve">in unsatisfactory rates </w:t>
      </w:r>
      <w:r w:rsidRPr="00FA712F">
        <w:t xml:space="preserve">is consistent with results from a pilot study in a </w:t>
      </w:r>
      <w:smartTag w:uri="urn:schemas-microsoft-com:office:smarttags" w:element="place">
        <w:smartTag w:uri="urn:schemas-microsoft-com:office:smarttags" w:element="City">
          <w:r w:rsidRPr="00FA712F">
            <w:t>Sydney</w:t>
          </w:r>
        </w:smartTag>
      </w:smartTag>
      <w:r w:rsidRPr="00FA712F">
        <w:t xml:space="preserve"> laboratory (1.98% vs 2.08%, </w:t>
      </w:r>
      <w:r w:rsidRPr="00FA712F">
        <w:rPr>
          <w:i/>
        </w:rPr>
        <w:t>P</w:t>
      </w:r>
      <w:r w:rsidRPr="00FA712F">
        <w:t xml:space="preserve"> = 0.75, </w:t>
      </w:r>
      <w:r w:rsidRPr="00FA712F">
        <w:rPr>
          <w:szCs w:val="24"/>
        </w:rPr>
        <w:sym w:font="Symbol" w:char="F063"/>
      </w:r>
      <w:r w:rsidRPr="00FA712F">
        <w:rPr>
          <w:vertAlign w:val="superscript"/>
        </w:rPr>
        <w:t>2</w:t>
      </w:r>
      <w:r w:rsidRPr="00FA712F">
        <w:t>), which compared manual and automated LBC with CC (pers. comm., Dr Annabelle Farnsworth, Douglass Hanly Moir Pathology). To inform the range for sensitivity analysis, in the absence of Australian data, we used an estimates based the systematic review described earlier in this document (‘</w:t>
      </w:r>
      <w:r w:rsidRPr="00FA712F">
        <w:fldChar w:fldCharType="begin"/>
      </w:r>
      <w:r w:rsidRPr="00FA712F">
        <w:instrText xml:space="preserve"> REF _Ref208912444 \h  \* MERGEFORMAT </w:instrText>
      </w:r>
      <w:r w:rsidRPr="00FA712F">
        <w:fldChar w:fldCharType="separate"/>
      </w:r>
      <w:r w:rsidR="007D3DFF" w:rsidRPr="00537C3C">
        <w:t>Unsatisfactory rate</w:t>
      </w:r>
      <w:r w:rsidRPr="00FA712F">
        <w:fldChar w:fldCharType="end"/>
      </w:r>
      <w:r w:rsidRPr="00FA712F">
        <w:t xml:space="preserve">’, page </w:t>
      </w:r>
      <w:r w:rsidRPr="00FA712F">
        <w:fldChar w:fldCharType="begin"/>
      </w:r>
      <w:r w:rsidRPr="00FA712F">
        <w:instrText xml:space="preserve"> PAGEREF _Ref208912444 \h </w:instrText>
      </w:r>
      <w:r w:rsidRPr="00FA712F">
        <w:fldChar w:fldCharType="separate"/>
      </w:r>
      <w:r w:rsidR="007D3DFF">
        <w:rPr>
          <w:noProof/>
        </w:rPr>
        <w:t>32</w:t>
      </w:r>
      <w:r w:rsidRPr="00FA712F">
        <w:fldChar w:fldCharType="end"/>
      </w:r>
      <w:r w:rsidRPr="00FA712F">
        <w:t xml:space="preserve">). Data come principally from a meta-analysis included in a recent Canadian HTA report (CADTH; </w:t>
      </w:r>
      <w:r w:rsidRPr="00FA712F">
        <w:fldChar w:fldCharType="begin"/>
      </w:r>
      <w:r w:rsidRPr="00FA712F">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FA712F">
        <w:fldChar w:fldCharType="separate"/>
      </w:r>
      <w:r w:rsidRPr="00FA712F">
        <w:t>Krahn et al. 2008)</w:t>
      </w:r>
      <w:r w:rsidRPr="00FA712F">
        <w:fldChar w:fldCharType="end"/>
      </w:r>
      <w:r w:rsidRPr="00FA712F">
        <w:t xml:space="preserve">, and from two more recent studies </w:t>
      </w:r>
      <w:r w:rsidRPr="00FA712F">
        <w:fldChar w:fldCharType="begin"/>
      </w:r>
      <w:r w:rsidRPr="00FA712F">
        <w:instrText xml:space="preserve"> ADDIN REFMGR.CITE &lt;Refman&gt;&lt;Cite&gt;&lt;Author&gt;Ronco&lt;/Author&gt;&lt;Year&gt;2007&lt;/Year&gt;&lt;RecNum&gt;66&lt;/RecNum&gt;&lt;IDText&gt;Accuracy of liquid based versus conventional cytology: Overall results of new technologies for cervical cancer screening: Randomised controlled trial&lt;/IDText&gt;&lt;MDL Ref_Type="Journal"&gt;&lt;Ref_Type&gt;Journal&lt;/Ref_Type&gt;&lt;Ref_ID&gt;66&lt;/Ref_ID&gt;&lt;Title_Primary&gt;Accuracy of liquid based versus conventional cytology: Overall results of new technologies for cervical cancer screening: Randomised controlled trial&lt;/Title_Primary&gt;&lt;Authors_Primary&gt;Ronco,G.&lt;/Authors_Primary&gt;&lt;Authors_Primary&gt;Cuzick,J.&lt;/Authors_Primary&gt;&lt;Authors_Primary&gt;Pierotti,P.&lt;/Authors_Primary&gt;&lt;Authors_Primary&gt;Cariaggi,M.P.&lt;/Authors_Primary&gt;&lt;Authors_Primary&gt;Palma,P.D.&lt;/Authors_Primary&gt;&lt;Authors_Primary&gt;Naldoni,C.&lt;/Authors_Primary&gt;&lt;Authors_Primary&gt;Ghiringhello,B.&lt;/Authors_Primary&gt;&lt;Authors_Primary&gt;Giorgi-Rossi,P.&lt;/Authors_Primary&gt;&lt;Authors_Primary&gt;Minucci,D.&lt;/Authors_Primary&gt;&lt;Authors_Primary&gt;Parisio,F.&lt;/Authors_Primary&gt;&lt;Authors_Primary&gt;Pojer,A.&lt;/Authors_Primary&gt;&lt;Authors_Primary&gt;Schiboni,M.L.&lt;/Authors_Primary&gt;&lt;Authors_Primary&gt;Sintoni,C.&lt;/Authors_Primary&gt;&lt;Authors_Primary&gt;Zorzi,M.&lt;/Authors_Primary&gt;&lt;Authors_Primary&gt;Segnan,N.&lt;/Authors_Primary&gt;&lt;Authors_Primary&gt;Confortini,M.&lt;/Authors_Primary&gt;&lt;Date_Primary&gt;2007&lt;/Date_Primary&gt;&lt;Keywords&gt;adult&lt;/Keywords&gt;&lt;Keywords&gt;article&lt;/Keywords&gt;&lt;Keywords&gt;cancer cytodiagnosis&lt;/Keywords&gt;&lt;Keywords&gt;cancer screening&lt;/Keywords&gt;&lt;Keywords&gt;clinical laboratory&lt;/Keywords&gt;&lt;Keywords&gt;clinical trial&lt;/Keywords&gt;&lt;Keywords&gt;colposcopy&lt;/Keywords&gt;&lt;Keywords&gt;controlled clinical trial&lt;/Keywords&gt;&lt;Keywords&gt;controlled study&lt;/Keywords&gt;&lt;Keywords&gt;diagnostic accuracy&lt;/Keywords&gt;&lt;Keywords&gt;female&lt;/Keywords&gt;&lt;Keywords&gt;health program&lt;/Keywords&gt;&lt;Keywords&gt;human&lt;/Keywords&gt;&lt;Keywords&gt;human cell&lt;/Keywords&gt;&lt;Keywords&gt;intermethod comparison&lt;/Keywords&gt;&lt;Keywords&gt;Italy&lt;/Keywords&gt;&lt;Keywords&gt;liquid based cytology&lt;/Keywords&gt;&lt;Keywords&gt;major clinical study&lt;/Keywords&gt;&lt;Keywords&gt;medical technology&lt;/Keywords&gt;&lt;Keywords&gt;priority journal&lt;/Keywords&gt;&lt;Keywords&gt;randomized controlled trial&lt;/Keywords&gt;&lt;Keywords&gt;ThinPrep&lt;/Keywords&gt;&lt;Keywords&gt;uterine cervix cancer&lt;/Keywords&gt;&lt;Keywords&gt;uterine cervix cytology&lt;/Keywords&gt;&lt;Keywords&gt;Wart virus&lt;/Keywords&gt;&lt;Reprint&gt;In File&lt;/Reprint&gt;&lt;Start_Page&gt;28&lt;/Start_Page&gt;&lt;End_Page&gt;31&lt;/End_Page&gt;&lt;Periodical&gt;British Medical Journal&lt;/Periodical&gt;&lt;Volume&gt;335&lt;/Volume&gt;&lt;Issue&gt;7609&lt;/Issue&gt;&lt;ISSN_ISBN&gt;0959-8146&lt;/ISSN_ISBN&gt;&lt;Address&gt;Ronco, G., Unit of Cancer Epidemiology, Centre for Cancer Prevention, 10123 Turin, Italy&lt;/Address&gt;&lt;ZZ_JournalFull&gt;&lt;f name="System"&gt;British Medical Journal&lt;/f&gt;&lt;/ZZ_JournalFull&gt;&lt;ZZ_JournalStdAbbrev&gt;&lt;f name="System"&gt;Br.Med.J.&lt;/f&gt;&lt;/ZZ_JournalStdAbbrev&gt;&lt;ZZ_WorkformID&gt;1&lt;/ZZ_WorkformID&gt;&lt;/MDL&gt;&lt;/Cite&gt;&lt;/Refman&gt;</w:instrText>
      </w:r>
      <w:r w:rsidRPr="00FA712F">
        <w:fldChar w:fldCharType="separate"/>
      </w:r>
      <w:r w:rsidRPr="00FA712F">
        <w:t>(Ronco et al. 2007a)</w:t>
      </w:r>
      <w:r w:rsidRPr="00FA712F">
        <w:fldChar w:fldCharType="end"/>
      </w:r>
      <w:r w:rsidRPr="00FA712F">
        <w:t xml:space="preserve"> </w:t>
      </w:r>
      <w:r w:rsidRPr="00FA712F">
        <w:fldChar w:fldCharType="begin"/>
      </w:r>
      <w:r w:rsidRPr="00FA712F">
        <w:instrText xml:space="preserve"> ADDIN REFMGR.CITE &lt;Refman&gt;&lt;Cite&gt;&lt;Author&gt;Bolger&lt;/Author&gt;&lt;Year&gt;2006&lt;/Year&gt;&lt;RecNum&gt;137&lt;/RecNum&gt;&lt;IDText&gt;Implementation and evaluation of a new automated interactive image analysis system&lt;/IDText&gt;&lt;MDL Ref_Type="Journal"&gt;&lt;Ref_Type&gt;Journal&lt;/Ref_Type&gt;&lt;Ref_ID&gt;137&lt;/Ref_ID&gt;&lt;Title_Primary&gt;Implementation and evaluation of a new automated interactive image analysis system&lt;/Title_Primary&gt;&lt;Authors_Primary&gt;Bolger,N.&lt;/Authors_Primary&gt;&lt;Authors_Primary&gt;Heffron,C.&lt;/Authors_Primary&gt;&lt;Authors_Primary&gt;Regan,I.&lt;/Authors_Primary&gt;&lt;Authors_Primary&gt;Sweeney,M.&lt;/Authors_Primary&gt;&lt;Authors_Primary&gt;Kinsella,S.&lt;/Authors_Primary&gt;&lt;Authors_Primary&gt;McKeown,M.&lt;/Authors_Primary&gt;&lt;Authors_Primary&gt;Creighton,G.&lt;/Authors_Primary&gt;&lt;Authors_Primary&gt;Russell,J.&lt;/Authors_Primary&gt;&lt;Authors_Primary&gt;O&amp;apos;Leary,J.&lt;/Authors_Primary&gt;&lt;Date_Primary&gt;2006&lt;/Date_Primary&gt;&lt;Keywords&gt;article&lt;/Keywords&gt;&lt;Keywords&gt;automated pattern recognition&lt;/Keywords&gt;&lt;Keywords&gt;carcinoma&lt;/Keywords&gt;&lt;Keywords&gt;comparative study&lt;/Keywords&gt;&lt;Keywords&gt;diagnostic error&lt;/Keywords&gt;&lt;Keywords&gt;evaluation&lt;/Keywords&gt;&lt;Keywords&gt;female&lt;/Keywords&gt;&lt;Keywords&gt;human&lt;/Keywords&gt;&lt;Keywords&gt;image cytometry&lt;/Keywords&gt;&lt;Keywords&gt;laboratory diagnosis&lt;/Keywords&gt;&lt;Keywords&gt;mass screening&lt;/Keywords&gt;&lt;Keywords&gt;methodology&lt;/Keywords&gt;&lt;Keywords&gt;observer variation&lt;/Keywords&gt;&lt;Keywords&gt;pathology&lt;/Keywords&gt;&lt;Keywords&gt;prediction and forecasting&lt;/Keywords&gt;&lt;Keywords&gt;reproducibility&lt;/Keywords&gt;&lt;Keywords&gt;sensitivity and specificity&lt;/Keywords&gt;&lt;Keywords&gt;statistics&lt;/Keywords&gt;&lt;Keywords&gt;uterine cervix&lt;/Keywords&gt;&lt;Keywords&gt;uterine cervix tumor&lt;/Keywords&gt;&lt;Keywords&gt;vagina smear&lt;/Keywords&gt;&lt;Reprint&gt;In File&lt;/Reprint&gt;&lt;Start_Page&gt;483&lt;/Start_Page&gt;&lt;End_Page&gt;491&lt;/End_Page&gt;&lt;Periodical&gt;Acta cytologica.&lt;/Periodical&gt;&lt;Volume&gt;50&lt;/Volume&gt;&lt;Issue&gt;5&lt;/Issue&gt;&lt;ISSN_ISBN&gt;0001-5547&lt;/ISSN_ISBN&gt;&lt;Address&gt;Bolger, N., Department of Cytopathology, Coombe Women&amp;apos;s Hospital, Dublin, Ireland&lt;/Address&gt;&lt;ZZ_JournalFull&gt;&lt;f name="System"&gt;Acta cytologica.&lt;/f&gt;&lt;/ZZ_JournalFull&gt;&lt;ZZ_WorkformID&gt;1&lt;/ZZ_WorkformID&gt;&lt;/MDL&gt;&lt;/Cite&gt;&lt;/Refman&gt;</w:instrText>
      </w:r>
      <w:r w:rsidRPr="00FA712F">
        <w:fldChar w:fldCharType="separate"/>
      </w:r>
      <w:r w:rsidRPr="00FA712F">
        <w:t>(Bolger et al. 2006)</w:t>
      </w:r>
      <w:r w:rsidRPr="00FA712F">
        <w:fldChar w:fldCharType="end"/>
      </w:r>
      <w:r w:rsidRPr="00FA712F">
        <w:t>, not included in that meta-analysis.</w:t>
      </w:r>
    </w:p>
    <w:p w:rsidR="00234376" w:rsidRPr="00537C3C" w:rsidRDefault="00234376" w:rsidP="008E03A7">
      <w:r w:rsidRPr="00537C3C">
        <w:t xml:space="preserve">During sensitivity analyses, we varied sets of rates for all three tests. The sets were constrained in a way such that the unsatisfactory rate of conventional cytology was always the same or greater than that of automated or manual </w:t>
      </w:r>
      <w:r w:rsidRPr="00BB76D8">
        <w:t>LBC</w:t>
      </w:r>
      <w:r w:rsidRPr="00537C3C">
        <w:t>.</w:t>
      </w:r>
    </w:p>
    <w:p w:rsidR="00234376" w:rsidRPr="00537C3C" w:rsidRDefault="00234376" w:rsidP="008E03A7">
      <w:pPr>
        <w:pStyle w:val="Caption"/>
      </w:pPr>
      <w:bookmarkStart w:id="987" w:name="_Ref219607277"/>
      <w:bookmarkStart w:id="988" w:name="_Toc216169949"/>
      <w:bookmarkStart w:id="989" w:name="_Toc95971297"/>
      <w:r w:rsidRPr="00537C3C">
        <w:t xml:space="preserve">Table </w:t>
      </w:r>
      <w:fldSimple w:instr=" SEQ Table \* ARABIC ">
        <w:r w:rsidR="007D3DFF">
          <w:rPr>
            <w:noProof/>
          </w:rPr>
          <w:t>61</w:t>
        </w:r>
      </w:fldSimple>
      <w:bookmarkEnd w:id="987"/>
      <w:r w:rsidRPr="00537C3C">
        <w:tab/>
        <w:t>Model values for rates of unsatisfactory cytology, by test technology</w:t>
      </w:r>
      <w:bookmarkEnd w:id="988"/>
      <w:r w:rsidRPr="00537C3C">
        <w:t>.</w:t>
      </w:r>
      <w:bookmarkEnd w:id="989"/>
    </w:p>
    <w:tbl>
      <w:tblPr>
        <w:tblW w:w="8814" w:type="dxa"/>
        <w:tblInd w:w="766" w:type="dxa"/>
        <w:tblCellMar>
          <w:left w:w="57" w:type="dxa"/>
          <w:right w:w="57" w:type="dxa"/>
        </w:tblCellMar>
        <w:tblLook w:val="01E0" w:firstRow="1" w:lastRow="1" w:firstColumn="1" w:lastColumn="1" w:noHBand="0" w:noVBand="0"/>
      </w:tblPr>
      <w:tblGrid>
        <w:gridCol w:w="1861"/>
        <w:gridCol w:w="1846"/>
        <w:gridCol w:w="1988"/>
        <w:gridCol w:w="3119"/>
      </w:tblGrid>
      <w:tr w:rsidR="00234376" w:rsidRPr="00537C3C">
        <w:tc>
          <w:tcPr>
            <w:tcW w:w="1861" w:type="dxa"/>
            <w:tcBorders>
              <w:top w:val="single" w:sz="4" w:space="0" w:color="auto"/>
              <w:bottom w:val="single" w:sz="4" w:space="0" w:color="auto"/>
            </w:tcBorders>
          </w:tcPr>
          <w:p w:rsidR="00234376" w:rsidRPr="00537C3C" w:rsidRDefault="00234376" w:rsidP="008E03A7">
            <w:pPr>
              <w:pStyle w:val="TableHeading0"/>
            </w:pPr>
            <w:r w:rsidRPr="00537C3C">
              <w:t>Test type</w:t>
            </w:r>
          </w:p>
        </w:tc>
        <w:tc>
          <w:tcPr>
            <w:tcW w:w="1846" w:type="dxa"/>
            <w:tcBorders>
              <w:top w:val="single" w:sz="4" w:space="0" w:color="auto"/>
              <w:bottom w:val="single" w:sz="4" w:space="0" w:color="auto"/>
            </w:tcBorders>
          </w:tcPr>
          <w:p w:rsidR="00234376" w:rsidRPr="00537C3C" w:rsidRDefault="00234376" w:rsidP="008E03A7">
            <w:pPr>
              <w:pStyle w:val="TableHeading0"/>
              <w:jc w:val="center"/>
            </w:pPr>
            <w:r w:rsidRPr="00537C3C">
              <w:t>Unsatisfactory rate used in model</w:t>
            </w:r>
          </w:p>
          <w:p w:rsidR="00234376" w:rsidRPr="00537C3C" w:rsidRDefault="00234376" w:rsidP="008E03A7">
            <w:pPr>
              <w:pStyle w:val="TableText0"/>
              <w:jc w:val="center"/>
            </w:pPr>
            <w:r w:rsidRPr="00537C3C">
              <w:t>%</w:t>
            </w:r>
          </w:p>
        </w:tc>
        <w:tc>
          <w:tcPr>
            <w:tcW w:w="1988" w:type="dxa"/>
            <w:tcBorders>
              <w:top w:val="single" w:sz="4" w:space="0" w:color="auto"/>
              <w:bottom w:val="single" w:sz="4" w:space="0" w:color="auto"/>
            </w:tcBorders>
          </w:tcPr>
          <w:p w:rsidR="00234376" w:rsidRPr="00537C3C" w:rsidRDefault="00234376" w:rsidP="008E03A7">
            <w:pPr>
              <w:pStyle w:val="TableHeading0"/>
              <w:jc w:val="center"/>
            </w:pPr>
            <w:r w:rsidRPr="00537C3C">
              <w:t xml:space="preserve">Range for sensitivity analysis </w:t>
            </w:r>
            <w:r w:rsidRPr="001E6D1E">
              <w:rPr>
                <w:vertAlign w:val="superscript"/>
              </w:rPr>
              <w:t>a</w:t>
            </w:r>
          </w:p>
          <w:p w:rsidR="00234376" w:rsidRPr="00537C3C" w:rsidRDefault="00234376" w:rsidP="008E03A7">
            <w:pPr>
              <w:pStyle w:val="TableText0"/>
              <w:jc w:val="center"/>
            </w:pPr>
            <w:r w:rsidRPr="00537C3C">
              <w:t>%</w:t>
            </w:r>
          </w:p>
        </w:tc>
        <w:tc>
          <w:tcPr>
            <w:tcW w:w="3119" w:type="dxa"/>
            <w:tcBorders>
              <w:top w:val="single" w:sz="4" w:space="0" w:color="auto"/>
              <w:bottom w:val="single" w:sz="4" w:space="0" w:color="auto"/>
            </w:tcBorders>
          </w:tcPr>
          <w:p w:rsidR="00234376" w:rsidRPr="00537C3C" w:rsidRDefault="00234376" w:rsidP="008E03A7">
            <w:pPr>
              <w:pStyle w:val="TableHeading0"/>
            </w:pPr>
            <w:r w:rsidRPr="00537C3C">
              <w:t>Reference</w:t>
            </w:r>
          </w:p>
        </w:tc>
      </w:tr>
      <w:tr w:rsidR="00234376" w:rsidRPr="00537C3C">
        <w:tc>
          <w:tcPr>
            <w:tcW w:w="1861" w:type="dxa"/>
            <w:tcBorders>
              <w:top w:val="single" w:sz="4" w:space="0" w:color="auto"/>
              <w:bottom w:val="single" w:sz="4" w:space="0" w:color="auto"/>
            </w:tcBorders>
          </w:tcPr>
          <w:p w:rsidR="00234376" w:rsidRPr="006C24DD" w:rsidRDefault="00234376" w:rsidP="008E03A7">
            <w:pPr>
              <w:pStyle w:val="TableText0"/>
            </w:pPr>
            <w:r w:rsidRPr="006C24DD">
              <w:t>CC</w:t>
            </w:r>
          </w:p>
        </w:tc>
        <w:tc>
          <w:tcPr>
            <w:tcW w:w="1846" w:type="dxa"/>
            <w:tcBorders>
              <w:top w:val="single" w:sz="4" w:space="0" w:color="auto"/>
              <w:bottom w:val="single" w:sz="4" w:space="0" w:color="auto"/>
            </w:tcBorders>
          </w:tcPr>
          <w:p w:rsidR="00234376" w:rsidRPr="00537C3C" w:rsidRDefault="00234376" w:rsidP="008E03A7">
            <w:pPr>
              <w:pStyle w:val="TableText0"/>
              <w:jc w:val="center"/>
            </w:pPr>
            <w:r w:rsidRPr="00537C3C">
              <w:t>2.2</w:t>
            </w:r>
          </w:p>
        </w:tc>
        <w:tc>
          <w:tcPr>
            <w:tcW w:w="1988" w:type="dxa"/>
            <w:tcBorders>
              <w:top w:val="single" w:sz="4" w:space="0" w:color="auto"/>
              <w:bottom w:val="single" w:sz="4" w:space="0" w:color="auto"/>
            </w:tcBorders>
          </w:tcPr>
          <w:p w:rsidR="00234376" w:rsidRPr="00537C3C" w:rsidRDefault="00234376" w:rsidP="008E03A7">
            <w:pPr>
              <w:pStyle w:val="TableText0"/>
              <w:jc w:val="center"/>
            </w:pPr>
            <w:r w:rsidRPr="00537C3C">
              <w:t>0.5–5.0</w:t>
            </w:r>
          </w:p>
        </w:tc>
        <w:tc>
          <w:tcPr>
            <w:tcW w:w="3119" w:type="dxa"/>
            <w:tcBorders>
              <w:top w:val="single" w:sz="4" w:space="0" w:color="auto"/>
              <w:bottom w:val="single" w:sz="4" w:space="0" w:color="auto"/>
            </w:tcBorders>
          </w:tcPr>
          <w:p w:rsidR="00234376" w:rsidRPr="00537C3C" w:rsidRDefault="00234376" w:rsidP="008E03A7">
            <w:pPr>
              <w:pStyle w:val="TableText0"/>
            </w:pPr>
            <w:r w:rsidRPr="00537C3C">
              <w:t xml:space="preserve">Davey et al. 2007a; data from </w:t>
            </w:r>
            <w:r w:rsidRPr="00BB76D8">
              <w:t>NSW</w:t>
            </w:r>
            <w:r w:rsidRPr="00537C3C">
              <w:t xml:space="preserve"> </w:t>
            </w:r>
            <w:r w:rsidRPr="006C24DD">
              <w:t xml:space="preserve">Pap Test Registry </w:t>
            </w:r>
            <w:r w:rsidRPr="00537C3C">
              <w:t xml:space="preserve">&amp; </w:t>
            </w:r>
            <w:r w:rsidRPr="00BB76D8">
              <w:t>VCCR</w:t>
            </w:r>
          </w:p>
        </w:tc>
      </w:tr>
      <w:tr w:rsidR="00234376" w:rsidRPr="00537C3C">
        <w:tc>
          <w:tcPr>
            <w:tcW w:w="1861" w:type="dxa"/>
            <w:tcBorders>
              <w:top w:val="single" w:sz="4" w:space="0" w:color="auto"/>
              <w:bottom w:val="single" w:sz="4" w:space="0" w:color="auto"/>
            </w:tcBorders>
          </w:tcPr>
          <w:p w:rsidR="00234376" w:rsidRPr="00537C3C" w:rsidRDefault="00234376" w:rsidP="008E03A7">
            <w:pPr>
              <w:pStyle w:val="TableText0"/>
            </w:pPr>
            <w:r w:rsidRPr="00537C3C">
              <w:t xml:space="preserve">Manual </w:t>
            </w:r>
            <w:r w:rsidRPr="00BB76D8">
              <w:t>LBC</w:t>
            </w:r>
          </w:p>
        </w:tc>
        <w:tc>
          <w:tcPr>
            <w:tcW w:w="1846" w:type="dxa"/>
            <w:tcBorders>
              <w:top w:val="single" w:sz="4" w:space="0" w:color="auto"/>
              <w:bottom w:val="single" w:sz="4" w:space="0" w:color="auto"/>
            </w:tcBorders>
          </w:tcPr>
          <w:p w:rsidR="00234376" w:rsidRPr="00537C3C" w:rsidRDefault="00234376" w:rsidP="008E03A7">
            <w:pPr>
              <w:pStyle w:val="TableText0"/>
              <w:jc w:val="center"/>
            </w:pPr>
            <w:r w:rsidRPr="00537C3C">
              <w:t>1.8</w:t>
            </w:r>
          </w:p>
        </w:tc>
        <w:tc>
          <w:tcPr>
            <w:tcW w:w="1988" w:type="dxa"/>
            <w:tcBorders>
              <w:top w:val="single" w:sz="4" w:space="0" w:color="auto"/>
              <w:bottom w:val="single" w:sz="4" w:space="0" w:color="auto"/>
            </w:tcBorders>
          </w:tcPr>
          <w:p w:rsidR="00234376" w:rsidRPr="00537C3C" w:rsidRDefault="00234376" w:rsidP="008E03A7">
            <w:pPr>
              <w:pStyle w:val="TableText0"/>
              <w:jc w:val="center"/>
            </w:pPr>
            <w:r w:rsidRPr="00537C3C">
              <w:t>0.5–2.57</w:t>
            </w:r>
          </w:p>
        </w:tc>
        <w:tc>
          <w:tcPr>
            <w:tcW w:w="3119" w:type="dxa"/>
            <w:tcBorders>
              <w:top w:val="single" w:sz="4" w:space="0" w:color="auto"/>
              <w:bottom w:val="single" w:sz="4" w:space="0" w:color="auto"/>
            </w:tcBorders>
          </w:tcPr>
          <w:p w:rsidR="00234376" w:rsidRPr="00537C3C" w:rsidRDefault="00234376" w:rsidP="008E03A7">
            <w:pPr>
              <w:pStyle w:val="TableText0"/>
            </w:pPr>
            <w:r w:rsidRPr="00537C3C">
              <w:t xml:space="preserve">Davey et al. 2007a; Bolger et al. 2006; pilot study in DHM </w:t>
            </w:r>
            <w:r w:rsidRPr="006C24DD">
              <w:rPr>
                <w:vertAlign w:val="superscript"/>
              </w:rPr>
              <w:t>b</w:t>
            </w:r>
            <w:r w:rsidRPr="00537C3C">
              <w:t>; Ronco et al. 2007</w:t>
            </w:r>
          </w:p>
        </w:tc>
      </w:tr>
      <w:tr w:rsidR="00234376" w:rsidRPr="00537C3C">
        <w:tc>
          <w:tcPr>
            <w:tcW w:w="1861" w:type="dxa"/>
            <w:tcBorders>
              <w:top w:val="single" w:sz="4" w:space="0" w:color="auto"/>
              <w:bottom w:val="single" w:sz="4" w:space="0" w:color="auto"/>
            </w:tcBorders>
          </w:tcPr>
          <w:p w:rsidR="00234376" w:rsidRPr="00537C3C" w:rsidRDefault="00234376" w:rsidP="008E03A7">
            <w:pPr>
              <w:pStyle w:val="TableText0"/>
            </w:pPr>
            <w:r w:rsidRPr="00537C3C">
              <w:t xml:space="preserve">Automated </w:t>
            </w:r>
            <w:r w:rsidRPr="00BB76D8">
              <w:t>LBC</w:t>
            </w:r>
          </w:p>
        </w:tc>
        <w:tc>
          <w:tcPr>
            <w:tcW w:w="1846" w:type="dxa"/>
            <w:tcBorders>
              <w:top w:val="single" w:sz="4" w:space="0" w:color="auto"/>
              <w:bottom w:val="single" w:sz="4" w:space="0" w:color="auto"/>
            </w:tcBorders>
          </w:tcPr>
          <w:p w:rsidR="00234376" w:rsidRPr="00537C3C" w:rsidRDefault="00234376" w:rsidP="008E03A7">
            <w:pPr>
              <w:pStyle w:val="TableText0"/>
              <w:jc w:val="center"/>
            </w:pPr>
            <w:r w:rsidRPr="00537C3C">
              <w:t>1.8</w:t>
            </w:r>
          </w:p>
        </w:tc>
        <w:tc>
          <w:tcPr>
            <w:tcW w:w="1988" w:type="dxa"/>
            <w:tcBorders>
              <w:top w:val="single" w:sz="4" w:space="0" w:color="auto"/>
              <w:bottom w:val="single" w:sz="4" w:space="0" w:color="auto"/>
            </w:tcBorders>
          </w:tcPr>
          <w:p w:rsidR="00234376" w:rsidRPr="00537C3C" w:rsidRDefault="00234376" w:rsidP="008E03A7">
            <w:pPr>
              <w:pStyle w:val="TableText0"/>
              <w:jc w:val="center"/>
            </w:pPr>
            <w:r w:rsidRPr="00537C3C">
              <w:t>0.5–2.0</w:t>
            </w:r>
          </w:p>
        </w:tc>
        <w:tc>
          <w:tcPr>
            <w:tcW w:w="3119" w:type="dxa"/>
            <w:tcBorders>
              <w:top w:val="single" w:sz="4" w:space="0" w:color="auto"/>
              <w:bottom w:val="single" w:sz="4" w:space="0" w:color="auto"/>
            </w:tcBorders>
          </w:tcPr>
          <w:p w:rsidR="00234376" w:rsidRPr="00537C3C" w:rsidRDefault="00234376" w:rsidP="008E03A7">
            <w:pPr>
              <w:pStyle w:val="TableText0"/>
            </w:pPr>
            <w:r w:rsidRPr="00537C3C">
              <w:t>Davey et al. 2007a; Bolger et al. 2006; pilot study in DHM</w:t>
            </w:r>
          </w:p>
        </w:tc>
      </w:tr>
    </w:tbl>
    <w:p w:rsidR="00234376" w:rsidRDefault="00234376" w:rsidP="00234376">
      <w:pPr>
        <w:spacing w:after="120"/>
        <w:rPr>
          <w:rFonts w:cs="Arial"/>
          <w:bCs/>
          <w:sz w:val="20"/>
        </w:rPr>
      </w:pPr>
      <w:r w:rsidRPr="001E6D1E">
        <w:rPr>
          <w:rFonts w:cs="Arial"/>
          <w:bCs/>
          <w:sz w:val="20"/>
          <w:vertAlign w:val="superscript"/>
        </w:rPr>
        <w:t xml:space="preserve">a </w:t>
      </w:r>
      <w:r w:rsidRPr="00537C3C">
        <w:rPr>
          <w:rFonts w:cs="Arial"/>
          <w:bCs/>
          <w:sz w:val="20"/>
        </w:rPr>
        <w:t xml:space="preserve">Within these ranges, the sensitivity analysis of the relative performance of the test technologies was constrained such that the unsatisfactory rate of </w:t>
      </w:r>
      <w:r w:rsidRPr="006C24DD">
        <w:rPr>
          <w:rFonts w:cs="Arial"/>
          <w:bCs/>
          <w:sz w:val="20"/>
        </w:rPr>
        <w:t>CC</w:t>
      </w:r>
      <w:r w:rsidRPr="00537C3C">
        <w:rPr>
          <w:rFonts w:cs="Arial"/>
          <w:bCs/>
          <w:sz w:val="20"/>
        </w:rPr>
        <w:t xml:space="preserve"> was always ≥ the unsatisfactory rate of manual or automated </w:t>
      </w:r>
      <w:r w:rsidRPr="00BB76D8">
        <w:rPr>
          <w:rFonts w:cs="Arial"/>
          <w:bCs/>
          <w:sz w:val="20"/>
        </w:rPr>
        <w:t>LBC</w:t>
      </w:r>
      <w:r w:rsidRPr="00537C3C">
        <w:rPr>
          <w:rFonts w:cs="Arial"/>
          <w:bCs/>
          <w:sz w:val="20"/>
        </w:rPr>
        <w:t>.</w:t>
      </w:r>
    </w:p>
    <w:p w:rsidR="00234376" w:rsidRPr="00537C3C" w:rsidRDefault="00234376" w:rsidP="008E03A7">
      <w:pPr>
        <w:spacing w:after="120"/>
        <w:jc w:val="both"/>
        <w:rPr>
          <w:rFonts w:cs="Arial"/>
          <w:bCs/>
        </w:rPr>
      </w:pPr>
      <w:r w:rsidRPr="001E6D1E">
        <w:rPr>
          <w:rFonts w:cs="Arial"/>
          <w:bCs/>
          <w:sz w:val="20"/>
          <w:vertAlign w:val="superscript"/>
        </w:rPr>
        <w:t>b</w:t>
      </w:r>
      <w:r w:rsidRPr="00537C3C">
        <w:rPr>
          <w:rFonts w:cs="Arial"/>
          <w:bCs/>
          <w:sz w:val="20"/>
        </w:rPr>
        <w:t xml:space="preserve"> Douglass Hanly Moir Laboratories, </w:t>
      </w:r>
      <w:smartTag w:uri="urn:schemas-microsoft-com:office:smarttags" w:element="place">
        <w:smartTag w:uri="urn:schemas-microsoft-com:office:smarttags" w:element="City">
          <w:r w:rsidRPr="00537C3C">
            <w:rPr>
              <w:rFonts w:cs="Arial"/>
              <w:bCs/>
              <w:sz w:val="20"/>
            </w:rPr>
            <w:t>Sydney</w:t>
          </w:r>
        </w:smartTag>
      </w:smartTag>
      <w:r w:rsidRPr="00537C3C">
        <w:rPr>
          <w:rFonts w:cs="Arial"/>
          <w:bCs/>
          <w:sz w:val="20"/>
        </w:rPr>
        <w:t>.</w:t>
      </w:r>
    </w:p>
    <w:p w:rsidR="007F4391" w:rsidRDefault="007F4391" w:rsidP="007F4391">
      <w:bookmarkStart w:id="990" w:name="_Toc216169875"/>
      <w:bookmarkStart w:id="991" w:name="_Toc216170248"/>
      <w:bookmarkStart w:id="992" w:name="_Toc219865823"/>
      <w:bookmarkStart w:id="993" w:name="_Toc219866031"/>
      <w:bookmarkStart w:id="994" w:name="_Toc219880671"/>
      <w:bookmarkStart w:id="995" w:name="_Toc220144585"/>
      <w:bookmarkStart w:id="996" w:name="_Toc95971116"/>
      <w:r w:rsidRPr="00A86459">
        <w:t xml:space="preserve">Modelling assumed that all unsatisfactory tests were repeated immediately (no non-compliance), before any natural history progressions or regressions were applied, and that all </w:t>
      </w:r>
      <w:r>
        <w:t>repeat tests were satisfactory.</w:t>
      </w:r>
    </w:p>
    <w:p w:rsidR="00234376" w:rsidRPr="00537C3C" w:rsidRDefault="00234376" w:rsidP="008E03A7">
      <w:pPr>
        <w:pStyle w:val="Heading2"/>
      </w:pPr>
      <w:bookmarkStart w:id="997" w:name="_Toc231895824"/>
      <w:bookmarkStart w:id="998" w:name="_Toc241658214"/>
      <w:r w:rsidRPr="00537C3C">
        <w:t>Test characteristics—colposcopy</w:t>
      </w:r>
      <w:bookmarkEnd w:id="990"/>
      <w:bookmarkEnd w:id="991"/>
      <w:bookmarkEnd w:id="992"/>
      <w:bookmarkEnd w:id="993"/>
      <w:bookmarkEnd w:id="994"/>
      <w:bookmarkEnd w:id="995"/>
      <w:bookmarkEnd w:id="996"/>
      <w:bookmarkEnd w:id="997"/>
      <w:bookmarkEnd w:id="998"/>
    </w:p>
    <w:p w:rsidR="00234376" w:rsidRDefault="00234376" w:rsidP="00234376">
      <w:r w:rsidRPr="00537C3C">
        <w:t xml:space="preserve">We derived a test probability matrix for colposcopy based on data on over 21 000 colposcopies supplied by the Royal Women’s Hospital in </w:t>
      </w:r>
      <w:smartTag w:uri="urn:schemas-microsoft-com:office:smarttags" w:element="State">
        <w:r w:rsidRPr="00537C3C">
          <w:t>Victoria</w:t>
        </w:r>
      </w:smartTag>
      <w:r w:rsidRPr="00537C3C">
        <w:t xml:space="preserve"> (pers. comm., Dr Jeffrey Tan, Royal Women’s Hospital, </w:t>
      </w:r>
      <w:smartTag w:uri="urn:schemas-microsoft-com:office:smarttags" w:element="place">
        <w:smartTag w:uri="urn:schemas-microsoft-com:office:smarttags" w:element="City">
          <w:r w:rsidRPr="00537C3C">
            <w:t>Melbourne</w:t>
          </w:r>
        </w:smartTag>
      </w:smartTag>
      <w:r w:rsidRPr="00537C3C">
        <w:t xml:space="preserve">). This specifies the relationship between each possible underlying natural history health state at the time of testing and the colposcopy result. In the model, this information was used to specify the probability that a biopsy would be taken, according to the underlying health state: 88.4 per cent for the </w:t>
      </w:r>
      <w:r w:rsidRPr="00BB76D8">
        <w:t>CIN</w:t>
      </w:r>
      <w:r w:rsidRPr="00537C3C">
        <w:t xml:space="preserve"> 2–3 threshold and 76.5 per cent for </w:t>
      </w:r>
      <w:r w:rsidRPr="00BB76D8">
        <w:t>CIN</w:t>
      </w:r>
      <w:r w:rsidRPr="00537C3C">
        <w:t xml:space="preserve"> 1 (after exclusion of unsatisfactory colposcopy results) (</w:t>
      </w:r>
      <w:r w:rsidRPr="00537C3C">
        <w:fldChar w:fldCharType="begin"/>
      </w:r>
      <w:r w:rsidRPr="00537C3C">
        <w:instrText xml:space="preserve"> REF _Ref95891577 \h </w:instrText>
      </w:r>
      <w:r w:rsidRPr="00537C3C">
        <w:fldChar w:fldCharType="separate"/>
      </w:r>
      <w:r w:rsidR="007D3DFF" w:rsidRPr="00537C3C">
        <w:t xml:space="preserve">Table </w:t>
      </w:r>
      <w:r w:rsidR="007D3DFF">
        <w:rPr>
          <w:noProof/>
        </w:rPr>
        <w:t>62</w:t>
      </w:r>
      <w:r w:rsidRPr="00537C3C">
        <w:fldChar w:fldCharType="end"/>
      </w:r>
      <w:r w:rsidRPr="00537C3C">
        <w:t>).</w:t>
      </w:r>
    </w:p>
    <w:p w:rsidR="00234376" w:rsidRPr="00537C3C" w:rsidRDefault="00234376" w:rsidP="008E03A7">
      <w:pPr>
        <w:pStyle w:val="Caption"/>
      </w:pPr>
      <w:bookmarkStart w:id="999" w:name="_Ref95891577"/>
      <w:bookmarkStart w:id="1000" w:name="_Toc216169950"/>
      <w:bookmarkStart w:id="1001" w:name="_Toc95971298"/>
      <w:r w:rsidRPr="00537C3C">
        <w:lastRenderedPageBreak/>
        <w:t xml:space="preserve">Table </w:t>
      </w:r>
      <w:fldSimple w:instr=" SEQ Table \* ARABIC ">
        <w:r w:rsidR="007D3DFF">
          <w:rPr>
            <w:noProof/>
          </w:rPr>
          <w:t>62</w:t>
        </w:r>
      </w:fldSimple>
      <w:bookmarkEnd w:id="999"/>
      <w:r w:rsidRPr="00537C3C">
        <w:tab/>
        <w:t>Modelled test characteristics—colposcopy</w:t>
      </w:r>
      <w:bookmarkEnd w:id="1000"/>
      <w:r w:rsidRPr="00537C3C">
        <w:t>.</w:t>
      </w:r>
      <w:bookmarkEnd w:id="1001"/>
    </w:p>
    <w:tbl>
      <w:tblPr>
        <w:tblW w:w="3227" w:type="pct"/>
        <w:tblInd w:w="801" w:type="dxa"/>
        <w:tblLayout w:type="fixed"/>
        <w:tblLook w:val="0000" w:firstRow="0" w:lastRow="0" w:firstColumn="0" w:lastColumn="0" w:noHBand="0" w:noVBand="0"/>
      </w:tblPr>
      <w:tblGrid>
        <w:gridCol w:w="1701"/>
        <w:gridCol w:w="4264"/>
      </w:tblGrid>
      <w:tr w:rsidR="00234376" w:rsidRPr="00537C3C">
        <w:trPr>
          <w:trHeight w:val="245"/>
        </w:trPr>
        <w:tc>
          <w:tcPr>
            <w:tcW w:w="1426" w:type="pct"/>
            <w:tcBorders>
              <w:top w:val="single" w:sz="4" w:space="0" w:color="auto"/>
              <w:bottom w:val="single" w:sz="4" w:space="0" w:color="auto"/>
            </w:tcBorders>
          </w:tcPr>
          <w:p w:rsidR="00234376" w:rsidRPr="00537C3C" w:rsidRDefault="00234376" w:rsidP="008E03A7">
            <w:pPr>
              <w:pStyle w:val="TableHeading"/>
            </w:pPr>
            <w:r w:rsidRPr="00537C3C">
              <w:t>Model health state</w:t>
            </w:r>
          </w:p>
        </w:tc>
        <w:tc>
          <w:tcPr>
            <w:tcW w:w="3574" w:type="pct"/>
            <w:tcBorders>
              <w:top w:val="single" w:sz="4" w:space="0" w:color="auto"/>
              <w:bottom w:val="single" w:sz="4" w:space="0" w:color="auto"/>
            </w:tcBorders>
          </w:tcPr>
          <w:p w:rsidR="00234376" w:rsidRDefault="00234376" w:rsidP="00234376">
            <w:pPr>
              <w:pStyle w:val="TableHeading"/>
              <w:jc w:val="center"/>
            </w:pPr>
            <w:r w:rsidRPr="00537C3C">
              <w:t>Probability that a biopsy will be taken at colposcopy</w:t>
            </w:r>
            <w:r w:rsidRPr="00537C3C">
              <w:br/>
              <w:t>(%)</w:t>
            </w:r>
          </w:p>
        </w:tc>
      </w:tr>
      <w:tr w:rsidR="00234376" w:rsidRPr="00537C3C">
        <w:trPr>
          <w:trHeight w:val="243"/>
        </w:trPr>
        <w:tc>
          <w:tcPr>
            <w:tcW w:w="1426" w:type="pct"/>
            <w:tcBorders>
              <w:top w:val="single" w:sz="4" w:space="0" w:color="auto"/>
            </w:tcBorders>
          </w:tcPr>
          <w:p w:rsidR="00234376" w:rsidRPr="00537C3C" w:rsidRDefault="00234376" w:rsidP="008E03A7">
            <w:pPr>
              <w:pStyle w:val="TableTextLessSpaceCharCharCharCharCharCharCharChar"/>
            </w:pPr>
            <w:smartTag w:uri="urn:schemas-microsoft-com:office:smarttags" w:element="place">
              <w:smartTag w:uri="urn:schemas-microsoft-com:office:smarttags" w:element="City">
                <w:r w:rsidRPr="00537C3C">
                  <w:t>Normal</w:t>
                </w:r>
              </w:smartTag>
            </w:smartTag>
          </w:p>
        </w:tc>
        <w:tc>
          <w:tcPr>
            <w:tcW w:w="3574" w:type="pct"/>
            <w:tcBorders>
              <w:top w:val="single" w:sz="4" w:space="0" w:color="auto"/>
            </w:tcBorders>
          </w:tcPr>
          <w:p w:rsidR="00234376" w:rsidRDefault="00234376" w:rsidP="00234376">
            <w:pPr>
              <w:pStyle w:val="TableTextLessSpaceCharCharCharCharCharCharCharChar"/>
              <w:jc w:val="center"/>
            </w:pPr>
            <w:r w:rsidRPr="00537C3C">
              <w:t>50.2%</w:t>
            </w:r>
          </w:p>
        </w:tc>
      </w:tr>
      <w:tr w:rsidR="00234376" w:rsidRPr="00537C3C">
        <w:trPr>
          <w:trHeight w:val="243"/>
        </w:trPr>
        <w:tc>
          <w:tcPr>
            <w:tcW w:w="1426" w:type="pct"/>
          </w:tcPr>
          <w:p w:rsidR="00234376" w:rsidRPr="00537C3C" w:rsidRDefault="00234376" w:rsidP="008E03A7">
            <w:pPr>
              <w:pStyle w:val="TableTextLessSpaceCharCharCharCharCharCharCharChar"/>
            </w:pPr>
            <w:r w:rsidRPr="00BB76D8">
              <w:t>HPV</w:t>
            </w:r>
          </w:p>
        </w:tc>
        <w:tc>
          <w:tcPr>
            <w:tcW w:w="3574" w:type="pct"/>
          </w:tcPr>
          <w:p w:rsidR="00234376" w:rsidRDefault="00234376" w:rsidP="00234376">
            <w:pPr>
              <w:pStyle w:val="TableTextLessSpaceCharCharCharCharCharCharCharChar"/>
              <w:jc w:val="center"/>
            </w:pPr>
            <w:r w:rsidRPr="00537C3C">
              <w:t>50.2%</w:t>
            </w:r>
          </w:p>
        </w:tc>
      </w:tr>
      <w:tr w:rsidR="00234376" w:rsidRPr="00537C3C">
        <w:trPr>
          <w:trHeight w:val="243"/>
        </w:trPr>
        <w:tc>
          <w:tcPr>
            <w:tcW w:w="1426" w:type="pct"/>
          </w:tcPr>
          <w:p w:rsidR="00234376" w:rsidRPr="00537C3C" w:rsidRDefault="00234376" w:rsidP="008E03A7">
            <w:pPr>
              <w:pStyle w:val="TableTextLessSpaceCharCharCharCharCharCharCharChar"/>
            </w:pPr>
            <w:r w:rsidRPr="00BB76D8">
              <w:t>CIN</w:t>
            </w:r>
            <w:r w:rsidRPr="00537C3C">
              <w:t xml:space="preserve"> 1</w:t>
            </w:r>
          </w:p>
        </w:tc>
        <w:tc>
          <w:tcPr>
            <w:tcW w:w="3574" w:type="pct"/>
          </w:tcPr>
          <w:p w:rsidR="00234376" w:rsidRDefault="00234376" w:rsidP="00234376">
            <w:pPr>
              <w:pStyle w:val="TableTextLessSpaceCharCharCharCharCharCharCharChar"/>
              <w:jc w:val="center"/>
            </w:pPr>
            <w:r w:rsidRPr="00537C3C">
              <w:t>76.5%</w:t>
            </w:r>
          </w:p>
        </w:tc>
      </w:tr>
      <w:tr w:rsidR="00234376" w:rsidRPr="00537C3C">
        <w:trPr>
          <w:trHeight w:val="243"/>
        </w:trPr>
        <w:tc>
          <w:tcPr>
            <w:tcW w:w="1426" w:type="pct"/>
          </w:tcPr>
          <w:p w:rsidR="00234376" w:rsidRPr="00537C3C" w:rsidRDefault="00234376" w:rsidP="008E03A7">
            <w:pPr>
              <w:pStyle w:val="TableTextLessSpaceCharCharCharCharCharCharCharChar"/>
            </w:pPr>
            <w:r w:rsidRPr="00BB76D8">
              <w:t>CIN</w:t>
            </w:r>
            <w:r w:rsidRPr="00537C3C">
              <w:t xml:space="preserve"> 2</w:t>
            </w:r>
          </w:p>
        </w:tc>
        <w:tc>
          <w:tcPr>
            <w:tcW w:w="3574" w:type="pct"/>
          </w:tcPr>
          <w:p w:rsidR="00234376" w:rsidRDefault="00234376" w:rsidP="00234376">
            <w:pPr>
              <w:pStyle w:val="TableTextLessSpaceCharCharCharCharCharCharCharChar"/>
              <w:jc w:val="center"/>
            </w:pPr>
            <w:r w:rsidRPr="00537C3C">
              <w:t>88.4%</w:t>
            </w:r>
          </w:p>
        </w:tc>
      </w:tr>
      <w:tr w:rsidR="00234376" w:rsidRPr="00537C3C">
        <w:trPr>
          <w:trHeight w:val="243"/>
        </w:trPr>
        <w:tc>
          <w:tcPr>
            <w:tcW w:w="1426" w:type="pct"/>
            <w:tcBorders>
              <w:bottom w:val="single" w:sz="4" w:space="0" w:color="auto"/>
            </w:tcBorders>
          </w:tcPr>
          <w:p w:rsidR="00234376" w:rsidRPr="00537C3C" w:rsidRDefault="00234376" w:rsidP="008E03A7">
            <w:pPr>
              <w:pStyle w:val="TableTextLessSpaceCharCharCharCharCharCharCharChar"/>
            </w:pPr>
            <w:r w:rsidRPr="00BB76D8">
              <w:t>CIN</w:t>
            </w:r>
            <w:r w:rsidRPr="00537C3C">
              <w:t xml:space="preserve"> 3+</w:t>
            </w:r>
          </w:p>
        </w:tc>
        <w:tc>
          <w:tcPr>
            <w:tcW w:w="3574" w:type="pct"/>
            <w:tcBorders>
              <w:bottom w:val="single" w:sz="4" w:space="0" w:color="auto"/>
            </w:tcBorders>
          </w:tcPr>
          <w:p w:rsidR="00234376" w:rsidRDefault="00234376" w:rsidP="00234376">
            <w:pPr>
              <w:pStyle w:val="TableTextLessSpaceCharCharCharCharCharCharCharChar"/>
              <w:jc w:val="center"/>
            </w:pPr>
            <w:r w:rsidRPr="00537C3C">
              <w:t>88.4%</w:t>
            </w:r>
          </w:p>
        </w:tc>
      </w:tr>
    </w:tbl>
    <w:p w:rsidR="00234376" w:rsidRPr="00537C3C" w:rsidRDefault="00234376" w:rsidP="008E03A7">
      <w:pPr>
        <w:spacing w:after="120"/>
        <w:jc w:val="both"/>
      </w:pPr>
    </w:p>
    <w:p w:rsidR="00234376" w:rsidRDefault="00234376" w:rsidP="00234376">
      <w:r w:rsidRPr="00537C3C">
        <w:t>The data from the Royal Women’s Hospital were also used to derive an age-specific probability of unsatisfactory colposcopy (</w:t>
      </w:r>
      <w:r>
        <w:fldChar w:fldCharType="begin"/>
      </w:r>
      <w:r>
        <w:instrText xml:space="preserve"> REF _Ref213487861 \h  \* MERGEFORMAT </w:instrText>
      </w:r>
      <w:r>
        <w:fldChar w:fldCharType="separate"/>
      </w:r>
      <w:r w:rsidR="007D3DFF" w:rsidRPr="00537C3C">
        <w:t xml:space="preserve">Table </w:t>
      </w:r>
      <w:r w:rsidR="007D3DFF">
        <w:rPr>
          <w:noProof/>
        </w:rPr>
        <w:t>63</w:t>
      </w:r>
      <w:r>
        <w:fldChar w:fldCharType="end"/>
      </w:r>
      <w:r w:rsidRPr="00537C3C">
        <w:t>), which was used in the model.</w:t>
      </w:r>
    </w:p>
    <w:p w:rsidR="00234376" w:rsidRPr="00537C3C" w:rsidRDefault="00234376" w:rsidP="008E03A7">
      <w:pPr>
        <w:pStyle w:val="Caption"/>
      </w:pPr>
      <w:bookmarkStart w:id="1002" w:name="_Ref213487861"/>
      <w:bookmarkStart w:id="1003" w:name="_Toc216169951"/>
      <w:bookmarkStart w:id="1004" w:name="_Toc95971299"/>
      <w:r w:rsidRPr="00537C3C">
        <w:t xml:space="preserve">Table </w:t>
      </w:r>
      <w:fldSimple w:instr=" SEQ Table \* ARABIC ">
        <w:r w:rsidR="007D3DFF">
          <w:rPr>
            <w:noProof/>
          </w:rPr>
          <w:t>63</w:t>
        </w:r>
      </w:fldSimple>
      <w:bookmarkEnd w:id="1002"/>
      <w:r w:rsidRPr="00537C3C">
        <w:tab/>
        <w:t>Probability that colposcopy will be unsatisfactory—modelled values</w:t>
      </w:r>
      <w:bookmarkEnd w:id="1003"/>
      <w:r w:rsidRPr="00537C3C">
        <w:t>.</w:t>
      </w:r>
      <w:bookmarkEnd w:id="1004"/>
    </w:p>
    <w:tbl>
      <w:tblPr>
        <w:tblW w:w="0" w:type="auto"/>
        <w:tblInd w:w="801" w:type="dxa"/>
        <w:tblLook w:val="01E0" w:firstRow="1" w:lastRow="1" w:firstColumn="1" w:lastColumn="1" w:noHBand="0" w:noVBand="0"/>
      </w:tblPr>
      <w:tblGrid>
        <w:gridCol w:w="1089"/>
        <w:gridCol w:w="4678"/>
      </w:tblGrid>
      <w:tr w:rsidR="00234376" w:rsidRPr="00537C3C">
        <w:tc>
          <w:tcPr>
            <w:tcW w:w="1089" w:type="dxa"/>
            <w:tcBorders>
              <w:top w:val="single" w:sz="4" w:space="0" w:color="auto"/>
              <w:bottom w:val="single" w:sz="4" w:space="0" w:color="auto"/>
            </w:tcBorders>
          </w:tcPr>
          <w:p w:rsidR="00234376" w:rsidRPr="00537C3C" w:rsidRDefault="00234376" w:rsidP="008E03A7">
            <w:pPr>
              <w:pStyle w:val="TableHeading0"/>
            </w:pPr>
            <w:r w:rsidRPr="00537C3C">
              <w:t>Age</w:t>
            </w:r>
          </w:p>
        </w:tc>
        <w:tc>
          <w:tcPr>
            <w:tcW w:w="4678" w:type="dxa"/>
            <w:tcBorders>
              <w:top w:val="single" w:sz="4" w:space="0" w:color="auto"/>
              <w:bottom w:val="single" w:sz="4" w:space="0" w:color="auto"/>
            </w:tcBorders>
          </w:tcPr>
          <w:p w:rsidR="00234376" w:rsidRPr="00537C3C" w:rsidRDefault="00234376" w:rsidP="008E03A7">
            <w:pPr>
              <w:pStyle w:val="TableHeading0"/>
              <w:jc w:val="center"/>
            </w:pPr>
            <w:r w:rsidRPr="00537C3C">
              <w:t>Probability that colposcopy will be unsatisfactory (%)</w:t>
            </w:r>
          </w:p>
        </w:tc>
      </w:tr>
      <w:tr w:rsidR="00234376" w:rsidRPr="00537C3C">
        <w:tc>
          <w:tcPr>
            <w:tcW w:w="1089" w:type="dxa"/>
            <w:tcBorders>
              <w:top w:val="single" w:sz="4" w:space="0" w:color="auto"/>
            </w:tcBorders>
          </w:tcPr>
          <w:p w:rsidR="00234376" w:rsidRPr="00537C3C" w:rsidRDefault="00234376" w:rsidP="008E03A7">
            <w:pPr>
              <w:pStyle w:val="TableText0"/>
            </w:pPr>
            <w:r w:rsidRPr="00537C3C">
              <w:t>15–24</w:t>
            </w:r>
          </w:p>
        </w:tc>
        <w:tc>
          <w:tcPr>
            <w:tcW w:w="4678" w:type="dxa"/>
            <w:tcBorders>
              <w:top w:val="single" w:sz="4" w:space="0" w:color="auto"/>
            </w:tcBorders>
          </w:tcPr>
          <w:p w:rsidR="00234376" w:rsidRDefault="00234376" w:rsidP="00234376">
            <w:pPr>
              <w:pStyle w:val="TableText0"/>
              <w:tabs>
                <w:tab w:val="decimal" w:pos="2167"/>
              </w:tabs>
            </w:pPr>
            <w:r w:rsidRPr="00537C3C">
              <w:t>2.01</w:t>
            </w:r>
          </w:p>
        </w:tc>
      </w:tr>
      <w:tr w:rsidR="00234376" w:rsidRPr="00537C3C">
        <w:tc>
          <w:tcPr>
            <w:tcW w:w="1089" w:type="dxa"/>
          </w:tcPr>
          <w:p w:rsidR="00234376" w:rsidRPr="00537C3C" w:rsidRDefault="00234376" w:rsidP="008E03A7">
            <w:pPr>
              <w:pStyle w:val="TableText0"/>
            </w:pPr>
            <w:r w:rsidRPr="00537C3C">
              <w:t>25–29</w:t>
            </w:r>
          </w:p>
        </w:tc>
        <w:tc>
          <w:tcPr>
            <w:tcW w:w="4678" w:type="dxa"/>
          </w:tcPr>
          <w:p w:rsidR="00234376" w:rsidRDefault="00234376" w:rsidP="00234376">
            <w:pPr>
              <w:pStyle w:val="TableText0"/>
              <w:tabs>
                <w:tab w:val="decimal" w:pos="2167"/>
              </w:tabs>
            </w:pPr>
            <w:r w:rsidRPr="00537C3C">
              <w:t>2.78</w:t>
            </w:r>
          </w:p>
        </w:tc>
      </w:tr>
      <w:tr w:rsidR="00234376" w:rsidRPr="00537C3C">
        <w:tc>
          <w:tcPr>
            <w:tcW w:w="1089" w:type="dxa"/>
          </w:tcPr>
          <w:p w:rsidR="00234376" w:rsidRPr="00537C3C" w:rsidRDefault="00234376" w:rsidP="008E03A7">
            <w:pPr>
              <w:pStyle w:val="TableText0"/>
            </w:pPr>
            <w:r w:rsidRPr="00537C3C">
              <w:t>30–34</w:t>
            </w:r>
          </w:p>
        </w:tc>
        <w:tc>
          <w:tcPr>
            <w:tcW w:w="4678" w:type="dxa"/>
          </w:tcPr>
          <w:p w:rsidR="00234376" w:rsidRDefault="00234376" w:rsidP="00234376">
            <w:pPr>
              <w:pStyle w:val="TableText0"/>
              <w:tabs>
                <w:tab w:val="decimal" w:pos="2167"/>
              </w:tabs>
            </w:pPr>
            <w:r w:rsidRPr="00537C3C">
              <w:t>6.03</w:t>
            </w:r>
          </w:p>
        </w:tc>
      </w:tr>
      <w:tr w:rsidR="00234376" w:rsidRPr="00537C3C">
        <w:tc>
          <w:tcPr>
            <w:tcW w:w="1089" w:type="dxa"/>
          </w:tcPr>
          <w:p w:rsidR="00234376" w:rsidRPr="00537C3C" w:rsidRDefault="00234376" w:rsidP="008E03A7">
            <w:pPr>
              <w:pStyle w:val="TableText0"/>
            </w:pPr>
            <w:r w:rsidRPr="00537C3C">
              <w:t>35–39</w:t>
            </w:r>
          </w:p>
        </w:tc>
        <w:tc>
          <w:tcPr>
            <w:tcW w:w="4678" w:type="dxa"/>
          </w:tcPr>
          <w:p w:rsidR="00234376" w:rsidRDefault="00234376" w:rsidP="00234376">
            <w:pPr>
              <w:pStyle w:val="TableText0"/>
              <w:tabs>
                <w:tab w:val="decimal" w:pos="2167"/>
              </w:tabs>
            </w:pPr>
            <w:r w:rsidRPr="00537C3C">
              <w:t>7.5</w:t>
            </w:r>
          </w:p>
        </w:tc>
      </w:tr>
      <w:tr w:rsidR="00234376" w:rsidRPr="00537C3C">
        <w:tc>
          <w:tcPr>
            <w:tcW w:w="1089" w:type="dxa"/>
          </w:tcPr>
          <w:p w:rsidR="00234376" w:rsidRPr="00537C3C" w:rsidRDefault="00234376" w:rsidP="008E03A7">
            <w:pPr>
              <w:pStyle w:val="TableText0"/>
            </w:pPr>
            <w:r w:rsidRPr="00537C3C">
              <w:t>40–44</w:t>
            </w:r>
          </w:p>
        </w:tc>
        <w:tc>
          <w:tcPr>
            <w:tcW w:w="4678" w:type="dxa"/>
          </w:tcPr>
          <w:p w:rsidR="00234376" w:rsidRDefault="00234376" w:rsidP="00234376">
            <w:pPr>
              <w:pStyle w:val="TableText0"/>
              <w:tabs>
                <w:tab w:val="decimal" w:pos="2167"/>
              </w:tabs>
            </w:pPr>
            <w:r w:rsidRPr="00537C3C">
              <w:t>12.56</w:t>
            </w:r>
          </w:p>
        </w:tc>
      </w:tr>
      <w:tr w:rsidR="00234376" w:rsidRPr="00537C3C">
        <w:tc>
          <w:tcPr>
            <w:tcW w:w="1089" w:type="dxa"/>
          </w:tcPr>
          <w:p w:rsidR="00234376" w:rsidRPr="00537C3C" w:rsidRDefault="00234376" w:rsidP="008E03A7">
            <w:pPr>
              <w:pStyle w:val="TableText0"/>
            </w:pPr>
            <w:r w:rsidRPr="00537C3C">
              <w:t>45–49</w:t>
            </w:r>
          </w:p>
        </w:tc>
        <w:tc>
          <w:tcPr>
            <w:tcW w:w="4678" w:type="dxa"/>
          </w:tcPr>
          <w:p w:rsidR="00234376" w:rsidRDefault="00234376" w:rsidP="00234376">
            <w:pPr>
              <w:pStyle w:val="TableText0"/>
              <w:tabs>
                <w:tab w:val="decimal" w:pos="2167"/>
              </w:tabs>
            </w:pPr>
            <w:r w:rsidRPr="00537C3C">
              <w:t>19.58</w:t>
            </w:r>
          </w:p>
        </w:tc>
      </w:tr>
      <w:tr w:rsidR="00234376" w:rsidRPr="00537C3C">
        <w:tc>
          <w:tcPr>
            <w:tcW w:w="1089" w:type="dxa"/>
          </w:tcPr>
          <w:p w:rsidR="00234376" w:rsidRPr="00537C3C" w:rsidRDefault="00234376" w:rsidP="008E03A7">
            <w:pPr>
              <w:pStyle w:val="TableText0"/>
            </w:pPr>
            <w:r w:rsidRPr="00537C3C">
              <w:t>50–54</w:t>
            </w:r>
          </w:p>
        </w:tc>
        <w:tc>
          <w:tcPr>
            <w:tcW w:w="4678" w:type="dxa"/>
          </w:tcPr>
          <w:p w:rsidR="00234376" w:rsidRDefault="00234376" w:rsidP="00234376">
            <w:pPr>
              <w:pStyle w:val="TableText0"/>
              <w:tabs>
                <w:tab w:val="decimal" w:pos="2167"/>
              </w:tabs>
            </w:pPr>
            <w:r w:rsidRPr="00537C3C">
              <w:t>30.98</w:t>
            </w:r>
          </w:p>
        </w:tc>
      </w:tr>
      <w:tr w:rsidR="00234376" w:rsidRPr="00537C3C">
        <w:tc>
          <w:tcPr>
            <w:tcW w:w="1089" w:type="dxa"/>
            <w:tcBorders>
              <w:bottom w:val="single" w:sz="4" w:space="0" w:color="auto"/>
            </w:tcBorders>
          </w:tcPr>
          <w:p w:rsidR="00234376" w:rsidRPr="00537C3C" w:rsidRDefault="00234376" w:rsidP="008E03A7">
            <w:pPr>
              <w:pStyle w:val="TableText0"/>
            </w:pPr>
            <w:r w:rsidRPr="00537C3C">
              <w:t>55–84</w:t>
            </w:r>
          </w:p>
        </w:tc>
        <w:tc>
          <w:tcPr>
            <w:tcW w:w="4678" w:type="dxa"/>
            <w:tcBorders>
              <w:bottom w:val="single" w:sz="4" w:space="0" w:color="auto"/>
            </w:tcBorders>
          </w:tcPr>
          <w:p w:rsidR="00234376" w:rsidRDefault="00234376" w:rsidP="00234376">
            <w:pPr>
              <w:pStyle w:val="TableText0"/>
              <w:tabs>
                <w:tab w:val="decimal" w:pos="2167"/>
              </w:tabs>
            </w:pPr>
            <w:r w:rsidRPr="00537C3C">
              <w:t>45.66</w:t>
            </w:r>
          </w:p>
        </w:tc>
      </w:tr>
    </w:tbl>
    <w:p w:rsidR="00234376" w:rsidRPr="00537C3C" w:rsidRDefault="00234376" w:rsidP="008E03A7">
      <w:pPr>
        <w:spacing w:after="120"/>
        <w:ind w:left="0"/>
        <w:jc w:val="both"/>
      </w:pPr>
    </w:p>
    <w:p w:rsidR="00234376" w:rsidRPr="00537C3C" w:rsidRDefault="00234376" w:rsidP="008E03A7">
      <w:r w:rsidRPr="00537C3C">
        <w:t>In the model, the probability that a follow-up colposcopy would also be unsatisfactory (</w:t>
      </w:r>
      <w:r w:rsidRPr="00C27CD6">
        <w:t>ie,</w:t>
      </w:r>
      <w:r w:rsidRPr="00537C3C">
        <w:t xml:space="preserve"> when performed after an initial unsatisfactory colposcopy) was specified as 91.74 per cent.</w:t>
      </w:r>
    </w:p>
    <w:p w:rsidR="00234376" w:rsidRPr="00537C3C" w:rsidRDefault="00234376" w:rsidP="008E03A7">
      <w:pPr>
        <w:pStyle w:val="Heading2"/>
      </w:pPr>
      <w:bookmarkStart w:id="1005" w:name="_Toc216169876"/>
      <w:bookmarkStart w:id="1006" w:name="_Toc216170249"/>
      <w:bookmarkStart w:id="1007" w:name="_Toc219865824"/>
      <w:bookmarkStart w:id="1008" w:name="_Toc219866032"/>
      <w:bookmarkStart w:id="1009" w:name="_Toc219880672"/>
      <w:bookmarkStart w:id="1010" w:name="_Toc220144586"/>
      <w:bookmarkStart w:id="1011" w:name="_Toc95971117"/>
      <w:bookmarkStart w:id="1012" w:name="_Toc231895825"/>
      <w:bookmarkStart w:id="1013" w:name="_Toc241658215"/>
      <w:r w:rsidRPr="00537C3C">
        <w:t xml:space="preserve">Test characteristics—Hybrid Capture </w:t>
      </w:r>
      <w:r w:rsidRPr="00BB76D8">
        <w:t>II</w:t>
      </w:r>
      <w:r w:rsidRPr="00537C3C">
        <w:t xml:space="preserve"> (HC</w:t>
      </w:r>
      <w:r w:rsidRPr="00BB76D8">
        <w:t>II</w:t>
      </w:r>
      <w:r w:rsidRPr="00537C3C">
        <w:t>)</w:t>
      </w:r>
      <w:bookmarkEnd w:id="1005"/>
      <w:bookmarkEnd w:id="1006"/>
      <w:bookmarkEnd w:id="1007"/>
      <w:bookmarkEnd w:id="1008"/>
      <w:bookmarkEnd w:id="1009"/>
      <w:bookmarkEnd w:id="1010"/>
      <w:bookmarkEnd w:id="1011"/>
      <w:bookmarkEnd w:id="1012"/>
      <w:bookmarkEnd w:id="1013"/>
    </w:p>
    <w:p w:rsidR="00234376" w:rsidRPr="00537C3C" w:rsidRDefault="00234376" w:rsidP="008E03A7">
      <w:r w:rsidRPr="00537C3C">
        <w:t>The test characteristics of HC</w:t>
      </w:r>
      <w:r w:rsidRPr="00BB76D8">
        <w:t>II</w:t>
      </w:r>
      <w:r w:rsidRPr="00537C3C">
        <w:t xml:space="preserve"> were assessed in order to simulate current practice in </w:t>
      </w:r>
      <w:smartTag w:uri="urn:schemas-microsoft-com:office:smarttags" w:element="place">
        <w:smartTag w:uri="urn:schemas-microsoft-com:office:smarttags" w:element="country-region">
          <w:r w:rsidRPr="00537C3C">
            <w:t>Australia</w:t>
          </w:r>
        </w:smartTag>
      </w:smartTag>
      <w:r w:rsidRPr="00537C3C">
        <w:t xml:space="preserve">, where it is used as a test of cure following treatment for </w:t>
      </w:r>
      <w:r w:rsidRPr="00BB76D8">
        <w:t>CIN</w:t>
      </w:r>
      <w:r w:rsidRPr="00537C3C">
        <w:t xml:space="preserve"> 2 and 3.</w:t>
      </w:r>
    </w:p>
    <w:p w:rsidR="00234376" w:rsidRPr="00537C3C" w:rsidRDefault="00234376" w:rsidP="008E03A7">
      <w:r w:rsidRPr="00537C3C">
        <w:t>We have used data from a summary of meta-analyses and from a number of international studies which compared HC</w:t>
      </w:r>
      <w:r w:rsidRPr="00BB76D8">
        <w:t>II</w:t>
      </w:r>
      <w:r w:rsidRPr="00537C3C">
        <w:t xml:space="preserve">, </w:t>
      </w:r>
      <w:r w:rsidRPr="00BB76D8">
        <w:t>HPV</w:t>
      </w:r>
      <w:r w:rsidRPr="00537C3C">
        <w:t xml:space="preserve"> </w:t>
      </w:r>
      <w:r w:rsidRPr="00BB76D8">
        <w:t>DNA</w:t>
      </w:r>
      <w:r w:rsidRPr="00537C3C">
        <w:t xml:space="preserve"> testing with polymerase chain reaction (PCR) amplification, cytology and histology. The reference standard used for a true </w:t>
      </w:r>
      <w:r w:rsidRPr="00BB76D8">
        <w:t>HPV</w:t>
      </w:r>
      <w:r w:rsidRPr="00537C3C">
        <w:t xml:space="preserve"> positive was PCR positivity for a high-risk </w:t>
      </w:r>
      <w:r w:rsidRPr="00BB76D8">
        <w:t>HPV</w:t>
      </w:r>
      <w:r w:rsidRPr="00537C3C">
        <w:t xml:space="preserve"> type.</w:t>
      </w:r>
    </w:p>
    <w:p w:rsidR="00234376" w:rsidRPr="00537C3C" w:rsidRDefault="00234376" w:rsidP="008E03A7">
      <w:r w:rsidRPr="00537C3C">
        <w:t>HC</w:t>
      </w:r>
      <w:r w:rsidRPr="00BB76D8">
        <w:t>II</w:t>
      </w:r>
      <w:r w:rsidRPr="00537C3C">
        <w:t xml:space="preserve"> test positivity rates for </w:t>
      </w:r>
      <w:r w:rsidRPr="00234376">
        <w:t>CIN 2</w:t>
      </w:r>
      <w:r w:rsidRPr="00C27CD6">
        <w:t xml:space="preserve"> and </w:t>
      </w:r>
      <w:r w:rsidRPr="00234376">
        <w:t>CIN 3+</w:t>
      </w:r>
      <w:r w:rsidRPr="00537C3C">
        <w:t xml:space="preserve"> were derived from a summary of meta-analyses of </w:t>
      </w:r>
      <w:r w:rsidRPr="00BB76D8">
        <w:t>HPV</w:t>
      </w:r>
      <w:r w:rsidRPr="00537C3C">
        <w:t xml:space="preserve"> testing </w:t>
      </w:r>
      <w:r w:rsidRPr="00537C3C">
        <w:fldChar w:fldCharType="begin"/>
      </w:r>
      <w:r w:rsidRPr="00537C3C">
        <w:instrText xml:space="preserve"> ADDIN REFMGR.CITE &lt;Refman&gt;&lt;Cite&gt;&lt;Author&gt;Arbyn&lt;/Author&gt;&lt;Year&gt;2006&lt;/Year&gt;&lt;RecNum&gt;16&lt;/RecNum&gt;&lt;IDText&gt;Chapter 9: Clinical applications of HPV testing: A summary of meta-analyses&lt;/IDText&gt;&lt;MDL Ref_Type="Journal"&gt;&lt;Ref_Type&gt;Journal&lt;/Ref_Type&gt;&lt;Ref_ID&gt;16&lt;/Ref_ID&gt;&lt;Title_Primary&gt;Chapter 9: Clinical applications of HPV testing: A summary of meta-analyses&lt;/Title_Primary&gt;&lt;Authors_Primary&gt;Arbyn,M.&lt;/Authors_Primary&gt;&lt;Authors_Primary&gt;Sasieni,P.&lt;/Authors_Primary&gt;&lt;Authors_Primary&gt;Meijer,C.J.&lt;/Authors_Primary&gt;&lt;Authors_Primary&gt;Clavel,C.&lt;/Authors_Primary&gt;&lt;Authors_Primary&gt;Koliopoulos,G.&lt;/Authors_Primary&gt;&lt;Authors_Primary&gt;Dillner,J.&lt;/Authors_Primary&gt;&lt;Date_Primary&gt;2006&lt;/Date_Primary&gt;&lt;Reprint&gt;In File&lt;/Reprint&gt;&lt;Start_Page&gt;78&lt;/Start_Page&gt;&lt;End_Page&gt;89&lt;/End_Page&gt;&lt;Periodical&gt;Vaccine&lt;/Periodical&gt;&lt;Volume&gt;24&lt;/Volume&gt;&lt;Issue&gt;S3&lt;/Issue&gt;&lt;ZZ_JournalFull&gt;&lt;f name="System"&gt;Vaccine&lt;/f&gt;&lt;/ZZ_JournalFull&gt;&lt;ZZ_WorkformID&gt;1&lt;/ZZ_WorkformID&gt;&lt;/MDL&gt;&lt;/Cite&gt;&lt;/Refman&gt;</w:instrText>
      </w:r>
      <w:r w:rsidRPr="00537C3C">
        <w:fldChar w:fldCharType="separate"/>
      </w:r>
      <w:r w:rsidRPr="00537C3C">
        <w:t>(Arbyn et al. 2006)</w:t>
      </w:r>
      <w:r w:rsidRPr="00537C3C">
        <w:fldChar w:fldCharType="end"/>
      </w:r>
      <w:r w:rsidRPr="00537C3C">
        <w:t xml:space="preserve">, and the range for sensitivity analysis was based on the 95% </w:t>
      </w:r>
      <w:r w:rsidRPr="00BB76D8">
        <w:t>CI</w:t>
      </w:r>
      <w:r w:rsidRPr="00537C3C">
        <w:t xml:space="preserve">s presented in this summary. </w:t>
      </w:r>
      <w:r w:rsidRPr="00BB76D8">
        <w:t>CIN</w:t>
      </w:r>
      <w:r w:rsidRPr="00537C3C">
        <w:t xml:space="preserve"> 2 and </w:t>
      </w:r>
      <w:r w:rsidRPr="00BB76D8">
        <w:t>CIN</w:t>
      </w:r>
      <w:r w:rsidRPr="00537C3C">
        <w:t xml:space="preserve"> 3+ were histologically confirmed.</w:t>
      </w:r>
    </w:p>
    <w:p w:rsidR="00234376" w:rsidRPr="00537C3C" w:rsidRDefault="00234376" w:rsidP="008E03A7">
      <w:r w:rsidRPr="00537C3C">
        <w:t>HC</w:t>
      </w:r>
      <w:r w:rsidRPr="00BB76D8">
        <w:t>II</w:t>
      </w:r>
      <w:r w:rsidRPr="00537C3C">
        <w:t xml:space="preserve"> test positivity rates for </w:t>
      </w:r>
      <w:r w:rsidRPr="00234376">
        <w:t>CIN 1</w:t>
      </w:r>
      <w:r w:rsidRPr="00C27CD6">
        <w:t xml:space="preserve"> </w:t>
      </w:r>
      <w:r w:rsidRPr="00537C3C">
        <w:t xml:space="preserve">were derived from a study in which women from a screening population referred for any cytological atypia had histological confirmation of </w:t>
      </w:r>
      <w:r w:rsidRPr="00BB76D8">
        <w:t>CIN</w:t>
      </w:r>
      <w:r w:rsidRPr="00537C3C">
        <w:t xml:space="preserve"> 1 </w:t>
      </w:r>
      <w:r w:rsidRPr="00537C3C">
        <w:fldChar w:fldCharType="begin"/>
      </w:r>
      <w:r w:rsidRPr="00537C3C">
        <w:instrText xml:space="preserve"> ADDIN REFMGR.CITE &lt;Refman&gt;&lt;Cite&gt;&lt;Author&gt;Soderlund-Strand&lt;/Author&gt;&lt;Year&gt;2005&lt;/Year&gt;&lt;RecNum&gt;4379&lt;/RecNum&gt;&lt;IDText&gt;Comparison between the Hybrid Capture II test and a PCR-based human papillomavirus detection method for diagnosis and posttreatment follow-up of cervical intraepithelial neoplasia&lt;/IDText&gt;&lt;MDL Ref_Type="Journal"&gt;&lt;Ref_Type&gt;Journal&lt;/Ref_Type&gt;&lt;Ref_ID&gt;4379&lt;/Ref_ID&gt;&lt;Title_Primary&gt;Comparison between the Hybrid Capture II test and a PCR-based human papillomavirus detection method for diagnosis and posttreatment follow-up of cervical intraepithelial neoplasia&lt;/Title_Primary&gt;&lt;Authors_Primary&gt;Soderlund-Strand,A.&lt;/Authors_Primary&gt;&lt;Authors_Primary&gt;Rymark,P.&lt;/Authors_Primary&gt;&lt;Authors_Primary&gt;Andersson,P.&lt;/Authors_Primary&gt;&lt;Authors_Primary&gt;Dillner,J.&lt;/Authors_Primary&gt;&lt;Authors_Primary&gt;Dillner,L.&lt;/Authors_Primary&gt;&lt;Date_Primary&gt;2005/7&lt;/Date_Primary&gt;&lt;Keywords&gt;Cancer&lt;/Keywords&gt;&lt;Keywords&gt;Cervical Intraepithelial&lt;/Keywords&gt;&lt;Keywords&gt;Cervical Intraepithelial Neoplasia&lt;/Keywords&gt;&lt;Keywords&gt;Comparative Study&lt;/Keywords&gt;&lt;Keywords&gt;Conization&lt;/Keywords&gt;&lt;Keywords&gt;cytology&lt;/Keywords&gt;&lt;Keywords&gt;diagnosis&lt;/Keywords&gt;&lt;Keywords&gt;Dna&lt;/Keywords&gt;&lt;Keywords&gt;Evaluation Studies&lt;/Keywords&gt;&lt;Keywords&gt;HPV&lt;/Keywords&gt;&lt;Keywords&gt;HPV testing&lt;/Keywords&gt;&lt;Keywords&gt;Human&lt;/Keywords&gt;&lt;Keywords&gt;Infection&lt;/Keywords&gt;&lt;Keywords&gt;methods&lt;/Keywords&gt;&lt;Keywords&gt;microbiology&lt;/Keywords&gt;&lt;Keywords&gt;Neoplasia&lt;/Keywords&gt;&lt;Keywords&gt;Obstetrics&lt;/Keywords&gt;&lt;Keywords&gt;Papillomavirus&lt;/Keywords&gt;&lt;Keywords&gt;Patients&lt;/Keywords&gt;&lt;Keywords&gt;Recurrence&lt;/Keywords&gt;&lt;Keywords&gt;Research&lt;/Keywords&gt;&lt;Keywords&gt;Sensitivity and Specificity&lt;/Keywords&gt;&lt;Keywords&gt;Support&lt;/Keywords&gt;&lt;Keywords&gt;Sweden&lt;/Keywords&gt;&lt;Keywords&gt;Universities&lt;/Keywords&gt;&lt;Keywords&gt;Women&lt;/Keywords&gt;&lt;Reprint&gt;Not in File&lt;/Reprint&gt;&lt;Start_Page&gt;3260&lt;/Start_Page&gt;&lt;End_Page&gt;3266&lt;/End_Page&gt;&lt;Periodical&gt;Journal of Clinical Microbiology&lt;/Periodical&gt;&lt;Volume&gt;43&lt;/Volume&gt;&lt;Issue&gt;7&lt;/Issue&gt;&lt;ZZ_JournalFull&gt;&lt;f name="System"&gt;Journal of Clinical Microbiology&lt;/f&gt;&lt;/ZZ_JournalFull&gt;&lt;ZZ_WorkformID&gt;1&lt;/ZZ_WorkformID&gt;&lt;/MDL&gt;&lt;/Cite&gt;&lt;/Refman&gt;</w:instrText>
      </w:r>
      <w:r w:rsidRPr="00537C3C">
        <w:fldChar w:fldCharType="separate"/>
      </w:r>
      <w:r w:rsidRPr="00537C3C">
        <w:t>(Soderlund-Strand et al. 2005)</w:t>
      </w:r>
      <w:r w:rsidRPr="00537C3C">
        <w:fldChar w:fldCharType="end"/>
      </w:r>
      <w:r w:rsidRPr="00537C3C">
        <w:t xml:space="preserve">. We have used an upper-end estimate for sensitivity analysis based on women with cytological </w:t>
      </w:r>
      <w:r w:rsidRPr="00BB76D8">
        <w:t>LSIL</w:t>
      </w:r>
      <w:r w:rsidRPr="00537C3C">
        <w:t xml:space="preserve">, but no diagnosis of </w:t>
      </w:r>
      <w:r w:rsidRPr="00BB76D8">
        <w:t>CIN</w:t>
      </w:r>
      <w:r w:rsidRPr="00537C3C">
        <w:t xml:space="preserve"> 2+ within 2 years </w:t>
      </w:r>
      <w:r w:rsidRPr="00537C3C">
        <w:fldChar w:fldCharType="begin"/>
      </w:r>
      <w:r w:rsidRPr="00537C3C">
        <w:instrText xml:space="preserve"> ADDIN REFMGR.CITE &lt;Refman&gt;&lt;Cite&gt;&lt;Author&gt;Zuna&lt;/Author&gt;&lt;Year&gt;2005&lt;/Year&gt;&lt;RecNum&gt;4165&lt;/RecNum&gt;&lt;IDText&gt;Determinants of human papillomavirus-negative, low-grade squamous intraepithelial lesions in the atypical squamous cells of undetermined significance/low-grade squamous intraepithelial lesions triage study (ALTS)&lt;/IDText&gt;&lt;MDL Ref_Type="Journal"&gt;&lt;Ref_Type&gt;Journal&lt;/Ref_Type&gt;&lt;Ref_ID&gt;4165&lt;/Ref_ID&gt;&lt;Title_Primary&gt;Determinants of human papillomavirus-negative, low-grade squamous intraepithelial lesions in the atypical squamous cells of undetermined significance/low-grade squamous intraepithelial lesions triage study (ALTS)&lt;/Title_Primary&gt;&lt;Authors_Primary&gt;Zuna,R.E.&lt;/Authors_Primary&gt;&lt;Authors_Primary&gt;Wang,S.S.&lt;/Authors_Primary&gt;&lt;Authors_Primary&gt;Rosenthal,D.L.&lt;/Authors_Primary&gt;&lt;Authors_Primary&gt;Jeronimo,J.&lt;/Authors_Primary&gt;&lt;Authors_Primary&gt;Schiffman,M.&lt;/Authors_Primary&gt;&lt;Authors_Primary&gt;Solomon,D.&lt;/Authors_Primary&gt;&lt;Authors_Primary&gt;ALTS Group&lt;/Authors_Primary&gt;&lt;Date_Primary&gt;2005&lt;/Date_Primary&gt;&lt;Keywords&gt;ALTS&lt;/Keywords&gt;&lt;Keywords&gt;Cells&lt;/Keywords&gt;&lt;Keywords&gt;Human&lt;/Keywords&gt;&lt;Keywords&gt;Research&lt;/Keywords&gt;&lt;Keywords&gt;Squamous Cell&lt;/Keywords&gt;&lt;Keywords&gt;Support&lt;/Keywords&gt;&lt;Keywords&gt;Triage&lt;/Keywords&gt;&lt;Reprint&gt;Not in File&lt;/Reprint&gt;&lt;Start_Page&gt;253&lt;/Start_Page&gt;&lt;End_Page&gt;262&lt;/End_Page&gt;&lt;Periodical&gt;Cancer&lt;/Periodical&gt;&lt;Volume&gt;105&lt;/Volume&gt;&lt;Issue&gt;5&lt;/Issue&gt;&lt;ZZ_JournalFull&gt;&lt;f name="System"&gt;Cancer&lt;/f&gt;&lt;/ZZ_JournalFull&gt;&lt;ZZ_WorkformID&gt;1&lt;/ZZ_WorkformID&gt;&lt;/MDL&gt;&lt;/Cite&gt;&lt;/Refman&gt;</w:instrText>
      </w:r>
      <w:r w:rsidRPr="00537C3C">
        <w:fldChar w:fldCharType="separate"/>
      </w:r>
      <w:r w:rsidRPr="00537C3C">
        <w:t>(Zuna et al. 2005)</w:t>
      </w:r>
      <w:r w:rsidRPr="00537C3C">
        <w:fldChar w:fldCharType="end"/>
      </w:r>
      <w:r w:rsidRPr="00537C3C">
        <w:t>.</w:t>
      </w:r>
    </w:p>
    <w:p w:rsidR="00234376" w:rsidRPr="00537C3C" w:rsidRDefault="00234376" w:rsidP="008E03A7">
      <w:r w:rsidRPr="00537C3C">
        <w:lastRenderedPageBreak/>
        <w:t>HC</w:t>
      </w:r>
      <w:r w:rsidRPr="00BB76D8">
        <w:t>II</w:t>
      </w:r>
      <w:r w:rsidRPr="00537C3C">
        <w:t xml:space="preserve"> test positivity rates and ranges for the </w:t>
      </w:r>
      <w:r w:rsidRPr="00234376">
        <w:t>Normal</w:t>
      </w:r>
      <w:r w:rsidRPr="00537C3C">
        <w:t xml:space="preserve"> and </w:t>
      </w:r>
      <w:r w:rsidRPr="00234376">
        <w:t>HPV (no CIN)</w:t>
      </w:r>
      <w:r w:rsidRPr="00C27CD6">
        <w:t xml:space="preserve"> </w:t>
      </w:r>
      <w:r w:rsidRPr="00537C3C">
        <w:t>model states were based on HC</w:t>
      </w:r>
      <w:r w:rsidRPr="00BB76D8">
        <w:t>II</w:t>
      </w:r>
      <w:r w:rsidRPr="00537C3C">
        <w:t xml:space="preserve"> and PCR results in cytologically normal women from screening populations </w:t>
      </w:r>
      <w:r w:rsidRPr="00537C3C">
        <w:fldChar w:fldCharType="begin"/>
      </w:r>
      <w:r w:rsidRPr="00537C3C">
        <w:instrText xml:space="preserve"> ADDIN REFMGR.CITE &lt;Refman&gt;&lt;Cite&gt;&lt;Author&gt;Sandri&lt;/Author&gt;&lt;Year&gt;2006&lt;/Year&gt;&lt;RecNum&gt;4028&lt;/RecNum&gt;&lt;IDText&gt;Comparison of the Digene HC2 assay and the Roche AMPLICOR human papillomavirus (HPV) test for detection of high-risk HPV genotypes in cervical samples&lt;/IDText&gt;&lt;MDL Ref_Type="Journal"&gt;&lt;Ref_Type&gt;Journal&lt;/Ref_Type&gt;&lt;Ref_ID&gt;4028&lt;/Ref_ID&gt;&lt;Title_Primary&gt;Comparison of the Digene HC2 assay and the Roche AMPLICOR human papillomavirus (HPV) test for detection of high-risk HPV genotypes in cervical samples&lt;/Title_Primary&gt;&lt;Authors_Primary&gt;Sandri,M.T.&lt;/Authors_Primary&gt;&lt;Authors_Primary&gt;Lentati,P.&lt;/Authors_Primary&gt;&lt;Authors_Primary&gt;Benini,E.&lt;/Authors_Primary&gt;&lt;Authors_Primary&gt;Dell&amp;apos;Orto,P.&lt;/Authors_Primary&gt;&lt;Authors_Primary&gt;Zorzino,L.&lt;/Authors_Primary&gt;&lt;Authors_Primary&gt;Carozzi,F.M.&lt;/Authors_Primary&gt;&lt;Authors_Primary&gt;Maisonneuve,P.&lt;/Authors_Primary&gt;&lt;Authors_Primary&gt;Passerini,R.&lt;/Authors_Primary&gt;&lt;Authors_Primary&gt;Salvatici,M.&lt;/Authors_Primary&gt;&lt;Authors_Primary&gt;Casadio,C.&lt;/Authors_Primary&gt;&lt;Authors_Primary&gt;Boveri,S.&lt;/Authors_Primary&gt;&lt;Authors_Primary&gt;Sideri,M.&lt;/Authors_Primary&gt;&lt;Date_Primary&gt;2006/6&lt;/Date_Primary&gt;&lt;Keywords&gt;Comparative Study&lt;/Keywords&gt;&lt;Keywords&gt;Evaluation Studies&lt;/Keywords&gt;&lt;Keywords&gt;Genotype&lt;/Keywords&gt;&lt;Keywords&gt;HPV&lt;/Keywords&gt;&lt;Keywords&gt;Human&lt;/Keywords&gt;&lt;Keywords&gt;Papillomavirus&lt;/Keywords&gt;&lt;Keywords&gt;Research&lt;/Keywords&gt;&lt;Keywords&gt;Support&lt;/Keywords&gt;&lt;Reprint&gt;Not in File&lt;/Reprint&gt;&lt;Start_Page&gt;2141&lt;/Start_Page&gt;&lt;End_Page&gt;2146&lt;/End_Page&gt;&lt;Periodical&gt;Journal of Clinical Microbiology&lt;/Periodical&gt;&lt;Volume&gt;44&lt;/Volume&gt;&lt;Issue&gt;6&lt;/Issue&gt;&lt;ZZ_JournalFull&gt;&lt;f name="System"&gt;Journal of Clinical Microbiology&lt;/f&gt;&lt;/ZZ_JournalFull&gt;&lt;ZZ_WorkformID&gt;1&lt;/ZZ_WorkformID&gt;&lt;/MDL&gt;&lt;/Cite&gt;&lt;Cite&gt;&lt;Author&gt;Venturoli&lt;/Author&gt;&lt;Year&gt;2002&lt;/Year&gt;&lt;RecNum&gt;4396&lt;/RecNum&gt;&lt;IDText&gt;Human papillomavirus DNA testing by PCR-ELISA and hybrid capture II from a single cytological specimen: concordance and correlation with cytological results&lt;/IDText&gt;&lt;MDL Ref_Type="Journal"&gt;&lt;Ref_Type&gt;Journal&lt;/Ref_Type&gt;&lt;Ref_ID&gt;4396&lt;/Ref_ID&gt;&lt;Title_Primary&gt;Human papillomavirus DNA testing by PCR-ELISA and hybrid capture II from a single cytological specimen: concordance and correlation with cytological results&lt;/Title_Primary&gt;&lt;Authors_Primary&gt;Venturoli,S.&lt;/Authors_Primary&gt;&lt;Authors_Primary&gt;Cricca,M.&lt;/Authors_Primary&gt;&lt;Authors_Primary&gt;Bonvicini,F.&lt;/Authors_Primary&gt;&lt;Authors_Primary&gt;Giosa,F.&lt;/Authors_Primary&gt;&lt;Authors_Primary&gt;Pulvirenti,F.R.&lt;/Authors_Primary&gt;&lt;Authors_Primary&gt;Galli,C.&lt;/Authors_Primary&gt;&lt;Authors_Primary&gt;Musiani,M.&lt;/Authors_Primary&gt;&lt;Authors_Primary&gt;Zerbini,M.&lt;/Authors_Primary&gt;&lt;Date_Primary&gt;2002/8&lt;/Date_Primary&gt;&lt;Keywords&gt;Carcinoma&lt;/Keywords&gt;&lt;Keywords&gt;Clinical&lt;/Keywords&gt;&lt;Keywords&gt;Comparative Study&lt;/Keywords&gt;&lt;Keywords&gt;Conization&lt;/Keywords&gt;&lt;Keywords&gt;diagnosis&lt;/Keywords&gt;&lt;Keywords&gt;Dna&lt;/Keywords&gt;&lt;Keywords&gt;Evaluation Studies&lt;/Keywords&gt;&lt;Keywords&gt;Experimental&lt;/Keywords&gt;&lt;Keywords&gt;HPV&lt;/Keywords&gt;&lt;Keywords&gt;Human&lt;/Keywords&gt;&lt;Keywords&gt;Hysterectomy&lt;/Keywords&gt;&lt;Keywords&gt;Infection&lt;/Keywords&gt;&lt;Keywords&gt;Italy&lt;/Keywords&gt;&lt;Keywords&gt;methods&lt;/Keywords&gt;&lt;Keywords&gt;microbiology&lt;/Keywords&gt;&lt;Keywords&gt;Molecular&lt;/Keywords&gt;&lt;Keywords&gt;Papillomavirus&lt;/Keywords&gt;&lt;Keywords&gt;Patients&lt;/Keywords&gt;&lt;Keywords&gt;Research&lt;/Keywords&gt;&lt;Keywords&gt;Risk&lt;/Keywords&gt;&lt;Keywords&gt;screening&lt;/Keywords&gt;&lt;Keywords&gt;Support&lt;/Keywords&gt;&lt;Keywords&gt;Universities&lt;/Keywords&gt;&lt;Keywords&gt;Women&lt;/Keywords&gt;&lt;Reprint&gt;Not in File&lt;/Reprint&gt;&lt;Start_Page&gt;177&lt;/Start_Page&gt;&lt;End_Page&gt;185&lt;/End_Page&gt;&lt;Periodical&gt;Journal of Clinical Virology&lt;/Periodical&gt;&lt;Volume&gt;25&lt;/Volume&gt;&lt;Issue&gt;2&lt;/Issue&gt;&lt;ZZ_JournalFull&gt;&lt;f name="System"&gt;Journal of Clinical Virology&lt;/f&gt;&lt;/ZZ_JournalFull&gt;&lt;ZZ_WorkformID&gt;1&lt;/ZZ_WorkformID&gt;&lt;/MDL&gt;&lt;/Cite&gt;&lt;Cite&gt;&lt;Author&gt;Riethmuller&lt;/Author&gt;&lt;Year&gt;1999&lt;/Year&gt;&lt;RecNum&gt;4456&lt;/RecNum&gt;&lt;IDText&gt;Genital human papillomavirus infection among women recruited for routine cervical cancer screening or for colposcopy determined by Hybrid Capture II and polymerase chain reaction&lt;/IDText&gt;&lt;MDL Ref_Type="Journal"&gt;&lt;Ref_Type&gt;Journal&lt;/Ref_Type&gt;&lt;Ref_ID&gt;4456&lt;/Ref_ID&gt;&lt;Title_Primary&gt;Genital human papillomavirus infection among women recruited for routine cervical cancer screening or for colposcopy determined by Hybrid Capture II and polymerase chain reaction&lt;/Title_Primary&gt;&lt;Authors_Primary&gt;Riethmuller,D.&lt;/Authors_Primary&gt;&lt;Authors_Primary&gt;Gay,C.&lt;/Authors_Primary&gt;&lt;Authors_Primary&gt;Bertrand,X.&lt;/Authors_Primary&gt;&lt;Authors_Primary&gt;Bettinger,D.&lt;/Authors_Primary&gt;&lt;Authors_Primary&gt;Schaal,J.P.&lt;/Authors_Primary&gt;&lt;Authors_Primary&gt;Carbillet,J.P.&lt;/Authors_Primary&gt;&lt;Authors_Primary&gt;Lassabe,C.&lt;/Authors_Primary&gt;&lt;Authors_Primary&gt;Arveux,P.&lt;/Authors_Primary&gt;&lt;Authors_Primary&gt;Seilles,E.&lt;/Authors_Primary&gt;&lt;Authors_Primary&gt;Mougin,C.&lt;/Authors_Primary&gt;&lt;Date_Primary&gt;1999/9&lt;/Date_Primary&gt;&lt;Keywords&gt;Cancer&lt;/Keywords&gt;&lt;Keywords&gt;Carcinoma&lt;/Keywords&gt;&lt;Keywords&gt;Cells&lt;/Keywords&gt;&lt;Keywords&gt;Clinical&lt;/Keywords&gt;&lt;Keywords&gt;Colposcopy&lt;/Keywords&gt;&lt;Keywords&gt;cytology&lt;/Keywords&gt;&lt;Keywords&gt;Dna&lt;/Keywords&gt;&lt;Keywords&gt;France&lt;/Keywords&gt;&lt;Keywords&gt;HPV&lt;/Keywords&gt;&lt;Keywords&gt;Human&lt;/Keywords&gt;&lt;Keywords&gt;Infection&lt;/Keywords&gt;&lt;Keywords&gt;Papillomavirus&lt;/Keywords&gt;&lt;Keywords&gt;Polymerase Chain Reaction&lt;/Keywords&gt;&lt;Keywords&gt;prevalence&lt;/Keywords&gt;&lt;Keywords&gt;Research&lt;/Keywords&gt;&lt;Keywords&gt;Risk&lt;/Keywords&gt;&lt;Keywords&gt;screening&lt;/Keywords&gt;&lt;Keywords&gt;Silver&lt;/Keywords&gt;&lt;Keywords&gt;Squamous Cell&lt;/Keywords&gt;&lt;Keywords&gt;Support&lt;/Keywords&gt;&lt;Keywords&gt;Women&lt;/Keywords&gt;&lt;Reprint&gt;Not in File&lt;/Reprint&gt;&lt;Start_Page&gt;157&lt;/Start_Page&gt;&lt;End_Page&gt;164&lt;/End_Page&gt;&lt;Periodical&gt;Diagnostic Molecular Pathology&lt;/Periodical&gt;&lt;Volume&gt;8&lt;/Volume&gt;&lt;Issue&gt;3&lt;/Issue&gt;&lt;ZZ_JournalFull&gt;&lt;f name="System"&gt;Diagnostic Molecular Pathology&lt;/f&gt;&lt;/ZZ_JournalFull&gt;&lt;ZZ_WorkformID&gt;1&lt;/ZZ_WorkformID&gt;&lt;/MDL&gt;&lt;/Cite&gt;&lt;Cite&gt;&lt;Author&gt;Kulmala&lt;/Author&gt;&lt;Year&gt;2004&lt;/Year&gt;&lt;RecNum&gt;4390&lt;/RecNum&gt;&lt;IDText&gt;Human papillomavirus testing with the hybrid capture 2 assay and PCR as screening tools&lt;/IDText&gt;&lt;MDL Ref_Type="Journal"&gt;&lt;Ref_Type&gt;Journal&lt;/Ref_Type&gt;&lt;Ref_ID&gt;4390&lt;/Ref_ID&gt;&lt;Title_Primary&gt;Human papillomavirus testing with the hybrid capture 2 assay and PCR as screening tools&lt;/Title_Primary&gt;&lt;Authors_Primary&gt;Kulmala,S.M.&lt;/Authors_Primary&gt;&lt;Authors_Primary&gt;Syrjanen,S.&lt;/Authors_Primary&gt;&lt;Authors_Primary&gt;Shabalova,I.&lt;/Authors_Primary&gt;&lt;Authors_Primary&gt;Petrovichev,N.&lt;/Authors_Primary&gt;&lt;Authors_Primary&gt;Kozachenko,V.&lt;/Authors_Primary&gt;&lt;Authors_Primary&gt;Podistov,J.&lt;/Authors_Primary&gt;&lt;Authors_Primary&gt;Ivanchenko,O.&lt;/Authors_Primary&gt;&lt;Authors_Primary&gt;Zakharenko,S.&lt;/Authors_Primary&gt;&lt;Authors_Primary&gt;Nerovjna,R.&lt;/Authors_Primary&gt;&lt;Authors_Primary&gt;Kljukina,L.&lt;/Authors_Primary&gt;&lt;Authors_Primary&gt;Branovskaja,M.&lt;/Authors_Primary&gt;&lt;Authors_Primary&gt;Grunberga,V.&lt;/Authors_Primary&gt;&lt;Authors_Primary&gt;Juschenko,A.&lt;/Authors_Primary&gt;&lt;Authors_Primary&gt;Tosi,P.&lt;/Authors_Primary&gt;&lt;Authors_Primary&gt;Santopietro,R.&lt;/Authors_Primary&gt;&lt;Authors_Primary&gt;Syrjanen,K.&lt;/Authors_Primary&gt;&lt;Date_Primary&gt;2004/6&lt;/Date_Primary&gt;&lt;Keywords&gt;analysis&lt;/Keywords&gt;&lt;Keywords&gt;Cancer&lt;/Keywords&gt;&lt;Keywords&gt;control&lt;/Keywords&gt;&lt;Keywords&gt;Finland&lt;/Keywords&gt;&lt;Keywords&gt;HPV&lt;/Keywords&gt;&lt;Keywords&gt;Human&lt;/Keywords&gt;&lt;Keywords&gt;Infection&lt;/Keywords&gt;&lt;Keywords&gt;Light&lt;/Keywords&gt;&lt;Keywords&gt;Oral&lt;/Keywords&gt;&lt;Keywords&gt;Papillomavirus&lt;/Keywords&gt;&lt;Keywords&gt;pathology&lt;/Keywords&gt;&lt;Keywords&gt;Research&lt;/Keywords&gt;&lt;Keywords&gt;Risk&lt;/Keywords&gt;&lt;Keywords&gt;screening&lt;/Keywords&gt;&lt;Keywords&gt;Support&lt;/Keywords&gt;&lt;Keywords&gt;Women&lt;/Keywords&gt;&lt;Reprint&gt;Not in File&lt;/Reprint&gt;&lt;Start_Page&gt;2470&lt;/Start_Page&gt;&lt;End_Page&gt;2475&lt;/End_Page&gt;&lt;Periodical&gt;Journal of Clinical Microbiology&lt;/Periodical&gt;&lt;Volume&gt;42&lt;/Volume&gt;&lt;Issue&gt;6&lt;/Issue&gt;&lt;ZZ_JournalFull&gt;&lt;f name="System"&gt;Journal of Clinical Microbiology&lt;/f&gt;&lt;/ZZ_JournalFull&gt;&lt;ZZ_WorkformID&gt;1&lt;/ZZ_WorkformID&gt;&lt;/MDL&gt;&lt;/Cite&gt;&lt;Cite&gt;&lt;Author&gt;Safaeian&lt;/Author&gt;&lt;Year&gt;2007&lt;/Year&gt;&lt;RecNum&gt;4392&lt;/RecNum&gt;&lt;IDText&gt;Comparison of the SPF10-LiPA system to the Hybrid Capture 2 Assay for detection of carcinogenic human papillomavirus genotypes among 5,683 young women in Guanacaste, Costa Rica&lt;/IDText&gt;&lt;MDL Ref_Type="Journal"&gt;&lt;Ref_Type&gt;Journal&lt;/Ref_Type&gt;&lt;Ref_ID&gt;4392&lt;/Ref_ID&gt;&lt;Title_Primary&gt;Comparison of the SPF10-LiPA system to the Hybrid Capture 2 Assay for detection of carcinogenic human papillomavirus genotypes among 5,683 young women in Guanacaste, Costa Rica&lt;/Title_Primary&gt;&lt;Authors_Primary&gt;Safaeian,M.&lt;/Authors_Primary&gt;&lt;Authors_Primary&gt;Herrero,R.&lt;/Authors_Primary&gt;&lt;Authors_Primary&gt;Hildesheim,A.&lt;/Authors_Primary&gt;&lt;Authors_Primary&gt;Quint,W.&lt;/Authors_Primary&gt;&lt;Authors_Primary&gt;Freer,E.&lt;/Authors_Primary&gt;&lt;Authors_Primary&gt;van Doorn,L.J.&lt;/Authors_Primary&gt;&lt;Authors_Primary&gt;Porras,C.&lt;/Authors_Primary&gt;&lt;Authors_Primary&gt;Silva,S.&lt;/Authors_Primary&gt;&lt;Authors_Primary&gt;Gonzalez,P.&lt;/Authors_Primary&gt;&lt;Authors_Primary&gt;Bratti,M.C.&lt;/Authors_Primary&gt;&lt;Authors_Primary&gt;Rodriguez,A.C.&lt;/Authors_Primary&gt;&lt;Authors_Primary&gt;Castle,P.&lt;/Authors_Primary&gt;&lt;Authors_Primary&gt;Costa Rican Vaccine Trial Group&lt;/Authors_Primary&gt;&lt;Date_Primary&gt;2007/5&lt;/Date_Primary&gt;&lt;Keywords&gt;abnormalities&lt;/Keywords&gt;&lt;Keywords&gt;Active&lt;/Keywords&gt;&lt;Keywords&gt;analysis&lt;/Keywords&gt;&lt;Keywords&gt;Cancer&lt;/Keywords&gt;&lt;Keywords&gt;Cells&lt;/Keywords&gt;&lt;Keywords&gt;Comparative Study&lt;/Keywords&gt;&lt;Keywords&gt;Costa Rica&lt;/Keywords&gt;&lt;Keywords&gt;cytology&lt;/Keywords&gt;&lt;Keywords&gt;Dna&lt;/Keywords&gt;&lt;Keywords&gt;Epidemiology&lt;/Keywords&gt;&lt;Keywords&gt;Genetic&lt;/Keywords&gt;&lt;Keywords&gt;genetics&lt;/Keywords&gt;&lt;Keywords&gt;Genotype&lt;/Keywords&gt;&lt;Keywords&gt;Hormonal&lt;/Keywords&gt;&lt;Keywords&gt;HPV&lt;/Keywords&gt;&lt;Keywords&gt;Human&lt;/Keywords&gt;&lt;Keywords&gt;Papillomavirus&lt;/Keywords&gt;&lt;Keywords&gt;Phase III&lt;/Keywords&gt;&lt;Keywords&gt;prevalence&lt;/Keywords&gt;&lt;Keywords&gt;Research&lt;/Keywords&gt;&lt;Keywords&gt;Squamous Cell&lt;/Keywords&gt;&lt;Keywords&gt;Support&lt;/Keywords&gt;&lt;Keywords&gt;Women&lt;/Keywords&gt;&lt;Reprint&gt;Not in File&lt;/Reprint&gt;&lt;Start_Page&gt;1447&lt;/Start_Page&gt;&lt;End_Page&gt;1454&lt;/End_Page&gt;&lt;Periodical&gt;Journal of Clinical Microbiology&lt;/Periodical&gt;&lt;Volume&gt;45&lt;/Volume&gt;&lt;Issue&gt;5&lt;/Issue&gt;&lt;ZZ_JournalFull&gt;&lt;f name="System"&gt;Journal of Clinical Microbiology&lt;/f&gt;&lt;/ZZ_JournalFull&gt;&lt;ZZ_WorkformID&gt;1&lt;/ZZ_WorkformID&gt;&lt;/MDL&gt;&lt;/Cite&gt;&lt;Cite&gt;&lt;Author&gt;Wahlstrom&lt;/Author&gt;&lt;Year&gt;2007&lt;/Year&gt;&lt;RecNum&gt;4150&lt;/RecNum&gt;&lt;IDText&gt;Population-based study of screening test performance indices of three human papillomavirus DNA tests&lt;/IDText&gt;&lt;MDL Ref_Type="Journal"&gt;&lt;Ref_Type&gt;Journal&lt;/Ref_Type&gt;&lt;Ref_ID&gt;4150&lt;/Ref_ID&gt;&lt;Title_Primary&gt;Population-based study of screening test performance indices of three human papillomavirus DNA tests&lt;/Title_Primary&gt;&lt;Authors_Primary&gt;Wahlstrom,C.&lt;/Authors_Primary&gt;&lt;Authors_Primary&gt;Iftner,T.&lt;/Authors_Primary&gt;&lt;Authors_Primary&gt;Dillner,J.&lt;/Authors_Primary&gt;&lt;Authors_Primary&gt;Dillner,L.&lt;/Authors_Primary&gt;&lt;Authors_Primary&gt;Swedescreen study group&lt;/Authors_Primary&gt;&lt;Date_Primary&gt;2007/8&lt;/Date_Primary&gt;&lt;Keywords&gt;Dna&lt;/Keywords&gt;&lt;Keywords&gt;Human&lt;/Keywords&gt;&lt;Keywords&gt;Papillomavirus&lt;/Keywords&gt;&lt;Keywords&gt;Research&lt;/Keywords&gt;&lt;Keywords&gt;screening&lt;/Keywords&gt;&lt;Keywords&gt;Support&lt;/Keywords&gt;&lt;Reprint&gt;Not in File&lt;/Reprint&gt;&lt;Start_Page&gt;1169&lt;/Start_Page&gt;&lt;End_Page&gt;1175&lt;/End_Page&gt;&lt;Periodical&gt;Journal of Medical Virology&lt;/Periodical&gt;&lt;Volume&gt;79&lt;/Volume&gt;&lt;Issue&gt;8&lt;/Issue&gt;&lt;ZZ_JournalFull&gt;&lt;f name="System"&gt;Journal of Medical Virology&lt;/f&gt;&lt;/ZZ_JournalFull&gt;&lt;ZZ_WorkformID&gt;1&lt;/ZZ_WorkformID&gt;&lt;/MDL&gt;&lt;/Cite&gt;&lt;Cite&gt;&lt;Author&gt;Yamazaki&lt;/Author&gt;&lt;Year&gt;2001&lt;/Year&gt;&lt;RecNum&gt;4389&lt;/RecNum&gt;&lt;IDText&gt;Hybrid capture-II and LCR-E7 PCR assays for HPV typing in cervical cytologic samples&lt;/IDText&gt;&lt;MDL Ref_Type="Journal"&gt;&lt;Ref_Type&gt;Journal&lt;/Ref_Type&gt;&lt;Ref_ID&gt;4389&lt;/Ref_ID&gt;&lt;Title_Primary&gt;Hybrid capture-II and LCR-E7 PCR assays for HPV typing in cervical cytologic samples&lt;/Title_Primary&gt;&lt;Authors_Primary&gt;Yamazaki,H.&lt;/Authors_Primary&gt;&lt;Authors_Primary&gt;Sasagawa,T.&lt;/Authors_Primary&gt;&lt;Authors_Primary&gt;Basha,W.&lt;/Authors_Primary&gt;&lt;Authors_Primary&gt;Segawa,T.&lt;/Authors_Primary&gt;&lt;Authors_Primary&gt;Inoue,M.&lt;/Authors_Primary&gt;&lt;Date_Primary&gt;2001&lt;/Date_Primary&gt;&lt;Keywords&gt;Cancer&lt;/Keywords&gt;&lt;Keywords&gt;Cohort Studies&lt;/Keywords&gt;&lt;Keywords&gt;Dna&lt;/Keywords&gt;&lt;Keywords&gt;Genome&lt;/Keywords&gt;&lt;Keywords&gt;Gynecology&lt;/Keywords&gt;&lt;Keywords&gt;HPV&lt;/Keywords&gt;&lt;Keywords&gt;Infection&lt;/Keywords&gt;&lt;Keywords&gt;Japan&lt;/Keywords&gt;&lt;Keywords&gt;Light&lt;/Keywords&gt;&lt;Keywords&gt;Multiple&lt;/Keywords&gt;&lt;Keywords&gt;Obstetrics&lt;/Keywords&gt;&lt;Keywords&gt;Risk&lt;/Keywords&gt;&lt;Keywords&gt;screening&lt;/Keywords&gt;&lt;Keywords&gt;Women&lt;/Keywords&gt;&lt;Reprint&gt;Not in File&lt;/Reprint&gt;&lt;Start_Page&gt;222&lt;/Start_Page&gt;&lt;End_Page&gt;227&lt;/End_Page&gt;&lt;Periodical&gt;International Journal of Cancer&lt;/Periodical&gt;&lt;Volume&gt;94&lt;/Volume&gt;&lt;Issue&gt;2&lt;/Issue&gt;&lt;ZZ_JournalFull&gt;&lt;f name="System"&gt;International Journal of Cancer&lt;/f&gt;&lt;/ZZ_JournalFull&gt;&lt;ZZ_WorkformID&gt;1&lt;/ZZ_WorkformID&gt;&lt;/MDL&gt;&lt;/Cite&gt;&lt;/Refman&gt;</w:instrText>
      </w:r>
      <w:r w:rsidRPr="00537C3C">
        <w:fldChar w:fldCharType="separate"/>
      </w:r>
      <w:r w:rsidRPr="00537C3C">
        <w:t>(Kulmala et al. 2004; Riethmuller et al. 1999; Safaeian et al. 2007; Sandri et al. 2006; Venturoli et al. 2002; Wahlstrom et al. 2007; Yamazaki et al. 2001)</w:t>
      </w:r>
      <w:r w:rsidRPr="00537C3C">
        <w:fldChar w:fldCharType="end"/>
      </w:r>
      <w:r w:rsidRPr="00537C3C">
        <w:t>.</w:t>
      </w:r>
    </w:p>
    <w:p w:rsidR="00234376" w:rsidRPr="00537C3C" w:rsidRDefault="00234376" w:rsidP="008E03A7">
      <w:pPr>
        <w:pStyle w:val="Heading2"/>
      </w:pPr>
      <w:bookmarkStart w:id="1014" w:name="_Toc216169877"/>
      <w:bookmarkStart w:id="1015" w:name="_Toc216170250"/>
      <w:bookmarkStart w:id="1016" w:name="_Toc219865825"/>
      <w:bookmarkStart w:id="1017" w:name="_Toc219866033"/>
      <w:bookmarkStart w:id="1018" w:name="_Toc219880673"/>
      <w:bookmarkStart w:id="1019" w:name="_Toc220144587"/>
      <w:bookmarkStart w:id="1020" w:name="_Toc95971118"/>
      <w:bookmarkStart w:id="1021" w:name="_Toc231895826"/>
      <w:bookmarkStart w:id="1022" w:name="_Toc241658216"/>
      <w:r w:rsidRPr="00537C3C">
        <w:t>Treatment failure and post-treatment recurrence</w:t>
      </w:r>
      <w:bookmarkEnd w:id="1014"/>
      <w:bookmarkEnd w:id="1015"/>
      <w:bookmarkEnd w:id="1016"/>
      <w:bookmarkEnd w:id="1017"/>
      <w:bookmarkEnd w:id="1018"/>
      <w:bookmarkEnd w:id="1019"/>
      <w:bookmarkEnd w:id="1020"/>
      <w:bookmarkEnd w:id="1021"/>
      <w:bookmarkEnd w:id="1022"/>
    </w:p>
    <w:p w:rsidR="00234376" w:rsidRPr="00537C3C" w:rsidRDefault="00234376" w:rsidP="008E03A7">
      <w:pPr>
        <w:spacing w:after="120"/>
        <w:jc w:val="both"/>
        <w:rPr>
          <w:rFonts w:cs="Arial"/>
        </w:rPr>
      </w:pPr>
      <w:r w:rsidRPr="00537C3C">
        <w:rPr>
          <w:rFonts w:cs="Arial"/>
        </w:rPr>
        <w:t xml:space="preserve">The treatment failure rate within the first year and annual recurrence rates thereafter were obtained from our own review and meta-analysis of data from relevant studies </w:t>
      </w:r>
      <w:r w:rsidRPr="00537C3C">
        <w:rPr>
          <w:rFonts w:cs="Arial"/>
        </w:rPr>
        <w:fldChar w:fldCharType="begin"/>
      </w:r>
      <w:r w:rsidRPr="00537C3C">
        <w:rPr>
          <w:rFonts w:cs="Arial"/>
        </w:rPr>
        <w:instrText xml:space="preserve"> ADDIN REFMGR.CITE &lt;Refman&gt;&lt;Cite&gt;&lt;Author&gt;Flannelly&lt;/Author&gt;&lt;Year&gt;1997&lt;/Year&gt;&lt;RecNum&gt;1520&lt;/RecNum&gt;&lt;IDText&gt;A study of treatment failures following large loop excision of the transformation zone for the treatment of cervical intraepithelial neoplasia&lt;/IDText&gt;&lt;MDL Ref_Type="Journal"&gt;&lt;Ref_Type&gt;Journal&lt;/Ref_Type&gt;&lt;Ref_ID&gt;1520&lt;/Ref_ID&gt;&lt;Title_Primary&gt;A study of treatment failures following large loop excision of the transformation zone for the treatment of cervical intraepithelial neoplasia&lt;/Title_Primary&gt;&lt;Authors_Primary&gt;Flannelly,G.&lt;/Authors_Primary&gt;&lt;Authors_Primary&gt;Langhan,H.&lt;/Authors_Primary&gt;&lt;Authors_Primary&gt;Jandial,L.&lt;/Authors_Primary&gt;&lt;Authors_Primary&gt;Mana,E.&lt;/Authors_Primary&gt;&lt;Authors_Primary&gt;Campbell,M.&lt;/Authors_Primary&gt;&lt;Authors_Primary&gt;Kitchener,H.&lt;/Authors_Primary&gt;&lt;Date_Primary&gt;1997/6&lt;/Date_Primary&gt;&lt;Keywords&gt;Adolescent&lt;/Keywords&gt;&lt;Keywords&gt;Adult&lt;/Keywords&gt;&lt;Keywords&gt;Aftercare&lt;/Keywords&gt;&lt;Keywords&gt;Aged&lt;/Keywords&gt;&lt;Keywords&gt;Biopsy&lt;/Keywords&gt;&lt;Keywords&gt;Cancer&lt;/Keywords&gt;&lt;Keywords&gt;Cervical Intraepithelial&lt;/Keywords&gt;&lt;Keywords&gt;Cervical Intraepithelial Neoplasia&lt;/Keywords&gt;&lt;Keywords&gt;Cervix Neoplasms&lt;/Keywords&gt;&lt;Keywords&gt;Colposcopy&lt;/Keywords&gt;&lt;Keywords&gt;cytology&lt;/Keywords&gt;&lt;Keywords&gt;Diagnostic&lt;/Keywords&gt;&lt;Keywords&gt;Disease&lt;/Keywords&gt;&lt;Keywords&gt;Electrosurgery&lt;/Keywords&gt;&lt;Keywords&gt;Female&lt;/Keywords&gt;&lt;Keywords&gt;Histological Techniques&lt;/Keywords&gt;&lt;Keywords&gt;histology&lt;/Keywords&gt;&lt;Keywords&gt;Hospitals&lt;/Keywords&gt;&lt;Keywords&gt;Human&lt;/Keywords&gt;&lt;Keywords&gt;Incidence&lt;/Keywords&gt;&lt;Keywords&gt;Middle Age&lt;/Keywords&gt;&lt;Keywords&gt;Neoplasia&lt;/Keywords&gt;&lt;Keywords&gt;Neoplasm Recurrence,Local&lt;/Keywords&gt;&lt;Keywords&gt;pathology&lt;/Keywords&gt;&lt;Keywords&gt;Recurrence&lt;/Keywords&gt;&lt;Keywords&gt;Retrospective Studies&lt;/Keywords&gt;&lt;Keywords&gt;Risk&lt;/Keywords&gt;&lt;Keywords&gt;Scotland&lt;/Keywords&gt;&lt;Keywords&gt;standards&lt;/Keywords&gt;&lt;Keywords&gt;surgery&lt;/Keywords&gt;&lt;Keywords&gt;Time&lt;/Keywords&gt;&lt;Keywords&gt;Treatment Failure&lt;/Keywords&gt;&lt;Keywords&gt;Vaginal Smears&lt;/Keywords&gt;&lt;Keywords&gt;Women&lt;/Keywords&gt;&lt;Reprint&gt;Not in File&lt;/Reprint&gt;&lt;Start_Page&gt;718&lt;/Start_Page&gt;&lt;End_Page&gt;722&lt;/End_Page&gt;&lt;Periodical&gt;Br J Obstet Gynaecol JID - 7503752&lt;/Periodical&gt;&lt;Volume&gt;104&lt;/Volume&gt;&lt;Issue&gt;6&lt;/Issue&gt;&lt;Address&gt;Wellbeing Centre for the Prevention of Cervical Cancer, Aberdeen Royal Hospitals NHS Trust, UKFAU - Flannelly, G&lt;/Address&gt;&lt;ZZ_JournalStdAbbrev&gt;&lt;f name="System"&gt;Br J Obstet Gynaecol JID - 7503752&lt;/f&gt;&lt;/ZZ_JournalStdAbbrev&gt;&lt;ZZ_WorkformID&gt;1&lt;/ZZ_WorkformID&gt;&lt;/MDL&gt;&lt;/Cite&gt;&lt;Cite&gt;&lt;Author&gt;Cecchini&lt;/Author&gt;&lt;Year&gt;2002&lt;/Year&gt;&lt;RecNum&gt;4756&lt;/RecNum&gt;&lt;IDText&gt;Recurrence after treatment by loop electrosurgical excision procedure (LEEP) of high-grade cervical intraepithelial neoplasia&lt;/IDText&gt;&lt;MDL Ref_Type="Journal"&gt;&lt;Ref_Type&gt;Journal&lt;/Ref_Type&gt;&lt;Ref_ID&gt;4756&lt;/Ref_ID&gt;&lt;Title_Primary&gt;Recurrence after treatment by loop electrosurgical excision procedure (LEEP) of high-grade cervical intraepithelial neoplasia&lt;/Title_Primary&gt;&lt;Authors_Primary&gt;Cecchini,S.&lt;/Authors_Primary&gt;&lt;Authors_Primary&gt;Visioli,C.B.&lt;/Authors_Primary&gt;&lt;Authors_Primary&gt;Zappa,M.&lt;/Authors_Primary&gt;&lt;Authors_Primary&gt;Ciatto,S.&lt;/Authors_Primary&gt;&lt;Date_Primary&gt;2002/11&lt;/Date_Primary&gt;&lt;Keywords&gt;analysis&lt;/Keywords&gt;&lt;Keywords&gt;Cervical Intraepithelial&lt;/Keywords&gt;&lt;Keywords&gt;Cervical Intraepithelial Neoplasia&lt;/Keywords&gt;&lt;Keywords&gt;Italy&lt;/Keywords&gt;&lt;Keywords&gt;Multivariate Analysis&lt;/Keywords&gt;&lt;Keywords&gt;Neoplasia&lt;/Keywords&gt;&lt;Keywords&gt;Recurrence&lt;/Keywords&gt;&lt;Keywords&gt;Risk&lt;/Keywords&gt;&lt;Keywords&gt;screening&lt;/Keywords&gt;&lt;Keywords&gt;Time&lt;/Keywords&gt;&lt;Reprint&gt;Not in File&lt;/Reprint&gt;&lt;Start_Page&gt;478&lt;/Start_Page&gt;&lt;End_Page&gt;480&lt;/End_Page&gt;&lt;Periodical&gt;Tumori&lt;/Periodical&gt;&lt;Volume&gt;88&lt;/Volume&gt;&lt;Issue&gt;6&lt;/Issue&gt;&lt;ZZ_JournalFull&gt;&lt;f name="System"&gt;Tumori&lt;/f&gt;&lt;/ZZ_JournalFull&gt;&lt;ZZ_WorkformID&gt;1&lt;/ZZ_WorkformID&gt;&lt;/MDL&gt;&lt;/Cite&gt;&lt;Cite&gt;&lt;Author&gt;Wright&lt;/Author&gt;&lt;Year&gt;1992&lt;/Year&gt;&lt;RecNum&gt;4418&lt;/RecNum&gt;&lt;IDText&gt;Treatment of cervical intraepithelial neoplasia using the loop electrosurgical excision procedure.[see comment]&lt;/IDText&gt;&lt;MDL Ref_Type="Journal"&gt;&lt;Ref_Type&gt;Journal&lt;/Ref_Type&gt;&lt;Ref_ID&gt;4418&lt;/Ref_ID&gt;&lt;Title_Primary&gt;Treatment of cervical intraepithelial neoplasia using the loop electrosurgical excision procedure.[see comment]&lt;/Title_Primary&gt;&lt;Authors_Primary&gt;Wright,T.C.,Jr.&lt;/Authors_Primary&gt;&lt;Authors_Primary&gt;Gagnon,S.&lt;/Authors_Primary&gt;&lt;Authors_Primary&gt;Richart,R.M.&lt;/Authors_Primary&gt;&lt;Authors_Primary&gt;Ferenczy,A.&lt;/Authors_Primary&gt;&lt;Date_Primary&gt;1992/2&lt;/Date_Primary&gt;&lt;Keywords&gt;Anesthesia&lt;/Keywords&gt;&lt;Keywords&gt;Cervical Intraepithelial&lt;/Keywords&gt;&lt;Keywords&gt;Cervical Intraepithelial Neoplasia&lt;/Keywords&gt;&lt;Keywords&gt;Clinical&lt;/Keywords&gt;&lt;Keywords&gt;Cryotherapy&lt;/Keywords&gt;&lt;Keywords&gt;diagnosis&lt;/Keywords&gt;&lt;Keywords&gt;Disease&lt;/Keywords&gt;&lt;Keywords&gt;Electrodes&lt;/Keywords&gt;&lt;Keywords&gt;Local&lt;/Keywords&gt;&lt;Keywords&gt;Neoplasia&lt;/Keywords&gt;&lt;Keywords&gt;New York&lt;/Keywords&gt;&lt;Keywords&gt;pathology&lt;/Keywords&gt;&lt;Keywords&gt;Patients&lt;/Keywords&gt;&lt;Keywords&gt;therapy&lt;/Keywords&gt;&lt;Keywords&gt;Women&lt;/Keywords&gt;&lt;Reprint&gt;Not in File&lt;/Reprint&gt;&lt;Start_Page&gt;173&lt;/Start_Page&gt;&lt;End_Page&gt;178&lt;/End_Page&gt;&lt;Periodical&gt;Obstetrics &amp;amp; Gynecology&lt;/Periodical&gt;&lt;Volume&gt;79&lt;/Volume&gt;&lt;Issue&gt;2&lt;/Issue&gt;&lt;ZZ_JournalFull&gt;&lt;f name="System"&gt;Obstetrics &amp;amp; Gynecology&lt;/f&gt;&lt;/ZZ_JournalFull&gt;&lt;ZZ_WorkformID&gt;1&lt;/ZZ_WorkformID&gt;&lt;/MDL&gt;&lt;/Cite&gt;&lt;Cite&gt;&lt;Author&gt;Powell&lt;/Author&gt;&lt;Year&gt;1996&lt;/Year&gt;&lt;RecNum&gt;4415&lt;/RecNum&gt;&lt;IDText&gt;The use of large loop excision of the transformation zone (LLETZ) in an outpatient setting&lt;/IDText&gt;&lt;MDL Ref_Type="Journal"&gt;&lt;Ref_Type&gt;Journal&lt;/Ref_Type&gt;&lt;Ref_ID&gt;4415&lt;/Ref_ID&gt;&lt;Title_Primary&gt;The use of large loop excision of the transformation zone (LLETZ) in an outpatient setting&lt;/Title_Primary&gt;&lt;Authors_Primary&gt;Powell,B.&lt;/Authors_Primary&gt;&lt;Date_Primary&gt;1996/8&lt;/Date_Primary&gt;&lt;Keywords&gt;Australia&lt;/Keywords&gt;&lt;Keywords&gt;Biopsy&lt;/Keywords&gt;&lt;Keywords&gt;Cervical Intraepithelial&lt;/Keywords&gt;&lt;Keywords&gt;Cervical Intraepithelial Neoplasia&lt;/Keywords&gt;&lt;Keywords&gt;deficiency&lt;/Keywords&gt;&lt;Keywords&gt;diagnosis&lt;/Keywords&gt;&lt;Keywords&gt;histology&lt;/Keywords&gt;&lt;Keywords&gt;Neoplasia&lt;/Keywords&gt;&lt;Keywords&gt;Patients&lt;/Keywords&gt;&lt;Keywords&gt;South Australia&lt;/Keywords&gt;&lt;Reprint&gt;Not in File&lt;/Reprint&gt;&lt;Start_Page&gt;338&lt;/Start_Page&gt;&lt;End_Page&gt;346&lt;/End_Page&gt;&lt;Periodical&gt;Australian &amp;amp; New Zealand Journal of Obstetrics &amp;amp; Gynaecology&lt;/Periodical&gt;&lt;Volume&gt;36&lt;/Volume&gt;&lt;Issue&gt;3&lt;/Issue&gt;&lt;ZZ_JournalFull&gt;&lt;f name="System"&gt;Australian &amp;amp; New Zealand Journal of Obstetrics &amp;amp; Gynaecology&lt;/f&gt;&lt;/ZZ_JournalFull&gt;&lt;ZZ_WorkformID&gt;1&lt;/ZZ_WorkformID&gt;&lt;/MDL&gt;&lt;/Cite&gt;&lt;Cite&gt;&lt;Author&gt;Paraskevaidis&lt;/Author&gt;&lt;Year&gt;2000&lt;/Year&gt;&lt;RecNum&gt;4761&lt;/RecNum&gt;&lt;IDText&gt;Cervical intraepithelial neoplasia outcomes after large loop excision with clear margins&lt;/IDText&gt;&lt;MDL Ref_Type="Journal"&gt;&lt;Ref_Type&gt;Journal&lt;/Ref_Type&gt;&lt;Ref_ID&gt;4761&lt;/Ref_ID&gt;&lt;Title_Primary&gt;Cervical intraepithelial neoplasia outcomes after large loop excision with clear margins&lt;/Title_Primary&gt;&lt;Authors_Primary&gt;Paraskevaidis,E.&lt;/Authors_Primary&gt;&lt;Authors_Primary&gt;Lolis,E.D.&lt;/Authors_Primary&gt;&lt;Authors_Primary&gt;Koliopoulos,G.&lt;/Authors_Primary&gt;&lt;Authors_Primary&gt;Alamanos,Y.&lt;/Authors_Primary&gt;&lt;Authors_Primary&gt;Fotiou,S.&lt;/Authors_Primary&gt;&lt;Authors_Primary&gt;Kitchener,H.C.&lt;/Authors_Primary&gt;&lt;Date_Primary&gt;2000/6&lt;/Date_Primary&gt;&lt;Keywords&gt;analysis&lt;/Keywords&gt;&lt;Keywords&gt;Case-Control Studies&lt;/Keywords&gt;&lt;Keywords&gt;Cervical Intraepithelial&lt;/Keywords&gt;&lt;Keywords&gt;Cervical Intraepithelial Neoplasia&lt;/Keywords&gt;&lt;Keywords&gt;Colposcopy&lt;/Keywords&gt;&lt;Keywords&gt;Confidence Intervals&lt;/Keywords&gt;&lt;Keywords&gt;control&lt;/Keywords&gt;&lt;Keywords&gt;Greece&lt;/Keywords&gt;&lt;Keywords&gt;Gynecology&lt;/Keywords&gt;&lt;Keywords&gt;methods&lt;/Keywords&gt;&lt;Keywords&gt;Multiple&lt;/Keywords&gt;&lt;Keywords&gt;Neoplasia&lt;/Keywords&gt;&lt;Keywords&gt;Odds Ratio&lt;/Keywords&gt;&lt;Keywords&gt;Recurrence&lt;/Keywords&gt;&lt;Keywords&gt;Regression Analysis&lt;/Keywords&gt;&lt;Keywords&gt;Risk&lt;/Keywords&gt;&lt;Keywords&gt;Risk Factors&lt;/Keywords&gt;&lt;Keywords&gt;Universities&lt;/Keywords&gt;&lt;Keywords&gt;Women&lt;/Keywords&gt;&lt;Reprint&gt;Not in File&lt;/Reprint&gt;&lt;Start_Page&gt;t&lt;/Start_Page&gt;&lt;End_Page&gt;31&lt;/End_Page&gt;&lt;Periodical&gt;Obstetrics &amp;amp; Gynecology&lt;/Periodical&gt;&lt;Volume&gt;95&lt;/Volume&gt;&lt;Issue&gt;6:Pt 1&lt;/Issue&gt;&lt;ZZ_JournalFull&gt;&lt;f name="System"&gt;Obstetrics &amp;amp; Gynecology&lt;/f&gt;&lt;/ZZ_JournalFull&gt;&lt;ZZ_WorkformID&gt;1&lt;/ZZ_WorkformID&gt;&lt;/MDL&gt;&lt;/Cite&gt;&lt;Cite&gt;&lt;Author&gt;Baldauf&lt;/Author&gt;&lt;Year&gt;1998&lt;/Year&gt;&lt;RecNum&gt;4762&lt;/RecNum&gt;&lt;IDText&gt;Cytology and colposcopy after loop electrosurgical excision: implications for follow-up&lt;/IDText&gt;&lt;MDL Ref_Type="Journal"&gt;&lt;Ref_Type&gt;Journal&lt;/Ref_Type&gt;&lt;Ref_ID&gt;4762&lt;/Ref_ID&gt;&lt;Title_Primary&gt;Cytology and colposcopy after loop electrosurgical excision: implications for follow-up&lt;/Title_Primary&gt;&lt;Authors_Primary&gt;Baldauf,J.J.&lt;/Authors_Primary&gt;&lt;Authors_Primary&gt;Dreyfus,M.&lt;/Authors_Primary&gt;&lt;Authors_Primary&gt;Ritter,J.&lt;/Authors_Primary&gt;&lt;Authors_Primary&gt;Cuenin,C.&lt;/Authors_Primary&gt;&lt;Authors_Primary&gt;Tissier,I.&lt;/Authors_Primary&gt;&lt;Authors_Primary&gt;Meyer,P.&lt;/Authors_Primary&gt;&lt;Date_Primary&gt;1998/7&lt;/Date_Primary&gt;&lt;Keywords&gt;Colposcopy&lt;/Keywords&gt;&lt;Keywords&gt;Comparative Study&lt;/Keywords&gt;&lt;Keywords&gt;cytology&lt;/Keywords&gt;&lt;Keywords&gt;diagnosis&lt;/Keywords&gt;&lt;Keywords&gt;France&lt;/Keywords&gt;&lt;Keywords&gt;Gynecology&lt;/Keywords&gt;&lt;Keywords&gt;methods&lt;/Keywords&gt;&lt;Keywords&gt;Obstetrics&lt;/Keywords&gt;&lt;Keywords&gt;Patients&lt;/Keywords&gt;&lt;Keywords&gt;Recurrence&lt;/Keywords&gt;&lt;Keywords&gt;Risk&lt;/Keywords&gt;&lt;Keywords&gt;Risk Factors&lt;/Keywords&gt;&lt;Keywords&gt;Time&lt;/Keywords&gt;&lt;Keywords&gt;Treatment Failure&lt;/Keywords&gt;&lt;Keywords&gt;Universities&lt;/Keywords&gt;&lt;Keywords&gt;Women&lt;/Keywords&gt;&lt;Reprint&gt;Not in File&lt;/Reprint&gt;&lt;Start_Page&gt;124&lt;/Start_Page&gt;&lt;End_Page&gt;130&lt;/End_Page&gt;&lt;Periodical&gt;Obstetrics &amp;amp; Gynecology&lt;/Periodical&gt;&lt;Volume&gt;92&lt;/Volume&gt;&lt;Issue&gt;1&lt;/Issue&gt;&lt;ZZ_JournalFull&gt;&lt;f name="System"&gt;Obstetrics &amp;amp; Gynecology&lt;/f&gt;&lt;/ZZ_JournalFull&gt;&lt;ZZ_WorkformID&gt;1&lt;/ZZ_WorkformID&gt;&lt;/MDL&gt;&lt;/Cite&gt;&lt;Cite&gt;&lt;Author&gt;Bigrigg&lt;/Author&gt;&lt;Year&gt;1994&lt;/Year&gt;&lt;RecNum&gt;4764&lt;/RecNum&gt;&lt;IDText&gt;Efficacy and safety of large-loop excision of the transformation zone&lt;/IDText&gt;&lt;MDL Ref_Type="Journal"&gt;&lt;Ref_Type&gt;Journal&lt;/Ref_Type&gt;&lt;Ref_ID&gt;4764&lt;/Ref_ID&gt;&lt;Title_Primary&gt;Efficacy and safety of large-loop excision of the transformation zone&lt;/Title_Primary&gt;&lt;Authors_Primary&gt;Bigrigg,A.&lt;/Authors_Primary&gt;&lt;Authors_Primary&gt;Haffenden,D.K.&lt;/Authors_Primary&gt;&lt;Authors_Primary&gt;Sheehan,A.L.&lt;/Authors_Primary&gt;&lt;Authors_Primary&gt;Codling,B.W.&lt;/Authors_Primary&gt;&lt;Authors_Primary&gt;Read,M.D.&lt;/Authors_Primary&gt;&lt;Date_Primary&gt;1994&lt;/Date_Primary&gt;&lt;Keywords&gt;Cervical Intraepithelial&lt;/Keywords&gt;&lt;Keywords&gt;Cervical Intraepithelial Neoplasia&lt;/Keywords&gt;&lt;Keywords&gt;control&lt;/Keywords&gt;&lt;Keywords&gt;cytology&lt;/Keywords&gt;&lt;Keywords&gt;Fertility&lt;/Keywords&gt;&lt;Keywords&gt;histology&lt;/Keywords&gt;&lt;Keywords&gt;history&lt;/Keywords&gt;&lt;Keywords&gt;Menstruation&lt;/Keywords&gt;&lt;Keywords&gt;Neoplasia&lt;/Keywords&gt;&lt;Keywords&gt;Obstetrics&lt;/Keywords&gt;&lt;Keywords&gt;Recurrence&lt;/Keywords&gt;&lt;Keywords&gt;Safety&lt;/Keywords&gt;&lt;Keywords&gt;Universities&lt;/Keywords&gt;&lt;Keywords&gt;Women&lt;/Keywords&gt;&lt;Reprint&gt;Not in File&lt;/Reprint&gt;&lt;Start_Page&gt;32&lt;/Start_Page&gt;&lt;End_Page&gt;34&lt;/End_Page&gt;&lt;Periodical&gt;Lancet&lt;/Periodical&gt;&lt;Volume&gt;343&lt;/Volume&gt;&lt;Issue&gt;8888&lt;/Issue&gt;&lt;ZZ_JournalFull&gt;&lt;f name="System"&gt;Lancet&lt;/f&gt;&lt;/ZZ_JournalFull&gt;&lt;ZZ_WorkformID&gt;1&lt;/ZZ_WorkformID&gt;&lt;/MDL&gt;&lt;/Cite&gt;&lt;Cite&gt;&lt;Author&gt;Oyesanya&lt;/Author&gt;&lt;Year&gt;1993&lt;/Year&gt;&lt;RecNum&gt;4763&lt;/RecNum&gt;&lt;IDText&gt;A comparison between loop diathermy conization and cold-knife conization for management of cervical dysplasia associated with unsatisfactory colposcopy&lt;/IDText&gt;&lt;MDL Ref_Type="Journal"&gt;&lt;Ref_Type&gt;Journal&lt;/Ref_Type&gt;&lt;Ref_ID&gt;4763&lt;/Ref_ID&gt;&lt;Title_Primary&gt;A comparison between loop diathermy conization and cold-knife conization for management of cervical dysplasia associated with unsatisfactory colposcopy&lt;/Title_Primary&gt;&lt;Authors_Primary&gt;Oyesanya,O.A.&lt;/Authors_Primary&gt;&lt;Authors_Primary&gt;Amerasinghe,C.&lt;/Authors_Primary&gt;&lt;Authors_Primary&gt;Manning,E.A.&lt;/Authors_Primary&gt;&lt;Date_Primary&gt;1993/7&lt;/Date_Primary&gt;&lt;Keywords&gt;Anesthesia&lt;/Keywords&gt;&lt;Keywords&gt;blood&lt;/Keywords&gt;&lt;Keywords&gt;Colposcopy&lt;/Keywords&gt;&lt;Keywords&gt;Comparative Study&lt;/Keywords&gt;&lt;Keywords&gt;complications&lt;/Keywords&gt;&lt;Keywords&gt;Conization&lt;/Keywords&gt;&lt;Keywords&gt;control&lt;/Keywords&gt;&lt;Keywords&gt;cytology&lt;/Keywords&gt;&lt;Keywords&gt;England&lt;/Keywords&gt;&lt;Keywords&gt;General&lt;/Keywords&gt;&lt;Keywords&gt;Local&lt;/Keywords&gt;&lt;Keywords&gt;London&lt;/Keywords&gt;&lt;Keywords&gt;Obstetrics&lt;/Keywords&gt;&lt;Keywords&gt;Parity&lt;/Keywords&gt;&lt;Keywords&gt;Postoperative Complications&lt;/Keywords&gt;&lt;Keywords&gt;Women&lt;/Keywords&gt;&lt;Reprint&gt;Not in File&lt;/Reprint&gt;&lt;Start_Page&gt;84&lt;/Start_Page&gt;&lt;End_Page&gt;88&lt;/End_Page&gt;&lt;Periodical&gt;Gynecologic Oncology&lt;/Periodical&gt;&lt;Volume&gt;50&lt;/Volume&gt;&lt;Issue&gt;1&lt;/Issue&gt;&lt;ZZ_JournalFull&gt;&lt;f name="System"&gt;Gynecologic Oncology&lt;/f&gt;&lt;/ZZ_JournalFull&gt;&lt;ZZ_WorkformID&gt;1&lt;/ZZ_WorkformID&gt;&lt;/MDL&gt;&lt;/Cite&gt;&lt;/Refman&gt;</w:instrText>
      </w:r>
      <w:r w:rsidRPr="00537C3C">
        <w:rPr>
          <w:rFonts w:cs="Arial"/>
        </w:rPr>
        <w:fldChar w:fldCharType="separate"/>
      </w:r>
      <w:r w:rsidRPr="00537C3C">
        <w:rPr>
          <w:rFonts w:cs="Arial"/>
        </w:rPr>
        <w:t>(Baldauf et al. 1998; Bigrigg et al. 1994; Cecchini et al. 2002; Flannelly et al. 1997; Oyesanya et al. 1993; Paraskevaidis et al. 2000; Powell 1996; Wright et al. 1992)</w:t>
      </w:r>
      <w:r w:rsidRPr="00537C3C">
        <w:rPr>
          <w:rFonts w:cs="Arial"/>
        </w:rPr>
        <w:fldChar w:fldCharType="end"/>
      </w:r>
      <w:r w:rsidRPr="00537C3C">
        <w:rPr>
          <w:rFonts w:cs="Arial"/>
        </w:rPr>
        <w:t>.</w:t>
      </w:r>
    </w:p>
    <w:p w:rsidR="00234376" w:rsidRDefault="00234376" w:rsidP="00234376">
      <w:pPr>
        <w:rPr>
          <w:rFonts w:cs="Arial"/>
        </w:rPr>
      </w:pPr>
      <w:r w:rsidRPr="00537C3C">
        <w:rPr>
          <w:rFonts w:cs="Arial"/>
        </w:rPr>
        <w:t xml:space="preserve">We assumed that 93.6 per cent of women receiving appropriate treatment for a confirmed high-grade lesion will have a successful treatment outcome within the first year </w:t>
      </w:r>
      <w:r w:rsidRPr="00537C3C">
        <w:rPr>
          <w:rFonts w:cs="Arial"/>
        </w:rPr>
        <w:fldChar w:fldCharType="begin"/>
      </w:r>
      <w:r w:rsidRPr="00537C3C">
        <w:rPr>
          <w:rFonts w:cs="Arial"/>
        </w:rPr>
        <w:instrText xml:space="preserve"> ADDIN REFMGR.CITE &lt;Refman&gt;&lt;Cite&gt;&lt;Author&gt;Flannelly&lt;/Author&gt;&lt;Year&gt;1997&lt;/Year&gt;&lt;RecNum&gt;1520&lt;/RecNum&gt;&lt;IDText&gt;A study of treatment failures following large loop excision of the transformation zone for the treatment of cervical intraepithelial neoplasia&lt;/IDText&gt;&lt;MDL Ref_Type="Journal"&gt;&lt;Ref_Type&gt;Journal&lt;/Ref_Type&gt;&lt;Ref_ID&gt;1520&lt;/Ref_ID&gt;&lt;Title_Primary&gt;A study of treatment failures following large loop excision of the transformation zone for the treatment of cervical intraepithelial neoplasia&lt;/Title_Primary&gt;&lt;Authors_Primary&gt;Flannelly,G.&lt;/Authors_Primary&gt;&lt;Authors_Primary&gt;Langhan,H.&lt;/Authors_Primary&gt;&lt;Authors_Primary&gt;Jandial,L.&lt;/Authors_Primary&gt;&lt;Authors_Primary&gt;Mana,E.&lt;/Authors_Primary&gt;&lt;Authors_Primary&gt;Campbell,M.&lt;/Authors_Primary&gt;&lt;Authors_Primary&gt;Kitchener,H.&lt;/Authors_Primary&gt;&lt;Date_Primary&gt;1997/6&lt;/Date_Primary&gt;&lt;Keywords&gt;Adolescent&lt;/Keywords&gt;&lt;Keywords&gt;Adult&lt;/Keywords&gt;&lt;Keywords&gt;Aftercare&lt;/Keywords&gt;&lt;Keywords&gt;Aged&lt;/Keywords&gt;&lt;Keywords&gt;Biopsy&lt;/Keywords&gt;&lt;Keywords&gt;Cancer&lt;/Keywords&gt;&lt;Keywords&gt;Cervical Intraepithelial&lt;/Keywords&gt;&lt;Keywords&gt;Cervical Intraepithelial Neoplasia&lt;/Keywords&gt;&lt;Keywords&gt;Cervix Neoplasms&lt;/Keywords&gt;&lt;Keywords&gt;Colposcopy&lt;/Keywords&gt;&lt;Keywords&gt;cytology&lt;/Keywords&gt;&lt;Keywords&gt;Diagnostic&lt;/Keywords&gt;&lt;Keywords&gt;Disease&lt;/Keywords&gt;&lt;Keywords&gt;Electrosurgery&lt;/Keywords&gt;&lt;Keywords&gt;Female&lt;/Keywords&gt;&lt;Keywords&gt;Histological Techniques&lt;/Keywords&gt;&lt;Keywords&gt;histology&lt;/Keywords&gt;&lt;Keywords&gt;Hospitals&lt;/Keywords&gt;&lt;Keywords&gt;Human&lt;/Keywords&gt;&lt;Keywords&gt;Incidence&lt;/Keywords&gt;&lt;Keywords&gt;Middle Age&lt;/Keywords&gt;&lt;Keywords&gt;Neoplasia&lt;/Keywords&gt;&lt;Keywords&gt;Neoplasm Recurrence,Local&lt;/Keywords&gt;&lt;Keywords&gt;pathology&lt;/Keywords&gt;&lt;Keywords&gt;Recurrence&lt;/Keywords&gt;&lt;Keywords&gt;Retrospective Studies&lt;/Keywords&gt;&lt;Keywords&gt;Risk&lt;/Keywords&gt;&lt;Keywords&gt;Scotland&lt;/Keywords&gt;&lt;Keywords&gt;standards&lt;/Keywords&gt;&lt;Keywords&gt;surgery&lt;/Keywords&gt;&lt;Keywords&gt;Time&lt;/Keywords&gt;&lt;Keywords&gt;Treatment Failure&lt;/Keywords&gt;&lt;Keywords&gt;Vaginal Smears&lt;/Keywords&gt;&lt;Keywords&gt;Women&lt;/Keywords&gt;&lt;Reprint&gt;Not in File&lt;/Reprint&gt;&lt;Start_Page&gt;718&lt;/Start_Page&gt;&lt;End_Page&gt;722&lt;/End_Page&gt;&lt;Periodical&gt;Br J Obstet Gynaecol JID - 7503752&lt;/Periodical&gt;&lt;Volume&gt;104&lt;/Volume&gt;&lt;Issue&gt;6&lt;/Issue&gt;&lt;Address&gt;Wellbeing Centre for the Prevention of Cervical Cancer, Aberdeen Royal Hospitals NHS Trust, UKFAU - Flannelly, G&lt;/Address&gt;&lt;ZZ_JournalStdAbbrev&gt;&lt;f name="System"&gt;Br J Obstet Gynaecol JID - 7503752&lt;/f&gt;&lt;/ZZ_JournalStdAbbrev&gt;&lt;ZZ_WorkformID&gt;1&lt;/ZZ_WorkformID&gt;&lt;/MDL&gt;&lt;/Cite&gt;&lt;Cite&gt;&lt;Author&gt;Cecchini&lt;/Author&gt;&lt;Year&gt;2002&lt;/Year&gt;&lt;RecNum&gt;4756&lt;/RecNum&gt;&lt;IDText&gt;Recurrence after treatment by loop electrosurgical excision procedure (LEEP) of high-grade cervical intraepithelial neoplasia&lt;/IDText&gt;&lt;MDL Ref_Type="Journal"&gt;&lt;Ref_Type&gt;Journal&lt;/Ref_Type&gt;&lt;Ref_ID&gt;4756&lt;/Ref_ID&gt;&lt;Title_Primary&gt;Recurrence after treatment by loop electrosurgical excision procedure (LEEP) of high-grade cervical intraepithelial neoplasia&lt;/Title_Primary&gt;&lt;Authors_Primary&gt;Cecchini,S.&lt;/Authors_Primary&gt;&lt;Authors_Primary&gt;Visioli,C.B.&lt;/Authors_Primary&gt;&lt;Authors_Primary&gt;Zappa,M.&lt;/Authors_Primary&gt;&lt;Authors_Primary&gt;Ciatto,S.&lt;/Authors_Primary&gt;&lt;Date_Primary&gt;2002/11&lt;/Date_Primary&gt;&lt;Keywords&gt;analysis&lt;/Keywords&gt;&lt;Keywords&gt;Cervical Intraepithelial&lt;/Keywords&gt;&lt;Keywords&gt;Cervical Intraepithelial Neoplasia&lt;/Keywords&gt;&lt;Keywords&gt;Italy&lt;/Keywords&gt;&lt;Keywords&gt;Multivariate Analysis&lt;/Keywords&gt;&lt;Keywords&gt;Neoplasia&lt;/Keywords&gt;&lt;Keywords&gt;Recurrence&lt;/Keywords&gt;&lt;Keywords&gt;Risk&lt;/Keywords&gt;&lt;Keywords&gt;screening&lt;/Keywords&gt;&lt;Keywords&gt;Time&lt;/Keywords&gt;&lt;Reprint&gt;Not in File&lt;/Reprint&gt;&lt;Start_Page&gt;478&lt;/Start_Page&gt;&lt;End_Page&gt;480&lt;/End_Page&gt;&lt;Periodical&gt;Tumori&lt;/Periodical&gt;&lt;Volume&gt;88&lt;/Volume&gt;&lt;Issue&gt;6&lt;/Issue&gt;&lt;ZZ_JournalFull&gt;&lt;f name="System"&gt;Tumori&lt;/f&gt;&lt;/ZZ_JournalFull&gt;&lt;ZZ_WorkformID&gt;1&lt;/ZZ_WorkformID&gt;&lt;/MDL&gt;&lt;/Cite&gt;&lt;Cite&gt;&lt;Author&gt;Wright&lt;/Author&gt;&lt;Year&gt;1992&lt;/Year&gt;&lt;RecNum&gt;4418&lt;/RecNum&gt;&lt;IDText&gt;Treatment of cervical intraepithelial neoplasia using the loop electrosurgical excision procedure.[see comment]&lt;/IDText&gt;&lt;MDL Ref_Type="Journal"&gt;&lt;Ref_Type&gt;Journal&lt;/Ref_Type&gt;&lt;Ref_ID&gt;4418&lt;/Ref_ID&gt;&lt;Title_Primary&gt;Treatment of cervical intraepithelial neoplasia using the loop electrosurgical excision procedure.[see comment]&lt;/Title_Primary&gt;&lt;Authors_Primary&gt;Wright,T.C.,Jr.&lt;/Authors_Primary&gt;&lt;Authors_Primary&gt;Gagnon,S.&lt;/Authors_Primary&gt;&lt;Authors_Primary&gt;Richart,R.M.&lt;/Authors_Primary&gt;&lt;Authors_Primary&gt;Ferenczy,A.&lt;/Authors_Primary&gt;&lt;Date_Primary&gt;1992/2&lt;/Date_Primary&gt;&lt;Keywords&gt;Anesthesia&lt;/Keywords&gt;&lt;Keywords&gt;Cervical Intraepithelial&lt;/Keywords&gt;&lt;Keywords&gt;Cervical Intraepithelial Neoplasia&lt;/Keywords&gt;&lt;Keywords&gt;Clinical&lt;/Keywords&gt;&lt;Keywords&gt;Cryotherapy&lt;/Keywords&gt;&lt;Keywords&gt;diagnosis&lt;/Keywords&gt;&lt;Keywords&gt;Disease&lt;/Keywords&gt;&lt;Keywords&gt;Electrodes&lt;/Keywords&gt;&lt;Keywords&gt;Local&lt;/Keywords&gt;&lt;Keywords&gt;Neoplasia&lt;/Keywords&gt;&lt;Keywords&gt;New York&lt;/Keywords&gt;&lt;Keywords&gt;pathology&lt;/Keywords&gt;&lt;Keywords&gt;Patients&lt;/Keywords&gt;&lt;Keywords&gt;therapy&lt;/Keywords&gt;&lt;Keywords&gt;Women&lt;/Keywords&gt;&lt;Reprint&gt;Not in File&lt;/Reprint&gt;&lt;Start_Page&gt;173&lt;/Start_Page&gt;&lt;End_Page&gt;178&lt;/End_Page&gt;&lt;Periodical&gt;Obstetrics &amp;amp; Gynecology&lt;/Periodical&gt;&lt;Volume&gt;79&lt;/Volume&gt;&lt;Issue&gt;2&lt;/Issue&gt;&lt;ZZ_JournalFull&gt;&lt;f name="System"&gt;Obstetrics &amp;amp; Gynecology&lt;/f&gt;&lt;/ZZ_JournalFull&gt;&lt;ZZ_WorkformID&gt;1&lt;/ZZ_WorkformID&gt;&lt;/MDL&gt;&lt;/Cite&gt;&lt;Cite&gt;&lt;Author&gt;Powell&lt;/Author&gt;&lt;Year&gt;1996&lt;/Year&gt;&lt;RecNum&gt;4415&lt;/RecNum&gt;&lt;IDText&gt;The use of large loop excision of the transformation zone (LLETZ) in an outpatient setting&lt;/IDText&gt;&lt;MDL Ref_Type="Journal"&gt;&lt;Ref_Type&gt;Journal&lt;/Ref_Type&gt;&lt;Ref_ID&gt;4415&lt;/Ref_ID&gt;&lt;Title_Primary&gt;The use of large loop excision of the transformation zone (LLETZ) in an outpatient setting&lt;/Title_Primary&gt;&lt;Authors_Primary&gt;Powell,B.&lt;/Authors_Primary&gt;&lt;Date_Primary&gt;1996/8&lt;/Date_Primary&gt;&lt;Keywords&gt;Australia&lt;/Keywords&gt;&lt;Keywords&gt;Biopsy&lt;/Keywords&gt;&lt;Keywords&gt;Cervical Intraepithelial&lt;/Keywords&gt;&lt;Keywords&gt;Cervical Intraepithelial Neoplasia&lt;/Keywords&gt;&lt;Keywords&gt;deficiency&lt;/Keywords&gt;&lt;Keywords&gt;diagnosis&lt;/Keywords&gt;&lt;Keywords&gt;histology&lt;/Keywords&gt;&lt;Keywords&gt;Neoplasia&lt;/Keywords&gt;&lt;Keywords&gt;Patients&lt;/Keywords&gt;&lt;Keywords&gt;South Australia&lt;/Keywords&gt;&lt;Reprint&gt;Not in File&lt;/Reprint&gt;&lt;Start_Page&gt;338&lt;/Start_Page&gt;&lt;End_Page&gt;346&lt;/End_Page&gt;&lt;Periodical&gt;Australian &amp;amp; New Zealand Journal of Obstetrics &amp;amp; Gynaecology&lt;/Periodical&gt;&lt;Volume&gt;36&lt;/Volume&gt;&lt;Issue&gt;3&lt;/Issue&gt;&lt;ZZ_JournalFull&gt;&lt;f name="System"&gt;Australian &amp;amp; New Zealand Journal of Obstetrics &amp;amp; Gynaecology&lt;/f&gt;&lt;/ZZ_JournalFull&gt;&lt;ZZ_WorkformID&gt;1&lt;/ZZ_WorkformID&gt;&lt;/MDL&gt;&lt;/Cite&gt;&lt;Cite&gt;&lt;Author&gt;Paraskevaidis&lt;/Author&gt;&lt;Year&gt;2000&lt;/Year&gt;&lt;RecNum&gt;4761&lt;/RecNum&gt;&lt;IDText&gt;Cervical intraepithelial neoplasia outcomes after large loop excision with clear margins&lt;/IDText&gt;&lt;MDL Ref_Type="Journal"&gt;&lt;Ref_Type&gt;Journal&lt;/Ref_Type&gt;&lt;Ref_ID&gt;4761&lt;/Ref_ID&gt;&lt;Title_Primary&gt;Cervical intraepithelial neoplasia outcomes after large loop excision with clear margins&lt;/Title_Primary&gt;&lt;Authors_Primary&gt;Paraskevaidis,E.&lt;/Authors_Primary&gt;&lt;Authors_Primary&gt;Lolis,E.D.&lt;/Authors_Primary&gt;&lt;Authors_Primary&gt;Koliopoulos,G.&lt;/Authors_Primary&gt;&lt;Authors_Primary&gt;Alamanos,Y.&lt;/Authors_Primary&gt;&lt;Authors_Primary&gt;Fotiou,S.&lt;/Authors_Primary&gt;&lt;Authors_Primary&gt;Kitchener,H.C.&lt;/Authors_Primary&gt;&lt;Date_Primary&gt;2000/6&lt;/Date_Primary&gt;&lt;Keywords&gt;analysis&lt;/Keywords&gt;&lt;Keywords&gt;Case-Control Studies&lt;/Keywords&gt;&lt;Keywords&gt;Cervical Intraepithelial&lt;/Keywords&gt;&lt;Keywords&gt;Cervical Intraepithelial Neoplasia&lt;/Keywords&gt;&lt;Keywords&gt;Colposcopy&lt;/Keywords&gt;&lt;Keywords&gt;Confidence Intervals&lt;/Keywords&gt;&lt;Keywords&gt;control&lt;/Keywords&gt;&lt;Keywords&gt;Greece&lt;/Keywords&gt;&lt;Keywords&gt;Gynecology&lt;/Keywords&gt;&lt;Keywords&gt;methods&lt;/Keywords&gt;&lt;Keywords&gt;Multiple&lt;/Keywords&gt;&lt;Keywords&gt;Neoplasia&lt;/Keywords&gt;&lt;Keywords&gt;Odds Ratio&lt;/Keywords&gt;&lt;Keywords&gt;Recurrence&lt;/Keywords&gt;&lt;Keywords&gt;Regression Analysis&lt;/Keywords&gt;&lt;Keywords&gt;Risk&lt;/Keywords&gt;&lt;Keywords&gt;Risk Factors&lt;/Keywords&gt;&lt;Keywords&gt;Universities&lt;/Keywords&gt;&lt;Keywords&gt;Women&lt;/Keywords&gt;&lt;Reprint&gt;Not in File&lt;/Reprint&gt;&lt;Start_Page&gt;t&lt;/Start_Page&gt;&lt;End_Page&gt;31&lt;/End_Page&gt;&lt;Periodical&gt;Obstetrics &amp;amp; Gynecology&lt;/Periodical&gt;&lt;Volume&gt;95&lt;/Volume&gt;&lt;Issue&gt;6:Pt 1&lt;/Issue&gt;&lt;ZZ_JournalFull&gt;&lt;f name="System"&gt;Obstetrics &amp;amp; Gynecology&lt;/f&gt;&lt;/ZZ_JournalFull&gt;&lt;ZZ_WorkformID&gt;1&lt;/ZZ_WorkformID&gt;&lt;/MDL&gt;&lt;/Cite&gt;&lt;Cite&gt;&lt;Author&gt;Baldauf&lt;/Author&gt;&lt;Year&gt;1998&lt;/Year&gt;&lt;RecNum&gt;4762&lt;/RecNum&gt;&lt;IDText&gt;Cytology and colposcopy after loop electrosurgical excision: implications for follow-up&lt;/IDText&gt;&lt;MDL Ref_Type="Journal"&gt;&lt;Ref_Type&gt;Journal&lt;/Ref_Type&gt;&lt;Ref_ID&gt;4762&lt;/Ref_ID&gt;&lt;Title_Primary&gt;Cytology and colposcopy after loop electrosurgical excision: implications for follow-up&lt;/Title_Primary&gt;&lt;Authors_Primary&gt;Baldauf,J.J.&lt;/Authors_Primary&gt;&lt;Authors_Primary&gt;Dreyfus,M.&lt;/Authors_Primary&gt;&lt;Authors_Primary&gt;Ritter,J.&lt;/Authors_Primary&gt;&lt;Authors_Primary&gt;Cuenin,C.&lt;/Authors_Primary&gt;&lt;Authors_Primary&gt;Tissier,I.&lt;/Authors_Primary&gt;&lt;Authors_Primary&gt;Meyer,P.&lt;/Authors_Primary&gt;&lt;Date_Primary&gt;1998/7&lt;/Date_Primary&gt;&lt;Keywords&gt;Colposcopy&lt;/Keywords&gt;&lt;Keywords&gt;Comparative Study&lt;/Keywords&gt;&lt;Keywords&gt;cytology&lt;/Keywords&gt;&lt;Keywords&gt;diagnosis&lt;/Keywords&gt;&lt;Keywords&gt;France&lt;/Keywords&gt;&lt;Keywords&gt;Gynecology&lt;/Keywords&gt;&lt;Keywords&gt;methods&lt;/Keywords&gt;&lt;Keywords&gt;Obstetrics&lt;/Keywords&gt;&lt;Keywords&gt;Patients&lt;/Keywords&gt;&lt;Keywords&gt;Recurrence&lt;/Keywords&gt;&lt;Keywords&gt;Risk&lt;/Keywords&gt;&lt;Keywords&gt;Risk Factors&lt;/Keywords&gt;&lt;Keywords&gt;Time&lt;/Keywords&gt;&lt;Keywords&gt;Treatment Failure&lt;/Keywords&gt;&lt;Keywords&gt;Universities&lt;/Keywords&gt;&lt;Keywords&gt;Women&lt;/Keywords&gt;&lt;Reprint&gt;Not in File&lt;/Reprint&gt;&lt;Start_Page&gt;124&lt;/Start_Page&gt;&lt;End_Page&gt;130&lt;/End_Page&gt;&lt;Periodical&gt;Obstetrics &amp;amp; Gynecology&lt;/Periodical&gt;&lt;Volume&gt;92&lt;/Volume&gt;&lt;Issue&gt;1&lt;/Issue&gt;&lt;ZZ_JournalFull&gt;&lt;f name="System"&gt;Obstetrics &amp;amp; Gynecology&lt;/f&gt;&lt;/ZZ_JournalFull&gt;&lt;ZZ_WorkformID&gt;1&lt;/ZZ_WorkformID&gt;&lt;/MDL&gt;&lt;/Cite&gt;&lt;Cite&gt;&lt;Author&gt;Bigrigg&lt;/Author&gt;&lt;Year&gt;1994&lt;/Year&gt;&lt;RecNum&gt;4764&lt;/RecNum&gt;&lt;IDText&gt;Efficacy and safety of large-loop excision of the transformation zone&lt;/IDText&gt;&lt;MDL Ref_Type="Journal"&gt;&lt;Ref_Type&gt;Journal&lt;/Ref_Type&gt;&lt;Ref_ID&gt;4764&lt;/Ref_ID&gt;&lt;Title_Primary&gt;Efficacy and safety of large-loop excision of the transformation zone&lt;/Title_Primary&gt;&lt;Authors_Primary&gt;Bigrigg,A.&lt;/Authors_Primary&gt;&lt;Authors_Primary&gt;Haffenden,D.K.&lt;/Authors_Primary&gt;&lt;Authors_Primary&gt;Sheehan,A.L.&lt;/Authors_Primary&gt;&lt;Authors_Primary&gt;Codling,B.W.&lt;/Authors_Primary&gt;&lt;Authors_Primary&gt;Read,M.D.&lt;/Authors_Primary&gt;&lt;Date_Primary&gt;1994&lt;/Date_Primary&gt;&lt;Keywords&gt;Cervical Intraepithelial&lt;/Keywords&gt;&lt;Keywords&gt;Cervical Intraepithelial Neoplasia&lt;/Keywords&gt;&lt;Keywords&gt;control&lt;/Keywords&gt;&lt;Keywords&gt;cytology&lt;/Keywords&gt;&lt;Keywords&gt;Fertility&lt;/Keywords&gt;&lt;Keywords&gt;histology&lt;/Keywords&gt;&lt;Keywords&gt;history&lt;/Keywords&gt;&lt;Keywords&gt;Menstruation&lt;/Keywords&gt;&lt;Keywords&gt;Neoplasia&lt;/Keywords&gt;&lt;Keywords&gt;Obstetrics&lt;/Keywords&gt;&lt;Keywords&gt;Recurrence&lt;/Keywords&gt;&lt;Keywords&gt;Safety&lt;/Keywords&gt;&lt;Keywords&gt;Universities&lt;/Keywords&gt;&lt;Keywords&gt;Women&lt;/Keywords&gt;&lt;Reprint&gt;Not in File&lt;/Reprint&gt;&lt;Start_Page&gt;32&lt;/Start_Page&gt;&lt;End_Page&gt;34&lt;/End_Page&gt;&lt;Periodical&gt;Lancet&lt;/Periodical&gt;&lt;Volume&gt;343&lt;/Volume&gt;&lt;Issue&gt;8888&lt;/Issue&gt;&lt;ZZ_JournalFull&gt;&lt;f name="System"&gt;Lancet&lt;/f&gt;&lt;/ZZ_JournalFull&gt;&lt;ZZ_WorkformID&gt;1&lt;/ZZ_WorkformID&gt;&lt;/MDL&gt;&lt;/Cite&gt;&lt;Cite&gt;&lt;Author&gt;Oyesanya&lt;/Author&gt;&lt;Year&gt;1993&lt;/Year&gt;&lt;RecNum&gt;4763&lt;/RecNum&gt;&lt;IDText&gt;A comparison between loop diathermy conization and cold-knife conization for management of cervical dysplasia associated with unsatisfactory colposcopy&lt;/IDText&gt;&lt;MDL Ref_Type="Journal"&gt;&lt;Ref_Type&gt;Journal&lt;/Ref_Type&gt;&lt;Ref_ID&gt;4763&lt;/Ref_ID&gt;&lt;Title_Primary&gt;A comparison between loop diathermy conization and cold-knife conization for management of cervical dysplasia associated with unsatisfactory colposcopy&lt;/Title_Primary&gt;&lt;Authors_Primary&gt;Oyesanya,O.A.&lt;/Authors_Primary&gt;&lt;Authors_Primary&gt;Amerasinghe,C.&lt;/Authors_Primary&gt;&lt;Authors_Primary&gt;Manning,E.A.&lt;/Authors_Primary&gt;&lt;Date_Primary&gt;1993/7&lt;/Date_Primary&gt;&lt;Keywords&gt;Anesthesia&lt;/Keywords&gt;&lt;Keywords&gt;blood&lt;/Keywords&gt;&lt;Keywords&gt;Colposcopy&lt;/Keywords&gt;&lt;Keywords&gt;Comparative Study&lt;/Keywords&gt;&lt;Keywords&gt;complications&lt;/Keywords&gt;&lt;Keywords&gt;Conization&lt;/Keywords&gt;&lt;Keywords&gt;control&lt;/Keywords&gt;&lt;Keywords&gt;cytology&lt;/Keywords&gt;&lt;Keywords&gt;England&lt;/Keywords&gt;&lt;Keywords&gt;General&lt;/Keywords&gt;&lt;Keywords&gt;Local&lt;/Keywords&gt;&lt;Keywords&gt;London&lt;/Keywords&gt;&lt;Keywords&gt;Obstetrics&lt;/Keywords&gt;&lt;Keywords&gt;Parity&lt;/Keywords&gt;&lt;Keywords&gt;Postoperative Complications&lt;/Keywords&gt;&lt;Keywords&gt;Women&lt;/Keywords&gt;&lt;Reprint&gt;Not in File&lt;/Reprint&gt;&lt;Start_Page&gt;84&lt;/Start_Page&gt;&lt;End_Page&gt;88&lt;/End_Page&gt;&lt;Periodical&gt;Gynecologic Oncology&lt;/Periodical&gt;&lt;Volume&gt;50&lt;/Volume&gt;&lt;Issue&gt;1&lt;/Issue&gt;&lt;ZZ_JournalFull&gt;&lt;f name="System"&gt;Gynecologic Oncology&lt;/f&gt;&lt;/ZZ_JournalFull&gt;&lt;ZZ_WorkformID&gt;1&lt;/ZZ_WorkformID&gt;&lt;/MDL&gt;&lt;/Cite&gt;&lt;/Refman&gt;</w:instrText>
      </w:r>
      <w:r w:rsidRPr="00537C3C">
        <w:rPr>
          <w:rFonts w:cs="Arial"/>
        </w:rPr>
        <w:fldChar w:fldCharType="separate"/>
      </w:r>
      <w:r w:rsidRPr="00537C3C">
        <w:rPr>
          <w:rFonts w:cs="Arial"/>
        </w:rPr>
        <w:t>(Baldauf et al. 1998; Bigrigg et al. 1994; Cecchini et al. 2002; Flannelly et al. 1997; Oyesanya et al. 1993; Paraskevaidis et al. 2000; Powell 1996; Wright et al. 1992)</w:t>
      </w:r>
      <w:r w:rsidRPr="00537C3C">
        <w:rPr>
          <w:rFonts w:cs="Arial"/>
        </w:rPr>
        <w:fldChar w:fldCharType="end"/>
      </w:r>
      <w:r w:rsidRPr="00537C3C">
        <w:rPr>
          <w:rFonts w:cs="Arial"/>
        </w:rPr>
        <w:t xml:space="preserve">, of whom 15.8 per cent would be </w:t>
      </w:r>
      <w:r w:rsidRPr="00BB76D8">
        <w:rPr>
          <w:rFonts w:cs="Arial"/>
        </w:rPr>
        <w:t>HPV</w:t>
      </w:r>
      <w:r w:rsidRPr="00537C3C">
        <w:rPr>
          <w:rFonts w:cs="Arial"/>
        </w:rPr>
        <w:t xml:space="preserve">-positive after 1 year </w:t>
      </w:r>
      <w:r w:rsidRPr="00537C3C">
        <w:rPr>
          <w:rFonts w:cs="Arial"/>
        </w:rPr>
        <w:fldChar w:fldCharType="begin"/>
      </w:r>
      <w:r w:rsidRPr="00537C3C">
        <w:rPr>
          <w:rFonts w:cs="Arial"/>
        </w:rPr>
        <w:instrText xml:space="preserve"> ADDIN REFMGR.CITE &lt;Refman&gt;&lt;Cite&gt;&lt;Author&gt;Medical Services Advisory Committee&lt;/Author&gt;&lt;Year&gt;2005&lt;/Year&gt;&lt;RecNum&gt;3459&lt;/RecNum&gt;&lt;IDText&gt;The Use of Human Papillomavirus Testing to Monitor Effectiveness of Treatment of High-Grade Intraepithelial Abnormalities of the Cervix&lt;/IDText&gt;&lt;MDL Ref_Type="Report"&gt;&lt;Ref_Type&gt;Report&lt;/Ref_Type&gt;&lt;Ref_ID&gt;3459&lt;/Ref_ID&gt;&lt;Title_Primary&gt;The Use of Human Papillomavirus Testing to Monitor Effectiveness of Treatment of High-Grade Intraepithelial Abnormalities of the Cervix&lt;/Title_Primary&gt;&lt;Authors_Primary&gt;Medical Services Advisory Committee&lt;/Authors_Primary&gt;&lt;Date_Primary&gt;2005&lt;/Date_Primary&gt;&lt;Keywords&gt;abnormalities&lt;/Keywords&gt;&lt;Keywords&gt;Human&lt;/Keywords&gt;&lt;Keywords&gt;Papillomavirus&lt;/Keywords&gt;&lt;Reprint&gt;In File&lt;/Reprint&gt;&lt;Pub_Place&gt;Canberra, Australia&lt;/Pub_Place&gt;&lt;Publisher&gt;MSAC&lt;/Publisher&gt;&lt;ZZ_WorkformID&gt;24&lt;/ZZ_WorkformID&gt;&lt;/MDL&gt;&lt;/Cite&gt;&lt;/Refman&gt;</w:instrText>
      </w:r>
      <w:r w:rsidRPr="00537C3C">
        <w:rPr>
          <w:rFonts w:cs="Arial"/>
        </w:rPr>
        <w:fldChar w:fldCharType="separate"/>
      </w:r>
      <w:r w:rsidRPr="00537C3C">
        <w:rPr>
          <w:rFonts w:cs="Arial"/>
        </w:rPr>
        <w:t>(MSAC 2005)</w:t>
      </w:r>
      <w:r w:rsidRPr="00537C3C">
        <w:rPr>
          <w:rFonts w:cs="Arial"/>
        </w:rPr>
        <w:fldChar w:fldCharType="end"/>
      </w:r>
      <w:r w:rsidRPr="00537C3C">
        <w:rPr>
          <w:rFonts w:cs="Arial"/>
        </w:rPr>
        <w:t xml:space="preserve"> (</w:t>
      </w:r>
      <w:r w:rsidRPr="00537C3C">
        <w:rPr>
          <w:rFonts w:cs="Arial"/>
        </w:rPr>
        <w:fldChar w:fldCharType="begin"/>
      </w:r>
      <w:r w:rsidRPr="00537C3C">
        <w:rPr>
          <w:rFonts w:cs="Arial"/>
        </w:rPr>
        <w:instrText xml:space="preserve"> REF _Ref95894594 \h </w:instrText>
      </w:r>
      <w:r w:rsidRPr="00537C3C">
        <w:rPr>
          <w:rFonts w:cs="Arial"/>
        </w:rPr>
      </w:r>
      <w:r w:rsidRPr="00537C3C">
        <w:rPr>
          <w:rFonts w:cs="Arial"/>
        </w:rPr>
        <w:fldChar w:fldCharType="separate"/>
      </w:r>
      <w:r w:rsidR="007D3DFF" w:rsidRPr="00537C3C">
        <w:t xml:space="preserve">Table </w:t>
      </w:r>
      <w:r w:rsidR="007D3DFF">
        <w:rPr>
          <w:noProof/>
        </w:rPr>
        <w:t>64</w:t>
      </w:r>
      <w:r w:rsidRPr="00537C3C">
        <w:rPr>
          <w:rFonts w:cs="Arial"/>
        </w:rPr>
        <w:fldChar w:fldCharType="end"/>
      </w:r>
      <w:r w:rsidRPr="00537C3C">
        <w:rPr>
          <w:rFonts w:cs="Arial"/>
        </w:rPr>
        <w:t>).</w:t>
      </w:r>
    </w:p>
    <w:p w:rsidR="00234376" w:rsidRDefault="00234376" w:rsidP="00234376">
      <w:pPr>
        <w:rPr>
          <w:rFonts w:cs="Arial"/>
        </w:rPr>
      </w:pPr>
      <w:r w:rsidRPr="00537C3C">
        <w:rPr>
          <w:rFonts w:cs="Arial"/>
        </w:rPr>
        <w:t xml:space="preserve">We also assumed that a small proportion of both </w:t>
      </w:r>
      <w:r w:rsidRPr="00BB76D8">
        <w:rPr>
          <w:rFonts w:cs="Arial"/>
        </w:rPr>
        <w:t>HPV</w:t>
      </w:r>
      <w:r w:rsidRPr="00537C3C">
        <w:rPr>
          <w:rFonts w:cs="Arial"/>
        </w:rPr>
        <w:t xml:space="preserve">-positive and </w:t>
      </w:r>
      <w:r w:rsidRPr="00BB76D8">
        <w:rPr>
          <w:rFonts w:cs="Arial"/>
        </w:rPr>
        <w:t>HPV</w:t>
      </w:r>
      <w:r w:rsidRPr="00537C3C">
        <w:rPr>
          <w:rFonts w:cs="Arial"/>
        </w:rPr>
        <w:t xml:space="preserve">-negative patients would have recurrent disease 1 year after successful treatment. The rate of high-grade </w:t>
      </w:r>
      <w:r w:rsidRPr="00BB76D8">
        <w:rPr>
          <w:rFonts w:cs="Arial"/>
        </w:rPr>
        <w:t>CIN</w:t>
      </w:r>
      <w:r w:rsidRPr="00537C3C">
        <w:rPr>
          <w:rFonts w:cs="Arial"/>
        </w:rPr>
        <w:t xml:space="preserve"> recurrence is assumed to be 1.1 per cent in years 1–2, 0.6 per cent in years 2–3</w:t>
      </w:r>
      <w:r w:rsidRPr="00537C3C" w:rsidDel="00C27CD6">
        <w:rPr>
          <w:rFonts w:cs="Arial"/>
        </w:rPr>
        <w:t>,</w:t>
      </w:r>
      <w:r w:rsidRPr="00537C3C">
        <w:rPr>
          <w:rFonts w:cs="Arial"/>
        </w:rPr>
        <w:t xml:space="preserve"> 0.2 per cent in years 3–4 and 0.1 per cent after the 4th year (</w:t>
      </w:r>
      <w:r w:rsidRPr="00537C3C">
        <w:rPr>
          <w:rFonts w:cs="Arial"/>
        </w:rPr>
        <w:fldChar w:fldCharType="begin"/>
      </w:r>
      <w:r w:rsidRPr="00537C3C">
        <w:rPr>
          <w:rFonts w:cs="Arial"/>
        </w:rPr>
        <w:instrText xml:space="preserve"> REF _Ref95894616 \h </w:instrText>
      </w:r>
      <w:r w:rsidRPr="00537C3C">
        <w:rPr>
          <w:rFonts w:cs="Arial"/>
        </w:rPr>
      </w:r>
      <w:r w:rsidRPr="00537C3C">
        <w:rPr>
          <w:rFonts w:cs="Arial"/>
        </w:rPr>
        <w:fldChar w:fldCharType="separate"/>
      </w:r>
      <w:r w:rsidR="007D3DFF" w:rsidRPr="00537C3C">
        <w:t xml:space="preserve">Table </w:t>
      </w:r>
      <w:r w:rsidR="007D3DFF">
        <w:rPr>
          <w:noProof/>
        </w:rPr>
        <w:t>65</w:t>
      </w:r>
      <w:r w:rsidRPr="00537C3C">
        <w:rPr>
          <w:rFonts w:cs="Arial"/>
        </w:rPr>
        <w:fldChar w:fldCharType="end"/>
      </w:r>
      <w:r w:rsidRPr="00537C3C">
        <w:rPr>
          <w:rFonts w:cs="Arial"/>
        </w:rPr>
        <w:t xml:space="preserve">). Of women experiencing recurrent disease, 32.1 per cent are assumed to develop </w:t>
      </w:r>
      <w:r w:rsidRPr="00BB76D8">
        <w:rPr>
          <w:rFonts w:cs="Arial"/>
        </w:rPr>
        <w:t>CIN</w:t>
      </w:r>
      <w:r w:rsidRPr="00537C3C">
        <w:rPr>
          <w:rFonts w:cs="Arial"/>
        </w:rPr>
        <w:t xml:space="preserve"> 2, and 67.9 per cent to develop </w:t>
      </w:r>
      <w:r w:rsidRPr="00BB76D8">
        <w:rPr>
          <w:rFonts w:cs="Arial"/>
        </w:rPr>
        <w:t>CIN</w:t>
      </w:r>
      <w:r w:rsidRPr="00537C3C">
        <w:rPr>
          <w:rFonts w:cs="Arial"/>
        </w:rPr>
        <w:t xml:space="preserve"> 3 </w:t>
      </w:r>
      <w:r w:rsidRPr="00537C3C">
        <w:rPr>
          <w:rFonts w:cs="Arial"/>
        </w:rPr>
        <w:fldChar w:fldCharType="begin"/>
      </w:r>
      <w:r w:rsidRPr="00537C3C">
        <w:rPr>
          <w:rFonts w:cs="Arial"/>
        </w:rPr>
        <w:instrText xml:space="preserve"> ADDIN REFMGR.CITE &lt;Refman&gt;&lt;Cite&gt;&lt;Author&gt;Flannelly&lt;/Author&gt;&lt;Year&gt;1997&lt;/Year&gt;&lt;RecNum&gt;1520&lt;/RecNum&gt;&lt;IDText&gt;A study of treatment failures following large loop excision of the transformation zone for the treatment of cervical intraepithelial neoplasia&lt;/IDText&gt;&lt;MDL Ref_Type="Journal"&gt;&lt;Ref_Type&gt;Journal&lt;/Ref_Type&gt;&lt;Ref_ID&gt;1520&lt;/Ref_ID&gt;&lt;Title_Primary&gt;A study of treatment failures following large loop excision of the transformation zone for the treatment of cervical intraepithelial neoplasia&lt;/Title_Primary&gt;&lt;Authors_Primary&gt;Flannelly,G.&lt;/Authors_Primary&gt;&lt;Authors_Primary&gt;Langhan,H.&lt;/Authors_Primary&gt;&lt;Authors_Primary&gt;Jandial,L.&lt;/Authors_Primary&gt;&lt;Authors_Primary&gt;Mana,E.&lt;/Authors_Primary&gt;&lt;Authors_Primary&gt;Campbell,M.&lt;/Authors_Primary&gt;&lt;Authors_Primary&gt;Kitchener,H.&lt;/Authors_Primary&gt;&lt;Date_Primary&gt;1997/6&lt;/Date_Primary&gt;&lt;Keywords&gt;Adolescent&lt;/Keywords&gt;&lt;Keywords&gt;Adult&lt;/Keywords&gt;&lt;Keywords&gt;Aftercare&lt;/Keywords&gt;&lt;Keywords&gt;Aged&lt;/Keywords&gt;&lt;Keywords&gt;Biopsy&lt;/Keywords&gt;&lt;Keywords&gt;Cancer&lt;/Keywords&gt;&lt;Keywords&gt;Cervical Intraepithelial&lt;/Keywords&gt;&lt;Keywords&gt;Cervical Intraepithelial Neoplasia&lt;/Keywords&gt;&lt;Keywords&gt;Cervix Neoplasms&lt;/Keywords&gt;&lt;Keywords&gt;Colposcopy&lt;/Keywords&gt;&lt;Keywords&gt;cytology&lt;/Keywords&gt;&lt;Keywords&gt;Diagnostic&lt;/Keywords&gt;&lt;Keywords&gt;Disease&lt;/Keywords&gt;&lt;Keywords&gt;Electrosurgery&lt;/Keywords&gt;&lt;Keywords&gt;Female&lt;/Keywords&gt;&lt;Keywords&gt;Histological Techniques&lt;/Keywords&gt;&lt;Keywords&gt;histology&lt;/Keywords&gt;&lt;Keywords&gt;Hospitals&lt;/Keywords&gt;&lt;Keywords&gt;Human&lt;/Keywords&gt;&lt;Keywords&gt;Incidence&lt;/Keywords&gt;&lt;Keywords&gt;Middle Age&lt;/Keywords&gt;&lt;Keywords&gt;Neoplasia&lt;/Keywords&gt;&lt;Keywords&gt;Neoplasm Recurrence,Local&lt;/Keywords&gt;&lt;Keywords&gt;pathology&lt;/Keywords&gt;&lt;Keywords&gt;Recurrence&lt;/Keywords&gt;&lt;Keywords&gt;Retrospective Studies&lt;/Keywords&gt;&lt;Keywords&gt;Risk&lt;/Keywords&gt;&lt;Keywords&gt;Scotland&lt;/Keywords&gt;&lt;Keywords&gt;standards&lt;/Keywords&gt;&lt;Keywords&gt;surgery&lt;/Keywords&gt;&lt;Keywords&gt;Time&lt;/Keywords&gt;&lt;Keywords&gt;Treatment Failure&lt;/Keywords&gt;&lt;Keywords&gt;Vaginal Smears&lt;/Keywords&gt;&lt;Keywords&gt;Women&lt;/Keywords&gt;&lt;Reprint&gt;Not in File&lt;/Reprint&gt;&lt;Start_Page&gt;718&lt;/Start_Page&gt;&lt;End_Page&gt;722&lt;/End_Page&gt;&lt;Periodical&gt;Br J Obstet Gynaecol JID - 7503752&lt;/Periodical&gt;&lt;Volume&gt;104&lt;/Volume&gt;&lt;Issue&gt;6&lt;/Issue&gt;&lt;Address&gt;Wellbeing Centre for the Prevention of Cervical Cancer, Aberdeen Royal Hospitals NHS Trust, UKFAU - Flannelly, G&lt;/Address&gt;&lt;ZZ_JournalStdAbbrev&gt;&lt;f name="System"&gt;Br J Obstet Gynaecol JID - 7503752&lt;/f&gt;&lt;/ZZ_JournalStdAbbrev&gt;&lt;ZZ_WorkformID&gt;1&lt;/ZZ_WorkformID&gt;&lt;/MDL&gt;&lt;/Cite&gt;&lt;Cite&gt;&lt;Author&gt;Cecchini&lt;/Author&gt;&lt;Year&gt;2002&lt;/Year&gt;&lt;RecNum&gt;4756&lt;/RecNum&gt;&lt;IDText&gt;Recurrence after treatment by loop electrosurgical excision procedure (LEEP) of high-grade cervical intraepithelial neoplasia&lt;/IDText&gt;&lt;MDL Ref_Type="Journal"&gt;&lt;Ref_Type&gt;Journal&lt;/Ref_Type&gt;&lt;Ref_ID&gt;4756&lt;/Ref_ID&gt;&lt;Title_Primary&gt;Recurrence after treatment by loop electrosurgical excision procedure (LEEP) of high-grade cervical intraepithelial neoplasia&lt;/Title_Primary&gt;&lt;Authors_Primary&gt;Cecchini,S.&lt;/Authors_Primary&gt;&lt;Authors_Primary&gt;Visioli,C.B.&lt;/Authors_Primary&gt;&lt;Authors_Primary&gt;Zappa,M.&lt;/Authors_Primary&gt;&lt;Authors_Primary&gt;Ciatto,S.&lt;/Authors_Primary&gt;&lt;Date_Primary&gt;2002/11&lt;/Date_Primary&gt;&lt;Keywords&gt;analysis&lt;/Keywords&gt;&lt;Keywords&gt;Cervical Intraepithelial&lt;/Keywords&gt;&lt;Keywords&gt;Cervical Intraepithelial Neoplasia&lt;/Keywords&gt;&lt;Keywords&gt;Italy&lt;/Keywords&gt;&lt;Keywords&gt;Multivariate Analysis&lt;/Keywords&gt;&lt;Keywords&gt;Neoplasia&lt;/Keywords&gt;&lt;Keywords&gt;Recurrence&lt;/Keywords&gt;&lt;Keywords&gt;Risk&lt;/Keywords&gt;&lt;Keywords&gt;screening&lt;/Keywords&gt;&lt;Keywords&gt;Time&lt;/Keywords&gt;&lt;Reprint&gt;Not in File&lt;/Reprint&gt;&lt;Start_Page&gt;478&lt;/Start_Page&gt;&lt;End_Page&gt;480&lt;/End_Page&gt;&lt;Periodical&gt;Tumori&lt;/Periodical&gt;&lt;Volume&gt;88&lt;/Volume&gt;&lt;Issue&gt;6&lt;/Issue&gt;&lt;ZZ_JournalFull&gt;&lt;f name="System"&gt;Tumori&lt;/f&gt;&lt;/ZZ_JournalFull&gt;&lt;ZZ_WorkformID&gt;1&lt;/ZZ_WorkformID&gt;&lt;/MDL&gt;&lt;/Cite&gt;&lt;Cite&gt;&lt;Author&gt;Rema&lt;/Author&gt;&lt;Year&gt;2007&lt;/Year&gt;&lt;RecNum&gt;4912&lt;/RecNum&gt;&lt;IDText&gt;Effectiveness, acceptability and safety of LEEP Effectiveness, acceptability and safety of LEEP in Kerala, India: beginners&amp;apos; experience. Available from http://www.iarc.fr&lt;/IDText&gt;&lt;MDL Ref_Type="Generic"&gt;&lt;Ref_Type&gt;Generic&lt;/Ref_Type&gt;&lt;Ref_ID&gt;4912&lt;/Ref_ID&gt;&lt;Title_Primary&gt;Effectiveness, acceptability and safety of LEEP Effectiveness, acceptability and safety of LEEP in Kerala, India: beginners&amp;apos; experience. Available from http://www.iarc.fr&lt;/Title_Primary&gt;&lt;Authors_Primary&gt;Rema,P&lt;/Authors_Primary&gt;&lt;Authors_Primary&gt;Suchetha,S&lt;/Authors_Primary&gt;&lt;Authors_Primary&gt;Thara,S&lt;/Authors_Primary&gt;&lt;Authors_Primary&gt;Sebastian,P&lt;/Authors_Primary&gt;&lt;Authors_Primary&gt;Wesley,R&lt;/Authors_Primary&gt;&lt;Authors_Primary&gt;Sankaranarayanan,R&lt;/Authors_Primary&gt;&lt;Date_Primary&gt;2007&lt;/Date_Primary&gt;&lt;Keywords&gt;Safety&lt;/Keywords&gt;&lt;Keywords&gt;India&lt;/Keywords&gt;&lt;Reprint&gt;Not in File&lt;/Reprint&gt;&lt;Authors_Secondary&gt;P.Rema,S.Suchetha,S.Thara,P.Sebastian,R.Wesley,R Sankaranarayanan,Regional Cancer Centre (RCC),Trivandrum,India,International Agency for Research on Cancer (WHO-IARC),Lyon,France&lt;/Authors_Secondary&gt;&lt;ZZ_WorkformID&gt;33&lt;/ZZ_WorkformID&gt;&lt;/MDL&gt;&lt;/Cite&gt;&lt;/Refman&gt;</w:instrText>
      </w:r>
      <w:r w:rsidRPr="00537C3C">
        <w:rPr>
          <w:rFonts w:cs="Arial"/>
        </w:rPr>
        <w:fldChar w:fldCharType="separate"/>
      </w:r>
      <w:r w:rsidRPr="00537C3C">
        <w:rPr>
          <w:rFonts w:cs="Arial"/>
        </w:rPr>
        <w:t>(Cecchini et al. 2002; Flannelly et al. 1997; Rema et al. 2007)</w:t>
      </w:r>
      <w:r w:rsidRPr="00537C3C">
        <w:rPr>
          <w:rFonts w:cs="Arial"/>
        </w:rPr>
        <w:fldChar w:fldCharType="end"/>
      </w:r>
      <w:r w:rsidRPr="00537C3C">
        <w:rPr>
          <w:rFonts w:cs="Arial"/>
        </w:rPr>
        <w:t xml:space="preserve"> (</w:t>
      </w:r>
      <w:r w:rsidRPr="00537C3C">
        <w:rPr>
          <w:rFonts w:cs="Arial"/>
        </w:rPr>
        <w:fldChar w:fldCharType="begin"/>
      </w:r>
      <w:r w:rsidRPr="00537C3C">
        <w:rPr>
          <w:rFonts w:cs="Arial"/>
        </w:rPr>
        <w:instrText xml:space="preserve"> REF _Ref95894632 \h </w:instrText>
      </w:r>
      <w:r w:rsidRPr="00537C3C">
        <w:rPr>
          <w:rFonts w:cs="Arial"/>
        </w:rPr>
      </w:r>
      <w:r w:rsidRPr="00537C3C">
        <w:rPr>
          <w:rFonts w:cs="Arial"/>
        </w:rPr>
        <w:fldChar w:fldCharType="separate"/>
      </w:r>
      <w:r w:rsidR="007D3DFF" w:rsidRPr="00537C3C">
        <w:t xml:space="preserve">Table </w:t>
      </w:r>
      <w:r w:rsidR="007D3DFF">
        <w:rPr>
          <w:noProof/>
        </w:rPr>
        <w:t>66</w:t>
      </w:r>
      <w:r w:rsidRPr="00537C3C">
        <w:rPr>
          <w:rFonts w:cs="Arial"/>
        </w:rPr>
        <w:fldChar w:fldCharType="end"/>
      </w:r>
      <w:r w:rsidRPr="00537C3C">
        <w:rPr>
          <w:rFonts w:cs="Arial"/>
        </w:rPr>
        <w:t>).</w:t>
      </w:r>
    </w:p>
    <w:p w:rsidR="00234376" w:rsidRPr="00537C3C" w:rsidRDefault="00234376" w:rsidP="008E03A7">
      <w:pPr>
        <w:pStyle w:val="Caption"/>
        <w:rPr>
          <w:rFonts w:cs="Arial"/>
        </w:rPr>
      </w:pPr>
      <w:bookmarkStart w:id="1023" w:name="_Ref95894594"/>
      <w:bookmarkStart w:id="1024" w:name="_Toc216169952"/>
      <w:bookmarkStart w:id="1025" w:name="_Toc95971300"/>
      <w:r w:rsidRPr="00537C3C">
        <w:t xml:space="preserve">Table </w:t>
      </w:r>
      <w:fldSimple w:instr=" SEQ Table \* ARABIC ">
        <w:r w:rsidR="007D3DFF">
          <w:rPr>
            <w:noProof/>
          </w:rPr>
          <w:t>64</w:t>
        </w:r>
      </w:fldSimple>
      <w:bookmarkEnd w:id="1023"/>
      <w:r w:rsidRPr="00537C3C">
        <w:tab/>
      </w:r>
      <w:r w:rsidRPr="00537C3C">
        <w:rPr>
          <w:rFonts w:cs="Arial"/>
        </w:rPr>
        <w:t xml:space="preserve">Post-treatment </w:t>
      </w:r>
      <w:r w:rsidRPr="00BB76D8">
        <w:rPr>
          <w:rFonts w:cs="Arial"/>
        </w:rPr>
        <w:t>HPV</w:t>
      </w:r>
      <w:r w:rsidRPr="00537C3C">
        <w:rPr>
          <w:rFonts w:cs="Arial"/>
        </w:rPr>
        <w:t xml:space="preserve"> status by PCR at 12 months</w:t>
      </w:r>
      <w:bookmarkEnd w:id="1024"/>
      <w:r w:rsidRPr="00537C3C">
        <w:rPr>
          <w:rFonts w:cs="Arial"/>
        </w:rPr>
        <w:t>.</w:t>
      </w:r>
      <w:bookmarkEnd w:id="1025"/>
    </w:p>
    <w:tbl>
      <w:tblPr>
        <w:tblW w:w="0" w:type="auto"/>
        <w:tblInd w:w="817" w:type="dxa"/>
        <w:tblLook w:val="01E0" w:firstRow="1" w:lastRow="1" w:firstColumn="1" w:lastColumn="1" w:noHBand="0" w:noVBand="0"/>
      </w:tblPr>
      <w:tblGrid>
        <w:gridCol w:w="1843"/>
        <w:gridCol w:w="992"/>
        <w:gridCol w:w="2410"/>
      </w:tblGrid>
      <w:tr w:rsidR="00234376" w:rsidRPr="00537C3C">
        <w:tc>
          <w:tcPr>
            <w:tcW w:w="1843" w:type="dxa"/>
            <w:tcBorders>
              <w:top w:val="single" w:sz="4" w:space="0" w:color="auto"/>
              <w:bottom w:val="single" w:sz="4" w:space="0" w:color="auto"/>
            </w:tcBorders>
          </w:tcPr>
          <w:p w:rsidR="00234376" w:rsidRPr="00537C3C" w:rsidRDefault="00234376" w:rsidP="008E03A7">
            <w:pPr>
              <w:pStyle w:val="TableHeading0"/>
            </w:pPr>
            <w:r w:rsidRPr="00BB76D8">
              <w:t>HPV</w:t>
            </w:r>
            <w:r w:rsidRPr="00537C3C">
              <w:t xml:space="preserve"> status</w:t>
            </w:r>
          </w:p>
        </w:tc>
        <w:tc>
          <w:tcPr>
            <w:tcW w:w="992" w:type="dxa"/>
            <w:tcBorders>
              <w:top w:val="single" w:sz="4" w:space="0" w:color="auto"/>
              <w:bottom w:val="single" w:sz="4" w:space="0" w:color="auto"/>
            </w:tcBorders>
          </w:tcPr>
          <w:p w:rsidR="00234376" w:rsidRPr="00537C3C" w:rsidRDefault="00234376" w:rsidP="008E03A7">
            <w:pPr>
              <w:pStyle w:val="TableHeading0"/>
              <w:jc w:val="center"/>
            </w:pPr>
            <w:r w:rsidRPr="00537C3C">
              <w:t>Baseline</w:t>
            </w:r>
          </w:p>
          <w:p w:rsidR="00234376" w:rsidRPr="00537C3C" w:rsidRDefault="00234376" w:rsidP="008E03A7">
            <w:pPr>
              <w:pStyle w:val="TableText0"/>
              <w:jc w:val="center"/>
            </w:pPr>
            <w:r w:rsidRPr="00537C3C">
              <w:t>%</w:t>
            </w:r>
          </w:p>
        </w:tc>
        <w:tc>
          <w:tcPr>
            <w:tcW w:w="2410" w:type="dxa"/>
            <w:tcBorders>
              <w:top w:val="single" w:sz="4" w:space="0" w:color="auto"/>
              <w:bottom w:val="single" w:sz="4" w:space="0" w:color="auto"/>
            </w:tcBorders>
          </w:tcPr>
          <w:p w:rsidR="00234376" w:rsidRPr="00537C3C" w:rsidRDefault="00234376" w:rsidP="008E03A7">
            <w:pPr>
              <w:pStyle w:val="TableHeading0"/>
            </w:pPr>
            <w:r w:rsidRPr="00537C3C">
              <w:t xml:space="preserve"> Reference</w:t>
            </w:r>
          </w:p>
        </w:tc>
      </w:tr>
      <w:tr w:rsidR="00234376" w:rsidRPr="00537C3C">
        <w:tc>
          <w:tcPr>
            <w:tcW w:w="1843" w:type="dxa"/>
            <w:tcBorders>
              <w:top w:val="single" w:sz="4" w:space="0" w:color="auto"/>
            </w:tcBorders>
          </w:tcPr>
          <w:p w:rsidR="00234376" w:rsidRPr="00537C3C" w:rsidRDefault="00234376" w:rsidP="008E03A7">
            <w:pPr>
              <w:pStyle w:val="TableText0"/>
            </w:pPr>
            <w:r w:rsidRPr="00BB76D8">
              <w:t>HPV</w:t>
            </w:r>
            <w:r w:rsidRPr="00537C3C">
              <w:t xml:space="preserve"> –ve</w:t>
            </w:r>
          </w:p>
        </w:tc>
        <w:tc>
          <w:tcPr>
            <w:tcW w:w="992" w:type="dxa"/>
            <w:tcBorders>
              <w:top w:val="single" w:sz="4" w:space="0" w:color="auto"/>
            </w:tcBorders>
          </w:tcPr>
          <w:p w:rsidR="00234376" w:rsidRPr="00537C3C" w:rsidRDefault="00234376" w:rsidP="008E03A7">
            <w:pPr>
              <w:pStyle w:val="TableText0"/>
              <w:jc w:val="center"/>
            </w:pPr>
            <w:r w:rsidRPr="00537C3C">
              <w:t>84.2</w:t>
            </w:r>
          </w:p>
        </w:tc>
        <w:tc>
          <w:tcPr>
            <w:tcW w:w="2410" w:type="dxa"/>
            <w:tcBorders>
              <w:top w:val="single" w:sz="4" w:space="0" w:color="auto"/>
            </w:tcBorders>
          </w:tcPr>
          <w:p w:rsidR="00234376" w:rsidRPr="00537C3C" w:rsidRDefault="00234376" w:rsidP="008E03A7">
            <w:pPr>
              <w:pStyle w:val="TableText0"/>
            </w:pPr>
            <w:r w:rsidRPr="00BB76D8">
              <w:t>MSAC</w:t>
            </w:r>
            <w:r w:rsidRPr="00537C3C">
              <w:t xml:space="preserve"> 12e report</w:t>
            </w:r>
          </w:p>
        </w:tc>
      </w:tr>
      <w:tr w:rsidR="00234376" w:rsidRPr="00537C3C">
        <w:tc>
          <w:tcPr>
            <w:tcW w:w="1843" w:type="dxa"/>
            <w:tcBorders>
              <w:bottom w:val="single" w:sz="4" w:space="0" w:color="auto"/>
            </w:tcBorders>
          </w:tcPr>
          <w:p w:rsidR="00234376" w:rsidRPr="00537C3C" w:rsidRDefault="00234376" w:rsidP="008E03A7">
            <w:pPr>
              <w:pStyle w:val="TableText0"/>
            </w:pPr>
            <w:r w:rsidRPr="00BB76D8">
              <w:t>HPV</w:t>
            </w:r>
            <w:r w:rsidRPr="00537C3C">
              <w:t xml:space="preserve"> +ve</w:t>
            </w:r>
          </w:p>
        </w:tc>
        <w:tc>
          <w:tcPr>
            <w:tcW w:w="992" w:type="dxa"/>
            <w:tcBorders>
              <w:bottom w:val="single" w:sz="4" w:space="0" w:color="auto"/>
            </w:tcBorders>
          </w:tcPr>
          <w:p w:rsidR="00234376" w:rsidRPr="00537C3C" w:rsidRDefault="00234376" w:rsidP="008E03A7">
            <w:pPr>
              <w:pStyle w:val="TableText0"/>
              <w:jc w:val="center"/>
            </w:pPr>
            <w:r w:rsidRPr="00537C3C">
              <w:t>15.8</w:t>
            </w:r>
          </w:p>
        </w:tc>
        <w:tc>
          <w:tcPr>
            <w:tcW w:w="2410" w:type="dxa"/>
            <w:tcBorders>
              <w:bottom w:val="single" w:sz="4" w:space="0" w:color="auto"/>
            </w:tcBorders>
          </w:tcPr>
          <w:p w:rsidR="00234376" w:rsidRPr="00537C3C" w:rsidRDefault="00234376" w:rsidP="008E03A7">
            <w:pPr>
              <w:pStyle w:val="TableText0"/>
            </w:pPr>
            <w:r w:rsidRPr="00BB76D8">
              <w:t>MSAC</w:t>
            </w:r>
            <w:r w:rsidRPr="00537C3C">
              <w:t xml:space="preserve"> 12e report</w:t>
            </w:r>
          </w:p>
        </w:tc>
      </w:tr>
    </w:tbl>
    <w:p w:rsidR="00234376" w:rsidRPr="00537C3C" w:rsidRDefault="00234376" w:rsidP="008E03A7">
      <w:pPr>
        <w:spacing w:after="120"/>
        <w:jc w:val="both"/>
        <w:rPr>
          <w:rFonts w:cs="Arial"/>
        </w:rPr>
      </w:pPr>
    </w:p>
    <w:p w:rsidR="00234376" w:rsidRPr="00537C3C" w:rsidRDefault="00234376" w:rsidP="008E03A7">
      <w:pPr>
        <w:pStyle w:val="Caption"/>
        <w:jc w:val="both"/>
      </w:pPr>
      <w:bookmarkStart w:id="1026" w:name="_Ref95894616"/>
      <w:bookmarkStart w:id="1027" w:name="_Toc216169953"/>
      <w:bookmarkStart w:id="1028" w:name="_Toc95971301"/>
      <w:r w:rsidRPr="00537C3C">
        <w:t xml:space="preserve">Table </w:t>
      </w:r>
      <w:fldSimple w:instr=" SEQ Table \* ARABIC ">
        <w:r w:rsidR="007D3DFF">
          <w:rPr>
            <w:noProof/>
          </w:rPr>
          <w:t>65</w:t>
        </w:r>
      </w:fldSimple>
      <w:bookmarkEnd w:id="1026"/>
      <w:r w:rsidRPr="00537C3C">
        <w:tab/>
        <w:t xml:space="preserve">Post-treatment </w:t>
      </w:r>
      <w:r w:rsidRPr="00BB76D8">
        <w:t>CIN</w:t>
      </w:r>
      <w:r w:rsidRPr="00537C3C">
        <w:t xml:space="preserve"> 2/3 detection</w:t>
      </w:r>
      <w:bookmarkEnd w:id="1027"/>
      <w:r w:rsidRPr="00537C3C">
        <w:t>.</w:t>
      </w:r>
      <w:bookmarkEnd w:id="1028"/>
    </w:p>
    <w:tbl>
      <w:tblPr>
        <w:tblW w:w="0" w:type="auto"/>
        <w:tblInd w:w="817" w:type="dxa"/>
        <w:tblLook w:val="01E0" w:firstRow="1" w:lastRow="1" w:firstColumn="1" w:lastColumn="1" w:noHBand="0" w:noVBand="0"/>
      </w:tblPr>
      <w:tblGrid>
        <w:gridCol w:w="1843"/>
        <w:gridCol w:w="992"/>
        <w:gridCol w:w="2410"/>
      </w:tblGrid>
      <w:tr w:rsidR="00234376" w:rsidRPr="00537C3C">
        <w:tc>
          <w:tcPr>
            <w:tcW w:w="1843" w:type="dxa"/>
            <w:tcBorders>
              <w:top w:val="single" w:sz="4" w:space="0" w:color="auto"/>
              <w:bottom w:val="single" w:sz="4" w:space="0" w:color="auto"/>
            </w:tcBorders>
          </w:tcPr>
          <w:p w:rsidR="00234376" w:rsidRPr="00537C3C" w:rsidRDefault="00234376" w:rsidP="008E03A7">
            <w:pPr>
              <w:pStyle w:val="TableHeading0"/>
            </w:pPr>
            <w:r w:rsidRPr="00537C3C">
              <w:t>Follow-up time</w:t>
            </w:r>
          </w:p>
        </w:tc>
        <w:tc>
          <w:tcPr>
            <w:tcW w:w="992" w:type="dxa"/>
            <w:tcBorders>
              <w:top w:val="single" w:sz="4" w:space="0" w:color="auto"/>
              <w:bottom w:val="single" w:sz="4" w:space="0" w:color="auto"/>
            </w:tcBorders>
          </w:tcPr>
          <w:p w:rsidR="00234376" w:rsidRPr="00537C3C" w:rsidRDefault="00234376" w:rsidP="008E03A7">
            <w:pPr>
              <w:pStyle w:val="TableHeading0"/>
              <w:jc w:val="center"/>
            </w:pPr>
            <w:r w:rsidRPr="00537C3C">
              <w:t>Baseline</w:t>
            </w:r>
          </w:p>
          <w:p w:rsidR="00234376" w:rsidRPr="00537C3C" w:rsidRDefault="00234376" w:rsidP="008E03A7">
            <w:pPr>
              <w:pStyle w:val="TableText0"/>
              <w:jc w:val="center"/>
            </w:pPr>
            <w:r w:rsidRPr="00537C3C">
              <w:t>%</w:t>
            </w:r>
          </w:p>
        </w:tc>
        <w:tc>
          <w:tcPr>
            <w:tcW w:w="2410" w:type="dxa"/>
            <w:tcBorders>
              <w:top w:val="single" w:sz="4" w:space="0" w:color="auto"/>
              <w:bottom w:val="single" w:sz="4" w:space="0" w:color="auto"/>
            </w:tcBorders>
          </w:tcPr>
          <w:p w:rsidR="00234376" w:rsidRPr="00537C3C" w:rsidRDefault="00234376" w:rsidP="008E03A7">
            <w:pPr>
              <w:pStyle w:val="TableHeading0"/>
              <w:jc w:val="center"/>
            </w:pPr>
            <w:r w:rsidRPr="00537C3C">
              <w:t xml:space="preserve">95% </w:t>
            </w:r>
            <w:r w:rsidRPr="00BB76D8">
              <w:t>CI</w:t>
            </w:r>
          </w:p>
          <w:p w:rsidR="00234376" w:rsidRPr="00537C3C" w:rsidRDefault="00234376" w:rsidP="008E03A7">
            <w:pPr>
              <w:pStyle w:val="TableText0"/>
              <w:jc w:val="center"/>
            </w:pPr>
            <w:r w:rsidRPr="00537C3C">
              <w:t>%</w:t>
            </w:r>
          </w:p>
        </w:tc>
      </w:tr>
      <w:tr w:rsidR="00234376" w:rsidRPr="00537C3C">
        <w:tc>
          <w:tcPr>
            <w:tcW w:w="1843" w:type="dxa"/>
            <w:tcBorders>
              <w:top w:val="single" w:sz="4" w:space="0" w:color="auto"/>
            </w:tcBorders>
          </w:tcPr>
          <w:p w:rsidR="00234376" w:rsidRPr="00537C3C" w:rsidRDefault="00234376" w:rsidP="008E03A7">
            <w:pPr>
              <w:pStyle w:val="TableText0"/>
            </w:pPr>
            <w:r w:rsidRPr="00537C3C">
              <w:t>0–1 y</w:t>
            </w:r>
          </w:p>
        </w:tc>
        <w:tc>
          <w:tcPr>
            <w:tcW w:w="992" w:type="dxa"/>
            <w:tcBorders>
              <w:top w:val="single" w:sz="4" w:space="0" w:color="auto"/>
            </w:tcBorders>
          </w:tcPr>
          <w:p w:rsidR="00234376" w:rsidRPr="00537C3C" w:rsidRDefault="00234376" w:rsidP="008E03A7">
            <w:pPr>
              <w:pStyle w:val="TableText0"/>
              <w:jc w:val="center"/>
            </w:pPr>
            <w:r w:rsidRPr="00537C3C">
              <w:t>6.4</w:t>
            </w:r>
          </w:p>
        </w:tc>
        <w:tc>
          <w:tcPr>
            <w:tcW w:w="2410" w:type="dxa"/>
            <w:tcBorders>
              <w:top w:val="single" w:sz="4" w:space="0" w:color="auto"/>
            </w:tcBorders>
          </w:tcPr>
          <w:p w:rsidR="00234376" w:rsidRPr="00537C3C" w:rsidRDefault="00234376" w:rsidP="008E03A7">
            <w:pPr>
              <w:pStyle w:val="TableText0"/>
              <w:jc w:val="center"/>
            </w:pPr>
            <w:r w:rsidRPr="00537C3C">
              <w:t>5.0–7.9</w:t>
            </w:r>
          </w:p>
        </w:tc>
      </w:tr>
      <w:tr w:rsidR="00234376" w:rsidRPr="00537C3C">
        <w:tc>
          <w:tcPr>
            <w:tcW w:w="1843" w:type="dxa"/>
          </w:tcPr>
          <w:p w:rsidR="00234376" w:rsidRPr="00537C3C" w:rsidRDefault="00234376" w:rsidP="008E03A7">
            <w:pPr>
              <w:pStyle w:val="TableText0"/>
            </w:pPr>
            <w:r w:rsidRPr="00537C3C">
              <w:t>1–2 y</w:t>
            </w:r>
          </w:p>
        </w:tc>
        <w:tc>
          <w:tcPr>
            <w:tcW w:w="992" w:type="dxa"/>
          </w:tcPr>
          <w:p w:rsidR="00234376" w:rsidRPr="00537C3C" w:rsidRDefault="00234376" w:rsidP="008E03A7">
            <w:pPr>
              <w:pStyle w:val="TableText0"/>
              <w:jc w:val="center"/>
            </w:pPr>
            <w:r w:rsidRPr="00537C3C">
              <w:t>1.1</w:t>
            </w:r>
          </w:p>
        </w:tc>
        <w:tc>
          <w:tcPr>
            <w:tcW w:w="2410" w:type="dxa"/>
          </w:tcPr>
          <w:p w:rsidR="00234376" w:rsidRPr="00537C3C" w:rsidRDefault="00234376" w:rsidP="008E03A7">
            <w:pPr>
              <w:pStyle w:val="TableText0"/>
              <w:jc w:val="center"/>
            </w:pPr>
            <w:r w:rsidRPr="00537C3C">
              <w:t>0.2–1.9</w:t>
            </w:r>
          </w:p>
        </w:tc>
      </w:tr>
      <w:tr w:rsidR="00234376" w:rsidRPr="00537C3C">
        <w:tc>
          <w:tcPr>
            <w:tcW w:w="1843" w:type="dxa"/>
          </w:tcPr>
          <w:p w:rsidR="00234376" w:rsidRPr="00537C3C" w:rsidRDefault="00234376" w:rsidP="008E03A7">
            <w:pPr>
              <w:pStyle w:val="TableText0"/>
            </w:pPr>
            <w:r w:rsidRPr="00537C3C">
              <w:t>2–3 y</w:t>
            </w:r>
          </w:p>
        </w:tc>
        <w:tc>
          <w:tcPr>
            <w:tcW w:w="992" w:type="dxa"/>
          </w:tcPr>
          <w:p w:rsidR="00234376" w:rsidRPr="00537C3C" w:rsidRDefault="00234376" w:rsidP="008E03A7">
            <w:pPr>
              <w:pStyle w:val="TableText0"/>
              <w:jc w:val="center"/>
            </w:pPr>
            <w:r w:rsidRPr="00537C3C">
              <w:t>0.6</w:t>
            </w:r>
          </w:p>
        </w:tc>
        <w:tc>
          <w:tcPr>
            <w:tcW w:w="2410" w:type="dxa"/>
          </w:tcPr>
          <w:p w:rsidR="00234376" w:rsidRPr="00537C3C" w:rsidRDefault="00234376" w:rsidP="008E03A7">
            <w:pPr>
              <w:pStyle w:val="TableText0"/>
              <w:jc w:val="center"/>
            </w:pPr>
            <w:r w:rsidRPr="00537C3C">
              <w:t>0.2–1.1</w:t>
            </w:r>
          </w:p>
        </w:tc>
      </w:tr>
      <w:tr w:rsidR="00234376" w:rsidRPr="00537C3C">
        <w:tc>
          <w:tcPr>
            <w:tcW w:w="1843" w:type="dxa"/>
          </w:tcPr>
          <w:p w:rsidR="00234376" w:rsidRPr="00537C3C" w:rsidRDefault="00234376" w:rsidP="008E03A7">
            <w:pPr>
              <w:pStyle w:val="TableText0"/>
            </w:pPr>
            <w:r w:rsidRPr="00537C3C">
              <w:t>3–4 y</w:t>
            </w:r>
          </w:p>
        </w:tc>
        <w:tc>
          <w:tcPr>
            <w:tcW w:w="992" w:type="dxa"/>
          </w:tcPr>
          <w:p w:rsidR="00234376" w:rsidRPr="00537C3C" w:rsidRDefault="00234376" w:rsidP="008E03A7">
            <w:pPr>
              <w:pStyle w:val="TableText0"/>
              <w:jc w:val="center"/>
            </w:pPr>
            <w:r w:rsidRPr="00537C3C">
              <w:t>0.2</w:t>
            </w:r>
          </w:p>
        </w:tc>
        <w:tc>
          <w:tcPr>
            <w:tcW w:w="2410" w:type="dxa"/>
          </w:tcPr>
          <w:p w:rsidR="00234376" w:rsidRPr="00537C3C" w:rsidRDefault="00234376" w:rsidP="008E03A7">
            <w:pPr>
              <w:pStyle w:val="TableText0"/>
              <w:jc w:val="center"/>
            </w:pPr>
            <w:r w:rsidRPr="00537C3C" w:rsidDel="001E6D1E">
              <w:t>–</w:t>
            </w:r>
          </w:p>
        </w:tc>
      </w:tr>
      <w:tr w:rsidR="00234376" w:rsidRPr="00537C3C">
        <w:tc>
          <w:tcPr>
            <w:tcW w:w="1843" w:type="dxa"/>
            <w:tcBorders>
              <w:bottom w:val="single" w:sz="4" w:space="0" w:color="auto"/>
            </w:tcBorders>
          </w:tcPr>
          <w:p w:rsidR="00234376" w:rsidRPr="00537C3C" w:rsidRDefault="00234376" w:rsidP="008E03A7">
            <w:pPr>
              <w:pStyle w:val="TableText0"/>
            </w:pPr>
            <w:r w:rsidRPr="00537C3C">
              <w:t>4 y +</w:t>
            </w:r>
          </w:p>
        </w:tc>
        <w:tc>
          <w:tcPr>
            <w:tcW w:w="992" w:type="dxa"/>
            <w:tcBorders>
              <w:bottom w:val="single" w:sz="4" w:space="0" w:color="auto"/>
            </w:tcBorders>
          </w:tcPr>
          <w:p w:rsidR="00234376" w:rsidRPr="00537C3C" w:rsidRDefault="00234376" w:rsidP="008E03A7">
            <w:pPr>
              <w:pStyle w:val="TableText0"/>
              <w:jc w:val="center"/>
            </w:pPr>
            <w:r w:rsidRPr="00537C3C">
              <w:t>0.1</w:t>
            </w:r>
          </w:p>
        </w:tc>
        <w:tc>
          <w:tcPr>
            <w:tcW w:w="2410" w:type="dxa"/>
            <w:tcBorders>
              <w:bottom w:val="single" w:sz="4" w:space="0" w:color="auto"/>
            </w:tcBorders>
          </w:tcPr>
          <w:p w:rsidR="00234376" w:rsidRPr="00537C3C" w:rsidRDefault="00234376" w:rsidP="008E03A7">
            <w:pPr>
              <w:pStyle w:val="TableText0"/>
              <w:jc w:val="center"/>
            </w:pPr>
            <w:r w:rsidRPr="00537C3C" w:rsidDel="001E6D1E">
              <w:t>–</w:t>
            </w:r>
          </w:p>
        </w:tc>
      </w:tr>
    </w:tbl>
    <w:p w:rsidR="00234376" w:rsidRPr="00537C3C" w:rsidRDefault="00234376" w:rsidP="008E03A7">
      <w:pPr>
        <w:spacing w:after="120"/>
        <w:jc w:val="both"/>
        <w:rPr>
          <w:rFonts w:cs="Arial"/>
        </w:rPr>
      </w:pPr>
    </w:p>
    <w:p w:rsidR="00234376" w:rsidRPr="00537C3C" w:rsidRDefault="00234376" w:rsidP="008E03A7">
      <w:pPr>
        <w:pStyle w:val="Caption"/>
        <w:rPr>
          <w:rFonts w:cs="Arial"/>
        </w:rPr>
      </w:pPr>
      <w:bookmarkStart w:id="1029" w:name="_Ref95894632"/>
      <w:bookmarkStart w:id="1030" w:name="_Toc216169954"/>
      <w:bookmarkStart w:id="1031" w:name="_Toc95971302"/>
      <w:r w:rsidRPr="00537C3C">
        <w:t xml:space="preserve">Table </w:t>
      </w:r>
      <w:fldSimple w:instr=" SEQ Table \* ARABIC ">
        <w:r w:rsidR="007D3DFF">
          <w:rPr>
            <w:noProof/>
          </w:rPr>
          <w:t>66</w:t>
        </w:r>
      </w:fldSimple>
      <w:bookmarkEnd w:id="1029"/>
      <w:r w:rsidRPr="00537C3C">
        <w:tab/>
      </w:r>
      <w:r w:rsidRPr="00537C3C">
        <w:rPr>
          <w:rFonts w:cs="Arial"/>
        </w:rPr>
        <w:t xml:space="preserve">Proportion of detected lesions that are </w:t>
      </w:r>
      <w:r w:rsidRPr="00BB76D8">
        <w:rPr>
          <w:rFonts w:cs="Arial"/>
        </w:rPr>
        <w:t>CIN</w:t>
      </w:r>
      <w:r w:rsidRPr="00537C3C">
        <w:rPr>
          <w:rFonts w:cs="Arial"/>
        </w:rPr>
        <w:t xml:space="preserve"> 2 or 3</w:t>
      </w:r>
      <w:bookmarkEnd w:id="1030"/>
      <w:r w:rsidRPr="00537C3C">
        <w:rPr>
          <w:rFonts w:cs="Arial"/>
        </w:rPr>
        <w:t>.</w:t>
      </w:r>
      <w:bookmarkEnd w:id="1031"/>
    </w:p>
    <w:tbl>
      <w:tblPr>
        <w:tblW w:w="0" w:type="auto"/>
        <w:tblInd w:w="817" w:type="dxa"/>
        <w:tblLook w:val="01E0" w:firstRow="1" w:lastRow="1" w:firstColumn="1" w:lastColumn="1" w:noHBand="0" w:noVBand="0"/>
      </w:tblPr>
      <w:tblGrid>
        <w:gridCol w:w="1843"/>
        <w:gridCol w:w="992"/>
        <w:gridCol w:w="2410"/>
      </w:tblGrid>
      <w:tr w:rsidR="00234376" w:rsidRPr="00537C3C">
        <w:tc>
          <w:tcPr>
            <w:tcW w:w="1843" w:type="dxa"/>
            <w:tcBorders>
              <w:top w:val="single" w:sz="4" w:space="0" w:color="auto"/>
              <w:bottom w:val="single" w:sz="4" w:space="0" w:color="auto"/>
            </w:tcBorders>
          </w:tcPr>
          <w:p w:rsidR="00234376" w:rsidRPr="00537C3C" w:rsidRDefault="00234376" w:rsidP="008E03A7">
            <w:pPr>
              <w:pStyle w:val="TableHeading0"/>
            </w:pPr>
            <w:r w:rsidRPr="00537C3C">
              <w:t>Recurrent lesion detected</w:t>
            </w:r>
          </w:p>
        </w:tc>
        <w:tc>
          <w:tcPr>
            <w:tcW w:w="992" w:type="dxa"/>
            <w:tcBorders>
              <w:top w:val="single" w:sz="4" w:space="0" w:color="auto"/>
              <w:bottom w:val="single" w:sz="4" w:space="0" w:color="auto"/>
            </w:tcBorders>
          </w:tcPr>
          <w:p w:rsidR="00234376" w:rsidRPr="00537C3C" w:rsidRDefault="00234376" w:rsidP="008E03A7">
            <w:pPr>
              <w:pStyle w:val="TableHeading0"/>
              <w:jc w:val="center"/>
            </w:pPr>
            <w:r w:rsidRPr="00537C3C">
              <w:t>Baseline</w:t>
            </w:r>
          </w:p>
          <w:p w:rsidR="00234376" w:rsidRPr="00537C3C" w:rsidRDefault="00234376" w:rsidP="008E03A7">
            <w:pPr>
              <w:pStyle w:val="TableText0"/>
              <w:jc w:val="center"/>
            </w:pPr>
            <w:r w:rsidRPr="00537C3C">
              <w:t>%</w:t>
            </w:r>
          </w:p>
        </w:tc>
        <w:tc>
          <w:tcPr>
            <w:tcW w:w="2410" w:type="dxa"/>
            <w:tcBorders>
              <w:top w:val="single" w:sz="4" w:space="0" w:color="auto"/>
              <w:bottom w:val="single" w:sz="4" w:space="0" w:color="auto"/>
            </w:tcBorders>
          </w:tcPr>
          <w:p w:rsidR="00234376" w:rsidRPr="00537C3C" w:rsidRDefault="00234376" w:rsidP="008E03A7">
            <w:pPr>
              <w:pStyle w:val="TableHeading0"/>
              <w:jc w:val="center"/>
            </w:pPr>
            <w:r w:rsidRPr="00537C3C">
              <w:t>Range of combinations</w:t>
            </w:r>
          </w:p>
          <w:p w:rsidR="00234376" w:rsidRPr="00537C3C" w:rsidRDefault="00234376" w:rsidP="008E03A7">
            <w:pPr>
              <w:pStyle w:val="TableText0"/>
              <w:jc w:val="center"/>
            </w:pPr>
            <w:r w:rsidRPr="00537C3C">
              <w:t>%</w:t>
            </w:r>
          </w:p>
        </w:tc>
      </w:tr>
      <w:tr w:rsidR="00234376" w:rsidRPr="00537C3C">
        <w:tc>
          <w:tcPr>
            <w:tcW w:w="1843" w:type="dxa"/>
            <w:tcBorders>
              <w:top w:val="single" w:sz="4" w:space="0" w:color="auto"/>
            </w:tcBorders>
          </w:tcPr>
          <w:p w:rsidR="00234376" w:rsidRPr="00537C3C" w:rsidRDefault="00234376" w:rsidP="008E03A7">
            <w:pPr>
              <w:pStyle w:val="TableText0"/>
            </w:pPr>
            <w:r w:rsidRPr="00BB76D8">
              <w:t>CIN</w:t>
            </w:r>
            <w:r w:rsidRPr="00537C3C">
              <w:t xml:space="preserve"> 2</w:t>
            </w:r>
          </w:p>
        </w:tc>
        <w:tc>
          <w:tcPr>
            <w:tcW w:w="992" w:type="dxa"/>
            <w:tcBorders>
              <w:top w:val="single" w:sz="4" w:space="0" w:color="auto"/>
            </w:tcBorders>
          </w:tcPr>
          <w:p w:rsidR="00234376" w:rsidRPr="00537C3C" w:rsidRDefault="00234376" w:rsidP="008E03A7">
            <w:pPr>
              <w:pStyle w:val="TableText0"/>
              <w:jc w:val="center"/>
            </w:pPr>
            <w:r w:rsidRPr="00537C3C">
              <w:t>32.1</w:t>
            </w:r>
          </w:p>
        </w:tc>
        <w:tc>
          <w:tcPr>
            <w:tcW w:w="2410" w:type="dxa"/>
            <w:tcBorders>
              <w:top w:val="single" w:sz="4" w:space="0" w:color="auto"/>
            </w:tcBorders>
          </w:tcPr>
          <w:p w:rsidR="00234376" w:rsidRPr="00537C3C" w:rsidRDefault="00234376" w:rsidP="008E03A7">
            <w:pPr>
              <w:pStyle w:val="TableText0"/>
              <w:jc w:val="center"/>
            </w:pPr>
            <w:r w:rsidRPr="00537C3C">
              <w:t>18.8–49.0</w:t>
            </w:r>
          </w:p>
        </w:tc>
      </w:tr>
      <w:tr w:rsidR="00234376" w:rsidRPr="00537C3C">
        <w:tc>
          <w:tcPr>
            <w:tcW w:w="1843" w:type="dxa"/>
            <w:tcBorders>
              <w:bottom w:val="single" w:sz="4" w:space="0" w:color="auto"/>
            </w:tcBorders>
          </w:tcPr>
          <w:p w:rsidR="00234376" w:rsidRPr="00537C3C" w:rsidRDefault="00234376" w:rsidP="008E03A7">
            <w:pPr>
              <w:pStyle w:val="TableText0"/>
            </w:pPr>
            <w:r w:rsidRPr="00BB76D8">
              <w:t>CIN</w:t>
            </w:r>
            <w:r w:rsidRPr="00537C3C">
              <w:t xml:space="preserve"> 3</w:t>
            </w:r>
          </w:p>
        </w:tc>
        <w:tc>
          <w:tcPr>
            <w:tcW w:w="992" w:type="dxa"/>
            <w:tcBorders>
              <w:bottom w:val="single" w:sz="4" w:space="0" w:color="auto"/>
            </w:tcBorders>
          </w:tcPr>
          <w:p w:rsidR="00234376" w:rsidRPr="00537C3C" w:rsidRDefault="00234376" w:rsidP="008E03A7">
            <w:pPr>
              <w:pStyle w:val="TableText0"/>
              <w:jc w:val="center"/>
            </w:pPr>
            <w:r w:rsidRPr="00537C3C">
              <w:t>67.9</w:t>
            </w:r>
          </w:p>
        </w:tc>
        <w:tc>
          <w:tcPr>
            <w:tcW w:w="2410" w:type="dxa"/>
            <w:tcBorders>
              <w:bottom w:val="single" w:sz="4" w:space="0" w:color="auto"/>
            </w:tcBorders>
          </w:tcPr>
          <w:p w:rsidR="00234376" w:rsidRPr="00537C3C" w:rsidRDefault="00234376" w:rsidP="008E03A7">
            <w:pPr>
              <w:pStyle w:val="TableText0"/>
              <w:jc w:val="center"/>
            </w:pPr>
            <w:r w:rsidRPr="00537C3C">
              <w:t>81.2–51.0</w:t>
            </w:r>
          </w:p>
        </w:tc>
      </w:tr>
    </w:tbl>
    <w:p w:rsidR="00234376" w:rsidRPr="00537C3C" w:rsidRDefault="00234376" w:rsidP="008E03A7">
      <w:pPr>
        <w:spacing w:after="120"/>
        <w:jc w:val="both"/>
        <w:rPr>
          <w:rFonts w:cs="Arial"/>
        </w:rPr>
      </w:pPr>
    </w:p>
    <w:p w:rsidR="00234376" w:rsidRDefault="00234376" w:rsidP="00234376">
      <w:pPr>
        <w:rPr>
          <w:rFonts w:cs="Arial"/>
        </w:rPr>
      </w:pPr>
      <w:r w:rsidRPr="00537C3C">
        <w:rPr>
          <w:rFonts w:cs="Arial"/>
        </w:rPr>
        <w:t xml:space="preserve">We derived the relative risk of developing recurrent disease 1 year after the successful treatment according to post-treatment </w:t>
      </w:r>
      <w:r w:rsidRPr="00BB76D8">
        <w:rPr>
          <w:rFonts w:cs="Arial"/>
        </w:rPr>
        <w:t>HPV</w:t>
      </w:r>
      <w:r w:rsidRPr="00537C3C">
        <w:rPr>
          <w:rFonts w:cs="Arial"/>
        </w:rPr>
        <w:t xml:space="preserve"> status. Combining the estimated annual </w:t>
      </w:r>
      <w:r w:rsidRPr="00537C3C">
        <w:rPr>
          <w:rFonts w:cs="Arial"/>
        </w:rPr>
        <w:lastRenderedPageBreak/>
        <w:t xml:space="preserve">recurrence rate with the proportion </w:t>
      </w:r>
      <w:r w:rsidRPr="00BB76D8">
        <w:rPr>
          <w:rFonts w:cs="Arial"/>
        </w:rPr>
        <w:t>HPV</w:t>
      </w:r>
      <w:r w:rsidRPr="00537C3C">
        <w:rPr>
          <w:rFonts w:cs="Arial"/>
        </w:rPr>
        <w:t xml:space="preserve"> positive at 1 year after </w:t>
      </w:r>
      <w:r w:rsidRPr="00FA712F">
        <w:rPr>
          <w:rFonts w:cs="Arial"/>
        </w:rPr>
        <w:t xml:space="preserve">treatment gives the row and column sum of the 2 </w:t>
      </w:r>
      <w:r w:rsidRPr="00FA712F">
        <w:rPr>
          <w:rFonts w:cs="Arial"/>
          <w:szCs w:val="24"/>
        </w:rPr>
        <w:sym w:font="Symbol" w:char="F0B4"/>
      </w:r>
      <w:r w:rsidRPr="00FA712F">
        <w:rPr>
          <w:rFonts w:cs="Arial"/>
        </w:rPr>
        <w:t xml:space="preserve"> 2 table for post-treatment, recurrent, high-grade CIN given an HPV test result. This table imposes a one-to-one relationship between the associated positive and negative likelihood values, and restricts the range of positive and negative likelihood values obtained from MSAC 12e. We calculated the range of possible sets of pairs ([</w:t>
      </w:r>
      <w:r w:rsidRPr="00FA712F" w:rsidDel="006C24DD">
        <w:rPr>
          <w:rFonts w:cs="Arial"/>
        </w:rPr>
        <w:t>true positive</w:t>
      </w:r>
      <w:r w:rsidRPr="00FA712F">
        <w:rPr>
          <w:rFonts w:cs="Arial"/>
        </w:rPr>
        <w:t xml:space="preserve">, </w:t>
      </w:r>
      <w:r w:rsidRPr="00FA712F" w:rsidDel="006C24DD">
        <w:rPr>
          <w:rFonts w:cs="Arial"/>
        </w:rPr>
        <w:t>true negative]</w:t>
      </w:r>
      <w:r w:rsidRPr="00FA712F">
        <w:rPr>
          <w:rFonts w:cs="Arial"/>
        </w:rPr>
        <w:t>, [</w:t>
      </w:r>
      <w:r w:rsidRPr="00FA712F" w:rsidDel="006C24DD">
        <w:rPr>
          <w:rFonts w:cs="Arial"/>
        </w:rPr>
        <w:t>true negative</w:t>
      </w:r>
      <w:r w:rsidRPr="00FA712F">
        <w:rPr>
          <w:rFonts w:cs="Arial"/>
        </w:rPr>
        <w:t xml:space="preserve">, </w:t>
      </w:r>
      <w:r w:rsidRPr="00FA712F" w:rsidDel="006C24DD">
        <w:rPr>
          <w:rFonts w:cs="Arial"/>
        </w:rPr>
        <w:t>false negative]</w:t>
      </w:r>
      <w:r w:rsidRPr="00FA712F">
        <w:rPr>
          <w:rFonts w:cs="Arial"/>
        </w:rPr>
        <w:t xml:space="preserve">), based on the range of possible pairs of </w:t>
      </w:r>
      <w:r w:rsidR="001F4C22" w:rsidRPr="00FA712F">
        <w:rPr>
          <w:rFonts w:cs="Arial"/>
        </w:rPr>
        <w:t xml:space="preserve">positive and negative </w:t>
      </w:r>
      <w:r w:rsidRPr="00FA712F">
        <w:rPr>
          <w:rFonts w:cs="Arial"/>
        </w:rPr>
        <w:t xml:space="preserve">likelihood </w:t>
      </w:r>
      <w:r w:rsidR="001F4C22" w:rsidRPr="00FA712F">
        <w:rPr>
          <w:rFonts w:cs="Arial"/>
        </w:rPr>
        <w:t>ratio</w:t>
      </w:r>
      <w:r w:rsidRPr="00FA712F">
        <w:rPr>
          <w:rFonts w:cs="Arial"/>
        </w:rPr>
        <w:t>s (</w:t>
      </w:r>
      <w:bookmarkStart w:id="1032" w:name="OLE_LINK45"/>
      <w:bookmarkStart w:id="1033" w:name="OLE_LINK46"/>
      <w:r w:rsidRPr="00FA712F">
        <w:rPr>
          <w:rFonts w:cs="Arial"/>
        </w:rPr>
        <w:t>LR</w:t>
      </w:r>
      <w:bookmarkEnd w:id="1032"/>
      <w:bookmarkEnd w:id="1033"/>
      <w:r w:rsidRPr="00FA712F">
        <w:rPr>
          <w:rFonts w:cs="Arial"/>
        </w:rPr>
        <w:t xml:space="preserve">+, LR–), to give upper and lower estimates for the 2 </w:t>
      </w:r>
      <w:r w:rsidRPr="00FA712F">
        <w:rPr>
          <w:rFonts w:cs="Arial"/>
          <w:szCs w:val="24"/>
        </w:rPr>
        <w:sym w:font="Symbol" w:char="F0B4"/>
      </w:r>
      <w:r w:rsidRPr="00FA712F">
        <w:rPr>
          <w:rFonts w:cs="Arial"/>
        </w:rPr>
        <w:t xml:space="preserve"> 2 table. We further restricted the range of solutions to those with a sensitivity of 80–100 and a specificity of 81</w:t>
      </w:r>
      <w:r w:rsidRPr="00FA712F" w:rsidDel="00C27CD6">
        <w:rPr>
          <w:rFonts w:cs="Arial"/>
        </w:rPr>
        <w:t>–</w:t>
      </w:r>
      <w:r w:rsidRPr="00FA712F">
        <w:rPr>
          <w:rFonts w:cs="Arial"/>
        </w:rPr>
        <w:t>100. The baseline matrix for post-treatment recurrence was calculated by using the midpoint of the acceptable range of the positive likelihood (</w:t>
      </w:r>
      <w:r w:rsidRPr="00FA712F">
        <w:rPr>
          <w:rFonts w:cs="Arial"/>
        </w:rPr>
        <w:fldChar w:fldCharType="begin"/>
      </w:r>
      <w:r w:rsidRPr="00FA712F">
        <w:rPr>
          <w:rFonts w:cs="Arial"/>
        </w:rPr>
        <w:instrText xml:space="preserve"> REF _Ref95894822 \h </w:instrText>
      </w:r>
      <w:r w:rsidR="00FA712F">
        <w:rPr>
          <w:rFonts w:cs="Arial"/>
        </w:rPr>
        <w:instrText xml:space="preserve"> \* MERGEFORMAT </w:instrText>
      </w:r>
      <w:r w:rsidRPr="00FA712F">
        <w:rPr>
          <w:rFonts w:cs="Arial"/>
        </w:rPr>
      </w:r>
      <w:r w:rsidRPr="00FA712F">
        <w:rPr>
          <w:rFonts w:cs="Arial"/>
        </w:rPr>
        <w:fldChar w:fldCharType="separate"/>
      </w:r>
      <w:r w:rsidR="007D3DFF" w:rsidRPr="00537C3C">
        <w:t xml:space="preserve">Table </w:t>
      </w:r>
      <w:r w:rsidR="007D3DFF">
        <w:rPr>
          <w:noProof/>
        </w:rPr>
        <w:t>67</w:t>
      </w:r>
      <w:r w:rsidRPr="00FA712F">
        <w:rPr>
          <w:rFonts w:cs="Arial"/>
        </w:rPr>
        <w:fldChar w:fldCharType="end"/>
      </w:r>
      <w:r w:rsidRPr="00FA712F">
        <w:rPr>
          <w:rFonts w:cs="Arial"/>
        </w:rPr>
        <w:t xml:space="preserve">, </w:t>
      </w:r>
      <w:r w:rsidRPr="00FA712F">
        <w:rPr>
          <w:rFonts w:cs="Arial"/>
        </w:rPr>
        <w:fldChar w:fldCharType="begin"/>
      </w:r>
      <w:r w:rsidRPr="00FA712F">
        <w:rPr>
          <w:rFonts w:cs="Arial"/>
        </w:rPr>
        <w:instrText xml:space="preserve"> REF _Ref95894824 \h </w:instrText>
      </w:r>
      <w:r w:rsidR="00FA712F">
        <w:rPr>
          <w:rFonts w:cs="Arial"/>
        </w:rPr>
        <w:instrText xml:space="preserve"> \* MERGEFORMAT </w:instrText>
      </w:r>
      <w:r w:rsidRPr="00FA712F">
        <w:rPr>
          <w:rFonts w:cs="Arial"/>
        </w:rPr>
      </w:r>
      <w:r w:rsidRPr="00FA712F">
        <w:rPr>
          <w:rFonts w:cs="Arial"/>
        </w:rPr>
        <w:fldChar w:fldCharType="separate"/>
      </w:r>
      <w:r w:rsidR="007D3DFF" w:rsidRPr="00537C3C">
        <w:t xml:space="preserve">Table </w:t>
      </w:r>
      <w:r w:rsidR="007D3DFF">
        <w:rPr>
          <w:noProof/>
        </w:rPr>
        <w:t>68</w:t>
      </w:r>
      <w:r w:rsidRPr="00FA712F">
        <w:rPr>
          <w:rFonts w:cs="Arial"/>
        </w:rPr>
        <w:fldChar w:fldCharType="end"/>
      </w:r>
      <w:r w:rsidRPr="00FA712F">
        <w:rPr>
          <w:rFonts w:cs="Arial"/>
        </w:rPr>
        <w:t xml:space="preserve">, </w:t>
      </w:r>
      <w:r w:rsidRPr="00FA712F">
        <w:rPr>
          <w:rFonts w:cs="Arial"/>
        </w:rPr>
        <w:fldChar w:fldCharType="begin"/>
      </w:r>
      <w:r w:rsidRPr="00FA712F">
        <w:rPr>
          <w:rFonts w:cs="Arial"/>
        </w:rPr>
        <w:instrText xml:space="preserve"> REF _Ref95894825 \h </w:instrText>
      </w:r>
      <w:r w:rsidR="00FA712F">
        <w:rPr>
          <w:rFonts w:cs="Arial"/>
        </w:rPr>
        <w:instrText xml:space="preserve"> \* MERGEFORMAT </w:instrText>
      </w:r>
      <w:r w:rsidRPr="00FA712F">
        <w:rPr>
          <w:rFonts w:cs="Arial"/>
        </w:rPr>
      </w:r>
      <w:r w:rsidRPr="00FA712F">
        <w:rPr>
          <w:rFonts w:cs="Arial"/>
        </w:rPr>
        <w:fldChar w:fldCharType="separate"/>
      </w:r>
      <w:r w:rsidR="007D3DFF" w:rsidRPr="00537C3C">
        <w:t xml:space="preserve">Table </w:t>
      </w:r>
      <w:r w:rsidR="007D3DFF">
        <w:rPr>
          <w:noProof/>
        </w:rPr>
        <w:t>69</w:t>
      </w:r>
      <w:r w:rsidRPr="00FA712F">
        <w:rPr>
          <w:rFonts w:cs="Arial"/>
        </w:rPr>
        <w:fldChar w:fldCharType="end"/>
      </w:r>
      <w:r w:rsidRPr="00FA712F">
        <w:rPr>
          <w:rFonts w:cs="Arial"/>
        </w:rPr>
        <w:t>).</w:t>
      </w:r>
    </w:p>
    <w:p w:rsidR="00234376" w:rsidRPr="00537C3C" w:rsidRDefault="00234376" w:rsidP="008E03A7">
      <w:pPr>
        <w:pStyle w:val="Caption"/>
        <w:rPr>
          <w:rFonts w:cs="Arial"/>
        </w:rPr>
      </w:pPr>
      <w:bookmarkStart w:id="1034" w:name="_Ref95894822"/>
      <w:bookmarkStart w:id="1035" w:name="_Toc216169955"/>
      <w:bookmarkStart w:id="1036" w:name="_Toc95971303"/>
      <w:r w:rsidRPr="00537C3C">
        <w:t xml:space="preserve">Table </w:t>
      </w:r>
      <w:fldSimple w:instr=" SEQ Table \* ARABIC ">
        <w:r w:rsidR="007D3DFF">
          <w:rPr>
            <w:noProof/>
          </w:rPr>
          <w:t>67</w:t>
        </w:r>
      </w:fldSimple>
      <w:bookmarkEnd w:id="1034"/>
      <w:r w:rsidRPr="00537C3C">
        <w:tab/>
      </w:r>
      <w:r w:rsidRPr="00537C3C">
        <w:rPr>
          <w:rFonts w:cs="Arial"/>
        </w:rPr>
        <w:t>Baseline matrix for post-treatment recurrence</w:t>
      </w:r>
      <w:bookmarkEnd w:id="1035"/>
      <w:r w:rsidRPr="00537C3C">
        <w:rPr>
          <w:rFonts w:cs="Arial"/>
        </w:rPr>
        <w:t>.</w:t>
      </w:r>
      <w:bookmarkEnd w:id="1036"/>
    </w:p>
    <w:tbl>
      <w:tblPr>
        <w:tblW w:w="0" w:type="auto"/>
        <w:tblInd w:w="720" w:type="dxa"/>
        <w:tblLook w:val="01E0" w:firstRow="1" w:lastRow="1" w:firstColumn="1" w:lastColumn="1" w:noHBand="0" w:noVBand="0"/>
      </w:tblPr>
      <w:tblGrid>
        <w:gridCol w:w="2141"/>
        <w:gridCol w:w="2150"/>
        <w:gridCol w:w="2143"/>
        <w:gridCol w:w="2088"/>
      </w:tblGrid>
      <w:tr w:rsidR="00234376" w:rsidRPr="00537C3C">
        <w:tc>
          <w:tcPr>
            <w:tcW w:w="2310" w:type="dxa"/>
            <w:tcBorders>
              <w:top w:val="single" w:sz="4" w:space="0" w:color="auto"/>
              <w:bottom w:val="single" w:sz="4" w:space="0" w:color="auto"/>
            </w:tcBorders>
          </w:tcPr>
          <w:p w:rsidR="00234376" w:rsidRPr="00537C3C" w:rsidRDefault="00234376" w:rsidP="008E03A7">
            <w:pPr>
              <w:pStyle w:val="TableHeading0"/>
            </w:pPr>
            <w:r w:rsidRPr="00BB76D8">
              <w:t>HPV</w:t>
            </w:r>
            <w:r w:rsidRPr="00537C3C">
              <w:t xml:space="preserve"> status after successful treatment</w:t>
            </w:r>
          </w:p>
        </w:tc>
        <w:tc>
          <w:tcPr>
            <w:tcW w:w="2310" w:type="dxa"/>
            <w:tcBorders>
              <w:top w:val="single" w:sz="4" w:space="0" w:color="auto"/>
              <w:bottom w:val="single" w:sz="4" w:space="0" w:color="auto"/>
            </w:tcBorders>
          </w:tcPr>
          <w:p w:rsidR="00234376" w:rsidRPr="00537C3C" w:rsidRDefault="00234376" w:rsidP="008E03A7">
            <w:pPr>
              <w:pStyle w:val="TableHeading0"/>
              <w:jc w:val="center"/>
            </w:pPr>
            <w:r w:rsidRPr="00537C3C">
              <w:t>Recurrence</w:t>
            </w:r>
          </w:p>
          <w:p w:rsidR="00234376" w:rsidRPr="00537C3C" w:rsidRDefault="00234376" w:rsidP="008E03A7">
            <w:pPr>
              <w:pStyle w:val="TableText0"/>
              <w:jc w:val="center"/>
            </w:pPr>
            <w:r w:rsidRPr="00537C3C">
              <w:t>%</w:t>
            </w:r>
          </w:p>
        </w:tc>
        <w:tc>
          <w:tcPr>
            <w:tcW w:w="2311" w:type="dxa"/>
            <w:tcBorders>
              <w:top w:val="single" w:sz="4" w:space="0" w:color="auto"/>
              <w:bottom w:val="single" w:sz="4" w:space="0" w:color="auto"/>
            </w:tcBorders>
          </w:tcPr>
          <w:p w:rsidR="00234376" w:rsidRPr="00537C3C" w:rsidRDefault="00234376" w:rsidP="008E03A7">
            <w:pPr>
              <w:pStyle w:val="TableHeading0"/>
              <w:jc w:val="center"/>
            </w:pPr>
            <w:r w:rsidRPr="00537C3C">
              <w:t>No recurrence</w:t>
            </w:r>
          </w:p>
          <w:p w:rsidR="00234376" w:rsidRPr="00537C3C" w:rsidRDefault="00234376" w:rsidP="008E03A7">
            <w:pPr>
              <w:pStyle w:val="TableText0"/>
              <w:jc w:val="center"/>
            </w:pPr>
            <w:r w:rsidRPr="00537C3C">
              <w:t>%</w:t>
            </w:r>
          </w:p>
        </w:tc>
        <w:tc>
          <w:tcPr>
            <w:tcW w:w="2311" w:type="dxa"/>
            <w:tcBorders>
              <w:top w:val="single" w:sz="4" w:space="0" w:color="auto"/>
              <w:bottom w:val="single" w:sz="4" w:space="0" w:color="auto"/>
            </w:tcBorders>
          </w:tcPr>
          <w:p w:rsidR="00234376" w:rsidRPr="00537C3C" w:rsidRDefault="00234376" w:rsidP="008E03A7">
            <w:pPr>
              <w:pStyle w:val="TableHeading0"/>
              <w:jc w:val="center"/>
            </w:pPr>
            <w:r w:rsidRPr="00537C3C">
              <w:t>Total</w:t>
            </w:r>
          </w:p>
          <w:p w:rsidR="00234376" w:rsidRPr="00537C3C" w:rsidRDefault="00234376" w:rsidP="008E03A7">
            <w:pPr>
              <w:pStyle w:val="TableText0"/>
              <w:jc w:val="center"/>
            </w:pPr>
            <w:r w:rsidRPr="00537C3C">
              <w:t>%</w:t>
            </w:r>
          </w:p>
        </w:tc>
      </w:tr>
      <w:tr w:rsidR="00234376" w:rsidRPr="00537C3C">
        <w:tc>
          <w:tcPr>
            <w:tcW w:w="2310" w:type="dxa"/>
            <w:tcBorders>
              <w:top w:val="single" w:sz="4" w:space="0" w:color="auto"/>
            </w:tcBorders>
          </w:tcPr>
          <w:p w:rsidR="00234376" w:rsidRPr="00537C3C" w:rsidRDefault="00234376" w:rsidP="008E03A7">
            <w:pPr>
              <w:pStyle w:val="TableText0"/>
            </w:pPr>
            <w:r w:rsidRPr="00BB76D8">
              <w:t>HPV</w:t>
            </w:r>
            <w:r w:rsidRPr="00537C3C">
              <w:t>+</w:t>
            </w:r>
          </w:p>
        </w:tc>
        <w:tc>
          <w:tcPr>
            <w:tcW w:w="2310" w:type="dxa"/>
            <w:tcBorders>
              <w:top w:val="single" w:sz="4" w:space="0" w:color="auto"/>
            </w:tcBorders>
          </w:tcPr>
          <w:p w:rsidR="00234376" w:rsidRPr="00537C3C" w:rsidRDefault="00234376" w:rsidP="008E03A7">
            <w:pPr>
              <w:pStyle w:val="TableText0"/>
              <w:jc w:val="center"/>
            </w:pPr>
            <w:r w:rsidRPr="00537C3C">
              <w:t>0.44</w:t>
            </w:r>
          </w:p>
        </w:tc>
        <w:tc>
          <w:tcPr>
            <w:tcW w:w="2311" w:type="dxa"/>
            <w:tcBorders>
              <w:top w:val="single" w:sz="4" w:space="0" w:color="auto"/>
            </w:tcBorders>
          </w:tcPr>
          <w:p w:rsidR="00234376" w:rsidRPr="00537C3C" w:rsidRDefault="00234376" w:rsidP="008E03A7">
            <w:pPr>
              <w:pStyle w:val="TableText0"/>
              <w:jc w:val="center"/>
            </w:pPr>
            <w:r w:rsidRPr="00537C3C">
              <w:t>15.36</w:t>
            </w:r>
          </w:p>
        </w:tc>
        <w:tc>
          <w:tcPr>
            <w:tcW w:w="2311" w:type="dxa"/>
            <w:tcBorders>
              <w:top w:val="single" w:sz="4" w:space="0" w:color="auto"/>
            </w:tcBorders>
          </w:tcPr>
          <w:p w:rsidR="00234376" w:rsidRPr="00537C3C" w:rsidRDefault="00234376" w:rsidP="008E03A7">
            <w:pPr>
              <w:pStyle w:val="TableText0"/>
              <w:jc w:val="center"/>
            </w:pPr>
            <w:r w:rsidRPr="00537C3C">
              <w:t>15.80</w:t>
            </w:r>
          </w:p>
        </w:tc>
      </w:tr>
      <w:tr w:rsidR="00234376" w:rsidRPr="00537C3C">
        <w:tc>
          <w:tcPr>
            <w:tcW w:w="2310" w:type="dxa"/>
          </w:tcPr>
          <w:p w:rsidR="00234376" w:rsidRPr="00537C3C" w:rsidRDefault="00234376" w:rsidP="008E03A7">
            <w:pPr>
              <w:pStyle w:val="TableText0"/>
            </w:pPr>
            <w:r w:rsidRPr="00BB76D8">
              <w:t>HPV–</w:t>
            </w:r>
          </w:p>
        </w:tc>
        <w:tc>
          <w:tcPr>
            <w:tcW w:w="2310" w:type="dxa"/>
          </w:tcPr>
          <w:p w:rsidR="00234376" w:rsidRPr="00537C3C" w:rsidRDefault="00234376" w:rsidP="008E03A7">
            <w:pPr>
              <w:pStyle w:val="TableText0"/>
              <w:jc w:val="center"/>
            </w:pPr>
            <w:r w:rsidRPr="00537C3C">
              <w:t>0.06</w:t>
            </w:r>
          </w:p>
        </w:tc>
        <w:tc>
          <w:tcPr>
            <w:tcW w:w="2311" w:type="dxa"/>
          </w:tcPr>
          <w:p w:rsidR="00234376" w:rsidRPr="00537C3C" w:rsidRDefault="00234376" w:rsidP="008E03A7">
            <w:pPr>
              <w:pStyle w:val="TableText0"/>
              <w:jc w:val="center"/>
            </w:pPr>
            <w:r w:rsidRPr="00537C3C">
              <w:t>84.14</w:t>
            </w:r>
          </w:p>
        </w:tc>
        <w:tc>
          <w:tcPr>
            <w:tcW w:w="2311" w:type="dxa"/>
          </w:tcPr>
          <w:p w:rsidR="00234376" w:rsidRPr="00537C3C" w:rsidRDefault="00234376" w:rsidP="008E03A7">
            <w:pPr>
              <w:pStyle w:val="TableText0"/>
              <w:jc w:val="center"/>
            </w:pPr>
            <w:r w:rsidRPr="00537C3C">
              <w:t>84.20</w:t>
            </w:r>
          </w:p>
        </w:tc>
      </w:tr>
      <w:tr w:rsidR="00234376" w:rsidRPr="00537C3C">
        <w:tc>
          <w:tcPr>
            <w:tcW w:w="2310" w:type="dxa"/>
            <w:tcBorders>
              <w:bottom w:val="single" w:sz="4" w:space="0" w:color="auto"/>
            </w:tcBorders>
          </w:tcPr>
          <w:p w:rsidR="00234376" w:rsidRPr="00537C3C" w:rsidRDefault="00234376" w:rsidP="008E03A7">
            <w:pPr>
              <w:pStyle w:val="TableText0"/>
            </w:pPr>
            <w:r w:rsidRPr="00537C3C">
              <w:t>Total</w:t>
            </w:r>
          </w:p>
        </w:tc>
        <w:tc>
          <w:tcPr>
            <w:tcW w:w="2310" w:type="dxa"/>
            <w:tcBorders>
              <w:bottom w:val="single" w:sz="4" w:space="0" w:color="auto"/>
            </w:tcBorders>
          </w:tcPr>
          <w:p w:rsidR="00234376" w:rsidRPr="00537C3C" w:rsidRDefault="00234376" w:rsidP="008E03A7">
            <w:pPr>
              <w:pStyle w:val="TableText0"/>
              <w:jc w:val="center"/>
            </w:pPr>
            <w:r w:rsidRPr="00537C3C">
              <w:t>0.50</w:t>
            </w:r>
          </w:p>
        </w:tc>
        <w:tc>
          <w:tcPr>
            <w:tcW w:w="2311" w:type="dxa"/>
            <w:tcBorders>
              <w:bottom w:val="single" w:sz="4" w:space="0" w:color="auto"/>
            </w:tcBorders>
          </w:tcPr>
          <w:p w:rsidR="00234376" w:rsidRPr="00537C3C" w:rsidRDefault="00234376" w:rsidP="008E03A7">
            <w:pPr>
              <w:pStyle w:val="TableText0"/>
              <w:jc w:val="center"/>
            </w:pPr>
            <w:r w:rsidRPr="00537C3C">
              <w:t>99.50</w:t>
            </w:r>
          </w:p>
        </w:tc>
        <w:tc>
          <w:tcPr>
            <w:tcW w:w="2311" w:type="dxa"/>
            <w:tcBorders>
              <w:bottom w:val="single" w:sz="4" w:space="0" w:color="auto"/>
            </w:tcBorders>
          </w:tcPr>
          <w:p w:rsidR="00234376" w:rsidRPr="00537C3C" w:rsidRDefault="00234376" w:rsidP="008E03A7">
            <w:pPr>
              <w:pStyle w:val="TableText0"/>
              <w:jc w:val="center"/>
            </w:pPr>
            <w:r w:rsidRPr="00537C3C">
              <w:t>100.00</w:t>
            </w:r>
          </w:p>
        </w:tc>
      </w:tr>
    </w:tbl>
    <w:p w:rsidR="00234376" w:rsidRDefault="00234376" w:rsidP="00234376">
      <w:pPr>
        <w:pStyle w:val="TableNotes"/>
        <w:rPr>
          <w:rFonts w:cs="Arial"/>
        </w:rPr>
      </w:pPr>
      <w:r w:rsidRPr="00537C3C">
        <w:rPr>
          <w:rFonts w:cs="Arial"/>
        </w:rPr>
        <w:t xml:space="preserve">The relative risk of recurrence is 36.9; the sensitivity of </w:t>
      </w:r>
      <w:r w:rsidRPr="00BB76D8">
        <w:rPr>
          <w:rFonts w:cs="Arial"/>
        </w:rPr>
        <w:t>HPV</w:t>
      </w:r>
      <w:r w:rsidRPr="00537C3C">
        <w:rPr>
          <w:rFonts w:cs="Arial"/>
        </w:rPr>
        <w:t xml:space="preserve"> testing for recurrent disease is 88 per cent, and the specificity is 85 per cent.</w:t>
      </w:r>
    </w:p>
    <w:p w:rsidR="00234376" w:rsidRPr="00537C3C" w:rsidRDefault="00234376" w:rsidP="008E03A7">
      <w:pPr>
        <w:pStyle w:val="Caption"/>
        <w:rPr>
          <w:rFonts w:cs="Arial"/>
        </w:rPr>
      </w:pPr>
      <w:bookmarkStart w:id="1037" w:name="_Ref95894824"/>
      <w:bookmarkStart w:id="1038" w:name="_Toc216169956"/>
      <w:bookmarkStart w:id="1039" w:name="_Toc95971304"/>
      <w:r w:rsidRPr="00537C3C">
        <w:t xml:space="preserve">Table </w:t>
      </w:r>
      <w:fldSimple w:instr=" SEQ Table \* ARABIC ">
        <w:r w:rsidR="007D3DFF">
          <w:rPr>
            <w:noProof/>
          </w:rPr>
          <w:t>68</w:t>
        </w:r>
      </w:fldSimple>
      <w:bookmarkEnd w:id="1037"/>
      <w:r w:rsidRPr="00537C3C">
        <w:tab/>
      </w:r>
      <w:r w:rsidRPr="00537C3C">
        <w:rPr>
          <w:rFonts w:cs="Arial"/>
        </w:rPr>
        <w:t>Matrix for post-treatment recurrence (lower estimate for relative risk)</w:t>
      </w:r>
      <w:bookmarkEnd w:id="1038"/>
      <w:r w:rsidRPr="00537C3C">
        <w:rPr>
          <w:rFonts w:cs="Arial"/>
        </w:rPr>
        <w:t>.</w:t>
      </w:r>
      <w:bookmarkEnd w:id="1039"/>
    </w:p>
    <w:tbl>
      <w:tblPr>
        <w:tblW w:w="0" w:type="auto"/>
        <w:tblInd w:w="720" w:type="dxa"/>
        <w:tblLook w:val="01E0" w:firstRow="1" w:lastRow="1" w:firstColumn="1" w:lastColumn="1" w:noHBand="0" w:noVBand="0"/>
      </w:tblPr>
      <w:tblGrid>
        <w:gridCol w:w="2134"/>
        <w:gridCol w:w="2143"/>
        <w:gridCol w:w="2144"/>
        <w:gridCol w:w="2101"/>
      </w:tblGrid>
      <w:tr w:rsidR="00234376" w:rsidRPr="00537C3C">
        <w:tc>
          <w:tcPr>
            <w:tcW w:w="2134" w:type="dxa"/>
            <w:tcBorders>
              <w:top w:val="single" w:sz="4" w:space="0" w:color="auto"/>
              <w:bottom w:val="single" w:sz="4" w:space="0" w:color="auto"/>
            </w:tcBorders>
          </w:tcPr>
          <w:p w:rsidR="00234376" w:rsidRPr="00537C3C" w:rsidRDefault="00234376" w:rsidP="008E03A7">
            <w:pPr>
              <w:pStyle w:val="TableHeading0"/>
            </w:pPr>
            <w:r w:rsidRPr="00BB76D8">
              <w:t>HPV</w:t>
            </w:r>
            <w:r w:rsidRPr="00537C3C">
              <w:t xml:space="preserve"> status after successful treatment</w:t>
            </w:r>
          </w:p>
        </w:tc>
        <w:tc>
          <w:tcPr>
            <w:tcW w:w="2143" w:type="dxa"/>
            <w:tcBorders>
              <w:top w:val="single" w:sz="4" w:space="0" w:color="auto"/>
              <w:bottom w:val="single" w:sz="4" w:space="0" w:color="auto"/>
            </w:tcBorders>
          </w:tcPr>
          <w:p w:rsidR="00234376" w:rsidRPr="00537C3C" w:rsidRDefault="00234376" w:rsidP="008E03A7">
            <w:pPr>
              <w:pStyle w:val="TableHeading0"/>
              <w:jc w:val="center"/>
            </w:pPr>
            <w:r w:rsidRPr="00537C3C">
              <w:t>Recurrence</w:t>
            </w:r>
          </w:p>
          <w:p w:rsidR="00234376" w:rsidRPr="00537C3C" w:rsidRDefault="00234376" w:rsidP="008E03A7">
            <w:pPr>
              <w:pStyle w:val="TableText0"/>
              <w:jc w:val="center"/>
            </w:pPr>
            <w:r w:rsidRPr="00537C3C">
              <w:t>%</w:t>
            </w:r>
          </w:p>
        </w:tc>
        <w:tc>
          <w:tcPr>
            <w:tcW w:w="2144" w:type="dxa"/>
            <w:tcBorders>
              <w:top w:val="single" w:sz="4" w:space="0" w:color="auto"/>
              <w:bottom w:val="single" w:sz="4" w:space="0" w:color="auto"/>
            </w:tcBorders>
          </w:tcPr>
          <w:p w:rsidR="00234376" w:rsidRPr="00537C3C" w:rsidRDefault="00234376" w:rsidP="008E03A7">
            <w:pPr>
              <w:pStyle w:val="TableHeading0"/>
              <w:jc w:val="center"/>
            </w:pPr>
            <w:r w:rsidRPr="00537C3C">
              <w:t>No recurrence</w:t>
            </w:r>
          </w:p>
          <w:p w:rsidR="00234376" w:rsidRPr="00537C3C" w:rsidRDefault="00234376" w:rsidP="008E03A7">
            <w:pPr>
              <w:pStyle w:val="TableText0"/>
              <w:jc w:val="center"/>
            </w:pPr>
            <w:r w:rsidRPr="00537C3C">
              <w:t>%</w:t>
            </w:r>
          </w:p>
        </w:tc>
        <w:tc>
          <w:tcPr>
            <w:tcW w:w="2101" w:type="dxa"/>
            <w:tcBorders>
              <w:top w:val="single" w:sz="4" w:space="0" w:color="auto"/>
              <w:bottom w:val="single" w:sz="4" w:space="0" w:color="auto"/>
            </w:tcBorders>
          </w:tcPr>
          <w:p w:rsidR="00234376" w:rsidRPr="00537C3C" w:rsidRDefault="00234376" w:rsidP="008E03A7">
            <w:pPr>
              <w:pStyle w:val="TableHeading0"/>
              <w:jc w:val="center"/>
            </w:pPr>
            <w:r w:rsidRPr="00537C3C">
              <w:t>Total</w:t>
            </w:r>
          </w:p>
          <w:p w:rsidR="00234376" w:rsidRPr="00537C3C" w:rsidRDefault="00234376" w:rsidP="008E03A7">
            <w:pPr>
              <w:pStyle w:val="TableText0"/>
              <w:jc w:val="center"/>
            </w:pPr>
            <w:r w:rsidRPr="00537C3C">
              <w:t>%</w:t>
            </w:r>
          </w:p>
        </w:tc>
      </w:tr>
      <w:tr w:rsidR="00234376" w:rsidRPr="00537C3C">
        <w:tc>
          <w:tcPr>
            <w:tcW w:w="2134" w:type="dxa"/>
            <w:tcBorders>
              <w:top w:val="single" w:sz="4" w:space="0" w:color="auto"/>
            </w:tcBorders>
          </w:tcPr>
          <w:p w:rsidR="00234376" w:rsidRPr="00537C3C" w:rsidRDefault="00234376" w:rsidP="008E03A7">
            <w:pPr>
              <w:pStyle w:val="TableText0"/>
            </w:pPr>
            <w:r w:rsidRPr="00BB76D8">
              <w:t>HPV</w:t>
            </w:r>
            <w:r w:rsidRPr="00537C3C">
              <w:t>+</w:t>
            </w:r>
          </w:p>
        </w:tc>
        <w:tc>
          <w:tcPr>
            <w:tcW w:w="2143" w:type="dxa"/>
            <w:tcBorders>
              <w:top w:val="single" w:sz="4" w:space="0" w:color="auto"/>
            </w:tcBorders>
          </w:tcPr>
          <w:p w:rsidR="00234376" w:rsidRPr="00537C3C" w:rsidRDefault="00234376" w:rsidP="008E03A7">
            <w:pPr>
              <w:pStyle w:val="TableText0"/>
              <w:jc w:val="center"/>
            </w:pPr>
            <w:r w:rsidRPr="00537C3C">
              <w:t>0.40</w:t>
            </w:r>
          </w:p>
        </w:tc>
        <w:tc>
          <w:tcPr>
            <w:tcW w:w="2144" w:type="dxa"/>
            <w:tcBorders>
              <w:top w:val="single" w:sz="4" w:space="0" w:color="auto"/>
            </w:tcBorders>
          </w:tcPr>
          <w:p w:rsidR="00234376" w:rsidRPr="00537C3C" w:rsidRDefault="00234376" w:rsidP="008E03A7">
            <w:pPr>
              <w:pStyle w:val="TableText0"/>
              <w:jc w:val="center"/>
            </w:pPr>
            <w:r w:rsidRPr="00537C3C">
              <w:t>15.40</w:t>
            </w:r>
          </w:p>
        </w:tc>
        <w:tc>
          <w:tcPr>
            <w:tcW w:w="2101" w:type="dxa"/>
            <w:tcBorders>
              <w:top w:val="single" w:sz="4" w:space="0" w:color="auto"/>
            </w:tcBorders>
          </w:tcPr>
          <w:p w:rsidR="00234376" w:rsidRPr="00537C3C" w:rsidRDefault="00234376" w:rsidP="008E03A7">
            <w:pPr>
              <w:pStyle w:val="TableText0"/>
              <w:jc w:val="center"/>
            </w:pPr>
            <w:r w:rsidRPr="00537C3C">
              <w:t>15.80</w:t>
            </w:r>
          </w:p>
        </w:tc>
      </w:tr>
      <w:tr w:rsidR="00234376" w:rsidRPr="00537C3C">
        <w:tc>
          <w:tcPr>
            <w:tcW w:w="2134" w:type="dxa"/>
          </w:tcPr>
          <w:p w:rsidR="00234376" w:rsidRPr="00537C3C" w:rsidRDefault="00234376" w:rsidP="008E03A7">
            <w:pPr>
              <w:pStyle w:val="TableText0"/>
            </w:pPr>
            <w:r w:rsidRPr="00BB76D8">
              <w:t>HPV–</w:t>
            </w:r>
          </w:p>
        </w:tc>
        <w:tc>
          <w:tcPr>
            <w:tcW w:w="2143" w:type="dxa"/>
          </w:tcPr>
          <w:p w:rsidR="00234376" w:rsidRPr="00537C3C" w:rsidRDefault="00234376" w:rsidP="008E03A7">
            <w:pPr>
              <w:pStyle w:val="TableText0"/>
              <w:jc w:val="center"/>
            </w:pPr>
            <w:r w:rsidRPr="00537C3C">
              <w:t>0.10</w:t>
            </w:r>
          </w:p>
        </w:tc>
        <w:tc>
          <w:tcPr>
            <w:tcW w:w="2144" w:type="dxa"/>
          </w:tcPr>
          <w:p w:rsidR="00234376" w:rsidRPr="00537C3C" w:rsidRDefault="00234376" w:rsidP="008E03A7">
            <w:pPr>
              <w:pStyle w:val="TableText0"/>
              <w:jc w:val="center"/>
            </w:pPr>
            <w:r w:rsidRPr="00537C3C">
              <w:t>84.10</w:t>
            </w:r>
          </w:p>
        </w:tc>
        <w:tc>
          <w:tcPr>
            <w:tcW w:w="2101" w:type="dxa"/>
          </w:tcPr>
          <w:p w:rsidR="00234376" w:rsidRPr="00537C3C" w:rsidRDefault="00234376" w:rsidP="008E03A7">
            <w:pPr>
              <w:pStyle w:val="TableText0"/>
              <w:jc w:val="center"/>
            </w:pPr>
            <w:r w:rsidRPr="00537C3C">
              <w:t>84.20</w:t>
            </w:r>
          </w:p>
        </w:tc>
      </w:tr>
      <w:tr w:rsidR="00234376" w:rsidRPr="00537C3C">
        <w:tc>
          <w:tcPr>
            <w:tcW w:w="2134" w:type="dxa"/>
            <w:tcBorders>
              <w:bottom w:val="single" w:sz="4" w:space="0" w:color="auto"/>
            </w:tcBorders>
          </w:tcPr>
          <w:p w:rsidR="00234376" w:rsidRPr="00537C3C" w:rsidRDefault="00234376" w:rsidP="008E03A7">
            <w:pPr>
              <w:pStyle w:val="TableText0"/>
            </w:pPr>
            <w:r w:rsidRPr="00537C3C">
              <w:t>Total</w:t>
            </w:r>
          </w:p>
        </w:tc>
        <w:tc>
          <w:tcPr>
            <w:tcW w:w="2143" w:type="dxa"/>
            <w:tcBorders>
              <w:bottom w:val="single" w:sz="4" w:space="0" w:color="auto"/>
            </w:tcBorders>
          </w:tcPr>
          <w:p w:rsidR="00234376" w:rsidRPr="00537C3C" w:rsidRDefault="00234376" w:rsidP="008E03A7">
            <w:pPr>
              <w:pStyle w:val="TableText0"/>
              <w:jc w:val="center"/>
            </w:pPr>
            <w:r w:rsidRPr="00537C3C">
              <w:t>0.50</w:t>
            </w:r>
          </w:p>
        </w:tc>
        <w:tc>
          <w:tcPr>
            <w:tcW w:w="2144" w:type="dxa"/>
            <w:tcBorders>
              <w:bottom w:val="single" w:sz="4" w:space="0" w:color="auto"/>
            </w:tcBorders>
          </w:tcPr>
          <w:p w:rsidR="00234376" w:rsidRPr="00537C3C" w:rsidRDefault="00234376" w:rsidP="008E03A7">
            <w:pPr>
              <w:pStyle w:val="TableText0"/>
              <w:jc w:val="center"/>
            </w:pPr>
            <w:r w:rsidRPr="00537C3C">
              <w:t>99.50</w:t>
            </w:r>
          </w:p>
        </w:tc>
        <w:tc>
          <w:tcPr>
            <w:tcW w:w="2101" w:type="dxa"/>
            <w:tcBorders>
              <w:bottom w:val="single" w:sz="4" w:space="0" w:color="auto"/>
            </w:tcBorders>
          </w:tcPr>
          <w:p w:rsidR="00234376" w:rsidRPr="00537C3C" w:rsidRDefault="00234376" w:rsidP="008E03A7">
            <w:pPr>
              <w:pStyle w:val="TableText0"/>
              <w:jc w:val="center"/>
            </w:pPr>
            <w:r w:rsidRPr="00537C3C">
              <w:t>100.00</w:t>
            </w:r>
          </w:p>
        </w:tc>
      </w:tr>
    </w:tbl>
    <w:p w:rsidR="00234376" w:rsidRDefault="00234376" w:rsidP="00234376">
      <w:pPr>
        <w:pStyle w:val="TableNotes"/>
        <w:rPr>
          <w:rFonts w:cs="Arial"/>
        </w:rPr>
      </w:pPr>
      <w:r w:rsidRPr="00537C3C">
        <w:rPr>
          <w:rFonts w:cs="Arial"/>
        </w:rPr>
        <w:t xml:space="preserve">The relative risk of recurrence is 21.4; the sensitivity of </w:t>
      </w:r>
      <w:r w:rsidRPr="00BB76D8">
        <w:rPr>
          <w:rFonts w:cs="Arial"/>
        </w:rPr>
        <w:t>HPV</w:t>
      </w:r>
      <w:r w:rsidRPr="00537C3C">
        <w:rPr>
          <w:rFonts w:cs="Arial"/>
        </w:rPr>
        <w:t xml:space="preserve"> testing for recurrent disease is 80 per cent, and the specificity is 85 per cent.</w:t>
      </w:r>
    </w:p>
    <w:p w:rsidR="00234376" w:rsidRPr="00537C3C" w:rsidRDefault="00234376" w:rsidP="008E03A7">
      <w:pPr>
        <w:pStyle w:val="Caption"/>
        <w:rPr>
          <w:rFonts w:cs="Arial"/>
        </w:rPr>
      </w:pPr>
      <w:bookmarkStart w:id="1040" w:name="_Ref95894825"/>
      <w:bookmarkStart w:id="1041" w:name="_Toc216169957"/>
      <w:bookmarkStart w:id="1042" w:name="_Toc95971305"/>
      <w:r w:rsidRPr="00537C3C">
        <w:t xml:space="preserve">Table </w:t>
      </w:r>
      <w:fldSimple w:instr=" SEQ Table \* ARABIC ">
        <w:r w:rsidR="007D3DFF">
          <w:rPr>
            <w:noProof/>
          </w:rPr>
          <w:t>69</w:t>
        </w:r>
      </w:fldSimple>
      <w:bookmarkEnd w:id="1040"/>
      <w:r w:rsidRPr="00537C3C">
        <w:tab/>
      </w:r>
      <w:r w:rsidRPr="00537C3C">
        <w:rPr>
          <w:rFonts w:cs="Arial"/>
        </w:rPr>
        <w:t>Matrix for post-treatment recurrence (upper estimate for relative risk)</w:t>
      </w:r>
      <w:bookmarkEnd w:id="1041"/>
      <w:r w:rsidRPr="00537C3C">
        <w:rPr>
          <w:rFonts w:cs="Arial"/>
        </w:rPr>
        <w:t>.</w:t>
      </w:r>
      <w:bookmarkEnd w:id="1042"/>
    </w:p>
    <w:tbl>
      <w:tblPr>
        <w:tblW w:w="0" w:type="auto"/>
        <w:tblInd w:w="720" w:type="dxa"/>
        <w:tblLook w:val="01E0" w:firstRow="1" w:lastRow="1" w:firstColumn="1" w:lastColumn="1" w:noHBand="0" w:noVBand="0"/>
      </w:tblPr>
      <w:tblGrid>
        <w:gridCol w:w="2134"/>
        <w:gridCol w:w="2143"/>
        <w:gridCol w:w="2144"/>
        <w:gridCol w:w="2101"/>
      </w:tblGrid>
      <w:tr w:rsidR="00234376" w:rsidRPr="00537C3C">
        <w:tc>
          <w:tcPr>
            <w:tcW w:w="2134" w:type="dxa"/>
            <w:tcBorders>
              <w:top w:val="single" w:sz="4" w:space="0" w:color="auto"/>
              <w:bottom w:val="single" w:sz="4" w:space="0" w:color="auto"/>
            </w:tcBorders>
          </w:tcPr>
          <w:p w:rsidR="00234376" w:rsidRPr="00537C3C" w:rsidRDefault="00234376" w:rsidP="008E03A7">
            <w:pPr>
              <w:pStyle w:val="TableHeading0"/>
            </w:pPr>
            <w:r w:rsidRPr="00BB76D8">
              <w:t>HPV</w:t>
            </w:r>
            <w:r w:rsidRPr="00537C3C">
              <w:t xml:space="preserve"> status after successful treatment</w:t>
            </w:r>
          </w:p>
        </w:tc>
        <w:tc>
          <w:tcPr>
            <w:tcW w:w="2143" w:type="dxa"/>
            <w:tcBorders>
              <w:top w:val="single" w:sz="4" w:space="0" w:color="auto"/>
              <w:bottom w:val="single" w:sz="4" w:space="0" w:color="auto"/>
            </w:tcBorders>
          </w:tcPr>
          <w:p w:rsidR="00234376" w:rsidRPr="00537C3C" w:rsidRDefault="00234376" w:rsidP="008E03A7">
            <w:pPr>
              <w:pStyle w:val="TableHeading0"/>
              <w:jc w:val="center"/>
            </w:pPr>
            <w:r w:rsidRPr="00537C3C">
              <w:t>Recurrence</w:t>
            </w:r>
          </w:p>
          <w:p w:rsidR="00234376" w:rsidRPr="00537C3C" w:rsidRDefault="00234376" w:rsidP="008E03A7">
            <w:pPr>
              <w:pStyle w:val="TableText0"/>
              <w:jc w:val="center"/>
            </w:pPr>
            <w:r w:rsidRPr="00537C3C">
              <w:t>%</w:t>
            </w:r>
          </w:p>
        </w:tc>
        <w:tc>
          <w:tcPr>
            <w:tcW w:w="2144" w:type="dxa"/>
            <w:tcBorders>
              <w:top w:val="single" w:sz="4" w:space="0" w:color="auto"/>
              <w:bottom w:val="single" w:sz="4" w:space="0" w:color="auto"/>
            </w:tcBorders>
          </w:tcPr>
          <w:p w:rsidR="00234376" w:rsidRPr="00537C3C" w:rsidRDefault="00234376" w:rsidP="008E03A7">
            <w:pPr>
              <w:pStyle w:val="TableHeading0"/>
              <w:jc w:val="center"/>
            </w:pPr>
            <w:r w:rsidRPr="00537C3C">
              <w:t>No recurrence</w:t>
            </w:r>
          </w:p>
          <w:p w:rsidR="00234376" w:rsidRPr="00537C3C" w:rsidRDefault="00234376" w:rsidP="008E03A7">
            <w:pPr>
              <w:pStyle w:val="TableText0"/>
              <w:jc w:val="center"/>
            </w:pPr>
            <w:r w:rsidRPr="00537C3C">
              <w:t>%</w:t>
            </w:r>
          </w:p>
        </w:tc>
        <w:tc>
          <w:tcPr>
            <w:tcW w:w="2101" w:type="dxa"/>
            <w:tcBorders>
              <w:top w:val="single" w:sz="4" w:space="0" w:color="auto"/>
              <w:bottom w:val="single" w:sz="4" w:space="0" w:color="auto"/>
            </w:tcBorders>
          </w:tcPr>
          <w:p w:rsidR="00234376" w:rsidRPr="00537C3C" w:rsidRDefault="00234376" w:rsidP="008E03A7">
            <w:pPr>
              <w:pStyle w:val="TableHeading0"/>
              <w:jc w:val="center"/>
            </w:pPr>
            <w:r w:rsidRPr="00537C3C">
              <w:t>Total</w:t>
            </w:r>
          </w:p>
          <w:p w:rsidR="00234376" w:rsidRPr="00537C3C" w:rsidRDefault="00234376" w:rsidP="008E03A7">
            <w:pPr>
              <w:pStyle w:val="TableText0"/>
              <w:jc w:val="center"/>
            </w:pPr>
            <w:r w:rsidRPr="00537C3C">
              <w:t>%</w:t>
            </w:r>
          </w:p>
        </w:tc>
      </w:tr>
      <w:tr w:rsidR="00234376" w:rsidRPr="00537C3C">
        <w:tc>
          <w:tcPr>
            <w:tcW w:w="2134" w:type="dxa"/>
            <w:tcBorders>
              <w:top w:val="single" w:sz="4" w:space="0" w:color="auto"/>
            </w:tcBorders>
          </w:tcPr>
          <w:p w:rsidR="00234376" w:rsidRPr="00537C3C" w:rsidRDefault="00234376" w:rsidP="008E03A7">
            <w:pPr>
              <w:pStyle w:val="TableText0"/>
            </w:pPr>
            <w:r w:rsidRPr="00BB76D8">
              <w:t>HPV</w:t>
            </w:r>
            <w:r w:rsidRPr="00537C3C">
              <w:t>+</w:t>
            </w:r>
          </w:p>
        </w:tc>
        <w:tc>
          <w:tcPr>
            <w:tcW w:w="2143" w:type="dxa"/>
            <w:tcBorders>
              <w:top w:val="single" w:sz="4" w:space="0" w:color="auto"/>
            </w:tcBorders>
          </w:tcPr>
          <w:p w:rsidR="00234376" w:rsidRPr="00537C3C" w:rsidRDefault="00234376" w:rsidP="008E03A7">
            <w:pPr>
              <w:pStyle w:val="TableText0"/>
              <w:jc w:val="center"/>
            </w:pPr>
            <w:r w:rsidRPr="00537C3C">
              <w:t>0.47</w:t>
            </w:r>
          </w:p>
        </w:tc>
        <w:tc>
          <w:tcPr>
            <w:tcW w:w="2144" w:type="dxa"/>
            <w:tcBorders>
              <w:top w:val="single" w:sz="4" w:space="0" w:color="auto"/>
            </w:tcBorders>
          </w:tcPr>
          <w:p w:rsidR="00234376" w:rsidRPr="00537C3C" w:rsidRDefault="00234376" w:rsidP="008E03A7">
            <w:pPr>
              <w:pStyle w:val="TableText0"/>
              <w:jc w:val="center"/>
            </w:pPr>
            <w:r w:rsidRPr="00537C3C">
              <w:t>15.33</w:t>
            </w:r>
          </w:p>
        </w:tc>
        <w:tc>
          <w:tcPr>
            <w:tcW w:w="2101" w:type="dxa"/>
            <w:tcBorders>
              <w:top w:val="single" w:sz="4" w:space="0" w:color="auto"/>
            </w:tcBorders>
          </w:tcPr>
          <w:p w:rsidR="00234376" w:rsidRPr="00537C3C" w:rsidRDefault="00234376" w:rsidP="008E03A7">
            <w:pPr>
              <w:pStyle w:val="TableText0"/>
              <w:jc w:val="center"/>
            </w:pPr>
            <w:r w:rsidRPr="00537C3C">
              <w:t>15.80</w:t>
            </w:r>
          </w:p>
        </w:tc>
      </w:tr>
      <w:tr w:rsidR="00234376" w:rsidRPr="00537C3C">
        <w:tc>
          <w:tcPr>
            <w:tcW w:w="2134" w:type="dxa"/>
          </w:tcPr>
          <w:p w:rsidR="00234376" w:rsidRPr="00537C3C" w:rsidRDefault="00234376" w:rsidP="008E03A7">
            <w:pPr>
              <w:pStyle w:val="TableText0"/>
            </w:pPr>
            <w:r w:rsidRPr="00BB76D8">
              <w:t>HPV–</w:t>
            </w:r>
          </w:p>
        </w:tc>
        <w:tc>
          <w:tcPr>
            <w:tcW w:w="2143" w:type="dxa"/>
          </w:tcPr>
          <w:p w:rsidR="00234376" w:rsidRPr="00537C3C" w:rsidRDefault="00234376" w:rsidP="008E03A7">
            <w:pPr>
              <w:pStyle w:val="TableText0"/>
              <w:jc w:val="center"/>
            </w:pPr>
            <w:r w:rsidRPr="00537C3C">
              <w:t>0.03</w:t>
            </w:r>
          </w:p>
        </w:tc>
        <w:tc>
          <w:tcPr>
            <w:tcW w:w="2144" w:type="dxa"/>
          </w:tcPr>
          <w:p w:rsidR="00234376" w:rsidRPr="00537C3C" w:rsidRDefault="00234376" w:rsidP="008E03A7">
            <w:pPr>
              <w:pStyle w:val="TableText0"/>
              <w:jc w:val="center"/>
            </w:pPr>
            <w:r w:rsidRPr="00537C3C">
              <w:t>84.17</w:t>
            </w:r>
          </w:p>
        </w:tc>
        <w:tc>
          <w:tcPr>
            <w:tcW w:w="2101" w:type="dxa"/>
          </w:tcPr>
          <w:p w:rsidR="00234376" w:rsidRPr="00537C3C" w:rsidRDefault="00234376" w:rsidP="008E03A7">
            <w:pPr>
              <w:pStyle w:val="TableText0"/>
              <w:jc w:val="center"/>
            </w:pPr>
            <w:r w:rsidRPr="00537C3C">
              <w:t>84.20</w:t>
            </w:r>
          </w:p>
        </w:tc>
      </w:tr>
      <w:tr w:rsidR="00234376" w:rsidRPr="00537C3C">
        <w:tc>
          <w:tcPr>
            <w:tcW w:w="2134" w:type="dxa"/>
            <w:tcBorders>
              <w:bottom w:val="single" w:sz="4" w:space="0" w:color="auto"/>
            </w:tcBorders>
          </w:tcPr>
          <w:p w:rsidR="00234376" w:rsidRPr="00537C3C" w:rsidRDefault="00234376" w:rsidP="008E03A7">
            <w:pPr>
              <w:pStyle w:val="TableText0"/>
            </w:pPr>
            <w:r w:rsidRPr="00537C3C">
              <w:t>Total</w:t>
            </w:r>
          </w:p>
        </w:tc>
        <w:tc>
          <w:tcPr>
            <w:tcW w:w="2143" w:type="dxa"/>
            <w:tcBorders>
              <w:bottom w:val="single" w:sz="4" w:space="0" w:color="auto"/>
            </w:tcBorders>
          </w:tcPr>
          <w:p w:rsidR="00234376" w:rsidRPr="00537C3C" w:rsidRDefault="00234376" w:rsidP="008E03A7">
            <w:pPr>
              <w:pStyle w:val="TableText0"/>
              <w:jc w:val="center"/>
            </w:pPr>
            <w:r w:rsidRPr="00537C3C">
              <w:t>0.50</w:t>
            </w:r>
          </w:p>
        </w:tc>
        <w:tc>
          <w:tcPr>
            <w:tcW w:w="2144" w:type="dxa"/>
            <w:tcBorders>
              <w:bottom w:val="single" w:sz="4" w:space="0" w:color="auto"/>
            </w:tcBorders>
          </w:tcPr>
          <w:p w:rsidR="00234376" w:rsidRPr="00537C3C" w:rsidRDefault="00234376" w:rsidP="008E03A7">
            <w:pPr>
              <w:pStyle w:val="TableText0"/>
              <w:jc w:val="center"/>
            </w:pPr>
            <w:r w:rsidRPr="00537C3C">
              <w:t>99.50</w:t>
            </w:r>
          </w:p>
        </w:tc>
        <w:tc>
          <w:tcPr>
            <w:tcW w:w="2101" w:type="dxa"/>
            <w:tcBorders>
              <w:bottom w:val="single" w:sz="4" w:space="0" w:color="auto"/>
            </w:tcBorders>
          </w:tcPr>
          <w:p w:rsidR="00234376" w:rsidRPr="00537C3C" w:rsidRDefault="00234376" w:rsidP="008E03A7">
            <w:pPr>
              <w:pStyle w:val="TableText0"/>
              <w:jc w:val="center"/>
            </w:pPr>
            <w:r w:rsidRPr="00537C3C">
              <w:t>100.00</w:t>
            </w:r>
          </w:p>
        </w:tc>
      </w:tr>
    </w:tbl>
    <w:p w:rsidR="00234376" w:rsidRDefault="00234376" w:rsidP="00234376">
      <w:pPr>
        <w:pStyle w:val="TableNotes"/>
        <w:rPr>
          <w:rFonts w:cs="Arial"/>
        </w:rPr>
      </w:pPr>
      <w:r w:rsidRPr="00537C3C">
        <w:rPr>
          <w:rFonts w:cs="Arial"/>
        </w:rPr>
        <w:t xml:space="preserve">The relative risk of recurrence is 74.0; the sensitivity of </w:t>
      </w:r>
      <w:r w:rsidRPr="00BB76D8">
        <w:rPr>
          <w:rFonts w:cs="Arial"/>
        </w:rPr>
        <w:t>HPV</w:t>
      </w:r>
      <w:r w:rsidRPr="00537C3C">
        <w:rPr>
          <w:rFonts w:cs="Arial"/>
        </w:rPr>
        <w:t xml:space="preserve"> testing for recurrent disease is 94 per cent, and the specificity is 85 per cent.</w:t>
      </w:r>
    </w:p>
    <w:p w:rsidR="00234376" w:rsidRPr="00537C3C" w:rsidRDefault="00234376" w:rsidP="008E03A7">
      <w:pPr>
        <w:pStyle w:val="Heading2"/>
      </w:pPr>
      <w:bookmarkStart w:id="1043" w:name="_Ref212961043"/>
      <w:bookmarkStart w:id="1044" w:name="_Toc216169878"/>
      <w:bookmarkStart w:id="1045" w:name="_Toc216170251"/>
      <w:bookmarkStart w:id="1046" w:name="_Toc219865826"/>
      <w:bookmarkStart w:id="1047" w:name="_Toc219866034"/>
      <w:bookmarkStart w:id="1048" w:name="_Toc219880674"/>
      <w:bookmarkStart w:id="1049" w:name="_Toc220144588"/>
      <w:bookmarkStart w:id="1050" w:name="_Toc95971119"/>
      <w:bookmarkStart w:id="1051" w:name="_Toc231895827"/>
      <w:bookmarkStart w:id="1052" w:name="_Toc241658217"/>
      <w:r w:rsidRPr="00537C3C">
        <w:t>Management assumptions made for modelling in cases where guidelines do not specify outcomes</w:t>
      </w:r>
      <w:bookmarkEnd w:id="1043"/>
      <w:bookmarkEnd w:id="1044"/>
      <w:bookmarkEnd w:id="1045"/>
      <w:bookmarkEnd w:id="1046"/>
      <w:bookmarkEnd w:id="1047"/>
      <w:bookmarkEnd w:id="1048"/>
      <w:bookmarkEnd w:id="1049"/>
      <w:bookmarkEnd w:id="1050"/>
      <w:bookmarkEnd w:id="1051"/>
      <w:bookmarkEnd w:id="1052"/>
    </w:p>
    <w:p w:rsidR="00234376" w:rsidRPr="00537C3C" w:rsidRDefault="00234376" w:rsidP="008E03A7">
      <w:pPr>
        <w:pStyle w:val="Heading3"/>
      </w:pPr>
      <w:r w:rsidRPr="00537C3C">
        <w:t xml:space="preserve">Management of </w:t>
      </w:r>
      <w:r w:rsidRPr="00BB76D8">
        <w:t>LSIL</w:t>
      </w:r>
    </w:p>
    <w:p w:rsidR="00234376" w:rsidRPr="00537C3C" w:rsidRDefault="00234376" w:rsidP="00600AC0">
      <w:pPr>
        <w:numPr>
          <w:ilvl w:val="0"/>
          <w:numId w:val="15"/>
        </w:numPr>
        <w:tabs>
          <w:tab w:val="clear" w:pos="1440"/>
          <w:tab w:val="num" w:pos="1134"/>
        </w:tabs>
        <w:ind w:left="1134"/>
      </w:pPr>
      <w:r w:rsidRPr="00537C3C">
        <w:t xml:space="preserve">There are some alternative formations in the 2005 NHMRC Guidelines regarding the age cut-off for variations in management of </w:t>
      </w:r>
      <w:r w:rsidRPr="00BB76D8">
        <w:t>LSIL</w:t>
      </w:r>
      <w:r w:rsidRPr="00537C3C">
        <w:t xml:space="preserve"> (possible or definite). For modelling purposes, we have used the two age groups </w:t>
      </w:r>
      <w:r w:rsidRPr="00537C3C">
        <w:rPr>
          <w:i/>
        </w:rPr>
        <w:t>under 30 years</w:t>
      </w:r>
      <w:r w:rsidRPr="00537C3C">
        <w:t xml:space="preserve"> and </w:t>
      </w:r>
      <w:r w:rsidRPr="00537C3C">
        <w:rPr>
          <w:i/>
        </w:rPr>
        <w:t>30 years or more</w:t>
      </w:r>
      <w:r w:rsidRPr="00537C3C">
        <w:t xml:space="preserve"> to be consistent with the Summary of Guidelines [p. </w:t>
      </w:r>
      <w:bookmarkStart w:id="1053" w:name="OLE_LINK450"/>
      <w:bookmarkStart w:id="1054" w:name="OLE_LINK451"/>
      <w:r w:rsidRPr="00537C3C">
        <w:t>xi</w:t>
      </w:r>
      <w:bookmarkEnd w:id="1053"/>
      <w:bookmarkEnd w:id="1054"/>
      <w:r w:rsidRPr="00537C3C">
        <w:t>].</w:t>
      </w:r>
      <w:r w:rsidRPr="00537C3C">
        <w:rPr>
          <w:rStyle w:val="FootnoteReference"/>
        </w:rPr>
        <w:footnoteReference w:id="2"/>
      </w:r>
    </w:p>
    <w:p w:rsidR="00234376" w:rsidRPr="00CB0171" w:rsidRDefault="00234376" w:rsidP="00CB0171">
      <w:pPr>
        <w:numPr>
          <w:ilvl w:val="0"/>
          <w:numId w:val="15"/>
        </w:numPr>
        <w:tabs>
          <w:tab w:val="clear" w:pos="1440"/>
          <w:tab w:val="num" w:pos="1134"/>
        </w:tabs>
        <w:ind w:left="1134"/>
        <w:rPr>
          <w:rFonts w:ascii="Arial" w:hAnsi="Arial" w:cs="Arial"/>
          <w:sz w:val="22"/>
          <w:szCs w:val="22"/>
        </w:rPr>
      </w:pPr>
      <w:r w:rsidRPr="00537C3C">
        <w:lastRenderedPageBreak/>
        <w:t>(</w:t>
      </w:r>
      <w:r w:rsidRPr="00537C3C">
        <w:fldChar w:fldCharType="begin"/>
      </w:r>
      <w:r w:rsidRPr="00537C3C">
        <w:instrText xml:space="preserve"> REF _Ref95970602 \h </w:instrText>
      </w:r>
      <w:r w:rsidRPr="00537C3C">
        <w:fldChar w:fldCharType="separate"/>
      </w:r>
      <w:r w:rsidR="007D3DFF" w:rsidRPr="00537C3C">
        <w:t xml:space="preserve">Figure </w:t>
      </w:r>
      <w:r w:rsidR="007D3DFF">
        <w:rPr>
          <w:noProof/>
        </w:rPr>
        <w:t>18</w:t>
      </w:r>
      <w:r w:rsidRPr="00537C3C">
        <w:fldChar w:fldCharType="end"/>
      </w:r>
      <w:r w:rsidRPr="00537C3C">
        <w:t xml:space="preserve"> (1)) Women who are aged 30 years or more and have no recent history of negative cytology may be given a repeat smear in 6 months following an index </w:t>
      </w:r>
      <w:r w:rsidRPr="00BB76D8">
        <w:t>LSIL</w:t>
      </w:r>
      <w:r w:rsidRPr="00537C3C">
        <w:t xml:space="preserve"> smear. Thereafter, for the model, we assume the same subsequent management path as for women who are given a 12-month follow-up test: that is, an </w:t>
      </w:r>
      <w:r w:rsidRPr="00BB76D8">
        <w:t>LSIL</w:t>
      </w:r>
      <w:r w:rsidR="001F4C22">
        <w:rPr>
          <w:rStyle w:val="FootnoteReference"/>
        </w:rPr>
        <w:footnoteReference w:id="3"/>
      </w:r>
      <w:r w:rsidRPr="00537C3C">
        <w:t>/</w:t>
      </w:r>
      <w:r w:rsidR="004150A7">
        <w:t xml:space="preserve"> </w:t>
      </w:r>
      <w:r w:rsidRPr="00BB76D8">
        <w:t>HSIL</w:t>
      </w:r>
      <w:r w:rsidR="001F4C22">
        <w:rPr>
          <w:rStyle w:val="FootnoteReference"/>
        </w:rPr>
        <w:footnoteReference w:id="4"/>
      </w:r>
      <w:r w:rsidRPr="00537C3C">
        <w:t xml:space="preserve"> result is referred to colposcopy, and a negative result requires a follow-up smear in 12 months (18 months from index smear). If this second follow-up smear is negative, then women return to routine screening.</w:t>
      </w:r>
    </w:p>
    <w:p w:rsidR="00CB0171" w:rsidRDefault="00234376" w:rsidP="008E03A7">
      <w:pPr>
        <w:pStyle w:val="Caption"/>
      </w:pPr>
      <w:bookmarkStart w:id="1055" w:name="_Ref95970602"/>
      <w:bookmarkStart w:id="1056" w:name="_Toc231895859"/>
      <w:bookmarkStart w:id="1057" w:name="_Toc222823913"/>
      <w:r w:rsidRPr="00537C3C">
        <w:t xml:space="preserve">Figure </w:t>
      </w:r>
      <w:fldSimple w:instr=" SEQ Figure \* ARABIC ">
        <w:r w:rsidR="007D3DFF">
          <w:rPr>
            <w:noProof/>
          </w:rPr>
          <w:t>18</w:t>
        </w:r>
      </w:fldSimple>
      <w:bookmarkEnd w:id="1055"/>
      <w:r w:rsidRPr="00537C3C">
        <w:tab/>
        <w:t>Management of a cytological prediction of possible or definite LSIL.</w:t>
      </w:r>
      <w:bookmarkEnd w:id="1056"/>
      <w:bookmarkEnd w:id="1057"/>
      <w:r w:rsidR="00CB0171" w:rsidRPr="00CB0171">
        <w:t xml:space="preserve"> </w:t>
      </w:r>
    </w:p>
    <w:p w:rsidR="00234376" w:rsidRDefault="006F242B" w:rsidP="00CB0171">
      <w:r>
        <w:rPr>
          <w:noProof/>
          <w:lang w:eastAsia="en-AU"/>
        </w:rPr>
        <w:drawing>
          <wp:inline distT="0" distB="0" distL="0" distR="0">
            <wp:extent cx="5231130" cy="5507355"/>
            <wp:effectExtent l="0" t="0" r="7620" b="0"/>
            <wp:docPr id="34" name="Picture 34" title="Management of a cytological prediction of possible or definite L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31130" cy="5507355"/>
                    </a:xfrm>
                    <a:prstGeom prst="rect">
                      <a:avLst/>
                    </a:prstGeom>
                    <a:noFill/>
                    <a:ln>
                      <a:noFill/>
                    </a:ln>
                  </pic:spPr>
                </pic:pic>
              </a:graphicData>
            </a:graphic>
          </wp:inline>
        </w:drawing>
      </w:r>
    </w:p>
    <w:p w:rsidR="00234376" w:rsidRDefault="00234376" w:rsidP="00234376">
      <w:pPr>
        <w:pStyle w:val="Heading3"/>
      </w:pPr>
      <w:r w:rsidRPr="00537C3C">
        <w:t>‘Expiry’ of cytological or histological status</w:t>
      </w:r>
    </w:p>
    <w:p w:rsidR="00234376" w:rsidRPr="00537C3C" w:rsidRDefault="00234376" w:rsidP="008E03A7">
      <w:r w:rsidRPr="00537C3C">
        <w:t xml:space="preserve">In several places in the model it was necessary to reset or redefine the index smear. Reasons included non-compliance with screening recommendations or colposcopy </w:t>
      </w:r>
      <w:r w:rsidRPr="00537C3C">
        <w:lastRenderedPageBreak/>
        <w:t>referral, or being stuck in a loop of repeated follow-up where the reason for follow-up may not still be relevant. We made the following assumptions:</w:t>
      </w:r>
    </w:p>
    <w:p w:rsidR="00234376" w:rsidRDefault="00234376" w:rsidP="00234376">
      <w:pPr>
        <w:numPr>
          <w:ilvl w:val="0"/>
          <w:numId w:val="26"/>
        </w:numPr>
        <w:spacing w:after="120"/>
      </w:pPr>
      <w:r w:rsidRPr="00537C3C">
        <w:t xml:space="preserve">Colposcopy participation rates are approximated by probabilities from the </w:t>
      </w:r>
      <w:r w:rsidRPr="00BB76D8">
        <w:t>VCCR</w:t>
      </w:r>
      <w:r w:rsidRPr="00537C3C">
        <w:t xml:space="preserve"> on the rescreening </w:t>
      </w:r>
      <w:r w:rsidRPr="00537C3C" w:rsidDel="00C27CD6">
        <w:t>of</w:t>
      </w:r>
      <w:r w:rsidRPr="00537C3C">
        <w:t xml:space="preserve"> women referred to colposcopy, stratified by age and current cytology result.</w:t>
      </w:r>
    </w:p>
    <w:p w:rsidR="00234376" w:rsidRDefault="00234376" w:rsidP="00234376">
      <w:pPr>
        <w:numPr>
          <w:ilvl w:val="0"/>
          <w:numId w:val="13"/>
        </w:numPr>
        <w:spacing w:after="120"/>
      </w:pPr>
      <w:r w:rsidRPr="00537C3C">
        <w:t xml:space="preserve">After an </w:t>
      </w:r>
      <w:r w:rsidRPr="00BB76D8">
        <w:t>LSIL</w:t>
      </w:r>
      <w:r w:rsidRPr="00537C3C">
        <w:t xml:space="preserve">, in the absence of follow-up screening (i.e. non-compliance with the Guidelines), low-grade cytology results have a </w:t>
      </w:r>
      <w:r w:rsidRPr="00537C3C">
        <w:rPr>
          <w:b/>
        </w:rPr>
        <w:t>3-year</w:t>
      </w:r>
      <w:r w:rsidRPr="00537C3C">
        <w:t xml:space="preserve"> expiry. That is, if an </w:t>
      </w:r>
      <w:r w:rsidRPr="00BB76D8">
        <w:t>LSIL</w:t>
      </w:r>
      <w:r w:rsidRPr="00537C3C">
        <w:t xml:space="preserve"> smear is not followed up according to the guidelines, then another </w:t>
      </w:r>
      <w:r w:rsidRPr="00BB76D8">
        <w:t>LSIL</w:t>
      </w:r>
      <w:r w:rsidRPr="00537C3C">
        <w:t xml:space="preserve"> which is more than 3 years from the first </w:t>
      </w:r>
      <w:r w:rsidRPr="00BB76D8">
        <w:t>LSIL</w:t>
      </w:r>
      <w:r w:rsidRPr="00537C3C">
        <w:t xml:space="preserve"> is regarded as the new index smear and not referred to colposcopy. (Guidelines p. 40 state that ‘referral for colposcopy should be considered for a woman if she has two </w:t>
      </w:r>
      <w:r w:rsidRPr="00BB76D8">
        <w:t>LSIL</w:t>
      </w:r>
      <w:r w:rsidRPr="00537C3C">
        <w:t xml:space="preserve"> reports within a 3-year timeframe, regardless of intervening normal cytology reports.’ We assume that this 3-year timeframe also holds in the absence of adequate or any intervening cytology.)</w:t>
      </w:r>
    </w:p>
    <w:p w:rsidR="00234376" w:rsidRDefault="00234376" w:rsidP="00234376">
      <w:pPr>
        <w:numPr>
          <w:ilvl w:val="0"/>
          <w:numId w:val="13"/>
        </w:numPr>
        <w:spacing w:after="120"/>
      </w:pPr>
      <w:r w:rsidRPr="00537C3C">
        <w:t xml:space="preserve">Low-grade histology has a </w:t>
      </w:r>
      <w:r w:rsidRPr="00537C3C">
        <w:rPr>
          <w:b/>
        </w:rPr>
        <w:t>3-year</w:t>
      </w:r>
      <w:r w:rsidRPr="00537C3C">
        <w:t xml:space="preserve"> expiry. Histologically confirmed low-grade abnormalities are managed by annual cytological monitoring, with return to routine screening triggered by two negative smears [p. 49]. At the stage of annual monitoring we assume that women with </w:t>
      </w:r>
      <w:r w:rsidRPr="00BB76D8">
        <w:t>LSIL</w:t>
      </w:r>
      <w:r w:rsidRPr="00537C3C">
        <w:t xml:space="preserve"> smears are not referred to colposcopy within 3 years of the histology result, but that after 3 years women with repeated </w:t>
      </w:r>
      <w:r w:rsidRPr="00BB76D8">
        <w:t>LSIL</w:t>
      </w:r>
      <w:r w:rsidRPr="00537C3C">
        <w:t xml:space="preserve"> reports would be referred to colposcopy owing to the possibility of further progression of underlying disease, following the same management as for repeated low-grade cytology.</w:t>
      </w:r>
    </w:p>
    <w:p w:rsidR="00234376" w:rsidRDefault="00234376" w:rsidP="00234376">
      <w:pPr>
        <w:pStyle w:val="Heading3"/>
      </w:pPr>
      <w:r w:rsidRPr="00537C3C">
        <w:t>Colposcopy management</w:t>
      </w:r>
    </w:p>
    <w:p w:rsidR="00234376" w:rsidRPr="008E03A7" w:rsidRDefault="00234376" w:rsidP="008E03A7">
      <w:r w:rsidRPr="00BB76D8">
        <w:t>HSIL</w:t>
      </w:r>
      <w:r w:rsidRPr="00537C3C">
        <w:t xml:space="preserve"> cytology is always referred to colposcopy, and </w:t>
      </w:r>
      <w:r w:rsidRPr="00BB76D8">
        <w:t>LSIL</w:t>
      </w:r>
      <w:r w:rsidRPr="00537C3C">
        <w:t xml:space="preserve"> cytology sometimes, but the guidelines do not give complete details of all possible management paths following colposcopy, leaving some details to the discretion of the practitioner (</w:t>
      </w:r>
      <w:bookmarkStart w:id="1058" w:name="OLE_LINK657"/>
      <w:bookmarkStart w:id="1059" w:name="OLE_LINK658"/>
      <w:r w:rsidRPr="00537C3C">
        <w:fldChar w:fldCharType="begin"/>
      </w:r>
      <w:r w:rsidRPr="00537C3C">
        <w:instrText xml:space="preserve"> REF _Ref95970774 \h </w:instrText>
      </w:r>
      <w:r w:rsidRPr="00537C3C">
        <w:fldChar w:fldCharType="separate"/>
      </w:r>
      <w:r w:rsidR="007D3DFF" w:rsidRPr="00537C3C">
        <w:t xml:space="preserve">Figure </w:t>
      </w:r>
      <w:r w:rsidR="007D3DFF">
        <w:rPr>
          <w:noProof/>
        </w:rPr>
        <w:t>19</w:t>
      </w:r>
      <w:r w:rsidRPr="00537C3C">
        <w:fldChar w:fldCharType="end"/>
      </w:r>
      <w:bookmarkEnd w:id="1058"/>
      <w:bookmarkEnd w:id="1059"/>
      <w:r w:rsidRPr="00537C3C">
        <w:t>). In these situations we have constructed the model as follows:</w:t>
      </w:r>
    </w:p>
    <w:p w:rsidR="00234376" w:rsidRDefault="00234376" w:rsidP="00234376">
      <w:pPr>
        <w:numPr>
          <w:ilvl w:val="0"/>
          <w:numId w:val="14"/>
        </w:numPr>
        <w:spacing w:after="120"/>
      </w:pPr>
      <w:r w:rsidRPr="00537C3C">
        <w:t>(</w:t>
      </w:r>
      <w:r w:rsidRPr="00537C3C">
        <w:fldChar w:fldCharType="begin"/>
      </w:r>
      <w:r w:rsidRPr="00537C3C">
        <w:instrText xml:space="preserve"> REF _Ref95970774 \h </w:instrText>
      </w:r>
      <w:r w:rsidRPr="00537C3C">
        <w:fldChar w:fldCharType="separate"/>
      </w:r>
      <w:r w:rsidR="007D3DFF" w:rsidRPr="00537C3C">
        <w:t xml:space="preserve">Figure </w:t>
      </w:r>
      <w:r w:rsidR="007D3DFF">
        <w:rPr>
          <w:noProof/>
        </w:rPr>
        <w:t>19</w:t>
      </w:r>
      <w:r w:rsidRPr="00537C3C">
        <w:fldChar w:fldCharType="end"/>
      </w:r>
      <w:r w:rsidRPr="00537C3C">
        <w:t xml:space="preserve">, footnote a) </w:t>
      </w:r>
      <w:r w:rsidRPr="00BB76D8">
        <w:t>HSIL</w:t>
      </w:r>
      <w:r w:rsidRPr="00537C3C">
        <w:t xml:space="preserve"> cytology, unsatisfactory colposcopy (TZ not visible) in women whose fertility is an issue. The Guidelines recommend repeating colposcopy. We define women whose fertility is an issue as women aged ≤45 years. If the second colposcopy is also unsatisfactory then we assume that treatment would be offered: 1/3 will have immediate treatment and 2/3 will choose to delay treatment for 1 year.</w:t>
      </w:r>
    </w:p>
    <w:p w:rsidR="00234376" w:rsidRDefault="00234376" w:rsidP="00234376">
      <w:pPr>
        <w:numPr>
          <w:ilvl w:val="0"/>
          <w:numId w:val="13"/>
        </w:numPr>
        <w:spacing w:after="120"/>
      </w:pPr>
      <w:r w:rsidRPr="00537C3C">
        <w:t>(</w:t>
      </w:r>
      <w:r w:rsidRPr="00537C3C">
        <w:fldChar w:fldCharType="begin"/>
      </w:r>
      <w:r w:rsidRPr="00537C3C">
        <w:instrText xml:space="preserve"> REF _Ref95970774 \h </w:instrText>
      </w:r>
      <w:r w:rsidRPr="00537C3C">
        <w:fldChar w:fldCharType="separate"/>
      </w:r>
      <w:r w:rsidR="007D3DFF" w:rsidRPr="00537C3C">
        <w:t xml:space="preserve">Figure </w:t>
      </w:r>
      <w:r w:rsidR="007D3DFF">
        <w:rPr>
          <w:noProof/>
        </w:rPr>
        <w:t>19</w:t>
      </w:r>
      <w:r w:rsidRPr="00537C3C">
        <w:fldChar w:fldCharType="end"/>
      </w:r>
      <w:r w:rsidRPr="00537C3C">
        <w:t xml:space="preserve"> (1)) </w:t>
      </w:r>
      <w:r w:rsidRPr="00BB76D8">
        <w:t>HSIL</w:t>
      </w:r>
      <w:r w:rsidRPr="00537C3C">
        <w:t xml:space="preserve"> cytology, unsatisfactory colposcopy (TZ not visible) in women whose fertility is not an issue, cone biopsy. We assume the following management pathway following cone biopsy: high-grade cone biopsy results take the same management as follow-up treatment for </w:t>
      </w:r>
      <w:r w:rsidRPr="00BB76D8">
        <w:t>HSIL</w:t>
      </w:r>
      <w:r w:rsidRPr="00537C3C">
        <w:t xml:space="preserve">; low-grade and negative cone biopsy results take the same management as for histologically confirmed </w:t>
      </w:r>
      <w:r w:rsidRPr="00BB76D8">
        <w:t>LSIL</w:t>
      </w:r>
      <w:r w:rsidRPr="00537C3C">
        <w:t>.</w:t>
      </w:r>
    </w:p>
    <w:p w:rsidR="00234376" w:rsidRPr="00537C3C" w:rsidRDefault="00234376" w:rsidP="008E03A7">
      <w:pPr>
        <w:numPr>
          <w:ilvl w:val="0"/>
          <w:numId w:val="13"/>
        </w:numPr>
      </w:pPr>
      <w:r w:rsidRPr="00537C3C">
        <w:t>(</w:t>
      </w:r>
      <w:r w:rsidRPr="00537C3C">
        <w:fldChar w:fldCharType="begin"/>
      </w:r>
      <w:r w:rsidRPr="00537C3C">
        <w:instrText xml:space="preserve"> REF _Ref95970774 \h </w:instrText>
      </w:r>
      <w:r w:rsidRPr="00537C3C">
        <w:fldChar w:fldCharType="separate"/>
      </w:r>
      <w:r w:rsidR="007D3DFF" w:rsidRPr="00537C3C">
        <w:t xml:space="preserve">Figure </w:t>
      </w:r>
      <w:r w:rsidR="007D3DFF">
        <w:rPr>
          <w:noProof/>
        </w:rPr>
        <w:t>19</w:t>
      </w:r>
      <w:r w:rsidRPr="00537C3C">
        <w:fldChar w:fldCharType="end"/>
      </w:r>
      <w:r w:rsidRPr="00537C3C">
        <w:t xml:space="preserve"> (2)) </w:t>
      </w:r>
      <w:r w:rsidRPr="00BB76D8">
        <w:t>HSIL</w:t>
      </w:r>
      <w:r w:rsidRPr="00537C3C">
        <w:t xml:space="preserve"> cytology, followed by satisfactory colposcopy (TZ fully visible) with normal TZ, then normal colposcopy and normal cytology at 3–6 months, then repeat Pap test at 6–12 months. We assume the following management pathway following repeat Pap at 6–12 months: any suspected abnormalities in the repeat Pap smears are referred to colposcopy; negative result requires repeat Pap test 12 months later. Repeat 12 months later, then return to routine screening. This is the same management as for low-grade cytology.</w:t>
      </w:r>
    </w:p>
    <w:p w:rsidR="00234376" w:rsidRPr="008E03A7" w:rsidRDefault="00234376" w:rsidP="004D410E">
      <w:pPr>
        <w:numPr>
          <w:ilvl w:val="0"/>
          <w:numId w:val="13"/>
        </w:numPr>
      </w:pPr>
      <w:r w:rsidRPr="00537C3C">
        <w:lastRenderedPageBreak/>
        <w:t>(</w:t>
      </w:r>
      <w:r w:rsidRPr="00537C3C">
        <w:fldChar w:fldCharType="begin"/>
      </w:r>
      <w:r w:rsidRPr="00537C3C">
        <w:instrText xml:space="preserve"> REF _Ref95970774 \h </w:instrText>
      </w:r>
      <w:r w:rsidRPr="00537C3C">
        <w:fldChar w:fldCharType="separate"/>
      </w:r>
      <w:r w:rsidR="007D3DFF" w:rsidRPr="00537C3C">
        <w:t xml:space="preserve">Figure </w:t>
      </w:r>
      <w:r w:rsidR="007D3DFF">
        <w:rPr>
          <w:noProof/>
        </w:rPr>
        <w:t>19</w:t>
      </w:r>
      <w:r w:rsidRPr="00537C3C">
        <w:fldChar w:fldCharType="end"/>
      </w:r>
      <w:r w:rsidRPr="00537C3C">
        <w:t xml:space="preserve"> (3)) </w:t>
      </w:r>
      <w:r w:rsidRPr="00BB76D8">
        <w:t>HSIL</w:t>
      </w:r>
      <w:r w:rsidRPr="00537C3C">
        <w:t xml:space="preserve"> cytology, satisfactory colposcopy (TZ fully visible), TZ abnormal, punch biopsy showing negative histology. We assume the following management pathway: conservative approach following the same management as for histologically confirmed low-grade squamous abnormalities [p. 49].</w:t>
      </w:r>
    </w:p>
    <w:p w:rsidR="008419A2" w:rsidRPr="008419A2" w:rsidRDefault="00234376" w:rsidP="008419A2">
      <w:pPr>
        <w:pStyle w:val="Caption"/>
      </w:pPr>
      <w:bookmarkStart w:id="1060" w:name="_Ref95970774"/>
      <w:bookmarkStart w:id="1061" w:name="_Toc231895860"/>
      <w:bookmarkStart w:id="1062" w:name="_Toc222823914"/>
      <w:r w:rsidRPr="00537C3C">
        <w:t xml:space="preserve">Figure </w:t>
      </w:r>
      <w:fldSimple w:instr=" SEQ Figure \* ARABIC ">
        <w:r w:rsidR="007D3DFF">
          <w:rPr>
            <w:noProof/>
          </w:rPr>
          <w:t>19</w:t>
        </w:r>
      </w:fldSimple>
      <w:bookmarkEnd w:id="1060"/>
      <w:r w:rsidRPr="00537C3C">
        <w:tab/>
        <w:t xml:space="preserve">Management of women with surgical cytology </w:t>
      </w:r>
      <w:r w:rsidRPr="00A316F5">
        <w:t>predicting possible high-grade squamous lesions</w:t>
      </w:r>
      <w:r w:rsidRPr="00537C3C">
        <w:t>.</w:t>
      </w:r>
      <w:bookmarkEnd w:id="1061"/>
      <w:bookmarkEnd w:id="1062"/>
    </w:p>
    <w:p w:rsidR="00CB0171" w:rsidRDefault="006F242B" w:rsidP="00CB0171">
      <w:r>
        <w:rPr>
          <w:noProof/>
          <w:lang w:eastAsia="en-AU"/>
        </w:rPr>
        <w:drawing>
          <wp:inline distT="0" distB="0" distL="0" distR="0">
            <wp:extent cx="5624830" cy="3806190"/>
            <wp:effectExtent l="0" t="0" r="0" b="3810"/>
            <wp:docPr id="35" name="Picture 35" title="Management of women with surgical cytology predicting possible high-grade squamous le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24830" cy="3806190"/>
                    </a:xfrm>
                    <a:prstGeom prst="rect">
                      <a:avLst/>
                    </a:prstGeom>
                    <a:noFill/>
                    <a:ln>
                      <a:noFill/>
                    </a:ln>
                  </pic:spPr>
                </pic:pic>
              </a:graphicData>
            </a:graphic>
          </wp:inline>
        </w:drawing>
      </w:r>
    </w:p>
    <w:p w:rsidR="00DD6388" w:rsidRPr="00DD6388" w:rsidRDefault="00DD6388" w:rsidP="00DD6388">
      <w:pPr>
        <w:pStyle w:val="BodyText"/>
        <w:rPr>
          <w:lang w:eastAsia="en-AU"/>
        </w:rPr>
      </w:pPr>
    </w:p>
    <w:p w:rsidR="00234376" w:rsidRPr="00537C3C" w:rsidRDefault="00234376" w:rsidP="008E03A7">
      <w:pPr>
        <w:numPr>
          <w:ilvl w:val="0"/>
          <w:numId w:val="13"/>
        </w:numPr>
      </w:pPr>
      <w:r w:rsidRPr="00BB76D8">
        <w:t>LSIL</w:t>
      </w:r>
      <w:r w:rsidRPr="00537C3C">
        <w:t xml:space="preserve"> cytology, satisfactory colposcopy (TZ fully visible), TZ abnormal, punch biopsy showing negative histology. We assume the following management pathway: conservative approach following the same management as for histologically confirmed low-grade squamous abnormalities [p. 49].</w:t>
      </w:r>
    </w:p>
    <w:p w:rsidR="00234376" w:rsidRDefault="00234376" w:rsidP="00234376">
      <w:pPr>
        <w:pStyle w:val="Heading3"/>
      </w:pPr>
      <w:r w:rsidRPr="00537C3C">
        <w:t>Treatment and post-treatment modelling assumptions</w:t>
      </w:r>
    </w:p>
    <w:p w:rsidR="00234376" w:rsidRPr="00537C3C" w:rsidRDefault="00234376" w:rsidP="008E03A7">
      <w:pPr>
        <w:numPr>
          <w:ilvl w:val="0"/>
          <w:numId w:val="13"/>
        </w:numPr>
      </w:pPr>
      <w:r w:rsidRPr="00537C3C">
        <w:t>Participation in treatment is not perfect, and 3 per cent of women choose to delay treatment for 1 year.</w:t>
      </w:r>
    </w:p>
    <w:p w:rsidR="00234376" w:rsidRPr="00537C3C" w:rsidRDefault="00234376" w:rsidP="008E03A7">
      <w:pPr>
        <w:numPr>
          <w:ilvl w:val="0"/>
          <w:numId w:val="13"/>
        </w:numPr>
      </w:pPr>
      <w:r w:rsidRPr="00537C3C">
        <w:t>The impact of treatment failure is estimated by the fraction of treated women who receive treatment twice, according to reported treatment failure rates.</w:t>
      </w:r>
    </w:p>
    <w:p w:rsidR="00234376" w:rsidRPr="00537C3C" w:rsidRDefault="00234376" w:rsidP="008E03A7">
      <w:pPr>
        <w:numPr>
          <w:ilvl w:val="0"/>
          <w:numId w:val="13"/>
        </w:numPr>
      </w:pPr>
      <w:r w:rsidRPr="00537C3C">
        <w:t xml:space="preserve">After successful treatment for high-grade disease, women return to health states that are histologically negative, but they may still be </w:t>
      </w:r>
      <w:r w:rsidRPr="00BB76D8">
        <w:t>HPV</w:t>
      </w:r>
      <w:r w:rsidRPr="00537C3C">
        <w:t xml:space="preserve">-infected. Thus, allowable health states immediately after treatment are Well and </w:t>
      </w:r>
      <w:r w:rsidRPr="00BB76D8">
        <w:t>HPV</w:t>
      </w:r>
      <w:r w:rsidRPr="00537C3C">
        <w:t>.</w:t>
      </w:r>
    </w:p>
    <w:p w:rsidR="00234376" w:rsidRPr="00537C3C" w:rsidRDefault="00234376" w:rsidP="008E03A7">
      <w:pPr>
        <w:numPr>
          <w:ilvl w:val="0"/>
          <w:numId w:val="13"/>
        </w:numPr>
      </w:pPr>
      <w:r w:rsidRPr="00537C3C">
        <w:t>Cone biopsy is given to women whose TZ is not fully visible. If a woman is later found to have had low-grade or negative histology, she returns to a Well state of health.</w:t>
      </w:r>
    </w:p>
    <w:p w:rsidR="00234376" w:rsidRPr="00537C3C" w:rsidRDefault="00234376" w:rsidP="008E03A7">
      <w:pPr>
        <w:numPr>
          <w:ilvl w:val="0"/>
          <w:numId w:val="13"/>
        </w:numPr>
      </w:pPr>
      <w:r w:rsidRPr="00537C3C">
        <w:lastRenderedPageBreak/>
        <w:t>Cone biopsy has the same properties as LEEP (</w:t>
      </w:r>
      <w:r w:rsidRPr="006C24DD">
        <w:t>loop electrosurgical excision procedure</w:t>
      </w:r>
      <w:r w:rsidRPr="00537C3C">
        <w:t>) when used for high-grade disease, including treatment success rate and post-treatment recurrence rate, but has different costs.</w:t>
      </w:r>
    </w:p>
    <w:p w:rsidR="00234376" w:rsidRPr="00537C3C" w:rsidRDefault="00234376" w:rsidP="008E03A7">
      <w:pPr>
        <w:numPr>
          <w:ilvl w:val="0"/>
          <w:numId w:val="13"/>
        </w:numPr>
      </w:pPr>
      <w:r w:rsidRPr="00537C3C">
        <w:t>Natural history parameters are altered in women after treatment for high-grade disease owing to the high risk of recurrence in this group. The exception is women treated with cone biopsy who are then found to have low-grade or negative histology—they are given the same natural history parameters as the untreated population.</w:t>
      </w:r>
    </w:p>
    <w:p w:rsidR="00234376" w:rsidRPr="00537C3C" w:rsidRDefault="00234376" w:rsidP="008E03A7">
      <w:r w:rsidRPr="00537C3C">
        <w:t xml:space="preserve">Women who have been treated for histologically confirmed high-grade disease by LEEP or cone biopsy are followed up by annual cytology and </w:t>
      </w:r>
      <w:r w:rsidRPr="00BB76D8">
        <w:t>HPV</w:t>
      </w:r>
      <w:r w:rsidRPr="00537C3C">
        <w:t xml:space="preserve"> testing until both tests are negative for 2 years in a row, then follow-up is cytology at the routine interval (2 years). Thereafter, in this subpopulation, we made the following assumptions (for simplicity):</w:t>
      </w:r>
    </w:p>
    <w:p w:rsidR="00234376" w:rsidRPr="00537C3C" w:rsidRDefault="00234376" w:rsidP="008E03A7">
      <w:pPr>
        <w:numPr>
          <w:ilvl w:val="0"/>
          <w:numId w:val="13"/>
        </w:numPr>
      </w:pPr>
      <w:r w:rsidRPr="00537C3C">
        <w:t xml:space="preserve">All women with a subsequent high-grade cytology result will be retreated, regardless of colposcopic investigative findings or </w:t>
      </w:r>
      <w:r w:rsidRPr="00BB76D8">
        <w:t>HPV</w:t>
      </w:r>
      <w:r w:rsidRPr="00537C3C">
        <w:t xml:space="preserve"> positivity or negativity.</w:t>
      </w:r>
    </w:p>
    <w:p w:rsidR="00234376" w:rsidRPr="00537C3C" w:rsidRDefault="00234376" w:rsidP="008E03A7">
      <w:pPr>
        <w:numPr>
          <w:ilvl w:val="0"/>
          <w:numId w:val="13"/>
        </w:numPr>
      </w:pPr>
      <w:r w:rsidRPr="00537C3C">
        <w:t xml:space="preserve">Women with low-grade cytology will be referred to colposcopy. Unsatisfactory colposcopy will be treated with cone biopsy. Satisfactory colposcopy with abnormal TZ will be treated on the basis of biopsy: women with high-grade histology are treated by LEEP, and women with low-grade or negative histology are followed up with annual cytology and </w:t>
      </w:r>
      <w:r w:rsidRPr="00BB76D8">
        <w:t>HPV</w:t>
      </w:r>
      <w:r w:rsidRPr="00537C3C">
        <w:t xml:space="preserve"> testing until both tests are negative twice consecutively. Satisfactory colposcopy with normal TZ is also followed up with annual double testing.</w:t>
      </w:r>
    </w:p>
    <w:p w:rsidR="00234376" w:rsidRPr="00537C3C" w:rsidRDefault="00234376" w:rsidP="008E03A7">
      <w:pPr>
        <w:numPr>
          <w:ilvl w:val="0"/>
          <w:numId w:val="13"/>
        </w:numPr>
      </w:pPr>
      <w:r w:rsidRPr="00537C3C">
        <w:t>Cytology, colposcopy and biopsy have the same test characteristics in women after treatment as for the untreated population.</w:t>
      </w:r>
    </w:p>
    <w:p w:rsidR="00234376" w:rsidRPr="00537C3C" w:rsidRDefault="00234376" w:rsidP="008E03A7">
      <w:pPr>
        <w:numPr>
          <w:ilvl w:val="0"/>
          <w:numId w:val="13"/>
        </w:numPr>
      </w:pPr>
      <w:r w:rsidRPr="00537C3C">
        <w:t xml:space="preserve">After testing negative in both cytology and </w:t>
      </w:r>
      <w:r w:rsidRPr="00BB76D8">
        <w:t>HPV</w:t>
      </w:r>
      <w:r w:rsidRPr="00537C3C">
        <w:t xml:space="preserve"> tests for 2 years in a row, women return to 2-yearly screening with cytology alone. We assume thereafter that any abnormality is referred to colposcopy, that high-grade cytology is treated regardless of colposcopic findings, and that follow-up after the second treatment is done by annual cytology and </w:t>
      </w:r>
      <w:r w:rsidRPr="00BB76D8">
        <w:t>HPV</w:t>
      </w:r>
      <w:r w:rsidRPr="00537C3C">
        <w:t xml:space="preserve"> testing, as for follow-up after initial treatment.</w:t>
      </w:r>
    </w:p>
    <w:p w:rsidR="00234376" w:rsidRPr="00537C3C" w:rsidRDefault="00234376" w:rsidP="008E03A7">
      <w:pPr>
        <w:pStyle w:val="Heading1"/>
      </w:pPr>
      <w:bookmarkStart w:id="1063" w:name="_Ref212433107"/>
      <w:bookmarkStart w:id="1064" w:name="_Toc216169879"/>
      <w:bookmarkStart w:id="1065" w:name="_Toc95971120"/>
      <w:bookmarkStart w:id="1066" w:name="_Toc241658218"/>
      <w:r w:rsidRPr="00537C3C">
        <w:lastRenderedPageBreak/>
        <w:t xml:space="preserve">Appendix </w:t>
      </w:r>
      <w:fldSimple w:instr=" SEQ Appendix \* ALPHABETIC ">
        <w:r w:rsidR="007D3DFF">
          <w:rPr>
            <w:noProof/>
          </w:rPr>
          <w:t>K</w:t>
        </w:r>
      </w:fldSimple>
      <w:r w:rsidR="00CB16F3">
        <w:t xml:space="preserve">  </w:t>
      </w:r>
      <w:r w:rsidRPr="00537C3C">
        <w:t>Derivation of test probability matrices for cytology</w:t>
      </w:r>
      <w:bookmarkEnd w:id="1063"/>
      <w:bookmarkEnd w:id="1064"/>
      <w:bookmarkEnd w:id="1065"/>
      <w:bookmarkEnd w:id="1066"/>
    </w:p>
    <w:p w:rsidR="00234376" w:rsidRPr="00537C3C" w:rsidRDefault="00234376" w:rsidP="008E03A7">
      <w:pPr>
        <w:pStyle w:val="Heading2"/>
        <w:ind w:left="0"/>
        <w:rPr>
          <w:bCs/>
        </w:rPr>
      </w:pPr>
      <w:bookmarkStart w:id="1067" w:name="_Toc216169880"/>
      <w:bookmarkStart w:id="1068" w:name="_Toc216170253"/>
      <w:bookmarkStart w:id="1069" w:name="_Toc219865828"/>
      <w:bookmarkStart w:id="1070" w:name="_Toc219866036"/>
      <w:bookmarkStart w:id="1071" w:name="_Toc219880676"/>
      <w:bookmarkStart w:id="1072" w:name="_Toc220144590"/>
      <w:bookmarkStart w:id="1073" w:name="_Toc95971121"/>
      <w:bookmarkStart w:id="1074" w:name="_Toc231895829"/>
      <w:bookmarkStart w:id="1075" w:name="_Toc241658219"/>
      <w:r w:rsidRPr="00537C3C">
        <w:rPr>
          <w:bCs/>
        </w:rPr>
        <w:t>Introduction</w:t>
      </w:r>
      <w:bookmarkEnd w:id="1067"/>
      <w:bookmarkEnd w:id="1068"/>
      <w:bookmarkEnd w:id="1069"/>
      <w:bookmarkEnd w:id="1070"/>
      <w:bookmarkEnd w:id="1071"/>
      <w:bookmarkEnd w:id="1072"/>
      <w:bookmarkEnd w:id="1073"/>
      <w:bookmarkEnd w:id="1074"/>
      <w:bookmarkEnd w:id="1075"/>
    </w:p>
    <w:p w:rsidR="00234376" w:rsidRPr="007A3B60" w:rsidRDefault="00234376" w:rsidP="008E03A7">
      <w:pPr>
        <w:spacing w:before="240"/>
      </w:pPr>
      <w:r w:rsidRPr="007A3B60">
        <w:t>The model requires probabilities that specify the relationship between each possible underlying natural history health state at the time of testing and each possible test result. These probabilities of receiving any test result given a true underlying health state form a table called the ‘test probability matrix’. A test probability matrix is required for CC, LBC and automated cytology (based on characteristics of the ThinPrep Imager).</w:t>
      </w:r>
    </w:p>
    <w:p w:rsidR="00234376" w:rsidRPr="007A3B60" w:rsidRDefault="00234376" w:rsidP="008E03A7">
      <w:r w:rsidRPr="007A3B60">
        <w:t>We assume that the sensitivity and specificity of each screening test is independent of the age of the woman at the time of testing, and hence that the test probability matrix is age-independent. Although underlying disease prevalence varies with age, the model reflects this variation in the distribution of health states in the population at each age: the test probability matrix is not required to take prevalence into account.</w:t>
      </w:r>
    </w:p>
    <w:p w:rsidR="00234376" w:rsidRPr="007A3B60" w:rsidRDefault="00234376" w:rsidP="008E03A7">
      <w:r w:rsidRPr="007A3B60">
        <w:t>In each test probability matrix there are five possible underlying health states (</w:t>
      </w:r>
      <w:r w:rsidRPr="007A3B60">
        <w:fldChar w:fldCharType="begin"/>
      </w:r>
      <w:r w:rsidRPr="007A3B60">
        <w:instrText xml:space="preserve"> REF _Ref95894910 \h </w:instrText>
      </w:r>
      <w:r w:rsidR="007A3B60">
        <w:instrText xml:space="preserve"> \* MERGEFORMAT </w:instrText>
      </w:r>
      <w:r w:rsidRPr="007A3B60">
        <w:fldChar w:fldCharType="separate"/>
      </w:r>
      <w:r w:rsidR="007D3DFF" w:rsidRPr="007A3B60">
        <w:t xml:space="preserve">Table </w:t>
      </w:r>
      <w:r w:rsidR="007D3DFF">
        <w:rPr>
          <w:noProof/>
        </w:rPr>
        <w:t>70</w:t>
      </w:r>
      <w:r w:rsidRPr="007A3B60">
        <w:fldChar w:fldCharType="end"/>
      </w:r>
      <w:r w:rsidRPr="007A3B60">
        <w:t>). For each underlying health state there are five possible test results: negative, possible LSIL (pLSIL), definite LSIL (dLSIL), possible HSIL (pHSIL) and definite HSIL (</w:t>
      </w:r>
      <w:bookmarkStart w:id="1076" w:name="OLE_LINK452"/>
      <w:bookmarkStart w:id="1077" w:name="OLE_LINK453"/>
      <w:r w:rsidRPr="007A3B60">
        <w:t>dHSIL</w:t>
      </w:r>
      <w:bookmarkEnd w:id="1076"/>
      <w:bookmarkEnd w:id="1077"/>
      <w:r w:rsidRPr="007A3B60">
        <w:t xml:space="preserve">), each defined according to the AMBS 2004 classifications. The test probability matrix gives complete information on test characteristics, and the test parameters for sensitivity, specificity, </w:t>
      </w:r>
      <w:bookmarkStart w:id="1078" w:name="OLE_LINK621"/>
      <w:bookmarkStart w:id="1079" w:name="OLE_LINK622"/>
      <w:r w:rsidRPr="007A3B60">
        <w:t>positive predictive value</w:t>
      </w:r>
      <w:bookmarkEnd w:id="1078"/>
      <w:bookmarkEnd w:id="1079"/>
      <w:r w:rsidRPr="007A3B60">
        <w:t xml:space="preserve"> and negative predictive value can be secondarily derived for thresholds at any health state (such as high-grade lesions [CIN 2+] or all CIN lesions) and for any testing threshold (such as pLSIL or pHSIL).</w:t>
      </w:r>
    </w:p>
    <w:p w:rsidR="00234376" w:rsidRPr="007A3B60" w:rsidRDefault="00234376" w:rsidP="008E03A7">
      <w:pPr>
        <w:pStyle w:val="Caption"/>
        <w:rPr>
          <w:lang w:eastAsia="zh-CN"/>
        </w:rPr>
      </w:pPr>
      <w:bookmarkStart w:id="1080" w:name="_Ref95894910"/>
      <w:bookmarkStart w:id="1081" w:name="_Toc216169958"/>
      <w:bookmarkStart w:id="1082" w:name="_Toc95971306"/>
      <w:r w:rsidRPr="007A3B60">
        <w:t xml:space="preserve">Table </w:t>
      </w:r>
      <w:fldSimple w:instr=" SEQ Table \* ARABIC ">
        <w:r w:rsidR="007D3DFF">
          <w:rPr>
            <w:noProof/>
          </w:rPr>
          <w:t>70</w:t>
        </w:r>
      </w:fldSimple>
      <w:bookmarkEnd w:id="1080"/>
      <w:r w:rsidRPr="007A3B60">
        <w:tab/>
        <w:t>Definition of model health states</w:t>
      </w:r>
      <w:bookmarkEnd w:id="1081"/>
      <w:r w:rsidRPr="007A3B60">
        <w:t>.</w:t>
      </w:r>
      <w:bookmarkEnd w:id="1082"/>
    </w:p>
    <w:tbl>
      <w:tblPr>
        <w:tblW w:w="4418"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3"/>
        <w:gridCol w:w="4083"/>
      </w:tblGrid>
      <w:tr w:rsidR="00234376" w:rsidRPr="007A3B60">
        <w:trPr>
          <w:cantSplit/>
          <w:trHeight w:val="245"/>
          <w:tblHeader/>
        </w:trPr>
        <w:tc>
          <w:tcPr>
            <w:tcW w:w="2500" w:type="pct"/>
            <w:tcBorders>
              <w:left w:val="nil"/>
              <w:right w:val="nil"/>
            </w:tcBorders>
            <w:vAlign w:val="bottom"/>
          </w:tcPr>
          <w:p w:rsidR="00234376" w:rsidRPr="007A3B60" w:rsidRDefault="00234376" w:rsidP="008E03A7">
            <w:pPr>
              <w:pStyle w:val="TableHeading"/>
            </w:pPr>
            <w:r w:rsidRPr="007A3B60">
              <w:t>Model health state</w:t>
            </w:r>
          </w:p>
        </w:tc>
        <w:tc>
          <w:tcPr>
            <w:tcW w:w="2500" w:type="pct"/>
            <w:tcBorders>
              <w:left w:val="nil"/>
              <w:right w:val="nil"/>
            </w:tcBorders>
            <w:vAlign w:val="bottom"/>
          </w:tcPr>
          <w:p w:rsidR="00234376" w:rsidRPr="007A3B60" w:rsidRDefault="00234376" w:rsidP="008E03A7">
            <w:pPr>
              <w:pStyle w:val="TableHeading"/>
            </w:pPr>
            <w:r w:rsidRPr="007A3B60">
              <w:t>Gold standard definition</w:t>
            </w:r>
          </w:p>
        </w:tc>
      </w:tr>
      <w:tr w:rsidR="00234376" w:rsidRPr="007A3B60">
        <w:trPr>
          <w:cantSplit/>
          <w:trHeight w:val="243"/>
          <w:tblHeader/>
        </w:trPr>
        <w:tc>
          <w:tcPr>
            <w:tcW w:w="2500" w:type="pct"/>
            <w:tcBorders>
              <w:left w:val="nil"/>
              <w:bottom w:val="nil"/>
              <w:right w:val="nil"/>
            </w:tcBorders>
            <w:vAlign w:val="bottom"/>
          </w:tcPr>
          <w:p w:rsidR="00234376" w:rsidRPr="007A3B60" w:rsidRDefault="00234376" w:rsidP="008E03A7">
            <w:pPr>
              <w:pStyle w:val="TableTextLessSpaceCharCharCharCharCharCharCharChar"/>
            </w:pPr>
            <w:smartTag w:uri="urn:schemas-microsoft-com:office:smarttags" w:element="place">
              <w:smartTag w:uri="urn:schemas-microsoft-com:office:smarttags" w:element="City">
                <w:r w:rsidRPr="007A3B60">
                  <w:t>Normal</w:t>
                </w:r>
              </w:smartTag>
            </w:smartTag>
          </w:p>
        </w:tc>
        <w:tc>
          <w:tcPr>
            <w:tcW w:w="2500" w:type="pct"/>
            <w:tcBorders>
              <w:left w:val="nil"/>
              <w:bottom w:val="nil"/>
              <w:right w:val="nil"/>
            </w:tcBorders>
            <w:vAlign w:val="bottom"/>
          </w:tcPr>
          <w:p w:rsidR="00234376" w:rsidRPr="007A3B60" w:rsidRDefault="00234376" w:rsidP="008E03A7">
            <w:pPr>
              <w:pStyle w:val="TableTextLessSpaceCharCharCharCharCharCharCharChar"/>
            </w:pPr>
            <w:r w:rsidRPr="007A3B60">
              <w:t>PCR negative; negative histology</w:t>
            </w:r>
          </w:p>
        </w:tc>
      </w:tr>
      <w:tr w:rsidR="00234376" w:rsidRPr="007A3B60">
        <w:trPr>
          <w:cantSplit/>
          <w:trHeight w:val="243"/>
          <w:tblHeader/>
        </w:trPr>
        <w:tc>
          <w:tcPr>
            <w:tcW w:w="2500" w:type="pct"/>
            <w:tcBorders>
              <w:top w:val="nil"/>
              <w:left w:val="nil"/>
              <w:bottom w:val="nil"/>
              <w:right w:val="nil"/>
            </w:tcBorders>
            <w:vAlign w:val="bottom"/>
          </w:tcPr>
          <w:p w:rsidR="00234376" w:rsidRPr="007A3B60" w:rsidRDefault="00234376" w:rsidP="008E03A7">
            <w:pPr>
              <w:pStyle w:val="TableTextLessSpaceCharCharCharCharCharCharCharChar"/>
            </w:pPr>
            <w:r w:rsidRPr="007A3B60">
              <w:t>HPV</w:t>
            </w:r>
          </w:p>
        </w:tc>
        <w:tc>
          <w:tcPr>
            <w:tcW w:w="2500" w:type="pct"/>
            <w:tcBorders>
              <w:top w:val="nil"/>
              <w:left w:val="nil"/>
              <w:bottom w:val="nil"/>
              <w:right w:val="nil"/>
            </w:tcBorders>
            <w:vAlign w:val="bottom"/>
          </w:tcPr>
          <w:p w:rsidR="00234376" w:rsidRPr="007A3B60" w:rsidRDefault="00234376" w:rsidP="008E03A7">
            <w:pPr>
              <w:pStyle w:val="TableTextLessSpaceCharCharCharCharCharCharCharChar"/>
            </w:pPr>
            <w:r w:rsidRPr="007A3B60">
              <w:t>PCR positive; negative histology</w:t>
            </w:r>
          </w:p>
        </w:tc>
      </w:tr>
      <w:tr w:rsidR="00234376" w:rsidRPr="007A3B60">
        <w:trPr>
          <w:cantSplit/>
          <w:trHeight w:val="243"/>
          <w:tblHeader/>
        </w:trPr>
        <w:tc>
          <w:tcPr>
            <w:tcW w:w="2500" w:type="pct"/>
            <w:tcBorders>
              <w:top w:val="nil"/>
              <w:left w:val="nil"/>
              <w:bottom w:val="nil"/>
              <w:right w:val="nil"/>
            </w:tcBorders>
            <w:vAlign w:val="bottom"/>
          </w:tcPr>
          <w:p w:rsidR="00234376" w:rsidRPr="007A3B60" w:rsidRDefault="00234376" w:rsidP="008E03A7">
            <w:pPr>
              <w:pStyle w:val="TableTextLessSpaceCharCharCharCharCharCharCharChar"/>
            </w:pPr>
            <w:r w:rsidRPr="007A3B60">
              <w:t>CIN 1</w:t>
            </w:r>
          </w:p>
        </w:tc>
        <w:tc>
          <w:tcPr>
            <w:tcW w:w="2500" w:type="pct"/>
            <w:tcBorders>
              <w:top w:val="nil"/>
              <w:left w:val="nil"/>
              <w:bottom w:val="nil"/>
              <w:right w:val="nil"/>
            </w:tcBorders>
            <w:vAlign w:val="bottom"/>
          </w:tcPr>
          <w:p w:rsidR="00234376" w:rsidRPr="007A3B60" w:rsidRDefault="00234376" w:rsidP="008E03A7">
            <w:pPr>
              <w:pStyle w:val="TableTextLessSpaceCharCharCharCharCharCharCharChar"/>
            </w:pPr>
            <w:r w:rsidRPr="007A3B60">
              <w:t>CIN 1 histology</w:t>
            </w:r>
          </w:p>
        </w:tc>
      </w:tr>
      <w:tr w:rsidR="00234376" w:rsidRPr="007A3B60">
        <w:trPr>
          <w:cantSplit/>
          <w:trHeight w:val="243"/>
          <w:tblHeader/>
        </w:trPr>
        <w:tc>
          <w:tcPr>
            <w:tcW w:w="2500" w:type="pct"/>
            <w:tcBorders>
              <w:top w:val="nil"/>
              <w:left w:val="nil"/>
              <w:bottom w:val="nil"/>
              <w:right w:val="nil"/>
            </w:tcBorders>
            <w:vAlign w:val="bottom"/>
          </w:tcPr>
          <w:p w:rsidR="00234376" w:rsidRPr="007A3B60" w:rsidRDefault="00234376" w:rsidP="008E03A7">
            <w:pPr>
              <w:pStyle w:val="TableTextLessSpaceCharCharCharCharCharCharCharChar"/>
            </w:pPr>
            <w:r w:rsidRPr="007A3B60">
              <w:t>CIN 2</w:t>
            </w:r>
          </w:p>
        </w:tc>
        <w:tc>
          <w:tcPr>
            <w:tcW w:w="2500" w:type="pct"/>
            <w:tcBorders>
              <w:top w:val="nil"/>
              <w:left w:val="nil"/>
              <w:bottom w:val="nil"/>
              <w:right w:val="nil"/>
            </w:tcBorders>
            <w:vAlign w:val="bottom"/>
          </w:tcPr>
          <w:p w:rsidR="00234376" w:rsidRPr="007A3B60" w:rsidRDefault="00234376" w:rsidP="008E03A7">
            <w:pPr>
              <w:pStyle w:val="TableTextLessSpaceCharCharCharCharCharCharCharChar"/>
            </w:pPr>
            <w:r w:rsidRPr="007A3B60">
              <w:t>CIN 2 histology</w:t>
            </w:r>
          </w:p>
        </w:tc>
      </w:tr>
      <w:tr w:rsidR="00234376" w:rsidRPr="007A3B60">
        <w:trPr>
          <w:cantSplit/>
          <w:trHeight w:val="243"/>
          <w:tblHeader/>
        </w:trPr>
        <w:tc>
          <w:tcPr>
            <w:tcW w:w="2500" w:type="pct"/>
            <w:tcBorders>
              <w:top w:val="nil"/>
              <w:left w:val="nil"/>
              <w:right w:val="nil"/>
            </w:tcBorders>
            <w:vAlign w:val="bottom"/>
          </w:tcPr>
          <w:p w:rsidR="00234376" w:rsidRPr="007A3B60" w:rsidRDefault="00234376" w:rsidP="008E03A7">
            <w:pPr>
              <w:pStyle w:val="TableTextLessSpaceCharCharCharCharCharCharCharChar"/>
            </w:pPr>
            <w:r w:rsidRPr="007A3B60">
              <w:t>CIN 3+</w:t>
            </w:r>
          </w:p>
        </w:tc>
        <w:tc>
          <w:tcPr>
            <w:tcW w:w="2500" w:type="pct"/>
            <w:tcBorders>
              <w:top w:val="nil"/>
              <w:left w:val="nil"/>
              <w:right w:val="nil"/>
            </w:tcBorders>
            <w:vAlign w:val="bottom"/>
          </w:tcPr>
          <w:p w:rsidR="00234376" w:rsidRPr="007A3B60" w:rsidRDefault="00234376" w:rsidP="008E03A7">
            <w:pPr>
              <w:pStyle w:val="TableTextLessSpaceCharCharCharCharCharCharCharChar"/>
            </w:pPr>
            <w:r w:rsidRPr="007A3B60">
              <w:t>CIN 3 histology or cervical cancer</w:t>
            </w:r>
          </w:p>
        </w:tc>
      </w:tr>
    </w:tbl>
    <w:p w:rsidR="00234376" w:rsidRPr="007A3B60" w:rsidRDefault="00234376" w:rsidP="008E03A7">
      <w:pPr>
        <w:pStyle w:val="TableNotes"/>
      </w:pPr>
      <w:r w:rsidRPr="007A3B60">
        <w:t>CIN, cervical intraepithelial lesion; PCR, polymerase chain reaction.</w:t>
      </w:r>
    </w:p>
    <w:p w:rsidR="00234376" w:rsidRPr="007A3B60" w:rsidRDefault="00234376" w:rsidP="008E03A7">
      <w:r w:rsidRPr="007A3B60">
        <w:t>The probabilities that appear in the test probability matrix cannot all be observed directly and must be derived from a range of data sources. They also depend on observed cytology abnormality rates, since these determine the operating sensitivity/specificity trade-off (operating point on the ROC [</w:t>
      </w:r>
      <w:bookmarkStart w:id="1083" w:name="OLE_LINK625"/>
      <w:bookmarkStart w:id="1084" w:name="OLE_LINK626"/>
      <w:r w:rsidRPr="007A3B60">
        <w:t>receiver operating characteristic</w:t>
      </w:r>
      <w:bookmarkEnd w:id="1083"/>
      <w:bookmarkEnd w:id="1084"/>
      <w:r w:rsidRPr="007A3B60">
        <w:t xml:space="preserve">] curve). We have estimated these parameters by using a variety of data sources </w:t>
      </w:r>
      <w:r w:rsidRPr="007A3B60">
        <w:fldChar w:fldCharType="begin"/>
      </w:r>
      <w:r w:rsidRPr="007A3B60">
        <w:instrText xml:space="preserve"> ADDIN REFMGR.CITE &lt;Refman&gt;&lt;Cite&gt;&lt;Author&gt;Coste J.&lt;/Author&gt;&lt;Year&gt;2003&lt;/Year&gt;&lt;RecNum&gt;4974&lt;/RecNum&gt;&lt;IDText&gt;Cross sectional study of conventional cervical smear, monolayer cytology, and human papillomavirus DNA testing for cervical cancer screening&lt;/IDText&gt;&lt;MDL Ref_Type="Journal"&gt;&lt;Ref_Type&gt;Journal&lt;/Ref_Type&gt;&lt;Ref_ID&gt;4974&lt;/Ref_ID&gt;&lt;Title_Primary&gt;Cross sectional study of conventional cervical smear, monolayer cytology, and human papillomavirus DNA testing for cervical cancer screening&lt;/Title_Primary&gt;&lt;Authors_Primary&gt;Coste J.&lt;/Authors_Primary&gt;&lt;Date_Primary&gt;2003&lt;/Date_Primary&gt;&lt;Keywords&gt;Cancer&lt;/Keywords&gt;&lt;Keywords&gt;cytology&lt;/Keywords&gt;&lt;Keywords&gt;Dna&lt;/Keywords&gt;&lt;Keywords&gt;Human&lt;/Keywords&gt;&lt;Keywords&gt;Papillomavirus&lt;/Keywords&gt;&lt;Keywords&gt;screening&lt;/Keywords&gt;&lt;Reprint&gt;Not in File&lt;/Reprint&gt;&lt;Periodical&gt;BMJ.&lt;/Periodical&gt;&lt;Volume&gt;326(7392)&lt;/Volume&gt;&lt;Authors_Secondary&gt;Cochand-Priollet B.de Cremoux P.Le Gales C.Cartier I.Molinie V.Labbe S.Vacher-Lavenu MC.Vielh P.French Society of Clinical Cytology Study Group.&lt;/Authors_Secondary&gt;&lt;Issue&gt;733&lt;/Issue&gt;&lt;ZZ_JournalStdAbbrev&gt;&lt;f name="System"&gt;BMJ.&lt;/f&gt;&lt;/ZZ_JournalStdAbbrev&gt;&lt;ZZ_WorkformID&gt;1&lt;/ZZ_WorkformID&gt;&lt;/MDL&gt;&lt;/Cite&gt;&lt;Cite&gt;&lt;Author&gt;Arbyn&lt;/Author&gt;&lt;Year&gt;2008&lt;/Year&gt;&lt;RecNum&gt;5&lt;/RecNum&gt;&lt;IDText&gt;Liquid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name="System"&gt;Obstet.Gynecol.&lt;/f&gt;&lt;/ZZ_JournalStdAbbrev&gt;&lt;ZZ_WorkformID&gt;1&lt;/ZZ_WorkformID&gt;&lt;/MDL&gt;&lt;/Cite&gt;&lt;Cite&gt;&lt;Author&gt;Sherman&lt;/Author&gt;&lt;Year&gt;2006&lt;/Year&gt;&lt;RecNum&gt;3580&lt;/RecNum&gt;&lt;IDText&gt;Cervical cytology of atypical squamous cells-cannot exclude high-grade squamous intraepithelial lesion (ASC-H): characteristics and histologic outcomes&lt;/IDText&gt;&lt;MDL Ref_Type="Journal"&gt;&lt;Ref_Type&gt;Journal&lt;/Ref_Type&gt;&lt;Ref_ID&gt;3580&lt;/Ref_ID&gt;&lt;Title_Primary&gt;Cervical cytology of atypical squamous cells-cannot exclude high-grade squamous intraepithelial lesion (ASC-H): characteristics and histologic outcomes&lt;/Title_Primary&gt;&lt;Authors_Primary&gt;Sherman,M.E.&lt;/Authors_Primary&gt;&lt;Authors_Primary&gt;Castle,P.E.&lt;/Authors_Primary&gt;&lt;Authors_Primary&gt;Solomon,D.&lt;/Authors_Primary&gt;&lt;Date_Primary&gt;2006&lt;/Date_Primary&gt;&lt;Keywords&gt;ALTS&lt;/Keywords&gt;&lt;Keywords&gt;Cancer&lt;/Keywords&gt;&lt;Keywords&gt;Cells&lt;/Keywords&gt;&lt;Keywords&gt;Cervical Intraepithelial&lt;/Keywords&gt;&lt;Keywords&gt;Cervical Intraepithelial Neoplasia&lt;/Keywords&gt;&lt;Keywords&gt;Colposcopy&lt;/Keywords&gt;&lt;Keywords&gt;Comparative Study&lt;/Keywords&gt;&lt;Keywords&gt;complications&lt;/Keywords&gt;&lt;Keywords&gt;cytology&lt;/Keywords&gt;&lt;Keywords&gt;Epidemiology&lt;/Keywords&gt;&lt;Keywords&gt;Female&lt;/Keywords&gt;&lt;Keywords&gt;Follow-Up Studies&lt;/Keywords&gt;&lt;Keywords&gt;Genetic&lt;/Keywords&gt;&lt;Keywords&gt;genetics&lt;/Keywords&gt;&lt;Keywords&gt;Hormonal&lt;/Keywords&gt;&lt;Keywords&gt;HPV&lt;/Keywords&gt;&lt;Keywords&gt;HPV testing&lt;/Keywords&gt;&lt;Keywords&gt;Human&lt;/Keywords&gt;&lt;Keywords&gt;Humans&lt;/Keywords&gt;&lt;Keywords&gt;isolation &amp;amp; purification&lt;/Keywords&gt;&lt;Keywords&gt;Maryland&lt;/Keywords&gt;&lt;Keywords&gt;methods&lt;/Keywords&gt;&lt;Keywords&gt;Neoplasia&lt;/Keywords&gt;&lt;Keywords&gt;Neoplasms,Squamous Cell&lt;/Keywords&gt;&lt;Keywords&gt;Papillomaviridae&lt;/Keywords&gt;&lt;Keywords&gt;Papillomavirus&lt;/Keywords&gt;&lt;Keywords&gt;Papillomavirus Infections&lt;/Keywords&gt;&lt;Keywords&gt;pathology&lt;/Keywords&gt;&lt;Keywords&gt;Precancerous Conditions&lt;/Keywords&gt;&lt;Keywords&gt;Risk&lt;/Keywords&gt;&lt;Keywords&gt;Risk Factors&lt;/Keywords&gt;&lt;Keywords&gt;Squamous Cell&lt;/Keywords&gt;&lt;Keywords&gt;Triage&lt;/Keywords&gt;&lt;Keywords&gt;Uterine Cervical Neoplasms&lt;/Keywords&gt;&lt;Keywords&gt;Vaginal Smears&lt;/Keywords&gt;&lt;Keywords&gt;virology&lt;/Keywords&gt;&lt;Keywords&gt;Women&lt;/Keywords&gt;&lt;Reprint&gt;Not in File&lt;/Reprint&gt;&lt;Start_Page&gt;298&lt;/Start_Page&gt;&lt;End_Page&gt;305&lt;/End_Page&gt;&lt;Periodical&gt;Cancer&lt;/Periodical&gt;&lt;Volume&gt;108&lt;/Volume&gt;&lt;Issue&gt;5&lt;/Issue&gt;&lt;Address&gt;Division of Cancer Epidemiology and Genetics, Hormonal and Reproductive Epidemiology Branch, National Cancer Institute, Bethesda, Maryland, USA. shermanm@mail.nih.gov&lt;/Address&gt;&lt;Web_URL&gt;PM:16544318&lt;/Web_URL&gt;&lt;ZZ_JournalFull&gt;&lt;f name="System"&gt;Cancer&lt;/f&gt;&lt;/ZZ_JournalFull&gt;&lt;ZZ_WorkformID&gt;1&lt;/ZZ_WorkformID&gt;&lt;/MDL&gt;&lt;/Cite&gt;&lt;Cite&gt;&lt;Author&gt;Victorian Cervical Cytology Registry&lt;/Author&gt;&lt;Year&gt;2006&lt;/Year&gt;&lt;RecNum&gt;4976&lt;/RecNum&gt;&lt;IDText&gt;Statistical Report 2006&lt;/IDText&gt;&lt;MDL Ref_Type="Generic"&gt;&lt;Ref_Type&gt;Generic&lt;/Ref_Type&gt;&lt;Ref_ID&gt;4976&lt;/Ref_ID&gt;&lt;Title_Primary&gt;Statistical Report 2006&lt;/Title_Primary&gt;&lt;Authors_Primary&gt;Victorian Cervical Cytology Registry&lt;/Authors_Primary&gt;&lt;Date_Primary&gt;2006=October &lt;/Date_Primary&gt;&lt;Keywords&gt;cytology&lt;/Keywords&gt;&lt;Keywords&gt;Registries&lt;/Keywords&gt;&lt;Keywords&gt;Statistical&lt;/Keywords&gt;&lt;Reprint&gt;Not in File&lt;/Reprint&gt;&lt;Web_URL&gt;www.vccr.org/downloads/VCCRStatisticalReport2006_Final_114224102007.pdf&lt;/Web_URL&gt;&lt;ZZ_WorkformID&gt;33&lt;/ZZ_WorkformID&gt;&lt;/MDL&gt;&lt;/Cite&gt;&lt;Cite&gt;&lt;Author&gt;Nanda&lt;/Author&gt;&lt;Year&gt;2000&lt;/Year&gt;&lt;RecNum&gt;933&lt;/RecNum&gt;&lt;IDText&gt;Accuracy of the Papanicolaou test in screening for and follow-up of cervical cytologic abnormalities: a systematic review&lt;/IDText&gt;&lt;MDL Ref_Type="Journal"&gt;&lt;Ref_Type&gt;Journal&lt;/Ref_Type&gt;&lt;Ref_ID&gt;933&lt;/Ref_ID&gt;&lt;Title_Primary&gt;Accuracy of the Papanicolaou test in screening for and follow-up of cervical cytologic abnormalities: a systematic review&lt;/Title_Primary&gt;&lt;Authors_Primary&gt;Nanda,K.&lt;/Authors_Primary&gt;&lt;Authors_Primary&gt;McCrory,D.C.&lt;/Authors_Primary&gt;&lt;Authors_Primary&gt;Myers,E.R.&lt;/Authors_Primary&gt;&lt;Authors_Primary&gt;Bastian,L.A.&lt;/Authors_Primary&gt;&lt;Authors_Primary&gt;Hasselblad,V.&lt;/Authors_Primary&gt;&lt;Authors_Primary&gt;Hickey,J.D.&lt;/Authors_Primary&gt;&lt;Authors_Primary&gt;Matchar,D.B.&lt;/Authors_Primary&gt;&lt;Date_Primary&gt;2000&lt;/Date_Primary&gt;&lt;Keywords&gt;abnormalities&lt;/Keywords&gt;&lt;Keywords&gt;Cancer&lt;/Keywords&gt;&lt;Keywords&gt;Cervix Neoplasms&lt;/Keywords&gt;&lt;Keywords&gt;Cervix Uteri&lt;/Keywords&gt;&lt;Keywords&gt;Colposcopy&lt;/Keywords&gt;&lt;Keywords&gt;cost-effectiveness&lt;/Keywords&gt;&lt;Keywords&gt;cytology&lt;/Keywords&gt;&lt;Keywords&gt;diagnosis&lt;/Keywords&gt;&lt;Keywords&gt;Diagnosis,Computer-Assisted&lt;/Keywords&gt;&lt;Keywords&gt;Disease&lt;/Keywords&gt;&lt;Keywords&gt;Female&lt;/Keywords&gt;&lt;Keywords&gt;Hand&lt;/Keywords&gt;&lt;Keywords&gt;Human&lt;/Keywords&gt;&lt;Keywords&gt;Mass Screening&lt;/Keywords&gt;&lt;Keywords&gt;methods&lt;/Keywords&gt;&lt;Keywords&gt;Model&lt;/Keywords&gt;&lt;Keywords&gt;pathology&lt;/Keywords&gt;&lt;Keywords&gt;screening&lt;/Keywords&gt;&lt;Keywords&gt;Sensitivity and Specificity&lt;/Keywords&gt;&lt;Keywords&gt;standards&lt;/Keywords&gt;&lt;Keywords&gt;Support,U.S.Gov&amp;apos;t,Non-P.H.S.&lt;/Keywords&gt;&lt;Keywords&gt;Support,U.S.Gov&amp;apos;t,P.H.S.&lt;/Keywords&gt;&lt;Keywords&gt;Universities&lt;/Keywords&gt;&lt;Keywords&gt;Vaginal Smears&lt;/Keywords&gt;&lt;Reprint&gt;Not in File&lt;/Reprint&gt;&lt;Start_Page&gt;810&lt;/Start_Page&gt;&lt;End_Page&gt;819&lt;/End_Page&gt;&lt;Periodical&gt;Ann Intern Med JID - 0372351&lt;/Periodical&gt;&lt;Volume&gt;132&lt;/Volume&gt;&lt;Issue&gt;10&lt;/Issue&gt;&lt;Address&gt;Duke University Medical Center and Durham Veterans Affairs Medical Center, North Carolina 27705, USA knanda@fhiorgFAU - Nanda, K&lt;/Address&gt;&lt;ZZ_JournalStdAbbrev&gt;&lt;f name="System"&gt;Ann Intern Med JID - 0372351&lt;/f&gt;&lt;/ZZ_JournalStdAbbrev&gt;&lt;ZZ_WorkformID&gt;1&lt;/ZZ_WorkformID&gt;&lt;/MDL&gt;&lt;/Cite&gt;&lt;Cite&gt;&lt;Author&gt;Krahn&lt;/Author&gt;&lt;Year&gt;2008&lt;/Year&gt;&lt;RecNum&gt;93&lt;/RecNum&gt;&lt;IDText&gt;Liquid-based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Health&lt;/Publisher&gt;&lt;ZZ_WorkformID&gt;24&lt;/ZZ_WorkformID&gt;&lt;/MDL&gt;&lt;/Cite&gt;&lt;Cite&gt;&lt;Author&gt;Medical Services Advisory Committee&lt;/Author&gt;&lt;Year&gt;2002&lt;/Year&gt;&lt;RecNum&gt;3364&lt;/RecNum&gt;&lt;IDText&gt;Human papillomavirus testing in women with cytological prediction of low-grade abnormality&lt;/IDText&gt;&lt;MDL Ref_Type="Report"&gt;&lt;Ref_Type&gt;Report&lt;/Ref_Type&gt;&lt;Ref_ID&gt;3364&lt;/Ref_ID&gt;&lt;Title_Primary&gt;Human papillomavirus testing in women with cytological prediction of low-grade abnormality&lt;/Title_Primary&gt;&lt;Authors_Primary&gt;Medical Services Advisory Committee&lt;/Authors_Primary&gt;&lt;Date_Primary&gt;2002&lt;/Date_Primary&gt;&lt;Reprint&gt;In File&lt;/Reprint&gt;&lt;Volume&gt;Reference 12b&lt;/Volume&gt;&lt;Pub_Place&gt;Canberra&lt;/Pub_Place&gt;&lt;Publisher&gt;Commonwealth of Australia&lt;/Publisher&gt;&lt;Web_URL&gt;&lt;u&gt;www.msac.gov.au&lt;/u&gt;&lt;/Web_URL&gt;&lt;ZZ_WorkformID&gt;24&lt;/ZZ_WorkformID&gt;&lt;/MDL&gt;&lt;/Cite&gt;&lt;/Refman&gt;</w:instrText>
      </w:r>
      <w:r w:rsidRPr="007A3B60">
        <w:fldChar w:fldCharType="separate"/>
      </w:r>
      <w:r w:rsidRPr="007A3B60">
        <w:t>(Arbyn et al. 2008; Coste J. 2003; Krahn et al. 2008; Medical Services Advisory Committee 2002a; Nanda et al. 2000; Sherman et al. 2006; Victorian Cervical Cytology Registry 2006)</w:t>
      </w:r>
      <w:r w:rsidRPr="007A3B60">
        <w:fldChar w:fldCharType="end"/>
      </w:r>
      <w:r w:rsidRPr="007A3B60">
        <w:t xml:space="preserve"> and have found it difficult to reconcile estimates derived from registry data or studies based on a general screening population with estimates derived from studies or meta-analyses which were based on selected trial populations. In this section we explain various approaches towards these parameter estimates, the difficulties involved, and reasons for the final choice of a baseline test probability matrix used in the model.</w:t>
      </w:r>
    </w:p>
    <w:p w:rsidR="00234376" w:rsidRPr="007A3B60" w:rsidRDefault="00234376" w:rsidP="008E03A7">
      <w:r w:rsidRPr="007A3B60">
        <w:t xml:space="preserve">We expect that relative differences between the matrices for conventional cytology, LBC and automated LBC will drive differences in outcomes. In this section we also explain </w:t>
      </w:r>
      <w:r w:rsidRPr="007A3B60">
        <w:lastRenderedPageBreak/>
        <w:t>our methods for deriving matrices for LBC and automated LBC from the baseline matrix for conventional cytology. Sensitivity analysis of the model includes testing the assumptions in relative differences between both the test probability matrices and changes to the baseline matrix.</w:t>
      </w:r>
    </w:p>
    <w:p w:rsidR="00234376" w:rsidRPr="007A3B60" w:rsidRDefault="00234376" w:rsidP="008E03A7">
      <w:pPr>
        <w:pStyle w:val="Heading2"/>
        <w:ind w:left="0"/>
        <w:rPr>
          <w:bCs/>
        </w:rPr>
      </w:pPr>
      <w:bookmarkStart w:id="1085" w:name="_Toc216169881"/>
      <w:bookmarkStart w:id="1086" w:name="_Toc216170254"/>
      <w:bookmarkStart w:id="1087" w:name="_Toc219865829"/>
      <w:bookmarkStart w:id="1088" w:name="_Toc219866037"/>
      <w:bookmarkStart w:id="1089" w:name="_Toc219880677"/>
      <w:bookmarkStart w:id="1090" w:name="_Toc220144591"/>
      <w:bookmarkStart w:id="1091" w:name="_Toc95971122"/>
      <w:bookmarkStart w:id="1092" w:name="_Toc231895830"/>
      <w:bookmarkStart w:id="1093" w:name="_Toc241658220"/>
      <w:r w:rsidRPr="007A3B60">
        <w:rPr>
          <w:bCs/>
        </w:rPr>
        <w:t>Data summary</w:t>
      </w:r>
      <w:bookmarkEnd w:id="1085"/>
      <w:bookmarkEnd w:id="1086"/>
      <w:bookmarkEnd w:id="1087"/>
      <w:bookmarkEnd w:id="1088"/>
      <w:bookmarkEnd w:id="1089"/>
      <w:bookmarkEnd w:id="1090"/>
      <w:bookmarkEnd w:id="1091"/>
      <w:bookmarkEnd w:id="1092"/>
      <w:bookmarkEnd w:id="1093"/>
    </w:p>
    <w:p w:rsidR="00234376" w:rsidRPr="007A3B60" w:rsidRDefault="00234376" w:rsidP="00234376">
      <w:pPr>
        <w:pStyle w:val="Heading3"/>
      </w:pPr>
      <w:r w:rsidRPr="007A3B60">
        <w:t>ALTS</w:t>
      </w:r>
    </w:p>
    <w:p w:rsidR="00234376" w:rsidRPr="007A3B60" w:rsidRDefault="00234376" w:rsidP="008E03A7">
      <w:r w:rsidRPr="007A3B60">
        <w:t xml:space="preserve">The ASCUS and LSIL Triage Study (ALTS) was a major randomised trial conducted in the US to assess the relative benefits of various protocols for the management of low-grade smear abnormalities </w:t>
      </w:r>
      <w:r w:rsidRPr="007A3B60">
        <w:fldChar w:fldCharType="begin"/>
      </w:r>
      <w:r w:rsidRPr="007A3B60">
        <w:instrText xml:space="preserve"> ADDIN REFMGR.CITE &lt;Refman&gt;&lt;Cite&gt;&lt;Author&gt;Schiffman&lt;/Author&gt;&lt;Year&gt;2000&lt;/Year&gt;&lt;RecNum&gt;103&lt;/RecNum&gt;&lt;IDText&gt;ASCUS-LSIL Triage Study. Design, methods and characteristics of trial participants&lt;/IDText&gt;&lt;MDL Ref_Type="Journal"&gt;&lt;Ref_Type&gt;Journal&lt;/Ref_Type&gt;&lt;Ref_ID&gt;103&lt;/Ref_ID&gt;&lt;Title_Primary&gt;ASCUS-LSIL Triage Study. Design, methods and characteristics of trial participants&lt;/Title_Primary&gt;&lt;Authors_Primary&gt;Schiffman,M.&lt;/Authors_Primary&gt;&lt;Authors_Primary&gt;Adrianza,M.E.&lt;/Authors_Primary&gt;&lt;Date_Primary&gt;2000/9&lt;/Date_Primary&gt;&lt;Keywords&gt;abnormalities&lt;/Keywords&gt;&lt;Keywords&gt;Adolescent&lt;/Keywords&gt;&lt;Keywords&gt;Adult&lt;/Keywords&gt;&lt;Keywords&gt;ALTS&lt;/Keywords&gt;&lt;Keywords&gt;Arm&lt;/Keywords&gt;&lt;Keywords&gt;Cancer&lt;/Keywords&gt;&lt;Keywords&gt;Cervix Neoplasms&lt;/Keywords&gt;&lt;Keywords&gt;Clinical&lt;/Keywords&gt;&lt;Keywords&gt;Colposcopy&lt;/Keywords&gt;&lt;Keywords&gt;cytology&lt;/Keywords&gt;&lt;Keywords&gt;diagnosis&lt;/Keywords&gt;&lt;Keywords&gt;Female&lt;/Keywords&gt;&lt;Keywords&gt;histology&lt;/Keywords&gt;&lt;Keywords&gt;HPV&lt;/Keywords&gt;&lt;Keywords&gt;Human&lt;/Keywords&gt;&lt;Keywords&gt;Laboratories&lt;/Keywords&gt;&lt;Keywords&gt;Mass Screening&lt;/Keywords&gt;&lt;Keywords&gt;methods&lt;/Keywords&gt;&lt;Keywords&gt;Papillomavirus&lt;/Keywords&gt;&lt;Keywords&gt;pathology&lt;/Keywords&gt;&lt;Keywords&gt;Patients&lt;/Keywords&gt;&lt;Keywords&gt;physiopathology&lt;/Keywords&gt;&lt;Keywords&gt;Questionnaires&lt;/Keywords&gt;&lt;Keywords&gt;Safety&lt;/Keywords&gt;&lt;Keywords&gt;Support,U.S.Gov&amp;apos;t,P.H.S.&lt;/Keywords&gt;&lt;Keywords&gt;Triage&lt;/Keywords&gt;&lt;Keywords&gt;Vaginal Smears&lt;/Keywords&gt;&lt;Keywords&gt;Women&lt;/Keywords&gt;&lt;Reprint&gt;Not in File&lt;/Reprint&gt;&lt;Start_Page&gt;726&lt;/Start_Page&gt;&lt;End_Page&gt;742&lt;/End_Page&gt;&lt;Periodical&gt;Acta Cytol JID - 0370307&lt;/Periodical&gt;&lt;Volume&gt;44&lt;/Volume&gt;&lt;Issue&gt;5&lt;/Issue&gt;&lt;Address&gt;National Cancer Institute, Bethesda, Maryland 20852, USAFAU - Schiffman, M&lt;/Address&gt;&lt;ZZ_JournalStdAbbrev&gt;&lt;f name="System"&gt;Acta Cytol JID - 0370307&lt;/f&gt;&lt;/ZZ_JournalStdAbbrev&gt;&lt;ZZ_WorkformID&gt;1&lt;/ZZ_WorkformID&gt;&lt;/MDL&gt;&lt;/Cite&gt;&lt;Cite&gt;&lt;Author&gt;Schiffman&lt;/Author&gt;&lt;Year&gt;2003&lt;/Year&gt;&lt;RecNum&gt;2138&lt;/RecNum&gt;&lt;IDText&gt;Findings to date from the ASCUS-LSIL Triage Study (ALTS)&lt;/IDText&gt;&lt;MDL Ref_Type="Journal"&gt;&lt;Ref_Type&gt;Journal&lt;/Ref_Type&gt;&lt;Ref_ID&gt;2138&lt;/Ref_ID&gt;&lt;Title_Primary&gt;Findings to date from the ASCUS-LSIL Triage Study (ALTS)&lt;/Title_Primary&gt;&lt;Authors_Primary&gt;Schiffman,M.&lt;/Authors_Primary&gt;&lt;Authors_Primary&gt;Solomon,D.&lt;/Authors_Primary&gt;&lt;Date_Primary&gt;2003/8&lt;/Date_Primary&gt;&lt;Keywords&gt;abnormalities&lt;/Keywords&gt;&lt;Keywords&gt;ALTS&lt;/Keywords&gt;&lt;Keywords&gt;Arm&lt;/Keywords&gt;&lt;Keywords&gt;Cancer&lt;/Keywords&gt;&lt;Keywords&gt;Carcinoma,Squamous Cell&lt;/Keywords&gt;&lt;Keywords&gt;Cells&lt;/Keywords&gt;&lt;Keywords&gt;Cervical Intraepithelial&lt;/Keywords&gt;&lt;Keywords&gt;Cervical Intraepithelial Neoplasia&lt;/Keywords&gt;&lt;Keywords&gt;Cervix Neoplasms&lt;/Keywords&gt;&lt;Keywords&gt;Clinical&lt;/Keywords&gt;&lt;Keywords&gt;Colposcopy&lt;/Keywords&gt;&lt;Keywords&gt;Comparative Study&lt;/Keywords&gt;&lt;Keywords&gt;cytology&lt;/Keywords&gt;&lt;Keywords&gt;Disease&lt;/Keywords&gt;&lt;Keywords&gt;Dna&lt;/Keywords&gt;&lt;Keywords&gt;Endometrial Stromal Tumors&lt;/Keywords&gt;&lt;Keywords&gt;Epidemiology&lt;/Keywords&gt;&lt;Keywords&gt;Female&lt;/Keywords&gt;&lt;Keywords&gt;Genetic&lt;/Keywords&gt;&lt;Keywords&gt;genetics&lt;/Keywords&gt;&lt;Keywords&gt;HPV&lt;/Keywords&gt;&lt;Keywords&gt;HPV testing&lt;/Keywords&gt;&lt;Keywords&gt;Human&lt;/Keywords&gt;&lt;Keywords&gt;methods&lt;/Keywords&gt;&lt;Keywords&gt;Neoplasia&lt;/Keywords&gt;&lt;Keywords&gt;Papillomavirus&lt;/Keywords&gt;&lt;Keywords&gt;pathology&lt;/Keywords&gt;&lt;Keywords&gt;Patients&lt;/Keywords&gt;&lt;Keywords&gt;prevalence&lt;/Keywords&gt;&lt;Keywords&gt;Randomized Controlled Trials&lt;/Keywords&gt;&lt;Keywords&gt;Research&lt;/Keywords&gt;&lt;Keywords&gt;Squamous Cell&lt;/Keywords&gt;&lt;Keywords&gt;Support,U.S.Gov&amp;apos;t,P.H.S.&lt;/Keywords&gt;&lt;Keywords&gt;Triage&lt;/Keywords&gt;&lt;Keywords&gt;United States&lt;/Keywords&gt;&lt;Keywords&gt;virology&lt;/Keywords&gt;&lt;Keywords&gt;Women&lt;/Keywords&gt;&lt;Reprint&gt;Not in File&lt;/Reprint&gt;&lt;Start_Page&gt;946&lt;/Start_Page&gt;&lt;End_Page&gt;949&lt;/End_Page&gt;&lt;Periodical&gt;Arch Pathol Lab Med JID - 7607091&lt;/Periodical&gt;&lt;Volume&gt;127&lt;/Volume&gt;&lt;Issue&gt;8&lt;/Issue&gt;&lt;Address&gt;Division of Cancer Epidemiology and Genetics, National Cancer Institute, National Institutes of Health, Department of Health and Human Services, Rockville, Md 20852, USA schiffmm@mailnihgovFAU - Schiffman, Mark&lt;/Address&gt;&lt;ZZ_JournalStdAbbrev&gt;&lt;f name="System"&gt;Arch Pathol Lab Med JID - 7607091&lt;/f&gt;&lt;/ZZ_JournalStdAbbrev&gt;&lt;ZZ_WorkformID&gt;1&lt;/ZZ_WorkformID&gt;&lt;/MDL&gt;&lt;/Cite&gt;&lt;Cite&gt;&lt;Author&gt;Solomon D&lt;/Author&gt;&lt;Year&gt;2001&lt;/Year&gt;&lt;RecNum&gt;102&lt;/RecNum&gt;&lt;IDText&gt;Comparison of three management strategies for patients with atypical squamous cells of undetermined significance: baseline results from a randomized trial&lt;/IDText&gt;&lt;MDL Ref_Type="Journal"&gt;&lt;Ref_Type&gt;Journal&lt;/Ref_Type&gt;&lt;Ref_ID&gt;102&lt;/Ref_ID&gt;&lt;Title_Primary&gt;Comparison of three management strategies for patients with atypical squamous cells of undetermined significance: baseline results from a randomized trial&lt;/Title_Primary&gt;&lt;Authors_Primary&gt;Solomon D&lt;/Authors_Primary&gt;&lt;Authors_Primary&gt;Schiffman M&lt;/Authors_Primary&gt;&lt;Authors_Primary&gt;Tarone R&lt;/Authors_Primary&gt;&lt;Authors_Primary&gt;ALTS Study Group&lt;/Authors_Primary&gt;&lt;Date_Primary&gt;2001&lt;/Date_Primary&gt;&lt;Keywords&gt;ALTS&lt;/Keywords&gt;&lt;Keywords&gt;Cells&lt;/Keywords&gt;&lt;Keywords&gt;HPV testing&lt;/Keywords&gt;&lt;Keywords&gt;Patients&lt;/Keywords&gt;&lt;Keywords&gt;Squamous Cell&lt;/Keywords&gt;&lt;Reprint&gt;In File&lt;/Reprint&gt;&lt;Start_Page&gt;293&lt;/Start_Page&gt;&lt;End_Page&gt;299&lt;/End_Page&gt;&lt;Periodical&gt;Journal of the National Cancer Institute&lt;/Periodical&gt;&lt;Volume&gt;93&lt;/Volume&gt;&lt;Issue&gt;4&lt;/Issue&gt;&lt;ZZ_JournalFull&gt;&lt;f name="System"&gt;Journal of the National Cancer Institute&lt;/f&gt;&lt;/ZZ_JournalFull&gt;&lt;ZZ_WorkformID&gt;1&lt;/ZZ_WorkformID&gt;&lt;/MDL&gt;&lt;/Cite&gt;&lt;Cite&gt;&lt;Author&gt;Walker&lt;/Author&gt;&lt;Year&gt;2006&lt;/Year&gt;&lt;RecNum&gt;3628&lt;/RecNum&gt;&lt;IDText&gt;Predicting absolute risk of CIN3 during post-colposcopic follow-up: results from the ASCUS-LSIL Triage Study (ALTS)&lt;/IDText&gt;&lt;MDL Ref_Type="Journal"&gt;&lt;Ref_Type&gt;Journal&lt;/Ref_Type&gt;&lt;Ref_ID&gt;3628&lt;/Ref_ID&gt;&lt;Title_Primary&gt;Predicting absolute risk of CIN3 during post-colposcopic follow-up: results from the ASCUS-LSIL Triage Study (ALTS)&lt;/Title_Primary&gt;&lt;Authors_Primary&gt;Walker,J.L.&lt;/Authors_Primary&gt;&lt;Authors_Primary&gt;Wang,S.S.&lt;/Authors_Primary&gt;&lt;Authors_Primary&gt;Schiffman,M.&lt;/Authors_Primary&gt;&lt;Authors_Primary&gt;Solomon,D.&lt;/Authors_Primary&gt;&lt;Date_Primary&gt;2006/8&lt;/Date_Primary&gt;&lt;Keywords&gt;Adult&lt;/Keywords&gt;&lt;Keywords&gt;ALTS&lt;/Keywords&gt;&lt;Keywords&gt;analysis&lt;/Keywords&gt;&lt;Keywords&gt;Biopsy&lt;/Keywords&gt;&lt;Keywords&gt;Carcinoma in Situ&lt;/Keywords&gt;&lt;Keywords&gt;Cities&lt;/Keywords&gt;&lt;Keywords&gt;Clinical&lt;/Keywords&gt;&lt;Keywords&gt;Colposcopy&lt;/Keywords&gt;&lt;Keywords&gt;cytology&lt;/Keywords&gt;&lt;Keywords&gt;diagnosis&lt;/Keywords&gt;&lt;Keywords&gt;Dna&lt;/Keywords&gt;&lt;Keywords&gt;Dna,Viral&lt;/Keywords&gt;&lt;Keywords&gt;Electrosurgery&lt;/Keywords&gt;&lt;Keywords&gt;Epidemiology&lt;/Keywords&gt;&lt;Keywords&gt;Female&lt;/Keywords&gt;&lt;Keywords&gt;Follow-Up Studies&lt;/Keywords&gt;&lt;Keywords&gt;Gynecology&lt;/Keywords&gt;&lt;Keywords&gt;HPV&lt;/Keywords&gt;&lt;Keywords&gt;Human&lt;/Keywords&gt;&lt;Keywords&gt;Humans&lt;/Keywords&gt;&lt;Keywords&gt;isolation &amp;amp; purification&lt;/Keywords&gt;&lt;Keywords&gt;Multicenter Studies&lt;/Keywords&gt;&lt;Keywords&gt;Obstetrics&lt;/Keywords&gt;&lt;Keywords&gt;Papillomaviridae&lt;/Keywords&gt;&lt;Keywords&gt;Papillomavirus&lt;/Keywords&gt;&lt;Keywords&gt;Papillomavirus Infections&lt;/Keywords&gt;&lt;Keywords&gt;pathology&lt;/Keywords&gt;&lt;Keywords&gt;Population&lt;/Keywords&gt;&lt;Keywords&gt;Practice Guidelines&lt;/Keywords&gt;&lt;Keywords&gt;Predictive Value of Tests&lt;/Keywords&gt;&lt;Keywords&gt;Prospective Studies&lt;/Keywords&gt;&lt;Keywords&gt;Randomized Controlled Trials&lt;/Keywords&gt;&lt;Keywords&gt;Research&lt;/Keywords&gt;&lt;Keywords&gt;Risk&lt;/Keywords&gt;&lt;Keywords&gt;Risk Assessment&lt;/Keywords&gt;&lt;Keywords&gt;Sensitivity and Specificity&lt;/Keywords&gt;&lt;Keywords&gt;Squamous Cell&lt;/Keywords&gt;&lt;Keywords&gt;Support&lt;/Keywords&gt;&lt;Keywords&gt;therapy&lt;/Keywords&gt;&lt;Keywords&gt;Triage&lt;/Keywords&gt;&lt;Keywords&gt;Universities&lt;/Keywords&gt;&lt;Keywords&gt;Uterine Cervical Neoplasms&lt;/Keywords&gt;&lt;Keywords&gt;Vaginal Smears&lt;/Keywords&gt;&lt;Keywords&gt;Viral&lt;/Keywords&gt;&lt;Keywords&gt;virology&lt;/Keywords&gt;&lt;Keywords&gt;Women&lt;/Keywords&gt;&lt;Reprint&gt;Not in File&lt;/Reprint&gt;&lt;Start_Page&gt;341&lt;/Start_Page&gt;&lt;End_Page&gt;348&lt;/End_Page&gt;&lt;Periodical&gt;Am J Obstet.Gynecol.&lt;/Periodical&gt;&lt;Volume&gt;195&lt;/Volume&gt;&lt;Issue&gt;2&lt;/Issue&gt;&lt;Address&gt;Department of Obstetrics and Gynecology, University of Oklahoma, Oklahoma City, OK, USA. Joan-walker@ouhsc.edu&lt;/Address&gt;&lt;Web_URL&gt;PM:16890545&lt;/Web_URL&gt;&lt;ZZ_JournalStdAbbrev&gt;&lt;f name="System"&gt;Am J Obstet.Gynecol.&lt;/f&gt;&lt;/ZZ_JournalStdAbbrev&gt;&lt;ZZ_WorkformID&gt;1&lt;/ZZ_WorkformID&gt;&lt;/MDL&gt;&lt;/Cite&gt;&lt;/Refman&gt;</w:instrText>
      </w:r>
      <w:r w:rsidRPr="007A3B60">
        <w:fldChar w:fldCharType="separate"/>
      </w:r>
      <w:r w:rsidRPr="007A3B60">
        <w:t>(Schiffman &amp; Adrianza 2000; Schiffman &amp; Solomon 2003; Solomon D et al. 2001; Walker et al. 2006)</w:t>
      </w:r>
      <w:r w:rsidRPr="007A3B60">
        <w:fldChar w:fldCharType="end"/>
      </w:r>
      <w:r w:rsidRPr="007A3B60">
        <w:t xml:space="preserve">. Enrolment for ALTS commenced in 1997, and the TBS1991 classification system was originally used. Later reanalysis used the TBS2001 system </w:t>
      </w:r>
      <w:r w:rsidRPr="007A3B60">
        <w:fldChar w:fldCharType="begin"/>
      </w:r>
      <w:r w:rsidRPr="007A3B60">
        <w:instrText xml:space="preserve"> ADDIN REFMGR.CITE &lt;Refman&gt;&lt;Cite&gt;&lt;Author&gt;Sherman&lt;/Author&gt;&lt;Year&gt;2006&lt;/Year&gt;&lt;RecNum&gt;3580&lt;/RecNum&gt;&lt;IDText&gt;Cervical cytology of atypical squamous cells-cannot exclude high-grade squamous intraepithelial lesion (ASC-H): characteristics and histologic outcomes&lt;/IDText&gt;&lt;MDL Ref_Type="Journal"&gt;&lt;Ref_Type&gt;Journal&lt;/Ref_Type&gt;&lt;Ref_ID&gt;3580&lt;/Ref_ID&gt;&lt;Title_Primary&gt;Cervical cytology of atypical squamous cells-cannot exclude high-grade squamous intraepithelial lesion (ASC-H): characteristics and histologic outcomes&lt;/Title_Primary&gt;&lt;Authors_Primary&gt;Sherman,M.E.&lt;/Authors_Primary&gt;&lt;Authors_Primary&gt;Castle,P.E.&lt;/Authors_Primary&gt;&lt;Authors_Primary&gt;Solomon,D.&lt;/Authors_Primary&gt;&lt;Date_Primary&gt;2006&lt;/Date_Primary&gt;&lt;Keywords&gt;ALTS&lt;/Keywords&gt;&lt;Keywords&gt;Cancer&lt;/Keywords&gt;&lt;Keywords&gt;Cells&lt;/Keywords&gt;&lt;Keywords&gt;Cervical Intraepithelial&lt;/Keywords&gt;&lt;Keywords&gt;Cervical Intraepithelial Neoplasia&lt;/Keywords&gt;&lt;Keywords&gt;Colposcopy&lt;/Keywords&gt;&lt;Keywords&gt;Comparative Study&lt;/Keywords&gt;&lt;Keywords&gt;complications&lt;/Keywords&gt;&lt;Keywords&gt;cytology&lt;/Keywords&gt;&lt;Keywords&gt;Epidemiology&lt;/Keywords&gt;&lt;Keywords&gt;Female&lt;/Keywords&gt;&lt;Keywords&gt;Follow-Up Studies&lt;/Keywords&gt;&lt;Keywords&gt;Genetic&lt;/Keywords&gt;&lt;Keywords&gt;genetics&lt;/Keywords&gt;&lt;Keywords&gt;Hormonal&lt;/Keywords&gt;&lt;Keywords&gt;HPV&lt;/Keywords&gt;&lt;Keywords&gt;HPV testing&lt;/Keywords&gt;&lt;Keywords&gt;Human&lt;/Keywords&gt;&lt;Keywords&gt;Humans&lt;/Keywords&gt;&lt;Keywords&gt;isolation &amp;amp; purification&lt;/Keywords&gt;&lt;Keywords&gt;Maryland&lt;/Keywords&gt;&lt;Keywords&gt;methods&lt;/Keywords&gt;&lt;Keywords&gt;Neoplasia&lt;/Keywords&gt;&lt;Keywords&gt;Neoplasms,Squamous Cell&lt;/Keywords&gt;&lt;Keywords&gt;Papillomaviridae&lt;/Keywords&gt;&lt;Keywords&gt;Papillomavirus&lt;/Keywords&gt;&lt;Keywords&gt;Papillomavirus Infections&lt;/Keywords&gt;&lt;Keywords&gt;pathology&lt;/Keywords&gt;&lt;Keywords&gt;Precancerous Conditions&lt;/Keywords&gt;&lt;Keywords&gt;Risk&lt;/Keywords&gt;&lt;Keywords&gt;Risk Factors&lt;/Keywords&gt;&lt;Keywords&gt;Squamous Cell&lt;/Keywords&gt;&lt;Keywords&gt;Triage&lt;/Keywords&gt;&lt;Keywords&gt;Uterine Cervical Neoplasms&lt;/Keywords&gt;&lt;Keywords&gt;Vaginal Smears&lt;/Keywords&gt;&lt;Keywords&gt;virology&lt;/Keywords&gt;&lt;Keywords&gt;Women&lt;/Keywords&gt;&lt;Reprint&gt;Not in File&lt;/Reprint&gt;&lt;Start_Page&gt;298&lt;/Start_Page&gt;&lt;End_Page&gt;305&lt;/End_Page&gt;&lt;Periodical&gt;Cancer&lt;/Periodical&gt;&lt;Volume&gt;108&lt;/Volume&gt;&lt;Issue&gt;5&lt;/Issue&gt;&lt;Address&gt;Division of Cancer Epidemiology and Genetics, Hormonal and Reproductive Epidemiology Branch, National Cancer Institute, Bethesda, Maryland, USA. shermanm@mail.nih.gov&lt;/Address&gt;&lt;Web_URL&gt;PM:16544318&lt;/Web_URL&gt;&lt;ZZ_JournalFull&gt;&lt;f name="System"&gt;Cancer&lt;/f&gt;&lt;/ZZ_JournalFull&gt;&lt;ZZ_WorkformID&gt;1&lt;/ZZ_WorkformID&gt;&lt;/MDL&gt;&lt;/Cite&gt;&lt;/Refman&gt;</w:instrText>
      </w:r>
      <w:r w:rsidRPr="007A3B60">
        <w:fldChar w:fldCharType="separate"/>
      </w:r>
      <w:r w:rsidRPr="007A3B60">
        <w:t>(Sherman et al. 2006)</w:t>
      </w:r>
      <w:r w:rsidRPr="007A3B60">
        <w:fldChar w:fldCharType="end"/>
      </w:r>
      <w:r w:rsidRPr="007A3B60">
        <w:t>.</w:t>
      </w:r>
      <w:r w:rsidRPr="007A3B60">
        <w:fldChar w:fldCharType="begin"/>
      </w:r>
      <w:r w:rsidRPr="007A3B60">
        <w:instrText xml:space="preserve"> ADDIN REFMGR.CITE &lt;Refman&gt;&lt;Cite&gt;&lt;Author&gt;Sherman&lt;/Author&gt;&lt;Year&gt;2006&lt;/Year&gt;&lt;RecNum&gt;3580&lt;/RecNum&gt;&lt;IDText&gt;Cervical cytology of atypical squamous cells-cannot exclude high-grade squamous intraepithelial lesion (ASC-H): characteristics and histologic outcomes&lt;/IDText&gt;&lt;MDL Ref_Type="Journal"&gt;&lt;Ref_Type&gt;Journal&lt;/Ref_Type&gt;&lt;Ref_ID&gt;3580&lt;/Ref_ID&gt;&lt;Title_Primary&gt;Cervical cytology of atypical squamous cells-cannot exclude high-grade squamous intraepithelial lesion (ASC-H): characteristics and histologic outcomes&lt;/Title_Primary&gt;&lt;Authors_Primary&gt;Sherman,M.E.&lt;/Authors_Primary&gt;&lt;Authors_Primary&gt;Castle,P.E.&lt;/Authors_Primary&gt;&lt;Authors_Primary&gt;Solomon,D.&lt;/Authors_Primary&gt;&lt;Date_Primary&gt;2006&lt;/Date_Primary&gt;&lt;Keywords&gt;ALTS&lt;/Keywords&gt;&lt;Keywords&gt;Cancer&lt;/Keywords&gt;&lt;Keywords&gt;Cells&lt;/Keywords&gt;&lt;Keywords&gt;Cervical Intraepithelial&lt;/Keywords&gt;&lt;Keywords&gt;Cervical Intraepithelial Neoplasia&lt;/Keywords&gt;&lt;Keywords&gt;Colposcopy&lt;/Keywords&gt;&lt;Keywords&gt;Comparative Study&lt;/Keywords&gt;&lt;Keywords&gt;complications&lt;/Keywords&gt;&lt;Keywords&gt;cytology&lt;/Keywords&gt;&lt;Keywords&gt;Epidemiology&lt;/Keywords&gt;&lt;Keywords&gt;Female&lt;/Keywords&gt;&lt;Keywords&gt;Follow-Up Studies&lt;/Keywords&gt;&lt;Keywords&gt;Genetic&lt;/Keywords&gt;&lt;Keywords&gt;genetics&lt;/Keywords&gt;&lt;Keywords&gt;Hormonal&lt;/Keywords&gt;&lt;Keywords&gt;HPV&lt;/Keywords&gt;&lt;Keywords&gt;HPV testing&lt;/Keywords&gt;&lt;Keywords&gt;Human&lt;/Keywords&gt;&lt;Keywords&gt;Humans&lt;/Keywords&gt;&lt;Keywords&gt;isolation &amp;amp; purification&lt;/Keywords&gt;&lt;Keywords&gt;Maryland&lt;/Keywords&gt;&lt;Keywords&gt;methods&lt;/Keywords&gt;&lt;Keywords&gt;Neoplasia&lt;/Keywords&gt;&lt;Keywords&gt;Neoplasms,Squamous Cell&lt;/Keywords&gt;&lt;Keywords&gt;Papillomaviridae&lt;/Keywords&gt;&lt;Keywords&gt;Papillomavirus&lt;/Keywords&gt;&lt;Keywords&gt;Papillomavirus Infections&lt;/Keywords&gt;&lt;Keywords&gt;pathology&lt;/Keywords&gt;&lt;Keywords&gt;Precancerous Conditions&lt;/Keywords&gt;&lt;Keywords&gt;Risk&lt;/Keywords&gt;&lt;Keywords&gt;Risk Factors&lt;/Keywords&gt;&lt;Keywords&gt;Squamous Cell&lt;/Keywords&gt;&lt;Keywords&gt;Triage&lt;/Keywords&gt;&lt;Keywords&gt;Uterine Cervical Neoplasms&lt;/Keywords&gt;&lt;Keywords&gt;Vaginal Smears&lt;/Keywords&gt;&lt;Keywords&gt;virology&lt;/Keywords&gt;&lt;Keywords&gt;Women&lt;/Keywords&gt;&lt;Reprint&gt;Not in File&lt;/Reprint&gt;&lt;Start_Page&gt;298&lt;/Start_Page&gt;&lt;End_Page&gt;305&lt;/End_Page&gt;&lt;Periodical&gt;Cancer&lt;/Periodical&gt;&lt;Volume&gt;108&lt;/Volume&gt;&lt;Issue&gt;5&lt;/Issue&gt;&lt;Address&gt;Division of Cancer Epidemiology and Genetics, Hormonal and Reproductive Epidemiology Branch, National Cancer Institute, Bethesda, Maryland, USA. shermanm@mail.nih.gov&lt;/Address&gt;&lt;Web_URL&gt;PM:16544318&lt;/Web_URL&gt;&lt;ZZ_JournalFull&gt;&lt;f name="System"&gt;Cancer&lt;/f&gt;&lt;/ZZ_JournalFull&gt;&lt;ZZ_WorkformID&gt;1&lt;/ZZ_WorkformID&gt;&lt;/MDL&gt;&lt;/Cite&gt;&lt;/Refman&gt;</w:instrText>
      </w:r>
      <w:r w:rsidRPr="007A3B60">
        <w:fldChar w:fldCharType="end"/>
      </w:r>
    </w:p>
    <w:p w:rsidR="00234376" w:rsidRPr="007A3B60" w:rsidRDefault="00234376" w:rsidP="008E03A7">
      <w:r w:rsidRPr="007A3B60">
        <w:t xml:space="preserve">ALTS involved cluster-randomising women with low-grade abnormalities into three arms, which were managed according to different strategies: conservative management (cytology only), immediate colposcopy, and HPV DNA triage with </w:t>
      </w:r>
      <w:bookmarkStart w:id="1094" w:name="OLE_LINK454"/>
      <w:bookmarkStart w:id="1095" w:name="OLE_LINK455"/>
      <w:r w:rsidRPr="007A3B60">
        <w:t xml:space="preserve">HCII </w:t>
      </w:r>
      <w:bookmarkEnd w:id="1094"/>
      <w:bookmarkEnd w:id="1095"/>
      <w:r w:rsidRPr="007A3B60">
        <w:t>testing. An HSIL cytology result in the cytology arm or an HPV DNA-positive result in the HPV triage arm triggered colposcopy referral. All women were followed up for 2 years, with cytology every 6 months and referral for colposcopy for an HSIL result. At the 2-year exit visit all women underwent colposcopy with biopsy for any suspected low- or high-grade abnormalities. Within ALTS, a QC panel reviewed cytology and histology diagnoses, and therefore inter-observer variability in diagnosis was minimised. We use the most severe histologically confirmed abnormality obtained in the 2-year period as a proxy for the underlying health state at the time of enrolment. Women participating in the study had a mean age of 29 years and a median age of 25 years.</w:t>
      </w:r>
    </w:p>
    <w:p w:rsidR="00234376" w:rsidRPr="007A3B60" w:rsidRDefault="00234376" w:rsidP="008E03A7">
      <w:r w:rsidRPr="007A3B60">
        <w:t>ALTS is not a sufficient study for our purposes in that the population is not representative of the entire screening population: women with HSIL smear results or negative smear results were not eligible for entry into ALTS. There are some data on high-grade cytology, as a QC panel reviewed cytology slides from the time of enrolment, and some low-grade slides were reanalysed as ASC-H or HSIL, but these are not representative of high-grade smears in the general screening population. The results for low-grade cytology, however, should be representative of the screening population, as women were enrolled directly from this population on the bas</w:t>
      </w:r>
      <w:r w:rsidRPr="007A3B60" w:rsidDel="00C27CD6">
        <w:t>is</w:t>
      </w:r>
      <w:r w:rsidRPr="007A3B60">
        <w:t xml:space="preserve"> o</w:t>
      </w:r>
      <w:r w:rsidRPr="007A3B60" w:rsidDel="00C27CD6">
        <w:t>f</w:t>
      </w:r>
      <w:r w:rsidRPr="007A3B60">
        <w:t xml:space="preserve"> an entry ASCUS or LSIL smear. An advantage of ALTS is that there is essentially complete verification of low-grade cytology with colposcopy ± biopsy.</w:t>
      </w:r>
    </w:p>
    <w:p w:rsidR="00234376" w:rsidRPr="007A3B60" w:rsidRDefault="00234376" w:rsidP="008E03A7">
      <w:r w:rsidRPr="007A3B60">
        <w:t>From the data in ALTS, we were able to estimate the breakdown of various cytology test results into true underlying health states. Methods 3 and 4 (below) use data from ALTS for all cytological abnormalities. Methods 5 and 6 use data from ALTS for low-grade abnormalities.</w:t>
      </w:r>
    </w:p>
    <w:p w:rsidR="00234376" w:rsidRPr="007A3B60" w:rsidRDefault="00234376" w:rsidP="008E03A7">
      <w:r w:rsidRPr="007A3B60">
        <w:t xml:space="preserve">We assessed the effect of using lower estimates of the CIs presented in ALTS </w:t>
      </w:r>
      <w:r w:rsidRPr="007A3B60">
        <w:fldChar w:fldCharType="begin"/>
      </w:r>
      <w:r w:rsidRPr="007A3B60">
        <w:instrText xml:space="preserve"> ADDIN REFMGR.CITE &lt;Refman&gt;&lt;Cite&gt;&lt;Author&gt;Sherman&lt;/Author&gt;&lt;Year&gt;2006&lt;/Year&gt;&lt;RecNum&gt;3580&lt;/RecNum&gt;&lt;IDText&gt;Cervical cytology of atypical squamous cells-cannot exclude high-grade squamous intraepithelial lesion (ASC-H): characteristics and histologic outcomes&lt;/IDText&gt;&lt;MDL Ref_Type="Journal"&gt;&lt;Ref_Type&gt;Journal&lt;/Ref_Type&gt;&lt;Ref_ID&gt;3580&lt;/Ref_ID&gt;&lt;Title_Primary&gt;Cervical cytology of atypical squamous cells-cannot exclude high-grade squamous intraepithelial lesion (ASC-H): characteristics and histologic outcomes&lt;/Title_Primary&gt;&lt;Authors_Primary&gt;Sherman,M.E.&lt;/Authors_Primary&gt;&lt;Authors_Primary&gt;Castle,P.E.&lt;/Authors_Primary&gt;&lt;Authors_Primary&gt;Solomon,D.&lt;/Authors_Primary&gt;&lt;Date_Primary&gt;2006&lt;/Date_Primary&gt;&lt;Keywords&gt;ALTS&lt;/Keywords&gt;&lt;Keywords&gt;Cancer&lt;/Keywords&gt;&lt;Keywords&gt;Cells&lt;/Keywords&gt;&lt;Keywords&gt;Cervical Intraepithelial&lt;/Keywords&gt;&lt;Keywords&gt;Cervical Intraepithelial Neoplasia&lt;/Keywords&gt;&lt;Keywords&gt;Colposcopy&lt;/Keywords&gt;&lt;Keywords&gt;Comparative Study&lt;/Keywords&gt;&lt;Keywords&gt;complications&lt;/Keywords&gt;&lt;Keywords&gt;cytology&lt;/Keywords&gt;&lt;Keywords&gt;Epidemiology&lt;/Keywords&gt;&lt;Keywords&gt;Female&lt;/Keywords&gt;&lt;Keywords&gt;Follow-Up Studies&lt;/Keywords&gt;&lt;Keywords&gt;Genetic&lt;/Keywords&gt;&lt;Keywords&gt;genetics&lt;/Keywords&gt;&lt;Keywords&gt;Hormonal&lt;/Keywords&gt;&lt;Keywords&gt;HPV&lt;/Keywords&gt;&lt;Keywords&gt;HPV testing&lt;/Keywords&gt;&lt;Keywords&gt;Human&lt;/Keywords&gt;&lt;Keywords&gt;Humans&lt;/Keywords&gt;&lt;Keywords&gt;isolation &amp;amp; purification&lt;/Keywords&gt;&lt;Keywords&gt;Maryland&lt;/Keywords&gt;&lt;Keywords&gt;methods&lt;/Keywords&gt;&lt;Keywords&gt;Neoplasia&lt;/Keywords&gt;&lt;Keywords&gt;Neoplasms,Squamous Cell&lt;/Keywords&gt;&lt;Keywords&gt;Papillomaviridae&lt;/Keywords&gt;&lt;Keywords&gt;Papillomavirus&lt;/Keywords&gt;&lt;Keywords&gt;Papillomavirus Infections&lt;/Keywords&gt;&lt;Keywords&gt;pathology&lt;/Keywords&gt;&lt;Keywords&gt;Precancerous Conditions&lt;/Keywords&gt;&lt;Keywords&gt;Risk&lt;/Keywords&gt;&lt;Keywords&gt;Risk Factors&lt;/Keywords&gt;&lt;Keywords&gt;Squamous Cell&lt;/Keywords&gt;&lt;Keywords&gt;Triage&lt;/Keywords&gt;&lt;Keywords&gt;Uterine Cervical Neoplasms&lt;/Keywords&gt;&lt;Keywords&gt;Vaginal Smears&lt;/Keywords&gt;&lt;Keywords&gt;virology&lt;/Keywords&gt;&lt;Keywords&gt;Women&lt;/Keywords&gt;&lt;Reprint&gt;Not in File&lt;/Reprint&gt;&lt;Start_Page&gt;298&lt;/Start_Page&gt;&lt;End_Page&gt;305&lt;/End_Page&gt;&lt;Periodical&gt;Cancer&lt;/Periodical&gt;&lt;Volume&gt;108&lt;/Volume&gt;&lt;Issue&gt;5&lt;/Issue&gt;&lt;Address&gt;Division of Cancer Epidemiology and Genetics, Hormonal and Reproductive Epidemiology Branch, National Cancer Institute, Bethesda, Maryland, USA. shermanm@mail.nih.gov&lt;/Address&gt;&lt;Web_URL&gt;PM:16544318&lt;/Web_URL&gt;&lt;ZZ_JournalFull&gt;&lt;f name="System"&gt;Cancer&lt;/f&gt;&lt;/ZZ_JournalFull&gt;&lt;ZZ_WorkformID&gt;1&lt;/ZZ_WorkformID&gt;&lt;/MDL&gt;&lt;/Cite&gt;&lt;/Refman&gt;</w:instrText>
      </w:r>
      <w:r w:rsidRPr="007A3B60">
        <w:fldChar w:fldCharType="separate"/>
      </w:r>
      <w:r w:rsidRPr="007A3B60">
        <w:t>(Sherman et al. 2006)</w:t>
      </w:r>
      <w:r w:rsidRPr="007A3B60">
        <w:fldChar w:fldCharType="end"/>
      </w:r>
      <w:r w:rsidRPr="007A3B60">
        <w:t xml:space="preserve"> for the proportions of women with low-grade cytology and high-grade histology, and of using upper estimates of the CIs for the proportions of women with high-grade cytology and high-grade histology. This had the aim of achieving sensitivity for detection of CIN 2+ at the HSIL threshold that approached published estimates </w:t>
      </w:r>
      <w:r w:rsidRPr="007A3B60">
        <w:fldChar w:fldCharType="begin"/>
      </w:r>
      <w:r w:rsidRPr="007A3B60">
        <w:instrText xml:space="preserve"> ADDIN REFMGR.CITE &lt;Refman&gt;&lt;Cite&gt;&lt;Author&gt;Arbyn&lt;/Author&gt;&lt;Year&gt;2008&lt;/Year&gt;&lt;RecNum&gt;5&lt;/RecNum&gt;&lt;IDText&gt;Liquid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7A3B60">
        <w:fldChar w:fldCharType="separate"/>
      </w:r>
      <w:r w:rsidRPr="007A3B60">
        <w:t>(Arbyn et al. 2008)</w:t>
      </w:r>
      <w:r w:rsidRPr="007A3B60">
        <w:fldChar w:fldCharType="end"/>
      </w:r>
      <w:r w:rsidRPr="007A3B60">
        <w:t>.</w:t>
      </w:r>
    </w:p>
    <w:p w:rsidR="00234376" w:rsidRPr="007A3B60" w:rsidRDefault="00234376" w:rsidP="00234376">
      <w:pPr>
        <w:pStyle w:val="Heading3"/>
      </w:pPr>
      <w:r w:rsidRPr="007A3B60">
        <w:lastRenderedPageBreak/>
        <w:t>Registry data</w:t>
      </w:r>
    </w:p>
    <w:p w:rsidR="00234376" w:rsidRPr="007A3B60" w:rsidRDefault="00234376" w:rsidP="008E03A7">
      <w:r w:rsidRPr="007A3B60">
        <w:t xml:space="preserve">We used data from the Victorian Cervical Cytology Register (VCCR; data provided by VCCR, July 2008) and NSW </w:t>
      </w:r>
      <w:bookmarkStart w:id="1096" w:name="OLE_LINK634"/>
      <w:bookmarkStart w:id="1097" w:name="OLE_LINK635"/>
      <w:r w:rsidRPr="007A3B60">
        <w:t xml:space="preserve">Pap Test Registry </w:t>
      </w:r>
      <w:bookmarkEnd w:id="1096"/>
      <w:bookmarkEnd w:id="1097"/>
      <w:r w:rsidRPr="007A3B60">
        <w:t xml:space="preserve">(NSW PTR; pers. comm., Robyn </w:t>
      </w:r>
      <w:bookmarkStart w:id="1098" w:name="OLE_LINK456"/>
      <w:bookmarkStart w:id="1099" w:name="OLE_LINK457"/>
      <w:r w:rsidRPr="007A3B60">
        <w:t>Godding</w:t>
      </w:r>
      <w:bookmarkEnd w:id="1098"/>
      <w:bookmarkEnd w:id="1099"/>
      <w:r w:rsidRPr="007A3B60">
        <w:t>, Cancer Institute NSW).</w:t>
      </w:r>
    </w:p>
    <w:p w:rsidR="00234376" w:rsidRPr="007A3B60" w:rsidRDefault="00234376" w:rsidP="008E03A7">
      <w:r w:rsidRPr="007A3B60">
        <w:t>Registry data on histology for women with high-grade cytology was extracted from the VCCR data for 2005 and 2006. These data are more directly representative of high-grade cytology results in an Australian screening population than ALTS data on initially low-grade results which were reclassified as high-grade after enrolment.</w:t>
      </w:r>
    </w:p>
    <w:p w:rsidR="00234376" w:rsidRPr="007A3B60" w:rsidRDefault="00234376" w:rsidP="008E03A7">
      <w:pPr>
        <w:rPr>
          <w:szCs w:val="24"/>
        </w:rPr>
      </w:pPr>
      <w:r w:rsidRPr="007A3B60">
        <w:rPr>
          <w:szCs w:val="24"/>
        </w:rPr>
        <w:t xml:space="preserve">For evaluating the concordance between histology and cytology, we restricted the histology data to 2005 and 2006. For a given woman with a given histology test, we identified the satisfactory cytology test (or tests, if on the same day) that was immediately before and within 6 months of the histology test. If there was no such cytology test, then we considered whether there was a satisfactory normal smear within 2 years of the histology test. If there were multiple tests on the same day, then we used the most severe histological result. The histology diagnosis codes were grouped according to the 6 August 2008 draft of the </w:t>
      </w:r>
      <w:r w:rsidRPr="007A3B60">
        <w:rPr>
          <w:i/>
          <w:szCs w:val="24"/>
        </w:rPr>
        <w:t>Standardised Cervical Screening Data Dictionary 2008</w:t>
      </w:r>
      <w:r w:rsidRPr="007A3B60">
        <w:rPr>
          <w:szCs w:val="24"/>
        </w:rPr>
        <w:t xml:space="preserve"> (supplied by AIHW) with the following alterations: (i) high-grade and invasive/malignant codes were grouped together, and (ii) HPV-related cervical abnormalities were reported separately. Results were reported only for the cervical specimens, excluding the endocervical specimens.</w:t>
      </w:r>
    </w:p>
    <w:p w:rsidR="00234376" w:rsidRPr="007A3B60" w:rsidRDefault="00234376" w:rsidP="008E03A7">
      <w:r w:rsidRPr="007A3B60">
        <w:t>When we combined registry data with ALTS data, we restricted analysis to the age-group 25–29 years to be as consistent as possible with the study population of ALTS. Although the final test probability matrix is assumed to be applicable to all ages and does not depend on the prevalence of health states, intermediate steps in the derivation do depend on the prevalence of health states. It is therefore important to match age-groups as far as possible when combining data from different study populations.</w:t>
      </w:r>
    </w:p>
    <w:p w:rsidR="00234376" w:rsidRPr="007A3B60" w:rsidRDefault="00234376" w:rsidP="008E03A7">
      <w:r w:rsidRPr="007A3B60">
        <w:t xml:space="preserve">Method 7 uses data from the VCCR for women of all ages in place of ALTS data. Data were taken from histology findings following a cytology report during 2006 </w:t>
      </w:r>
      <w:r w:rsidRPr="007A3B60">
        <w:fldChar w:fldCharType="begin"/>
      </w:r>
      <w:r w:rsidRPr="007A3B60">
        <w:instrText xml:space="preserve"> ADDIN REFMGR.CITE &lt;Refman&gt;&lt;Cite&gt;&lt;Author&gt;Victorian Cervical Cytology Registry&lt;/Author&gt;&lt;Year&gt;2006&lt;/Year&gt;&lt;RecNum&gt;4976&lt;/RecNum&gt;&lt;IDText&gt;Statistical Report 2006&lt;/IDText&gt;&lt;MDL Ref_Type="Generic"&gt;&lt;Ref_Type&gt;Generic&lt;/Ref_Type&gt;&lt;Ref_ID&gt;4976&lt;/Ref_ID&gt;&lt;Title_Primary&gt;Statistical Report 2006&lt;/Title_Primary&gt;&lt;Authors_Primary&gt;Victorian Cervical Cytology Registry&lt;/Authors_Primary&gt;&lt;Date_Primary&gt;2006=October &lt;/Date_Primary&gt;&lt;Keywords&gt;cytology&lt;/Keywords&gt;&lt;Keywords&gt;Registries&lt;/Keywords&gt;&lt;Keywords&gt;Statistical&lt;/Keywords&gt;&lt;Reprint&gt;Not in File&lt;/Reprint&gt;&lt;Web_URL&gt;www.vccr.org/downloads/VCCRStatisticalReport2006_Final_114224102007.pdf&lt;/Web_URL&gt;&lt;ZZ_WorkformID&gt;33&lt;/ZZ_WorkformID&gt;&lt;/MDL&gt;&lt;/Cite&gt;&lt;/Refman&gt;</w:instrText>
      </w:r>
      <w:r w:rsidRPr="007A3B60">
        <w:fldChar w:fldCharType="separate"/>
      </w:r>
      <w:r w:rsidRPr="007A3B60">
        <w:t>(VCCR 2006</w:t>
      </w:r>
      <w:r w:rsidRPr="007A3B60">
        <w:fldChar w:fldCharType="end"/>
      </w:r>
      <w:r w:rsidRPr="007A3B60">
        <w:t xml:space="preserve">, Table 5.1). The translation of histology categories presented in this report and model health states are shown in </w:t>
      </w:r>
      <w:r w:rsidRPr="007A3B60">
        <w:fldChar w:fldCharType="begin"/>
      </w:r>
      <w:r w:rsidRPr="007A3B60">
        <w:instrText xml:space="preserve"> REF _Ref219608049 \h  \* MERGEFORMAT </w:instrText>
      </w:r>
      <w:r w:rsidRPr="007A3B60">
        <w:fldChar w:fldCharType="separate"/>
      </w:r>
      <w:r w:rsidR="007D3DFF" w:rsidRPr="007A3B60">
        <w:t xml:space="preserve">Table </w:t>
      </w:r>
      <w:r w:rsidR="007D3DFF">
        <w:rPr>
          <w:noProof/>
        </w:rPr>
        <w:t>71</w:t>
      </w:r>
      <w:r w:rsidRPr="007A3B60">
        <w:fldChar w:fldCharType="end"/>
      </w:r>
      <w:r w:rsidRPr="007A3B60">
        <w:t>.</w:t>
      </w:r>
    </w:p>
    <w:p w:rsidR="00234376" w:rsidRPr="007A3B60" w:rsidRDefault="00234376" w:rsidP="008E03A7">
      <w:pPr>
        <w:pStyle w:val="Caption"/>
        <w:rPr>
          <w:lang w:eastAsia="zh-CN"/>
        </w:rPr>
      </w:pPr>
      <w:bookmarkStart w:id="1100" w:name="_Ref219608049"/>
      <w:bookmarkStart w:id="1101" w:name="_Toc216169959"/>
      <w:bookmarkStart w:id="1102" w:name="_Toc95971307"/>
      <w:r w:rsidRPr="007A3B60">
        <w:t xml:space="preserve">Table </w:t>
      </w:r>
      <w:fldSimple w:instr=" SEQ Table \* ARABIC ">
        <w:r w:rsidR="007D3DFF">
          <w:rPr>
            <w:noProof/>
          </w:rPr>
          <w:t>71</w:t>
        </w:r>
      </w:fldSimple>
      <w:bookmarkEnd w:id="1100"/>
      <w:r w:rsidRPr="007A3B60">
        <w:tab/>
      </w:r>
      <w:r w:rsidRPr="007A3B60">
        <w:rPr>
          <w:lang w:eastAsia="zh-CN"/>
        </w:rPr>
        <w:t>Correlation between model health states and histology categories in the VCCR Statistical Report, 2006, Table 5.1</w:t>
      </w:r>
      <w:bookmarkEnd w:id="1101"/>
      <w:r w:rsidRPr="007A3B60">
        <w:rPr>
          <w:lang w:eastAsia="zh-CN"/>
        </w:rPr>
        <w:t>.</w:t>
      </w:r>
      <w:bookmarkEnd w:id="1102"/>
    </w:p>
    <w:tbl>
      <w:tblPr>
        <w:tblW w:w="4498"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7"/>
        <w:gridCol w:w="5897"/>
      </w:tblGrid>
      <w:tr w:rsidR="00234376" w:rsidRPr="007A3B60">
        <w:trPr>
          <w:cantSplit/>
          <w:trHeight w:val="275"/>
          <w:tblHeader/>
        </w:trPr>
        <w:tc>
          <w:tcPr>
            <w:tcW w:w="2417" w:type="dxa"/>
            <w:tcBorders>
              <w:left w:val="nil"/>
              <w:right w:val="nil"/>
            </w:tcBorders>
            <w:vAlign w:val="bottom"/>
          </w:tcPr>
          <w:p w:rsidR="00234376" w:rsidRPr="007A3B60" w:rsidRDefault="00234376" w:rsidP="008E03A7">
            <w:pPr>
              <w:pStyle w:val="TableHeading"/>
            </w:pPr>
            <w:r w:rsidRPr="007A3B60">
              <w:t>Model health state</w:t>
            </w:r>
          </w:p>
        </w:tc>
        <w:tc>
          <w:tcPr>
            <w:tcW w:w="5898" w:type="dxa"/>
            <w:tcBorders>
              <w:left w:val="nil"/>
              <w:right w:val="nil"/>
            </w:tcBorders>
            <w:vAlign w:val="bottom"/>
          </w:tcPr>
          <w:p w:rsidR="00234376" w:rsidRPr="007A3B60" w:rsidRDefault="00234376" w:rsidP="008E03A7">
            <w:pPr>
              <w:pStyle w:val="TableHeading"/>
            </w:pPr>
            <w:r w:rsidRPr="007A3B60">
              <w:t>Histology categories</w:t>
            </w:r>
          </w:p>
        </w:tc>
      </w:tr>
      <w:tr w:rsidR="00234376" w:rsidRPr="007A3B60">
        <w:trPr>
          <w:cantSplit/>
          <w:trHeight w:val="273"/>
          <w:tblHeader/>
        </w:trPr>
        <w:tc>
          <w:tcPr>
            <w:tcW w:w="2417" w:type="dxa"/>
            <w:tcBorders>
              <w:left w:val="nil"/>
              <w:bottom w:val="nil"/>
              <w:right w:val="nil"/>
            </w:tcBorders>
          </w:tcPr>
          <w:p w:rsidR="00234376" w:rsidRPr="007A3B60" w:rsidRDefault="00234376" w:rsidP="008E03A7">
            <w:pPr>
              <w:pStyle w:val="TableTextLessSpaceCharCharCharCharCharCharCharChar"/>
            </w:pPr>
            <w:smartTag w:uri="urn:schemas-microsoft-com:office:smarttags" w:element="place">
              <w:smartTag w:uri="urn:schemas-microsoft-com:office:smarttags" w:element="City">
                <w:r w:rsidRPr="007A3B60">
                  <w:t>Normal</w:t>
                </w:r>
              </w:smartTag>
            </w:smartTag>
            <w:r w:rsidRPr="007A3B60">
              <w:t>, HPV</w:t>
            </w:r>
          </w:p>
        </w:tc>
        <w:tc>
          <w:tcPr>
            <w:tcW w:w="5898" w:type="dxa"/>
            <w:tcBorders>
              <w:left w:val="nil"/>
              <w:bottom w:val="nil"/>
              <w:right w:val="nil"/>
            </w:tcBorders>
          </w:tcPr>
          <w:p w:rsidR="00234376" w:rsidRPr="007A3B60" w:rsidRDefault="00234376" w:rsidP="008E03A7">
            <w:pPr>
              <w:pStyle w:val="TableTextLessSpaceCharCharCharCharCharCharCharChar"/>
            </w:pPr>
            <w:r w:rsidRPr="007A3B60">
              <w:t>Normal; benign; HPV effect</w:t>
            </w:r>
          </w:p>
        </w:tc>
      </w:tr>
      <w:tr w:rsidR="00234376" w:rsidRPr="007A3B60">
        <w:trPr>
          <w:cantSplit/>
          <w:trHeight w:val="273"/>
          <w:tblHeader/>
        </w:trPr>
        <w:tc>
          <w:tcPr>
            <w:tcW w:w="2417" w:type="dxa"/>
            <w:tcBorders>
              <w:top w:val="nil"/>
              <w:left w:val="nil"/>
              <w:bottom w:val="nil"/>
              <w:right w:val="nil"/>
            </w:tcBorders>
          </w:tcPr>
          <w:p w:rsidR="00234376" w:rsidRPr="007A3B60" w:rsidRDefault="00234376" w:rsidP="008E03A7">
            <w:pPr>
              <w:pStyle w:val="TableTextLessSpaceCharCharCharCharCharCharCharChar"/>
            </w:pPr>
            <w:r w:rsidRPr="007A3B60">
              <w:t>CIN 1</w:t>
            </w:r>
          </w:p>
        </w:tc>
        <w:tc>
          <w:tcPr>
            <w:tcW w:w="5898" w:type="dxa"/>
            <w:tcBorders>
              <w:top w:val="nil"/>
              <w:left w:val="nil"/>
              <w:bottom w:val="nil"/>
              <w:right w:val="nil"/>
            </w:tcBorders>
          </w:tcPr>
          <w:p w:rsidR="00234376" w:rsidRPr="007A3B60" w:rsidRDefault="00234376" w:rsidP="008E03A7">
            <w:pPr>
              <w:pStyle w:val="TableTextLessSpaceCharCharCharCharCharCharCharChar"/>
            </w:pPr>
            <w:r w:rsidRPr="007A3B60">
              <w:t>Low grade, not otherwise defined; CIN 1</w:t>
            </w:r>
          </w:p>
        </w:tc>
      </w:tr>
      <w:tr w:rsidR="00234376" w:rsidRPr="007A3B60">
        <w:trPr>
          <w:cantSplit/>
          <w:trHeight w:val="273"/>
          <w:tblHeader/>
        </w:trPr>
        <w:tc>
          <w:tcPr>
            <w:tcW w:w="2417" w:type="dxa"/>
            <w:tcBorders>
              <w:top w:val="nil"/>
              <w:left w:val="nil"/>
              <w:bottom w:val="nil"/>
              <w:right w:val="nil"/>
            </w:tcBorders>
          </w:tcPr>
          <w:p w:rsidR="00234376" w:rsidRPr="007A3B60" w:rsidRDefault="00234376" w:rsidP="008E03A7">
            <w:pPr>
              <w:pStyle w:val="TableTextLessSpaceCharCharCharCharCharCharCharChar"/>
            </w:pPr>
            <w:r w:rsidRPr="007A3B60">
              <w:t>CIN 2</w:t>
            </w:r>
          </w:p>
        </w:tc>
        <w:tc>
          <w:tcPr>
            <w:tcW w:w="5898" w:type="dxa"/>
            <w:tcBorders>
              <w:top w:val="nil"/>
              <w:left w:val="nil"/>
              <w:bottom w:val="nil"/>
              <w:right w:val="nil"/>
            </w:tcBorders>
          </w:tcPr>
          <w:p w:rsidR="00234376" w:rsidRPr="007A3B60" w:rsidRDefault="00234376" w:rsidP="008E03A7">
            <w:pPr>
              <w:pStyle w:val="TableTextLessSpaceCharCharCharCharCharCharCharChar"/>
            </w:pPr>
            <w:r w:rsidRPr="007A3B60">
              <w:t>CIN 2; 50% of high grade, not otherwise defined; 50% of CIN 2/3</w:t>
            </w:r>
          </w:p>
        </w:tc>
      </w:tr>
      <w:tr w:rsidR="00234376" w:rsidRPr="007A3B60">
        <w:trPr>
          <w:cantSplit/>
          <w:trHeight w:val="273"/>
          <w:tblHeader/>
        </w:trPr>
        <w:tc>
          <w:tcPr>
            <w:tcW w:w="2417" w:type="dxa"/>
            <w:tcBorders>
              <w:top w:val="nil"/>
              <w:left w:val="nil"/>
              <w:right w:val="nil"/>
            </w:tcBorders>
          </w:tcPr>
          <w:p w:rsidR="00234376" w:rsidRPr="007A3B60" w:rsidRDefault="00234376" w:rsidP="00234376">
            <w:pPr>
              <w:pStyle w:val="TableTextLessSpaceCharCharCharCharCharCharCharChar"/>
              <w:keepNext w:val="0"/>
            </w:pPr>
            <w:r w:rsidRPr="007A3B60">
              <w:t>CIN 3+</w:t>
            </w:r>
          </w:p>
        </w:tc>
        <w:tc>
          <w:tcPr>
            <w:tcW w:w="5898" w:type="dxa"/>
            <w:tcBorders>
              <w:top w:val="nil"/>
              <w:left w:val="nil"/>
              <w:right w:val="nil"/>
            </w:tcBorders>
          </w:tcPr>
          <w:p w:rsidR="00234376" w:rsidRPr="007A3B60" w:rsidRDefault="00234376" w:rsidP="00234376">
            <w:pPr>
              <w:pStyle w:val="TableTextLessSpaceCharCharCharCharCharCharCharChar"/>
              <w:keepNext w:val="0"/>
            </w:pPr>
            <w:r w:rsidRPr="007A3B60">
              <w:t>CIN 3; 50% of high grade, not otherwise defined; 50% of CIN 2/3; cancer—</w:t>
            </w:r>
            <w:r w:rsidRPr="007A3B60">
              <w:br/>
              <w:t>micro-invasive; cancer—invasive other; cancer—invasive squamous</w:t>
            </w:r>
          </w:p>
        </w:tc>
      </w:tr>
    </w:tbl>
    <w:p w:rsidR="00234376" w:rsidRPr="007A3B60" w:rsidRDefault="00234376" w:rsidP="00B94BF8">
      <w:pPr>
        <w:pStyle w:val="Heading3"/>
      </w:pPr>
      <w:r w:rsidRPr="007A3B60">
        <w:t>Coste</w:t>
      </w:r>
    </w:p>
    <w:p w:rsidR="00234376" w:rsidRPr="007A3B60" w:rsidRDefault="00234376" w:rsidP="008E03A7">
      <w:r w:rsidRPr="007A3B60">
        <w:t xml:space="preserve">One study </w:t>
      </w:r>
      <w:r w:rsidRPr="007A3B60">
        <w:fldChar w:fldCharType="begin"/>
      </w:r>
      <w:r w:rsidRPr="007A3B60">
        <w:instrText xml:space="preserve"> ADDIN REFMGR.CITE &lt;Refman&gt;&lt;Cite&gt;&lt;Author&gt;Coste J.&lt;/Author&gt;&lt;Year&gt;2003&lt;/Year&gt;&lt;RecNum&gt;4974&lt;/RecNum&gt;&lt;IDText&gt;Cross sectional study of conventional cervical smear, monolayer cytology, and human papillomavirus DNA testing for cervical cancer screening&lt;/IDText&gt;&lt;MDL Ref_Type="Journal"&gt;&lt;Ref_Type&gt;Journal&lt;/Ref_Type&gt;&lt;Ref_ID&gt;4974&lt;/Ref_ID&gt;&lt;Title_Primary&gt;Cross sectional study of conventional cervical smear, monolayer cytology, and human papillomavirus DNA testing for cervical cancer screening&lt;/Title_Primary&gt;&lt;Authors_Primary&gt;Coste J.&lt;/Authors_Primary&gt;&lt;Date_Primary&gt;2003&lt;/Date_Primary&gt;&lt;Keywords&gt;Cancer&lt;/Keywords&gt;&lt;Keywords&gt;cytology&lt;/Keywords&gt;&lt;Keywords&gt;Dna&lt;/Keywords&gt;&lt;Keywords&gt;Human&lt;/Keywords&gt;&lt;Keywords&gt;Papillomavirus&lt;/Keywords&gt;&lt;Keywords&gt;screening&lt;/Keywords&gt;&lt;Reprint&gt;Not in File&lt;/Reprint&gt;&lt;Periodical&gt;BMJ.&lt;/Periodical&gt;&lt;Volume&gt;326(7392)&lt;/Volume&gt;&lt;Authors_Secondary&gt;Cochand-Priollet B.de Cremoux P.Le Gales C.Cartier I.Molinie V.Labbe S.Vacher-Lavenu MC.Vielh P.French Society of Clinical Cytology Study Group.&lt;/Authors_Secondary&gt;&lt;Issue&gt;733&lt;/Issue&gt;&lt;ZZ_JournalStdAbbrev&gt;&lt;f name="System"&gt;BMJ.&lt;/f&gt;&lt;/ZZ_JournalStdAbbrev&gt;&lt;ZZ_WorkformID&gt;1&lt;/ZZ_WorkformID&gt;&lt;/MDL&gt;&lt;/Cite&gt;&lt;/Refman&gt;</w:instrText>
      </w:r>
      <w:r w:rsidRPr="007A3B60">
        <w:fldChar w:fldCharType="separate"/>
      </w:r>
      <w:r w:rsidRPr="007A3B60">
        <w:t>(Coste 2003)</w:t>
      </w:r>
      <w:r w:rsidRPr="007A3B60">
        <w:fldChar w:fldCharType="end"/>
      </w:r>
      <w:r w:rsidRPr="007A3B60">
        <w:t xml:space="preserve"> included in the meta-analysis by Arbyn et al. (2006) had a screening population arm and was designed for the disease status of all participants to be verified. The French Society of Clinical Cytology’s Study Group carried out a cross-sectional study during 1999–2000 in which conventional, LBC and HPV testing were performed simultaneously on all participants against a reference standard of colposcopy and histology. We used data from the ‘optimised interpretation’ results. Conventional </w:t>
      </w:r>
      <w:r w:rsidRPr="007A3B60">
        <w:lastRenderedPageBreak/>
        <w:t>cytology slides were read blind twice, and in cases of disagreement, read again to reach consensus. If there was no consensus then an independent expert reading was given. There were two groups of participants: women referred for colposcopy (</w:t>
      </w:r>
      <w:r w:rsidRPr="007A3B60">
        <w:rPr>
          <w:i/>
        </w:rPr>
        <w:t>n</w:t>
      </w:r>
      <w:r w:rsidRPr="007A3B60">
        <w:t xml:space="preserve"> = 828) and women attending for routine screening (</w:t>
      </w:r>
      <w:r w:rsidRPr="007A3B60">
        <w:rPr>
          <w:i/>
        </w:rPr>
        <w:t>n</w:t>
      </w:r>
      <w:r w:rsidRPr="007A3B60">
        <w:t xml:space="preserve"> = 1751). We used data for conventional cytology from the screening population arm only. The size of the screening population arm verified by colposcopy and biopsy is larger than the same population in a similar Italian trial </w:t>
      </w:r>
      <w:r w:rsidRPr="007A3B60">
        <w:fldChar w:fldCharType="begin"/>
      </w:r>
      <w:r w:rsidRPr="007A3B60">
        <w:instrText xml:space="preserve"> ADDIN REFMGR.CITE &lt;Refman&gt;&lt;Cite&gt;&lt;Author&gt;Ronco&lt;/Author&gt;&lt;Year&gt;2007&lt;/Year&gt;&lt;RecNum&gt;66&lt;/RecNum&gt;&lt;IDText&gt;Accuracy of liquid based versus conventional cytology: Overall results of new technologies for cervical cancer screening: Randomised controlled trial&lt;/IDText&gt;&lt;MDL Ref_Type="Journal"&gt;&lt;Ref_Type&gt;Journal&lt;/Ref_Type&gt;&lt;Ref_ID&gt;66&lt;/Ref_ID&gt;&lt;Title_Primary&gt;Accuracy of liquid based versus conventional cytology: Overall results of new technologies for cervical cancer screening: Randomised controlled trial&lt;/Title_Primary&gt;&lt;Authors_Primary&gt;Ronco,G.&lt;/Authors_Primary&gt;&lt;Authors_Primary&gt;Cuzick,J.&lt;/Authors_Primary&gt;&lt;Authors_Primary&gt;Pierotti,P.&lt;/Authors_Primary&gt;&lt;Authors_Primary&gt;Cariaggi,M.P.&lt;/Authors_Primary&gt;&lt;Authors_Primary&gt;Palma,P.D.&lt;/Authors_Primary&gt;&lt;Authors_Primary&gt;Naldoni,C.&lt;/Authors_Primary&gt;&lt;Authors_Primary&gt;Ghiringhello,B.&lt;/Authors_Primary&gt;&lt;Authors_Primary&gt;Giorgi-Rossi,P.&lt;/Authors_Primary&gt;&lt;Authors_Primary&gt;Minucci,D.&lt;/Authors_Primary&gt;&lt;Authors_Primary&gt;Parisio,F.&lt;/Authors_Primary&gt;&lt;Authors_Primary&gt;Pojer,A.&lt;/Authors_Primary&gt;&lt;Authors_Primary&gt;Schiboni,M.L.&lt;/Authors_Primary&gt;&lt;Authors_Primary&gt;Sintoni,C.&lt;/Authors_Primary&gt;&lt;Authors_Primary&gt;Zorzi,M.&lt;/Authors_Primary&gt;&lt;Authors_Primary&gt;Segnan,N.&lt;/Authors_Primary&gt;&lt;Authors_Primary&gt;Confortini,M.&lt;/Authors_Primary&gt;&lt;Date_Primary&gt;2007&lt;/Date_Primary&gt;&lt;Keywords&gt;adult&lt;/Keywords&gt;&lt;Keywords&gt;article&lt;/Keywords&gt;&lt;Keywords&gt;cancer cytodiagnosis&lt;/Keywords&gt;&lt;Keywords&gt;cancer screening&lt;/Keywords&gt;&lt;Keywords&gt;clinical laboratory&lt;/Keywords&gt;&lt;Keywords&gt;clinical trial&lt;/Keywords&gt;&lt;Keywords&gt;colposcopy&lt;/Keywords&gt;&lt;Keywords&gt;controlled clinical trial&lt;/Keywords&gt;&lt;Keywords&gt;controlled study&lt;/Keywords&gt;&lt;Keywords&gt;diagnostic accuracy&lt;/Keywords&gt;&lt;Keywords&gt;female&lt;/Keywords&gt;&lt;Keywords&gt;health program&lt;/Keywords&gt;&lt;Keywords&gt;human&lt;/Keywords&gt;&lt;Keywords&gt;human cell&lt;/Keywords&gt;&lt;Keywords&gt;intermethod comparison&lt;/Keywords&gt;&lt;Keywords&gt;Italy&lt;/Keywords&gt;&lt;Keywords&gt;liquid based cytology&lt;/Keywords&gt;&lt;Keywords&gt;major clinical study&lt;/Keywords&gt;&lt;Keywords&gt;medical technology&lt;/Keywords&gt;&lt;Keywords&gt;priority journal&lt;/Keywords&gt;&lt;Keywords&gt;randomized controlled trial&lt;/Keywords&gt;&lt;Keywords&gt;ThinPrep&lt;/Keywords&gt;&lt;Keywords&gt;uterine cervix cancer&lt;/Keywords&gt;&lt;Keywords&gt;uterine cervix cytology&lt;/Keywords&gt;&lt;Keywords&gt;Wart virus&lt;/Keywords&gt;&lt;Reprint&gt;In File&lt;/Reprint&gt;&lt;Start_Page&gt;28&lt;/Start_Page&gt;&lt;End_Page&gt;31&lt;/End_Page&gt;&lt;Periodical&gt;British Medical Journal&lt;/Periodical&gt;&lt;Volume&gt;335&lt;/Volume&gt;&lt;Issue&gt;7609&lt;/Issue&gt;&lt;ISSN_ISBN&gt;0959-8146&lt;/ISSN_ISBN&gt;&lt;Address&gt;Ronco, G., Unit of Cancer Epidemiology, Centre for Cancer Prevention, 10123 Turin, Italy&lt;/Address&gt;&lt;ZZ_JournalFull&gt;&lt;f name="System"&gt;British Medical Journal&lt;/f&gt;&lt;/ZZ_JournalFull&gt;&lt;ZZ_JournalStdAbbrev&gt;&lt;f name="System"&gt;Br.Med.J.&lt;/f&gt;&lt;/ZZ_JournalStdAbbrev&gt;&lt;ZZ_WorkformID&gt;1&lt;/ZZ_WorkformID&gt;&lt;/MDL&gt;&lt;/Cite&gt;&lt;/Refman&gt;</w:instrText>
      </w:r>
      <w:r w:rsidRPr="007A3B60">
        <w:fldChar w:fldCharType="separate"/>
      </w:r>
      <w:r w:rsidRPr="007A3B60">
        <w:t>(Ronco et al. 2007a)</w:t>
      </w:r>
      <w:r w:rsidRPr="007A3B60">
        <w:fldChar w:fldCharType="end"/>
      </w:r>
      <w:r w:rsidRPr="007A3B60">
        <w:t xml:space="preserve"> and was chosen for this reason. Davey et al. rate this study as a high-quality study </w:t>
      </w:r>
      <w:r w:rsidRPr="007A3B60">
        <w:fldChar w:fldCharType="begin"/>
      </w:r>
      <w:r w:rsidRPr="007A3B60">
        <w:instrText xml:space="preserve"> ADDIN REFMGR.CITE &lt;Refman&gt;&lt;Cite&gt;&lt;Author&gt;Davey&lt;/Author&gt;&lt;Year&gt;2006&lt;/Year&gt;&lt;RecNum&gt;268&lt;/RecNum&gt;&lt;IDText&gt;Effect of study design and quality on unsatisfactory rates, cytology classifications, and accuracy in liquid-based versus conventional cervical cytology: A systematic review&lt;/IDText&gt;&lt;MDL Ref_Type="Journal"&gt;&lt;Ref_Type&gt;Journal&lt;/Ref_Type&gt;&lt;Ref_ID&gt;268&lt;/Ref_ID&gt;&lt;Title_Primary&gt;Effect of study design and quality on unsatisfactory rates, cytology classifications, and accuracy in liquid-based versus conventional cervical cytology: A systematic review&lt;/Title_Primary&gt;&lt;Authors_Primary&gt;Davey,E.&lt;/Authors_Primary&gt;&lt;Authors_Primary&gt;Barratt,A.&lt;/Authors_Primary&gt;&lt;Authors_Primary&gt;Irwig,L.&lt;/Authors_Primary&gt;&lt;Authors_Primary&gt;Chan,S.F.&lt;/Authors_Primary&gt;&lt;Authors_Primary&gt;Macaskill,P.&lt;/Authors_Primary&gt;&lt;Authors_Primary&gt;Mannes,P.&lt;/Authors_Primary&gt;&lt;Authors_Primary&gt;Saville,A.M.&lt;/Authors_Primary&gt;&lt;Date_Primary&gt;2006&lt;/Date_Primary&gt;&lt;Keywords&gt;cancer screening&lt;/Keywords&gt;&lt;Keywords&gt;comparative study&lt;/Keywords&gt;&lt;Keywords&gt;cytodiagnosis&lt;/Keywords&gt;&lt;Keywords&gt;cytology&lt;/Keywords&gt;&lt;Keywords&gt;cytopathology&lt;/Keywords&gt;&lt;Keywords&gt;diagnostic accuracy&lt;/Keywords&gt;&lt;Keywords&gt;human&lt;/Keywords&gt;&lt;Keywords&gt;liquid based cytology&lt;/Keywords&gt;&lt;Keywords&gt;methodology&lt;/Keywords&gt;&lt;Keywords&gt;Papanicolaou test&lt;/Keywords&gt;&lt;Keywords&gt;priority journal&lt;/Keywords&gt;&lt;Keywords&gt;review&lt;/Keywords&gt;&lt;Keywords&gt;sensitivity and specificity&lt;/Keywords&gt;&lt;Keywords&gt;squamous epithelium&lt;/Keywords&gt;&lt;Keywords&gt;systematic review&lt;/Keywords&gt;&lt;Keywords&gt;uterine cervix cytology&lt;/Keywords&gt;&lt;Reprint&gt;Not in File&lt;/Reprint&gt;&lt;Start_Page&gt;122&lt;/Start_Page&gt;&lt;End_Page&gt;132&lt;/End_Page&gt;&lt;Periodical&gt;Lancet&lt;/Periodical&gt;&lt;Volume&gt;367&lt;/Volume&gt;&lt;Issue&gt;9505&lt;/Issue&gt;&lt;ISSN_ISBN&gt;0140-6736&lt;/ISSN_ISBN&gt;&lt;Address&gt;Davey, E., Screening and Test Evaluation Program, School of Public Health, University of Sydney, NSW 2006, Australia&lt;/Address&gt;&lt;ZZ_JournalFull&gt;&lt;f name="System"&gt;Lancet&lt;/f&gt;&lt;/ZZ_JournalFull&gt;&lt;ZZ_WorkformID&gt;1&lt;/ZZ_WorkformID&gt;&lt;/MDL&gt;&lt;/Cite&gt;&lt;/Refman&gt;</w:instrText>
      </w:r>
      <w:r w:rsidRPr="007A3B60">
        <w:fldChar w:fldCharType="separate"/>
      </w:r>
      <w:r w:rsidRPr="007A3B60">
        <w:t>(Davey et al. 2006)</w:t>
      </w:r>
      <w:r w:rsidRPr="007A3B60">
        <w:fldChar w:fldCharType="end"/>
      </w:r>
      <w:r w:rsidRPr="007A3B60">
        <w:t xml:space="preserve">. Information on HPV status in a subset of women was available </w:t>
      </w:r>
      <w:r w:rsidRPr="007A3B60">
        <w:fldChar w:fldCharType="begin"/>
      </w:r>
      <w:r w:rsidRPr="007A3B60">
        <w:instrText xml:space="preserve"> ADDIN REFMGR.CITE &lt;Refman&gt;&lt;Cite&gt;&lt;Author&gt;de Cremoux&lt;/Author&gt;&lt;Year&gt;2003&lt;/Year&gt;&lt;RecNum&gt;2&lt;/RecNum&gt;&lt;IDText&gt;Efficiency of the hybrid capture 2 HPV DNA test in cervical cancer screening. A study by the French Society of Clinical Cytology&lt;/IDText&gt;&lt;MDL Ref_Type="Journal"&gt;&lt;Ref_Type&gt;Journal&lt;/Ref_Type&gt;&lt;Ref_ID&gt;2&lt;/Ref_ID&gt;&lt;Title_Primary&gt;Efficiency of the hybrid capture 2 HPV DNA test in cervical cancer screening. A study by the French Society of Clinical Cytology&lt;/Title_Primary&gt;&lt;Authors_Primary&gt;de Cremoux,P.&lt;/Authors_Primary&gt;&lt;Authors_Primary&gt;Coste,J.&lt;/Authors_Primary&gt;&lt;Authors_Primary&gt;Sastre-Garau,X.&lt;/Authors_Primary&gt;&lt;Authors_Primary&gt;Thioux,M.&lt;/Authors_Primary&gt;&lt;Authors_Primary&gt;Bouillac,C.&lt;/Authors_Primary&gt;&lt;Authors_Primary&gt;Labbe,S.&lt;/Authors_Primary&gt;&lt;Authors_Primary&gt;Cartier,I.&lt;/Authors_Primary&gt;&lt;Authors_Primary&gt;Ziol,M.&lt;/Authors_Primary&gt;&lt;Authors_Primary&gt;Dosda,A.&lt;/Authors_Primary&gt;&lt;Authors_Primary&gt;Le,Gales C.&lt;/Authors_Primary&gt;&lt;Authors_Primary&gt;Molinie,V.&lt;/Authors_Primary&gt;&lt;Authors_Primary&gt;Vacher-Lavenu,M.C.&lt;/Authors_Primary&gt;&lt;Authors_Primary&gt;Cochand-Priollet,B.&lt;/Authors_Primary&gt;&lt;Authors_Primary&gt;Vielh,P.&lt;/Authors_Primary&gt;&lt;Authors_Primary&gt;Magdelenat,H.&lt;/Authors_Primary&gt;&lt;Date_Primary&gt;2003/10&lt;/Date_Primary&gt;&lt;Keywords&gt;abnormalities&lt;/Keywords&gt;&lt;Keywords&gt;Adult&lt;/Keywords&gt;&lt;Keywords&gt;Aged&lt;/Keywords&gt;&lt;Keywords&gt;analysis&lt;/Keywords&gt;&lt;Keywords&gt;Cancer&lt;/Keywords&gt;&lt;Keywords&gt;Clinical&lt;/Keywords&gt;&lt;Keywords&gt;Colposcopy&lt;/Keywords&gt;&lt;Keywords&gt;cytology&lt;/Keywords&gt;&lt;Keywords&gt;diagnosis&lt;/Keywords&gt;&lt;Keywords&gt;Diagnostic Errors&lt;/Keywords&gt;&lt;Keywords&gt;Dna&lt;/Keywords&gt;&lt;Keywords&gt;Dna,Viral&lt;/Keywords&gt;&lt;Keywords&gt;economics&lt;/Keywords&gt;&lt;Keywords&gt;Evaluation Studies&lt;/Keywords&gt;&lt;Keywords&gt;Female&lt;/Keywords&gt;&lt;Keywords&gt;France&lt;/Keywords&gt;&lt;Keywords&gt;genetics&lt;/Keywords&gt;&lt;Keywords&gt;HPV&lt;/Keywords&gt;&lt;Keywords&gt;Human&lt;/Keywords&gt;&lt;Keywords&gt;Humans&lt;/Keywords&gt;&lt;Keywords&gt;isolation &amp;amp; purification&lt;/Keywords&gt;&lt;Keywords&gt;Light&lt;/Keywords&gt;&lt;Keywords&gt;Mass Screening&lt;/Keywords&gt;&lt;Keywords&gt;methods&lt;/Keywords&gt;&lt;Keywords&gt;Middle Aged&lt;/Keywords&gt;&lt;Keywords&gt;Multicenter Studies&lt;/Keywords&gt;&lt;Keywords&gt;Neoplasia&lt;/Keywords&gt;&lt;Keywords&gt;Nucleic Acid Hybridization&lt;/Keywords&gt;&lt;Keywords&gt;Papillomaviridae&lt;/Keywords&gt;&lt;Keywords&gt;Papillomavirus&lt;/Keywords&gt;&lt;Keywords&gt;Papillomavirus Infections&lt;/Keywords&gt;&lt;Keywords&gt;Patients&lt;/Keywords&gt;&lt;Keywords&gt;prevention &amp;amp; control&lt;/Keywords&gt;&lt;Keywords&gt;Prospective Studies&lt;/Keywords&gt;&lt;Keywords&gt;Research&lt;/Keywords&gt;&lt;Keywords&gt;screening&lt;/Keywords&gt;&lt;Keywords&gt;Sensitivity and Specificity&lt;/Keywords&gt;&lt;Keywords&gt;Societies&lt;/Keywords&gt;&lt;Keywords&gt;Societies,Scientific&lt;/Keywords&gt;&lt;Keywords&gt;Support&lt;/Keywords&gt;&lt;Keywords&gt;Tumor Virus Infections&lt;/Keywords&gt;&lt;Keywords&gt;Uterine Cervical Neoplasms&lt;/Keywords&gt;&lt;Keywords&gt;Vaginal Smears&lt;/Keywords&gt;&lt;Keywords&gt;Viral&lt;/Keywords&gt;&lt;Reprint&gt;Not in File&lt;/Reprint&gt;&lt;Start_Page&gt;492&lt;/Start_Page&gt;&lt;End_Page&gt;499&lt;/End_Page&gt;&lt;Periodical&gt;Am J Clin Pathol&lt;/Periodical&gt;&lt;Volume&gt;120&lt;/Volume&gt;&lt;Issue&gt;4&lt;/Issue&gt;&lt;Address&gt;Department of Tumor Biology, Institut Curie, Paris, France&lt;/Address&gt;&lt;Web_URL&gt;&lt;u&gt;PM:14560561&lt;/u&gt;&lt;/Web_URL&gt;&lt;ZZ_JournalStdAbbrev&gt;&lt;f name="System"&gt;Am J Clin Pathol&lt;/f&gt;&lt;/ZZ_JournalStdAbbrev&gt;&lt;ZZ_WorkformID&gt;1&lt;/ZZ_WorkformID&gt;&lt;/MDL&gt;&lt;/Cite&gt;&lt;/Refman&gt;</w:instrText>
      </w:r>
      <w:r w:rsidRPr="007A3B60">
        <w:fldChar w:fldCharType="separate"/>
      </w:r>
      <w:r w:rsidRPr="007A3B60">
        <w:t>(de Cremoux et al. 2003)</w:t>
      </w:r>
      <w:r w:rsidRPr="007A3B60">
        <w:fldChar w:fldCharType="end"/>
      </w:r>
      <w:r w:rsidRPr="007A3B60">
        <w:t>.</w:t>
      </w:r>
    </w:p>
    <w:p w:rsidR="00234376" w:rsidRPr="007A3B60" w:rsidRDefault="00234376" w:rsidP="00B94BF8">
      <w:pPr>
        <w:pStyle w:val="Heading3"/>
      </w:pPr>
      <w:r w:rsidRPr="007A3B60">
        <w:t>Data sources for negative cytology estimates</w:t>
      </w:r>
    </w:p>
    <w:p w:rsidR="00234376" w:rsidRPr="007A3B60" w:rsidRDefault="00234376" w:rsidP="008E03A7">
      <w:r w:rsidRPr="007A3B60">
        <w:t xml:space="preserve">In all studies of test accuracy there is difficulty involved in histological verification of women with negative smears. Where it has been necessary to indirectly estimate the underlying health states of women with normal cytology owing to a lack of data or lack of verification, FN test results were derived through evidence of the sensitivity of LBC or CC at various cytology thresholds </w:t>
      </w:r>
      <w:r w:rsidRPr="007A3B60">
        <w:fldChar w:fldCharType="begin"/>
      </w:r>
      <w:r w:rsidRPr="007A3B60">
        <w:instrText xml:space="preserve"> ADDIN REFMGR.CITE &lt;Refman&gt;&lt;Cite&gt;&lt;Author&gt;Nanda&lt;/Author&gt;&lt;Year&gt;2000&lt;/Year&gt;&lt;RecNum&gt;933&lt;/RecNum&gt;&lt;IDText&gt;Accuracy of the Papanicolaou test in screening for and follow-up of cervical cytologic abnormalities: a systematic review&lt;/IDText&gt;&lt;MDL Ref_Type="Journal"&gt;&lt;Ref_Type&gt;Journal&lt;/Ref_Type&gt;&lt;Ref_ID&gt;933&lt;/Ref_ID&gt;&lt;Title_Primary&gt;Accuracy of the Papanicolaou test in screening for and follow-up of cervical cytologic abnormalities: a systematic review&lt;/Title_Primary&gt;&lt;Authors_Primary&gt;Nanda,K.&lt;/Authors_Primary&gt;&lt;Authors_Primary&gt;McCrory,D.C.&lt;/Authors_Primary&gt;&lt;Authors_Primary&gt;Myers,E.R.&lt;/Authors_Primary&gt;&lt;Authors_Primary&gt;Bastian,L.A.&lt;/Authors_Primary&gt;&lt;Authors_Primary&gt;Hasselblad,V.&lt;/Authors_Primary&gt;&lt;Authors_Primary&gt;Hickey,J.D.&lt;/Authors_Primary&gt;&lt;Authors_Primary&gt;Matchar,D.B.&lt;/Authors_Primary&gt;&lt;Date_Primary&gt;2000&lt;/Date_Primary&gt;&lt;Keywords&gt;abnormalities&lt;/Keywords&gt;&lt;Keywords&gt;Cancer&lt;/Keywords&gt;&lt;Keywords&gt;Cervix Neoplasms&lt;/Keywords&gt;&lt;Keywords&gt;Cervix Uteri&lt;/Keywords&gt;&lt;Keywords&gt;Colposcopy&lt;/Keywords&gt;&lt;Keywords&gt;cost-effectiveness&lt;/Keywords&gt;&lt;Keywords&gt;cytology&lt;/Keywords&gt;&lt;Keywords&gt;diagnosis&lt;/Keywords&gt;&lt;Keywords&gt;Diagnosis,Computer-Assisted&lt;/Keywords&gt;&lt;Keywords&gt;Disease&lt;/Keywords&gt;&lt;Keywords&gt;Female&lt;/Keywords&gt;&lt;Keywords&gt;Hand&lt;/Keywords&gt;&lt;Keywords&gt;Human&lt;/Keywords&gt;&lt;Keywords&gt;Mass Screening&lt;/Keywords&gt;&lt;Keywords&gt;methods&lt;/Keywords&gt;&lt;Keywords&gt;Model&lt;/Keywords&gt;&lt;Keywords&gt;pathology&lt;/Keywords&gt;&lt;Keywords&gt;screening&lt;/Keywords&gt;&lt;Keywords&gt;Sensitivity and Specificity&lt;/Keywords&gt;&lt;Keywords&gt;standards&lt;/Keywords&gt;&lt;Keywords&gt;Support,U.S.Gov&amp;apos;t,Non-P.H.S.&lt;/Keywords&gt;&lt;Keywords&gt;Support,U.S.Gov&amp;apos;t,P.H.S.&lt;/Keywords&gt;&lt;Keywords&gt;Universities&lt;/Keywords&gt;&lt;Keywords&gt;Vaginal Smears&lt;/Keywords&gt;&lt;Reprint&gt;Not in File&lt;/Reprint&gt;&lt;Start_Page&gt;810&lt;/Start_Page&gt;&lt;End_Page&gt;819&lt;/End_Page&gt;&lt;Periodical&gt;Ann Intern Med JID - 0372351&lt;/Periodical&gt;&lt;Volume&gt;132&lt;/Volume&gt;&lt;Issue&gt;10&lt;/Issue&gt;&lt;Address&gt;Duke University Medical Center and Durham Veterans Affairs Medical Center, North Carolina 27705, USA knanda@fhiorgFAU - Nanda, K&lt;/Address&gt;&lt;ZZ_JournalStdAbbrev&gt;&lt;f name="System"&gt;Ann Intern Med JID - 0372351&lt;/f&gt;&lt;/ZZ_JournalStdAbbrev&gt;&lt;ZZ_WorkformID&gt;1&lt;/ZZ_WorkformID&gt;&lt;/MDL&gt;&lt;/Cite&gt;&lt;Cite&gt;&lt;Author&gt;Arbyn&lt;/Author&gt;&lt;Year&gt;2008&lt;/Year&gt;&lt;RecNum&gt;5&lt;/RecNum&gt;&lt;IDText&gt;Liquid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7A3B60">
        <w:fldChar w:fldCharType="separate"/>
      </w:r>
      <w:r w:rsidRPr="007A3B60">
        <w:t>(Arbyn et al. 2008; Krahn et al. 2008; Nanda et al. 2000)</w:t>
      </w:r>
      <w:r w:rsidRPr="007A3B60">
        <w:fldChar w:fldCharType="end"/>
      </w:r>
      <w:r w:rsidRPr="007A3B60">
        <w:t>. TN results were calculated as the remainder, or through estimates of the specificity of LBC or CC at various cytology thresholds (</w:t>
      </w:r>
      <w:r w:rsidRPr="007A3B60">
        <w:fldChar w:fldCharType="begin"/>
      </w:r>
      <w:r w:rsidRPr="007A3B60">
        <w:instrText xml:space="preserve"> REF _Ref95894980 \h </w:instrText>
      </w:r>
      <w:r w:rsidR="007A3B60">
        <w:instrText xml:space="preserve"> \* MERGEFORMAT </w:instrText>
      </w:r>
      <w:r w:rsidRPr="007A3B60">
        <w:fldChar w:fldCharType="separate"/>
      </w:r>
      <w:r w:rsidR="007D3DFF" w:rsidRPr="007A3B60">
        <w:t xml:space="preserve">Table </w:t>
      </w:r>
      <w:r w:rsidR="007D3DFF">
        <w:rPr>
          <w:noProof/>
        </w:rPr>
        <w:t>72</w:t>
      </w:r>
      <w:r w:rsidRPr="007A3B60">
        <w:fldChar w:fldCharType="end"/>
      </w:r>
      <w:r w:rsidRPr="007A3B60">
        <w:t>).</w:t>
      </w:r>
    </w:p>
    <w:p w:rsidR="00234376" w:rsidRPr="007A3B60" w:rsidRDefault="00234376" w:rsidP="008E03A7">
      <w:pPr>
        <w:pStyle w:val="Caption"/>
      </w:pPr>
      <w:bookmarkStart w:id="1103" w:name="_Ref95894980"/>
      <w:bookmarkStart w:id="1104" w:name="_Toc216169960"/>
      <w:bookmarkStart w:id="1105" w:name="_Toc95971308"/>
      <w:r w:rsidRPr="007A3B60">
        <w:t xml:space="preserve">Table </w:t>
      </w:r>
      <w:fldSimple w:instr=" SEQ Table \* ARABIC ">
        <w:r w:rsidR="007D3DFF">
          <w:rPr>
            <w:noProof/>
          </w:rPr>
          <w:t>72</w:t>
        </w:r>
      </w:fldSimple>
      <w:bookmarkEnd w:id="1103"/>
      <w:r w:rsidRPr="007A3B60">
        <w:tab/>
        <w:t>Sensitivity and specificity estimates at cytological thresholds of ASCUS, LSIL and HSIL (TBS1994 terminology)</w:t>
      </w:r>
      <w:bookmarkEnd w:id="1104"/>
      <w:r w:rsidRPr="007A3B60">
        <w:t>.</w:t>
      </w:r>
      <w:bookmarkEnd w:id="1105"/>
    </w:p>
    <w:tbl>
      <w:tblPr>
        <w:tblW w:w="4774" w:type="pct"/>
        <w:tblInd w:w="789" w:type="dxa"/>
        <w:tblLayout w:type="fixed"/>
        <w:tblCellMar>
          <w:left w:w="57" w:type="dxa"/>
          <w:right w:w="57" w:type="dxa"/>
        </w:tblCellMar>
        <w:tblLook w:val="0000" w:firstRow="0" w:lastRow="0" w:firstColumn="0" w:lastColumn="0" w:noHBand="0" w:noVBand="0"/>
      </w:tblPr>
      <w:tblGrid>
        <w:gridCol w:w="1890"/>
        <w:gridCol w:w="1142"/>
        <w:gridCol w:w="1141"/>
        <w:gridCol w:w="1141"/>
        <w:gridCol w:w="1141"/>
        <w:gridCol w:w="1141"/>
        <w:gridCol w:w="1131"/>
      </w:tblGrid>
      <w:tr w:rsidR="00234376" w:rsidRPr="007A3B60">
        <w:tc>
          <w:tcPr>
            <w:tcW w:w="1082" w:type="pct"/>
            <w:vMerge w:val="restart"/>
            <w:tcBorders>
              <w:top w:val="single" w:sz="4" w:space="0" w:color="auto"/>
            </w:tcBorders>
          </w:tcPr>
          <w:p w:rsidR="00234376" w:rsidRPr="007A3B60" w:rsidRDefault="00234376" w:rsidP="008E03A7">
            <w:pPr>
              <w:pStyle w:val="TableHeading"/>
            </w:pPr>
            <w:r w:rsidRPr="007A3B60">
              <w:t>Source (detection threshold)</w:t>
            </w:r>
          </w:p>
        </w:tc>
        <w:tc>
          <w:tcPr>
            <w:tcW w:w="1962" w:type="pct"/>
            <w:gridSpan w:val="3"/>
            <w:tcBorders>
              <w:top w:val="single" w:sz="4" w:space="0" w:color="auto"/>
              <w:bottom w:val="single" w:sz="4" w:space="0" w:color="auto"/>
            </w:tcBorders>
          </w:tcPr>
          <w:p w:rsidR="00234376" w:rsidRPr="007A3B60" w:rsidRDefault="00234376" w:rsidP="008E03A7">
            <w:pPr>
              <w:pStyle w:val="TableHeading"/>
              <w:jc w:val="center"/>
            </w:pPr>
            <w:r w:rsidRPr="007A3B60">
              <w:t>Sensitivity</w:t>
            </w:r>
          </w:p>
        </w:tc>
        <w:tc>
          <w:tcPr>
            <w:tcW w:w="1957" w:type="pct"/>
            <w:gridSpan w:val="3"/>
            <w:tcBorders>
              <w:top w:val="single" w:sz="4" w:space="0" w:color="auto"/>
              <w:bottom w:val="single" w:sz="4" w:space="0" w:color="auto"/>
            </w:tcBorders>
          </w:tcPr>
          <w:p w:rsidR="00234376" w:rsidRPr="007A3B60" w:rsidRDefault="00234376" w:rsidP="008E03A7">
            <w:pPr>
              <w:pStyle w:val="TableHeading"/>
              <w:jc w:val="center"/>
            </w:pPr>
            <w:r w:rsidRPr="007A3B60">
              <w:t>Specificity</w:t>
            </w:r>
          </w:p>
        </w:tc>
      </w:tr>
      <w:tr w:rsidR="00234376" w:rsidRPr="007A3B60">
        <w:tc>
          <w:tcPr>
            <w:tcW w:w="1082" w:type="pct"/>
            <w:vMerge/>
          </w:tcPr>
          <w:p w:rsidR="00234376" w:rsidRPr="007A3B60" w:rsidRDefault="00234376" w:rsidP="008E03A7">
            <w:pPr>
              <w:pStyle w:val="TableHeading"/>
            </w:pPr>
          </w:p>
        </w:tc>
        <w:tc>
          <w:tcPr>
            <w:tcW w:w="654" w:type="pct"/>
            <w:tcBorders>
              <w:top w:val="single" w:sz="4" w:space="0" w:color="auto"/>
              <w:bottom w:val="single" w:sz="4" w:space="0" w:color="auto"/>
            </w:tcBorders>
          </w:tcPr>
          <w:p w:rsidR="00234376" w:rsidRPr="007A3B60" w:rsidRDefault="00234376" w:rsidP="00234376">
            <w:pPr>
              <w:pStyle w:val="TableHeading"/>
              <w:jc w:val="center"/>
            </w:pPr>
            <w:r w:rsidRPr="007A3B60">
              <w:t>ASCUS</w:t>
            </w:r>
          </w:p>
        </w:tc>
        <w:tc>
          <w:tcPr>
            <w:tcW w:w="654" w:type="pct"/>
            <w:tcBorders>
              <w:top w:val="single" w:sz="4" w:space="0" w:color="auto"/>
              <w:bottom w:val="single" w:sz="4" w:space="0" w:color="auto"/>
            </w:tcBorders>
          </w:tcPr>
          <w:p w:rsidR="00234376" w:rsidRPr="007A3B60" w:rsidRDefault="00234376" w:rsidP="00234376">
            <w:pPr>
              <w:pStyle w:val="TableHeading"/>
              <w:jc w:val="center"/>
            </w:pPr>
            <w:r w:rsidRPr="007A3B60">
              <w:t>LSIL</w:t>
            </w:r>
          </w:p>
        </w:tc>
        <w:tc>
          <w:tcPr>
            <w:tcW w:w="654" w:type="pct"/>
            <w:tcBorders>
              <w:top w:val="single" w:sz="4" w:space="0" w:color="auto"/>
              <w:bottom w:val="single" w:sz="4" w:space="0" w:color="auto"/>
            </w:tcBorders>
          </w:tcPr>
          <w:p w:rsidR="00234376" w:rsidRPr="007A3B60" w:rsidRDefault="00234376" w:rsidP="00234376">
            <w:pPr>
              <w:pStyle w:val="TableHeading"/>
              <w:jc w:val="center"/>
            </w:pPr>
            <w:r w:rsidRPr="007A3B60">
              <w:t>HSIL</w:t>
            </w:r>
          </w:p>
        </w:tc>
        <w:tc>
          <w:tcPr>
            <w:tcW w:w="654" w:type="pct"/>
            <w:tcBorders>
              <w:top w:val="single" w:sz="4" w:space="0" w:color="auto"/>
              <w:bottom w:val="single" w:sz="4" w:space="0" w:color="auto"/>
            </w:tcBorders>
          </w:tcPr>
          <w:p w:rsidR="00234376" w:rsidRPr="007A3B60" w:rsidRDefault="00234376" w:rsidP="00234376">
            <w:pPr>
              <w:pStyle w:val="TableHeading"/>
              <w:jc w:val="center"/>
            </w:pPr>
            <w:r w:rsidRPr="007A3B60">
              <w:t>ASCUS</w:t>
            </w:r>
          </w:p>
        </w:tc>
        <w:tc>
          <w:tcPr>
            <w:tcW w:w="654" w:type="pct"/>
            <w:tcBorders>
              <w:top w:val="single" w:sz="4" w:space="0" w:color="auto"/>
              <w:bottom w:val="single" w:sz="4" w:space="0" w:color="auto"/>
            </w:tcBorders>
          </w:tcPr>
          <w:p w:rsidR="00234376" w:rsidRPr="007A3B60" w:rsidRDefault="00234376" w:rsidP="00234376">
            <w:pPr>
              <w:pStyle w:val="TableHeading"/>
              <w:jc w:val="center"/>
            </w:pPr>
            <w:r w:rsidRPr="007A3B60">
              <w:t>LSIL</w:t>
            </w:r>
          </w:p>
        </w:tc>
        <w:tc>
          <w:tcPr>
            <w:tcW w:w="649" w:type="pct"/>
            <w:tcBorders>
              <w:top w:val="single" w:sz="4" w:space="0" w:color="auto"/>
              <w:bottom w:val="single" w:sz="4" w:space="0" w:color="auto"/>
            </w:tcBorders>
          </w:tcPr>
          <w:p w:rsidR="00234376" w:rsidRPr="007A3B60" w:rsidRDefault="00234376" w:rsidP="00234376">
            <w:pPr>
              <w:pStyle w:val="TableHeading"/>
              <w:jc w:val="center"/>
            </w:pPr>
            <w:r w:rsidRPr="007A3B60">
              <w:t>HSIL</w:t>
            </w:r>
          </w:p>
        </w:tc>
      </w:tr>
      <w:tr w:rsidR="00234376" w:rsidRPr="007A3B60">
        <w:trPr>
          <w:trHeight w:val="205"/>
        </w:trPr>
        <w:tc>
          <w:tcPr>
            <w:tcW w:w="1082" w:type="pct"/>
            <w:tcBorders>
              <w:bottom w:val="nil"/>
            </w:tcBorders>
          </w:tcPr>
          <w:p w:rsidR="00234376" w:rsidRPr="007A3B60" w:rsidRDefault="00234376" w:rsidP="008E03A7">
            <w:pPr>
              <w:pStyle w:val="TableHeading"/>
            </w:pPr>
            <w:r w:rsidRPr="007A3B60">
              <w:t>CC</w:t>
            </w:r>
          </w:p>
        </w:tc>
        <w:tc>
          <w:tcPr>
            <w:tcW w:w="654" w:type="pct"/>
            <w:tcBorders>
              <w:top w:val="single" w:sz="4" w:space="0" w:color="auto"/>
              <w:bottom w:val="nil"/>
            </w:tcBorders>
          </w:tcPr>
          <w:p w:rsidR="00234376" w:rsidRPr="007A3B60" w:rsidRDefault="00234376" w:rsidP="00234376">
            <w:pPr>
              <w:pStyle w:val="TableHeading"/>
              <w:jc w:val="center"/>
            </w:pPr>
          </w:p>
        </w:tc>
        <w:tc>
          <w:tcPr>
            <w:tcW w:w="654" w:type="pct"/>
            <w:tcBorders>
              <w:top w:val="single" w:sz="4" w:space="0" w:color="auto"/>
              <w:bottom w:val="nil"/>
            </w:tcBorders>
          </w:tcPr>
          <w:p w:rsidR="00234376" w:rsidRPr="007A3B60" w:rsidRDefault="00234376" w:rsidP="00234376">
            <w:pPr>
              <w:pStyle w:val="TableHeading"/>
              <w:jc w:val="center"/>
            </w:pPr>
          </w:p>
        </w:tc>
        <w:tc>
          <w:tcPr>
            <w:tcW w:w="654" w:type="pct"/>
            <w:tcBorders>
              <w:top w:val="single" w:sz="4" w:space="0" w:color="auto"/>
              <w:bottom w:val="nil"/>
            </w:tcBorders>
          </w:tcPr>
          <w:p w:rsidR="00234376" w:rsidRPr="007A3B60" w:rsidRDefault="00234376" w:rsidP="00234376">
            <w:pPr>
              <w:pStyle w:val="TableHeading"/>
              <w:jc w:val="center"/>
            </w:pPr>
          </w:p>
        </w:tc>
        <w:tc>
          <w:tcPr>
            <w:tcW w:w="654" w:type="pct"/>
            <w:tcBorders>
              <w:top w:val="single" w:sz="4" w:space="0" w:color="auto"/>
              <w:bottom w:val="nil"/>
            </w:tcBorders>
          </w:tcPr>
          <w:p w:rsidR="00234376" w:rsidRPr="007A3B60" w:rsidRDefault="00234376" w:rsidP="00234376">
            <w:pPr>
              <w:pStyle w:val="TableHeading"/>
              <w:jc w:val="center"/>
            </w:pPr>
          </w:p>
        </w:tc>
        <w:tc>
          <w:tcPr>
            <w:tcW w:w="654" w:type="pct"/>
            <w:tcBorders>
              <w:top w:val="single" w:sz="4" w:space="0" w:color="auto"/>
              <w:bottom w:val="nil"/>
            </w:tcBorders>
          </w:tcPr>
          <w:p w:rsidR="00234376" w:rsidRPr="007A3B60" w:rsidRDefault="00234376" w:rsidP="00234376">
            <w:pPr>
              <w:pStyle w:val="TableHeading"/>
              <w:jc w:val="center"/>
            </w:pPr>
          </w:p>
        </w:tc>
        <w:tc>
          <w:tcPr>
            <w:tcW w:w="649" w:type="pct"/>
            <w:tcBorders>
              <w:top w:val="single" w:sz="4" w:space="0" w:color="auto"/>
              <w:bottom w:val="nil"/>
            </w:tcBorders>
          </w:tcPr>
          <w:p w:rsidR="00234376" w:rsidRPr="007A3B60" w:rsidRDefault="00234376" w:rsidP="00234376">
            <w:pPr>
              <w:pStyle w:val="TableHeading"/>
              <w:jc w:val="center"/>
            </w:pPr>
          </w:p>
        </w:tc>
      </w:tr>
      <w:tr w:rsidR="00234376" w:rsidRPr="007A3B60">
        <w:trPr>
          <w:trHeight w:val="205"/>
        </w:trPr>
        <w:tc>
          <w:tcPr>
            <w:tcW w:w="1082" w:type="pct"/>
            <w:tcBorders>
              <w:top w:val="nil"/>
              <w:bottom w:val="nil"/>
            </w:tcBorders>
          </w:tcPr>
          <w:p w:rsidR="00234376" w:rsidRPr="007A3B60" w:rsidRDefault="00234376" w:rsidP="008E03A7">
            <w:pPr>
              <w:pStyle w:val="TableTextLessSpaceCharCharCharCharCharCharCharChar"/>
              <w:rPr>
                <w:sz w:val="16"/>
              </w:rPr>
            </w:pPr>
            <w:r w:rsidRPr="007A3B60">
              <w:rPr>
                <w:sz w:val="16"/>
              </w:rPr>
              <w:t>Nanda et al. (CIN 1+)</w:t>
            </w:r>
          </w:p>
        </w:tc>
        <w:tc>
          <w:tcPr>
            <w:tcW w:w="654" w:type="pct"/>
            <w:tcBorders>
              <w:top w:val="nil"/>
              <w:bottom w:val="nil"/>
            </w:tcBorders>
          </w:tcPr>
          <w:p w:rsidR="00234376" w:rsidRPr="007A3B60" w:rsidRDefault="00234376" w:rsidP="00234376">
            <w:pPr>
              <w:pStyle w:val="TableText"/>
              <w:jc w:val="center"/>
              <w:rPr>
                <w:rStyle w:val="TableTextLessSpaceCharCharCharCharCharCharCharCharChar"/>
                <w:b/>
                <w:sz w:val="16"/>
              </w:rPr>
            </w:pPr>
            <w:r w:rsidRPr="007A3B60">
              <w:rPr>
                <w:rStyle w:val="TableTextLessSpaceCharCharCharCharCharCharCharCharChar"/>
                <w:b/>
                <w:sz w:val="16"/>
              </w:rPr>
              <w:t xml:space="preserve">0.68 </w:t>
            </w:r>
            <w:r w:rsidR="006E731C" w:rsidRPr="007A3B60">
              <w:rPr>
                <w:rStyle w:val="TableTextLessSpaceCharCharCharCharCharCharCharCharChar"/>
                <w:sz w:val="16"/>
              </w:rPr>
              <w:t>[</w:t>
            </w:r>
            <w:r w:rsidRPr="007A3B60">
              <w:rPr>
                <w:rStyle w:val="TableTextLessSpaceCharCharCharCharCharCharCharCharChar"/>
                <w:sz w:val="16"/>
              </w:rPr>
              <w:t>0.31–0.92</w:t>
            </w:r>
            <w:r w:rsidR="006E731C" w:rsidRPr="007A3B60">
              <w:rPr>
                <w:rStyle w:val="TableTextLessSpaceCharCharCharCharCharCharCharCharChar"/>
                <w:sz w:val="16"/>
              </w:rPr>
              <w:t>]</w:t>
            </w:r>
            <w:r w:rsidR="006E731C" w:rsidRPr="007A3B60">
              <w:rPr>
                <w:sz w:val="16"/>
                <w:vertAlign w:val="superscript"/>
              </w:rPr>
              <w:t xml:space="preserve"> a</w:t>
            </w:r>
          </w:p>
        </w:tc>
        <w:tc>
          <w:tcPr>
            <w:tcW w:w="654" w:type="pct"/>
            <w:tcBorders>
              <w:top w:val="nil"/>
              <w:bottom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 xml:space="preserve">0.62 </w:t>
            </w:r>
            <w:r w:rsidR="006E731C" w:rsidRPr="007A3B60">
              <w:rPr>
                <w:rStyle w:val="TableTextLessSpaceCharCharCharCharCharCharCharCharChar"/>
                <w:sz w:val="16"/>
              </w:rPr>
              <w:t>[</w:t>
            </w:r>
            <w:r w:rsidRPr="007A3B60">
              <w:rPr>
                <w:rStyle w:val="TableTextLessSpaceCharCharCharCharCharCharCharCharChar"/>
                <w:sz w:val="16"/>
              </w:rPr>
              <w:t>0.18–0.98</w:t>
            </w:r>
            <w:r w:rsidR="006E731C" w:rsidRPr="007A3B60">
              <w:rPr>
                <w:rStyle w:val="TableTextLessSpaceCharCharCharCharCharCharCharCharChar"/>
                <w:sz w:val="16"/>
              </w:rPr>
              <w:t>]</w:t>
            </w:r>
            <w:r w:rsidR="006E731C" w:rsidRPr="007A3B60">
              <w:rPr>
                <w:sz w:val="16"/>
                <w:vertAlign w:val="superscript"/>
              </w:rPr>
              <w:t xml:space="preserve"> a</w:t>
            </w:r>
          </w:p>
        </w:tc>
        <w:tc>
          <w:tcPr>
            <w:tcW w:w="654" w:type="pct"/>
            <w:tcBorders>
              <w:top w:val="nil"/>
              <w:bottom w:val="nil"/>
            </w:tcBorders>
          </w:tcPr>
          <w:p w:rsidR="00234376" w:rsidRPr="007A3B60" w:rsidRDefault="00234376" w:rsidP="00234376">
            <w:pPr>
              <w:pStyle w:val="TableText"/>
              <w:jc w:val="center"/>
              <w:rPr>
                <w:rStyle w:val="TableTextLessSpaceCharCharCharCharCharCharCharCharChar"/>
                <w:sz w:val="16"/>
              </w:rPr>
            </w:pPr>
            <w:r w:rsidRPr="007A3B60" w:rsidDel="001E6D1E">
              <w:rPr>
                <w:rStyle w:val="TableTextLessSpaceCharCharCharCharCharCharCharCharChar"/>
                <w:sz w:val="16"/>
              </w:rPr>
              <w:t>–</w:t>
            </w:r>
          </w:p>
        </w:tc>
        <w:tc>
          <w:tcPr>
            <w:tcW w:w="654" w:type="pct"/>
            <w:tcBorders>
              <w:top w:val="nil"/>
              <w:bottom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 xml:space="preserve">0.75 </w:t>
            </w:r>
            <w:r w:rsidR="006E731C" w:rsidRPr="007A3B60">
              <w:rPr>
                <w:rStyle w:val="TableTextLessSpaceCharCharCharCharCharCharCharCharChar"/>
                <w:sz w:val="16"/>
              </w:rPr>
              <w:t>[</w:t>
            </w:r>
            <w:r w:rsidRPr="007A3B60">
              <w:rPr>
                <w:rStyle w:val="TableTextLessSpaceCharCharCharCharCharCharCharCharChar"/>
                <w:sz w:val="16"/>
              </w:rPr>
              <w:t>0.17–0.99</w:t>
            </w:r>
            <w:r w:rsidR="006E731C" w:rsidRPr="007A3B60">
              <w:rPr>
                <w:rStyle w:val="TableTextLessSpaceCharCharCharCharCharCharCharCharChar"/>
                <w:sz w:val="16"/>
              </w:rPr>
              <w:t>]</w:t>
            </w:r>
            <w:r w:rsidR="006E731C" w:rsidRPr="007A3B60">
              <w:rPr>
                <w:sz w:val="16"/>
                <w:vertAlign w:val="superscript"/>
              </w:rPr>
              <w:t xml:space="preserve"> a</w:t>
            </w:r>
          </w:p>
        </w:tc>
        <w:tc>
          <w:tcPr>
            <w:tcW w:w="654" w:type="pct"/>
            <w:tcBorders>
              <w:top w:val="nil"/>
              <w:bottom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 xml:space="preserve">0.90 </w:t>
            </w:r>
            <w:r w:rsidR="006E731C" w:rsidRPr="007A3B60">
              <w:rPr>
                <w:rStyle w:val="TableTextLessSpaceCharCharCharCharCharCharCharCharChar"/>
                <w:sz w:val="16"/>
              </w:rPr>
              <w:t>[</w:t>
            </w:r>
            <w:r w:rsidRPr="007A3B60">
              <w:rPr>
                <w:rStyle w:val="TableTextLessSpaceCharCharCharCharCharCharCharCharChar"/>
                <w:sz w:val="16"/>
              </w:rPr>
              <w:t>0.09–1.0</w:t>
            </w:r>
            <w:r w:rsidR="006E731C" w:rsidRPr="007A3B60">
              <w:rPr>
                <w:rStyle w:val="TableTextLessSpaceCharCharCharCharCharCharCharCharChar"/>
                <w:sz w:val="16"/>
              </w:rPr>
              <w:t>]</w:t>
            </w:r>
            <w:r w:rsidR="006E731C" w:rsidRPr="007A3B60">
              <w:rPr>
                <w:sz w:val="16"/>
                <w:vertAlign w:val="superscript"/>
              </w:rPr>
              <w:t xml:space="preserve"> a</w:t>
            </w:r>
          </w:p>
        </w:tc>
        <w:tc>
          <w:tcPr>
            <w:tcW w:w="649" w:type="pct"/>
            <w:tcBorders>
              <w:top w:val="nil"/>
              <w:bottom w:val="nil"/>
            </w:tcBorders>
          </w:tcPr>
          <w:p w:rsidR="00234376" w:rsidRPr="007A3B60" w:rsidRDefault="00234376" w:rsidP="00234376">
            <w:pPr>
              <w:pStyle w:val="TableText"/>
              <w:jc w:val="center"/>
              <w:rPr>
                <w:rStyle w:val="TableTextLessSpaceCharCharCharCharCharCharCharCharChar"/>
                <w:sz w:val="16"/>
              </w:rPr>
            </w:pPr>
            <w:r w:rsidRPr="007A3B60" w:rsidDel="001E6D1E">
              <w:rPr>
                <w:rStyle w:val="TableTextLessSpaceCharCharCharCharCharCharCharCharChar"/>
                <w:sz w:val="16"/>
              </w:rPr>
              <w:t>–</w:t>
            </w:r>
          </w:p>
        </w:tc>
      </w:tr>
      <w:tr w:rsidR="00234376" w:rsidRPr="007A3B60">
        <w:trPr>
          <w:trHeight w:val="205"/>
        </w:trPr>
        <w:tc>
          <w:tcPr>
            <w:tcW w:w="1082" w:type="pct"/>
            <w:tcBorders>
              <w:top w:val="nil"/>
              <w:bottom w:val="nil"/>
            </w:tcBorders>
          </w:tcPr>
          <w:p w:rsidR="00234376" w:rsidRPr="007A3B60" w:rsidRDefault="00234376" w:rsidP="008E03A7">
            <w:pPr>
              <w:pStyle w:val="TableTextLessSpaceCharCharCharCharCharCharCharChar"/>
              <w:rPr>
                <w:sz w:val="16"/>
              </w:rPr>
            </w:pPr>
            <w:r w:rsidRPr="007A3B60">
              <w:rPr>
                <w:sz w:val="16"/>
              </w:rPr>
              <w:t>Nanda et al. (CIN 2+)</w:t>
            </w:r>
          </w:p>
        </w:tc>
        <w:tc>
          <w:tcPr>
            <w:tcW w:w="654" w:type="pct"/>
            <w:tcBorders>
              <w:top w:val="nil"/>
              <w:bottom w:val="nil"/>
            </w:tcBorders>
          </w:tcPr>
          <w:p w:rsidR="00234376" w:rsidRPr="007A3B60" w:rsidRDefault="00234376" w:rsidP="00234376">
            <w:pPr>
              <w:pStyle w:val="TableText"/>
              <w:jc w:val="center"/>
              <w:rPr>
                <w:rStyle w:val="TableTextLessSpaceCharCharCharCharCharCharCharCharChar"/>
                <w:sz w:val="16"/>
              </w:rPr>
            </w:pPr>
            <w:r w:rsidRPr="007A3B60" w:rsidDel="001E6D1E">
              <w:rPr>
                <w:rStyle w:val="TableTextLessSpaceCharCharCharCharCharCharCharCharChar"/>
                <w:sz w:val="16"/>
              </w:rPr>
              <w:t>–</w:t>
            </w:r>
          </w:p>
        </w:tc>
        <w:tc>
          <w:tcPr>
            <w:tcW w:w="654" w:type="pct"/>
            <w:tcBorders>
              <w:top w:val="nil"/>
              <w:bottom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 xml:space="preserve">0.81 </w:t>
            </w:r>
            <w:r w:rsidR="006E731C" w:rsidRPr="007A3B60">
              <w:rPr>
                <w:rStyle w:val="TableTextLessSpaceCharCharCharCharCharCharCharCharChar"/>
                <w:sz w:val="16"/>
              </w:rPr>
              <w:t>[</w:t>
            </w:r>
            <w:r w:rsidRPr="007A3B60">
              <w:rPr>
                <w:rStyle w:val="TableTextLessSpaceCharCharCharCharCharCharCharCharChar"/>
                <w:sz w:val="16"/>
              </w:rPr>
              <w:t>0.23–0.99</w:t>
            </w:r>
            <w:r w:rsidR="006E731C" w:rsidRPr="007A3B60">
              <w:rPr>
                <w:rStyle w:val="TableTextLessSpaceCharCharCharCharCharCharCharCharChar"/>
                <w:sz w:val="16"/>
              </w:rPr>
              <w:t>]</w:t>
            </w:r>
            <w:r w:rsidR="006E731C" w:rsidRPr="007A3B60">
              <w:rPr>
                <w:sz w:val="16"/>
                <w:vertAlign w:val="superscript"/>
              </w:rPr>
              <w:t xml:space="preserve"> a</w:t>
            </w:r>
          </w:p>
        </w:tc>
        <w:tc>
          <w:tcPr>
            <w:tcW w:w="654" w:type="pct"/>
            <w:tcBorders>
              <w:top w:val="nil"/>
              <w:bottom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 xml:space="preserve">0.53 </w:t>
            </w:r>
            <w:r w:rsidR="006E731C" w:rsidRPr="007A3B60">
              <w:rPr>
                <w:rStyle w:val="TableTextLessSpaceCharCharCharCharCharCharCharCharChar"/>
                <w:sz w:val="16"/>
              </w:rPr>
              <w:t>[</w:t>
            </w:r>
            <w:r w:rsidRPr="007A3B60">
              <w:rPr>
                <w:rStyle w:val="TableTextLessSpaceCharCharCharCharCharCharCharCharChar"/>
                <w:sz w:val="16"/>
              </w:rPr>
              <w:t>0.18–0.92</w:t>
            </w:r>
            <w:r w:rsidR="006E731C" w:rsidRPr="007A3B60">
              <w:rPr>
                <w:rStyle w:val="TableTextLessSpaceCharCharCharCharCharCharCharCharChar"/>
                <w:sz w:val="16"/>
              </w:rPr>
              <w:t>]</w:t>
            </w:r>
            <w:r w:rsidR="006E731C" w:rsidRPr="007A3B60">
              <w:rPr>
                <w:sz w:val="16"/>
                <w:vertAlign w:val="superscript"/>
              </w:rPr>
              <w:t xml:space="preserve"> a</w:t>
            </w:r>
          </w:p>
        </w:tc>
        <w:tc>
          <w:tcPr>
            <w:tcW w:w="654" w:type="pct"/>
            <w:tcBorders>
              <w:top w:val="nil"/>
              <w:bottom w:val="nil"/>
            </w:tcBorders>
          </w:tcPr>
          <w:p w:rsidR="00234376" w:rsidRPr="007A3B60" w:rsidRDefault="00234376" w:rsidP="00234376">
            <w:pPr>
              <w:pStyle w:val="TableText"/>
              <w:jc w:val="center"/>
              <w:rPr>
                <w:rStyle w:val="TableTextLessSpaceCharCharCharCharCharCharCharCharChar"/>
                <w:sz w:val="16"/>
              </w:rPr>
            </w:pPr>
            <w:r w:rsidRPr="007A3B60" w:rsidDel="001E6D1E">
              <w:rPr>
                <w:rStyle w:val="TableTextLessSpaceCharCharCharCharCharCharCharCharChar"/>
                <w:sz w:val="16"/>
              </w:rPr>
              <w:t>–</w:t>
            </w:r>
          </w:p>
        </w:tc>
        <w:tc>
          <w:tcPr>
            <w:tcW w:w="654" w:type="pct"/>
            <w:tcBorders>
              <w:top w:val="nil"/>
              <w:bottom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 xml:space="preserve">0.77 </w:t>
            </w:r>
            <w:r w:rsidR="006E731C" w:rsidRPr="007A3B60">
              <w:rPr>
                <w:rStyle w:val="TableTextLessSpaceCharCharCharCharCharCharCharCharChar"/>
                <w:sz w:val="16"/>
              </w:rPr>
              <w:t>[</w:t>
            </w:r>
            <w:r w:rsidRPr="007A3B60">
              <w:rPr>
                <w:rStyle w:val="TableTextLessSpaceCharCharCharCharCharCharCharCharChar"/>
                <w:sz w:val="16"/>
              </w:rPr>
              <w:t>0.06–0.99</w:t>
            </w:r>
            <w:r w:rsidR="006E731C" w:rsidRPr="007A3B60">
              <w:rPr>
                <w:rStyle w:val="TableTextLessSpaceCharCharCharCharCharCharCharCharChar"/>
                <w:sz w:val="16"/>
              </w:rPr>
              <w:t>]</w:t>
            </w:r>
            <w:r w:rsidR="006E731C" w:rsidRPr="007A3B60">
              <w:rPr>
                <w:sz w:val="16"/>
                <w:vertAlign w:val="superscript"/>
              </w:rPr>
              <w:t xml:space="preserve"> a</w:t>
            </w:r>
          </w:p>
        </w:tc>
        <w:tc>
          <w:tcPr>
            <w:tcW w:w="649" w:type="pct"/>
            <w:tcBorders>
              <w:top w:val="nil"/>
              <w:bottom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 xml:space="preserve">0.96 </w:t>
            </w:r>
            <w:r w:rsidR="006E731C" w:rsidRPr="007A3B60">
              <w:rPr>
                <w:rStyle w:val="TableTextLessSpaceCharCharCharCharCharCharCharCharChar"/>
                <w:sz w:val="16"/>
              </w:rPr>
              <w:t>[</w:t>
            </w:r>
            <w:r w:rsidRPr="007A3B60">
              <w:rPr>
                <w:rStyle w:val="TableTextLessSpaceCharCharCharCharCharCharCharCharChar"/>
                <w:sz w:val="16"/>
              </w:rPr>
              <w:t>0.64–1.0</w:t>
            </w:r>
            <w:r w:rsidR="006E731C" w:rsidRPr="007A3B60">
              <w:rPr>
                <w:rStyle w:val="TableTextLessSpaceCharCharCharCharCharCharCharCharChar"/>
                <w:sz w:val="16"/>
              </w:rPr>
              <w:t>]</w:t>
            </w:r>
            <w:r w:rsidR="006E731C" w:rsidRPr="007A3B60">
              <w:rPr>
                <w:sz w:val="16"/>
                <w:vertAlign w:val="superscript"/>
              </w:rPr>
              <w:t xml:space="preserve"> a</w:t>
            </w:r>
          </w:p>
        </w:tc>
      </w:tr>
      <w:tr w:rsidR="00234376" w:rsidRPr="007A3B60">
        <w:trPr>
          <w:trHeight w:val="205"/>
        </w:trPr>
        <w:tc>
          <w:tcPr>
            <w:tcW w:w="1082" w:type="pct"/>
            <w:tcBorders>
              <w:top w:val="nil"/>
            </w:tcBorders>
          </w:tcPr>
          <w:p w:rsidR="00234376" w:rsidRPr="007A3B60" w:rsidRDefault="00234376" w:rsidP="008E03A7">
            <w:pPr>
              <w:pStyle w:val="TableTextLessSpaceCharCharCharCharCharCharCharChar"/>
              <w:rPr>
                <w:sz w:val="16"/>
              </w:rPr>
            </w:pPr>
            <w:r w:rsidRPr="007A3B60">
              <w:rPr>
                <w:sz w:val="16"/>
              </w:rPr>
              <w:t>Arbyn et al. (CIN 2+)</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0.88 (0.80–0.93)</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0.76 (0.67–0.83)</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b/>
                <w:sz w:val="16"/>
              </w:rPr>
              <w:t xml:space="preserve">0.55 </w:t>
            </w:r>
            <w:r w:rsidRPr="007A3B60">
              <w:rPr>
                <w:rStyle w:val="TableTextLessSpaceCharCharCharCharCharCharCharCharChar"/>
                <w:sz w:val="16"/>
              </w:rPr>
              <w:t>(0.46–0.65)</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0.71 (0.58–0.82)</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0.81 (0.72–0.88)</w:t>
            </w:r>
          </w:p>
        </w:tc>
        <w:tc>
          <w:tcPr>
            <w:tcW w:w="649"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0.97 (0.96–0.98)</w:t>
            </w:r>
          </w:p>
        </w:tc>
      </w:tr>
      <w:tr w:rsidR="00234376" w:rsidRPr="007A3B60">
        <w:trPr>
          <w:trHeight w:val="205"/>
        </w:trPr>
        <w:tc>
          <w:tcPr>
            <w:tcW w:w="1082" w:type="pct"/>
            <w:tcBorders>
              <w:bottom w:val="nil"/>
            </w:tcBorders>
          </w:tcPr>
          <w:p w:rsidR="00234376" w:rsidRPr="007A3B60" w:rsidRDefault="00234376" w:rsidP="008E03A7">
            <w:pPr>
              <w:pStyle w:val="TableHeading"/>
            </w:pPr>
            <w:r w:rsidRPr="007A3B60">
              <w:t>LBC</w:t>
            </w:r>
          </w:p>
        </w:tc>
        <w:tc>
          <w:tcPr>
            <w:tcW w:w="654" w:type="pct"/>
            <w:tcBorders>
              <w:bottom w:val="nil"/>
            </w:tcBorders>
          </w:tcPr>
          <w:p w:rsidR="00234376" w:rsidRPr="007A3B60" w:rsidRDefault="00234376" w:rsidP="00234376">
            <w:pPr>
              <w:pStyle w:val="TableText"/>
              <w:jc w:val="center"/>
              <w:rPr>
                <w:rStyle w:val="TableTextLessSpaceCharCharCharCharCharCharCharCharChar"/>
                <w:sz w:val="16"/>
              </w:rPr>
            </w:pPr>
          </w:p>
        </w:tc>
        <w:tc>
          <w:tcPr>
            <w:tcW w:w="654" w:type="pct"/>
            <w:tcBorders>
              <w:bottom w:val="nil"/>
            </w:tcBorders>
          </w:tcPr>
          <w:p w:rsidR="00234376" w:rsidRPr="007A3B60" w:rsidRDefault="00234376" w:rsidP="00234376">
            <w:pPr>
              <w:pStyle w:val="TableText"/>
              <w:jc w:val="center"/>
              <w:rPr>
                <w:rStyle w:val="TableTextLessSpaceCharCharCharCharCharCharCharCharChar"/>
                <w:sz w:val="16"/>
              </w:rPr>
            </w:pPr>
          </w:p>
        </w:tc>
        <w:tc>
          <w:tcPr>
            <w:tcW w:w="654" w:type="pct"/>
            <w:tcBorders>
              <w:bottom w:val="nil"/>
            </w:tcBorders>
          </w:tcPr>
          <w:p w:rsidR="00234376" w:rsidRPr="007A3B60" w:rsidRDefault="00234376" w:rsidP="00234376">
            <w:pPr>
              <w:pStyle w:val="TableText"/>
              <w:jc w:val="center"/>
              <w:rPr>
                <w:rStyle w:val="TableTextLessSpaceCharCharCharCharCharCharCharCharChar"/>
                <w:sz w:val="16"/>
              </w:rPr>
            </w:pPr>
          </w:p>
        </w:tc>
        <w:tc>
          <w:tcPr>
            <w:tcW w:w="654" w:type="pct"/>
            <w:tcBorders>
              <w:bottom w:val="nil"/>
            </w:tcBorders>
          </w:tcPr>
          <w:p w:rsidR="00234376" w:rsidRPr="007A3B60" w:rsidRDefault="00234376" w:rsidP="00234376">
            <w:pPr>
              <w:pStyle w:val="TableText"/>
              <w:jc w:val="center"/>
              <w:rPr>
                <w:rStyle w:val="TableTextLessSpaceCharCharCharCharCharCharCharCharChar"/>
                <w:sz w:val="16"/>
              </w:rPr>
            </w:pPr>
          </w:p>
        </w:tc>
        <w:tc>
          <w:tcPr>
            <w:tcW w:w="654" w:type="pct"/>
            <w:tcBorders>
              <w:bottom w:val="nil"/>
            </w:tcBorders>
          </w:tcPr>
          <w:p w:rsidR="00234376" w:rsidRPr="007A3B60" w:rsidRDefault="00234376" w:rsidP="00234376">
            <w:pPr>
              <w:pStyle w:val="TableText"/>
              <w:jc w:val="center"/>
              <w:rPr>
                <w:rStyle w:val="TableTextLessSpaceCharCharCharCharCharCharCharCharChar"/>
                <w:sz w:val="16"/>
              </w:rPr>
            </w:pPr>
          </w:p>
        </w:tc>
        <w:tc>
          <w:tcPr>
            <w:tcW w:w="649" w:type="pct"/>
            <w:tcBorders>
              <w:bottom w:val="nil"/>
            </w:tcBorders>
          </w:tcPr>
          <w:p w:rsidR="00234376" w:rsidRPr="007A3B60" w:rsidRDefault="00234376" w:rsidP="00234376">
            <w:pPr>
              <w:pStyle w:val="TableText"/>
              <w:jc w:val="center"/>
              <w:rPr>
                <w:rStyle w:val="TableTextLessSpaceCharCharCharCharCharCharCharCharChar"/>
                <w:sz w:val="16"/>
              </w:rPr>
            </w:pPr>
          </w:p>
        </w:tc>
      </w:tr>
      <w:tr w:rsidR="00234376" w:rsidRPr="007A3B60">
        <w:trPr>
          <w:trHeight w:val="205"/>
        </w:trPr>
        <w:tc>
          <w:tcPr>
            <w:tcW w:w="1082" w:type="pct"/>
            <w:tcBorders>
              <w:top w:val="nil"/>
            </w:tcBorders>
          </w:tcPr>
          <w:p w:rsidR="00234376" w:rsidRPr="007A3B60" w:rsidRDefault="00234376" w:rsidP="008E03A7">
            <w:pPr>
              <w:pStyle w:val="TableTextLessSpaceCharCharCharCharCharCharCharChar"/>
              <w:rPr>
                <w:sz w:val="16"/>
              </w:rPr>
            </w:pPr>
            <w:r w:rsidRPr="007A3B60">
              <w:rPr>
                <w:sz w:val="16"/>
              </w:rPr>
              <w:t>CADTH (CIN 1+)</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b/>
                <w:sz w:val="16"/>
              </w:rPr>
              <w:t xml:space="preserve">0.84 </w:t>
            </w:r>
            <w:r w:rsidRPr="007A3B60">
              <w:rPr>
                <w:rStyle w:val="TableTextLessSpaceCharCharCharCharCharCharCharCharChar"/>
                <w:sz w:val="16"/>
              </w:rPr>
              <w:t>(0.73–0.95)</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0.71 (0.61–0.82)</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sidDel="001E6D1E">
              <w:rPr>
                <w:rStyle w:val="TableTextLessSpaceCharCharCharCharCharCharCharCharChar"/>
                <w:sz w:val="16"/>
              </w:rPr>
              <w:t>–</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0.78 (0.63–0.93)</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0.86 (0.73–0.98)</w:t>
            </w:r>
          </w:p>
        </w:tc>
        <w:tc>
          <w:tcPr>
            <w:tcW w:w="649"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sidDel="001E6D1E">
              <w:rPr>
                <w:rStyle w:val="TableTextLessSpaceCharCharCharCharCharCharCharCharChar"/>
                <w:sz w:val="16"/>
              </w:rPr>
              <w:t>–</w:t>
            </w:r>
          </w:p>
        </w:tc>
      </w:tr>
      <w:tr w:rsidR="00234376" w:rsidRPr="007A3B60">
        <w:trPr>
          <w:trHeight w:val="205"/>
        </w:trPr>
        <w:tc>
          <w:tcPr>
            <w:tcW w:w="1082" w:type="pct"/>
            <w:tcBorders>
              <w:top w:val="nil"/>
            </w:tcBorders>
          </w:tcPr>
          <w:p w:rsidR="00234376" w:rsidRPr="007A3B60" w:rsidRDefault="00234376" w:rsidP="008E03A7">
            <w:pPr>
              <w:pStyle w:val="TableTextLessSpaceCharCharCharCharCharCharCharChar"/>
              <w:rPr>
                <w:sz w:val="16"/>
              </w:rPr>
            </w:pPr>
            <w:r w:rsidRPr="007A3B60">
              <w:rPr>
                <w:sz w:val="16"/>
              </w:rPr>
              <w:t>CADTH (CIN 2+)</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b/>
                <w:sz w:val="16"/>
              </w:rPr>
              <w:t xml:space="preserve">0.89 </w:t>
            </w:r>
            <w:r w:rsidRPr="007A3B60">
              <w:rPr>
                <w:rStyle w:val="TableTextLessSpaceCharCharCharCharCharCharCharCharChar"/>
                <w:sz w:val="16"/>
              </w:rPr>
              <w:t>(0.78–1.00)</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0.79 (0.67–0.89)</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sidDel="001E6D1E">
              <w:rPr>
                <w:rStyle w:val="TableTextLessSpaceCharCharCharCharCharCharCharCharChar"/>
                <w:sz w:val="16"/>
              </w:rPr>
              <w:t>–</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0.76 (0.49–1.00)</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sidDel="001E6D1E">
              <w:rPr>
                <w:rStyle w:val="TableTextLessSpaceCharCharCharCharCharCharCharCharChar"/>
                <w:sz w:val="16"/>
              </w:rPr>
              <w:t>–</w:t>
            </w:r>
          </w:p>
        </w:tc>
        <w:tc>
          <w:tcPr>
            <w:tcW w:w="649"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sidDel="001E6D1E">
              <w:rPr>
                <w:rStyle w:val="TableTextLessSpaceCharCharCharCharCharCharCharCharChar"/>
                <w:sz w:val="16"/>
              </w:rPr>
              <w:t>–</w:t>
            </w:r>
          </w:p>
        </w:tc>
      </w:tr>
      <w:tr w:rsidR="00234376" w:rsidRPr="007A3B60">
        <w:trPr>
          <w:trHeight w:val="205"/>
        </w:trPr>
        <w:tc>
          <w:tcPr>
            <w:tcW w:w="1082" w:type="pct"/>
            <w:tcBorders>
              <w:top w:val="nil"/>
            </w:tcBorders>
          </w:tcPr>
          <w:p w:rsidR="00234376" w:rsidRPr="007A3B60" w:rsidRDefault="00234376" w:rsidP="008E03A7">
            <w:pPr>
              <w:pStyle w:val="TableTextLessSpaceCharCharCharCharCharCharCharChar"/>
              <w:rPr>
                <w:sz w:val="16"/>
              </w:rPr>
            </w:pPr>
            <w:r w:rsidRPr="007A3B60">
              <w:rPr>
                <w:sz w:val="16"/>
              </w:rPr>
              <w:t>Arbyn et al. (CIN 2+)</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0.90 (0.82–0.95)</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0.79 (0.70–0.86)</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b/>
                <w:sz w:val="16"/>
              </w:rPr>
              <w:t xml:space="preserve">0.57 </w:t>
            </w:r>
            <w:r w:rsidRPr="007A3B60">
              <w:rPr>
                <w:rStyle w:val="TableTextLessSpaceCharCharCharCharCharCharCharCharChar"/>
                <w:sz w:val="16"/>
              </w:rPr>
              <w:t>(0.46–0.67)</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0.65 (0.50–0.77)</w:t>
            </w:r>
          </w:p>
        </w:tc>
        <w:tc>
          <w:tcPr>
            <w:tcW w:w="654"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0.79 (0.70–0.86)</w:t>
            </w:r>
          </w:p>
        </w:tc>
        <w:tc>
          <w:tcPr>
            <w:tcW w:w="649" w:type="pct"/>
            <w:tcBorders>
              <w:top w:val="nil"/>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0.97 (0.94–0.99)</w:t>
            </w:r>
          </w:p>
        </w:tc>
      </w:tr>
      <w:tr w:rsidR="00234376" w:rsidRPr="007A3B60">
        <w:trPr>
          <w:trHeight w:val="205"/>
        </w:trPr>
        <w:tc>
          <w:tcPr>
            <w:tcW w:w="1082" w:type="pct"/>
            <w:tcBorders>
              <w:top w:val="nil"/>
              <w:bottom w:val="single" w:sz="4" w:space="0" w:color="auto"/>
            </w:tcBorders>
          </w:tcPr>
          <w:p w:rsidR="00234376" w:rsidRPr="007A3B60" w:rsidRDefault="00234376" w:rsidP="008E03A7">
            <w:pPr>
              <w:pStyle w:val="TableTextLessSpaceCharCharCharCharCharCharCharChar"/>
              <w:rPr>
                <w:sz w:val="16"/>
              </w:rPr>
            </w:pPr>
            <w:r w:rsidRPr="007A3B60">
              <w:rPr>
                <w:sz w:val="16"/>
              </w:rPr>
              <w:t>CADTH (CIN 3+)</w:t>
            </w:r>
          </w:p>
        </w:tc>
        <w:tc>
          <w:tcPr>
            <w:tcW w:w="654" w:type="pct"/>
            <w:tcBorders>
              <w:top w:val="nil"/>
              <w:bottom w:val="single" w:sz="4" w:space="0" w:color="auto"/>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b/>
                <w:sz w:val="16"/>
              </w:rPr>
              <w:t xml:space="preserve">0.88 </w:t>
            </w:r>
            <w:r w:rsidRPr="007A3B60">
              <w:rPr>
                <w:rStyle w:val="TableTextLessSpaceCharCharCharCharCharCharCharCharChar"/>
                <w:sz w:val="16"/>
              </w:rPr>
              <w:t>(0.74–1.00)</w:t>
            </w:r>
          </w:p>
        </w:tc>
        <w:tc>
          <w:tcPr>
            <w:tcW w:w="654" w:type="pct"/>
            <w:tcBorders>
              <w:top w:val="nil"/>
              <w:bottom w:val="single" w:sz="4" w:space="0" w:color="auto"/>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0.71</w:t>
            </w:r>
            <w:r w:rsidR="006E731C" w:rsidRPr="007A3B60">
              <w:rPr>
                <w:rStyle w:val="TableTextLessSpaceCharCharCharCharCharCharCharCharChar"/>
                <w:sz w:val="16"/>
                <w:vertAlign w:val="superscript"/>
              </w:rPr>
              <w:t>b</w:t>
            </w:r>
          </w:p>
        </w:tc>
        <w:tc>
          <w:tcPr>
            <w:tcW w:w="654" w:type="pct"/>
            <w:tcBorders>
              <w:top w:val="nil"/>
              <w:bottom w:val="single" w:sz="4" w:space="0" w:color="auto"/>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0.57</w:t>
            </w:r>
            <w:r w:rsidRPr="007A3B60">
              <w:rPr>
                <w:rFonts w:eastAsia="Arial Unicode MS"/>
                <w:sz w:val="16"/>
                <w:vertAlign w:val="superscript"/>
              </w:rPr>
              <w:t xml:space="preserve"> </w:t>
            </w:r>
            <w:r w:rsidR="006E731C" w:rsidRPr="007A3B60">
              <w:rPr>
                <w:rStyle w:val="TableTextLessSpaceCharCharCharCharCharCharCharCharChar"/>
                <w:sz w:val="16"/>
                <w:vertAlign w:val="superscript"/>
              </w:rPr>
              <w:t>b</w:t>
            </w:r>
          </w:p>
        </w:tc>
        <w:tc>
          <w:tcPr>
            <w:tcW w:w="654" w:type="pct"/>
            <w:tcBorders>
              <w:top w:val="nil"/>
              <w:bottom w:val="single" w:sz="4" w:space="0" w:color="auto"/>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0.92 (0.90–0.93)</w:t>
            </w:r>
          </w:p>
        </w:tc>
        <w:tc>
          <w:tcPr>
            <w:tcW w:w="654" w:type="pct"/>
            <w:tcBorders>
              <w:top w:val="nil"/>
              <w:bottom w:val="single" w:sz="4" w:space="0" w:color="auto"/>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0.96</w:t>
            </w:r>
            <w:r w:rsidRPr="007A3B60">
              <w:rPr>
                <w:rFonts w:eastAsia="Arial Unicode MS"/>
                <w:sz w:val="16"/>
                <w:vertAlign w:val="superscript"/>
              </w:rPr>
              <w:t xml:space="preserve"> </w:t>
            </w:r>
            <w:r w:rsidR="006E731C" w:rsidRPr="007A3B60">
              <w:rPr>
                <w:rStyle w:val="TableTextLessSpaceCharCharCharCharCharCharCharCharChar"/>
                <w:sz w:val="16"/>
                <w:vertAlign w:val="superscript"/>
              </w:rPr>
              <w:t>b</w:t>
            </w:r>
          </w:p>
        </w:tc>
        <w:tc>
          <w:tcPr>
            <w:tcW w:w="649" w:type="pct"/>
            <w:tcBorders>
              <w:top w:val="nil"/>
              <w:bottom w:val="single" w:sz="4" w:space="0" w:color="auto"/>
            </w:tcBorders>
          </w:tcPr>
          <w:p w:rsidR="00234376" w:rsidRPr="007A3B60" w:rsidRDefault="00234376" w:rsidP="00234376">
            <w:pPr>
              <w:pStyle w:val="TableText"/>
              <w:jc w:val="center"/>
              <w:rPr>
                <w:rStyle w:val="TableTextLessSpaceCharCharCharCharCharCharCharCharChar"/>
                <w:sz w:val="16"/>
              </w:rPr>
            </w:pPr>
            <w:r w:rsidRPr="007A3B60">
              <w:rPr>
                <w:rStyle w:val="TableTextLessSpaceCharCharCharCharCharCharCharCharChar"/>
                <w:sz w:val="16"/>
              </w:rPr>
              <w:t>0.99</w:t>
            </w:r>
            <w:r w:rsidRPr="007A3B60">
              <w:rPr>
                <w:rFonts w:eastAsia="Arial Unicode MS"/>
                <w:sz w:val="16"/>
                <w:vertAlign w:val="superscript"/>
              </w:rPr>
              <w:t xml:space="preserve"> </w:t>
            </w:r>
            <w:r w:rsidR="006E731C" w:rsidRPr="007A3B60">
              <w:rPr>
                <w:rStyle w:val="TableTextLessSpaceCharCharCharCharCharCharCharCharChar"/>
                <w:sz w:val="16"/>
                <w:vertAlign w:val="superscript"/>
              </w:rPr>
              <w:t>b</w:t>
            </w:r>
          </w:p>
        </w:tc>
      </w:tr>
    </w:tbl>
    <w:p w:rsidR="00234376" w:rsidRPr="007A3B60" w:rsidRDefault="006E731C" w:rsidP="008E03A7">
      <w:pPr>
        <w:pStyle w:val="TableNotes"/>
      </w:pPr>
      <w:r w:rsidRPr="007A3B60">
        <w:t>Estimate (95% CI)</w:t>
      </w:r>
      <w:r w:rsidR="004150A7" w:rsidRPr="007A3B60">
        <w:t xml:space="preserve">  or </w:t>
      </w:r>
      <w:r w:rsidRPr="007A3B60">
        <w:t xml:space="preserve"> </w:t>
      </w:r>
      <w:r w:rsidRPr="007A3B60">
        <w:rPr>
          <w:rFonts w:eastAsia="Times New Roman"/>
          <w:vertAlign w:val="superscript"/>
        </w:rPr>
        <w:t>a</w:t>
      </w:r>
      <w:r w:rsidRPr="007A3B60">
        <w:t xml:space="preserve"> </w:t>
      </w:r>
      <w:r w:rsidR="00234376" w:rsidRPr="007A3B60">
        <w:t xml:space="preserve">Median </w:t>
      </w:r>
      <w:r w:rsidRPr="007A3B60">
        <w:t>[</w:t>
      </w:r>
      <w:r w:rsidR="00234376" w:rsidRPr="007A3B60">
        <w:t>range</w:t>
      </w:r>
      <w:r w:rsidRPr="007A3B60">
        <w:t>]</w:t>
      </w:r>
      <w:r w:rsidR="00234376" w:rsidRPr="007A3B60">
        <w:t xml:space="preserve">;. </w:t>
      </w:r>
      <w:r w:rsidRPr="007A3B60">
        <w:rPr>
          <w:vertAlign w:val="superscript"/>
        </w:rPr>
        <w:t>b</w:t>
      </w:r>
      <w:r w:rsidR="00234376" w:rsidRPr="007A3B60">
        <w:t xml:space="preserve"> Only one study was included at this threshold. Numbers in </w:t>
      </w:r>
      <w:r w:rsidR="00234376" w:rsidRPr="007A3B60">
        <w:rPr>
          <w:b/>
        </w:rPr>
        <w:t>bold</w:t>
      </w:r>
      <w:r w:rsidR="00234376" w:rsidRPr="007A3B60">
        <w:t xml:space="preserve"> type are estimates used in derivation of matrices.</w:t>
      </w:r>
      <w:r w:rsidRPr="007A3B60">
        <w:t xml:space="preserve"> </w:t>
      </w:r>
    </w:p>
    <w:p w:rsidR="00234376" w:rsidRPr="00537C3C" w:rsidRDefault="00234376" w:rsidP="008E03A7">
      <w:r w:rsidRPr="007A3B60">
        <w:t>These values have also been used to check the test characteristics implied by the test probability matrix. The Arbyn et al. meta-analysis also reports on relative sensitivity and specificity for conventional cytology and LBC (</w:t>
      </w:r>
      <w:r w:rsidRPr="007A3B60">
        <w:fldChar w:fldCharType="begin"/>
      </w:r>
      <w:r w:rsidRPr="007A3B60">
        <w:instrText xml:space="preserve"> REF _Ref219608190 \h  \* MERGEFORMAT </w:instrText>
      </w:r>
      <w:r w:rsidRPr="007A3B60">
        <w:fldChar w:fldCharType="separate"/>
      </w:r>
      <w:r w:rsidR="007D3DFF" w:rsidRPr="00537C3C">
        <w:t xml:space="preserve">Table </w:t>
      </w:r>
      <w:r w:rsidR="007D3DFF">
        <w:rPr>
          <w:noProof/>
        </w:rPr>
        <w:t>73</w:t>
      </w:r>
      <w:r w:rsidRPr="007A3B60">
        <w:fldChar w:fldCharType="end"/>
      </w:r>
      <w:r w:rsidRPr="007A3B60">
        <w:t>). As we expect that relative differences between the test probability matrices for conventional cytology and LBC will drive the outcomes of the model, these data have been used to validate the matrices.</w:t>
      </w:r>
    </w:p>
    <w:p w:rsidR="00234376" w:rsidRPr="00537C3C" w:rsidRDefault="00234376" w:rsidP="008E03A7">
      <w:pPr>
        <w:pStyle w:val="Caption"/>
      </w:pPr>
      <w:bookmarkStart w:id="1106" w:name="_Ref219608190"/>
      <w:bookmarkStart w:id="1107" w:name="_Toc216169961"/>
      <w:bookmarkStart w:id="1108" w:name="_Toc95971309"/>
      <w:r w:rsidRPr="00537C3C">
        <w:t xml:space="preserve">Table </w:t>
      </w:r>
      <w:fldSimple w:instr=" SEQ Table \* ARABIC ">
        <w:r w:rsidR="007D3DFF">
          <w:rPr>
            <w:noProof/>
          </w:rPr>
          <w:t>73</w:t>
        </w:r>
      </w:fldSimple>
      <w:bookmarkEnd w:id="1106"/>
      <w:r w:rsidRPr="00537C3C">
        <w:tab/>
        <w:t xml:space="preserve">Sensitivity and specificity of </w:t>
      </w:r>
      <w:r w:rsidRPr="00BB76D8">
        <w:t>LBC</w:t>
      </w:r>
      <w:r w:rsidRPr="00537C3C">
        <w:t xml:space="preserve">, relative to conventional cytology, for detection of </w:t>
      </w:r>
      <w:r w:rsidRPr="00BB76D8">
        <w:t>CIN</w:t>
      </w:r>
      <w:r w:rsidRPr="00537C3C">
        <w:t xml:space="preserve"> 2+ at cytological thresholds of </w:t>
      </w:r>
      <w:r w:rsidRPr="00BB76D8">
        <w:t>ASCUS</w:t>
      </w:r>
      <w:r w:rsidRPr="00537C3C">
        <w:t xml:space="preserve">, </w:t>
      </w:r>
      <w:r w:rsidRPr="00BB76D8">
        <w:t>LSIL</w:t>
      </w:r>
      <w:r w:rsidRPr="00537C3C">
        <w:t xml:space="preserve"> and </w:t>
      </w:r>
      <w:r w:rsidRPr="00BB76D8">
        <w:t>HSIL</w:t>
      </w:r>
      <w:r w:rsidRPr="00537C3C">
        <w:t xml:space="preserve"> (TBS1994 terminology)</w:t>
      </w:r>
      <w:bookmarkEnd w:id="1107"/>
      <w:r w:rsidRPr="00537C3C">
        <w:t>.</w:t>
      </w:r>
      <w:bookmarkEnd w:id="1108"/>
    </w:p>
    <w:tbl>
      <w:tblPr>
        <w:tblW w:w="4418" w:type="pct"/>
        <w:tblInd w:w="955" w:type="dxa"/>
        <w:tblLayout w:type="fixed"/>
        <w:tblCellMar>
          <w:left w:w="57" w:type="dxa"/>
          <w:right w:w="57" w:type="dxa"/>
        </w:tblCellMar>
        <w:tblLook w:val="0000" w:firstRow="0" w:lastRow="0" w:firstColumn="0" w:lastColumn="0" w:noHBand="0" w:noVBand="0"/>
      </w:tblPr>
      <w:tblGrid>
        <w:gridCol w:w="1237"/>
        <w:gridCol w:w="1140"/>
        <w:gridCol w:w="1140"/>
        <w:gridCol w:w="1140"/>
        <w:gridCol w:w="1140"/>
        <w:gridCol w:w="1140"/>
        <w:gridCol w:w="1139"/>
      </w:tblGrid>
      <w:tr w:rsidR="00234376" w:rsidRPr="00537C3C">
        <w:tc>
          <w:tcPr>
            <w:tcW w:w="765" w:type="pct"/>
            <w:vMerge w:val="restart"/>
            <w:tcBorders>
              <w:top w:val="single" w:sz="4" w:space="0" w:color="auto"/>
            </w:tcBorders>
          </w:tcPr>
          <w:p w:rsidR="00234376" w:rsidRPr="00537C3C" w:rsidRDefault="00234376" w:rsidP="008E03A7">
            <w:pPr>
              <w:pStyle w:val="TableHeading"/>
            </w:pPr>
            <w:r w:rsidRPr="00537C3C">
              <w:t xml:space="preserve">Source </w:t>
            </w:r>
          </w:p>
        </w:tc>
        <w:tc>
          <w:tcPr>
            <w:tcW w:w="2118" w:type="pct"/>
            <w:gridSpan w:val="3"/>
            <w:tcBorders>
              <w:top w:val="single" w:sz="4" w:space="0" w:color="auto"/>
              <w:right w:val="nil"/>
            </w:tcBorders>
          </w:tcPr>
          <w:p w:rsidR="00234376" w:rsidRPr="00537C3C" w:rsidRDefault="00234376" w:rsidP="008E03A7">
            <w:pPr>
              <w:pStyle w:val="TableHeading"/>
              <w:jc w:val="center"/>
            </w:pPr>
            <w:r w:rsidRPr="00537C3C">
              <w:t>Sensitivity</w:t>
            </w:r>
          </w:p>
        </w:tc>
        <w:tc>
          <w:tcPr>
            <w:tcW w:w="2117" w:type="pct"/>
            <w:gridSpan w:val="3"/>
            <w:tcBorders>
              <w:top w:val="single" w:sz="4" w:space="0" w:color="auto"/>
              <w:left w:val="nil"/>
            </w:tcBorders>
          </w:tcPr>
          <w:p w:rsidR="00234376" w:rsidRPr="00537C3C" w:rsidRDefault="00234376" w:rsidP="008E03A7">
            <w:pPr>
              <w:pStyle w:val="TableHeading"/>
              <w:jc w:val="center"/>
            </w:pPr>
            <w:r w:rsidRPr="00537C3C">
              <w:t>Specificity</w:t>
            </w:r>
          </w:p>
        </w:tc>
      </w:tr>
      <w:tr w:rsidR="00234376" w:rsidRPr="00537C3C">
        <w:tc>
          <w:tcPr>
            <w:tcW w:w="765" w:type="pct"/>
            <w:vMerge/>
          </w:tcPr>
          <w:p w:rsidR="00234376" w:rsidRPr="00537C3C" w:rsidRDefault="00234376" w:rsidP="008E03A7">
            <w:pPr>
              <w:pStyle w:val="TableHeading"/>
            </w:pPr>
          </w:p>
        </w:tc>
        <w:tc>
          <w:tcPr>
            <w:tcW w:w="706" w:type="pct"/>
            <w:tcBorders>
              <w:bottom w:val="single" w:sz="4" w:space="0" w:color="auto"/>
            </w:tcBorders>
          </w:tcPr>
          <w:p w:rsidR="00234376" w:rsidRDefault="00234376" w:rsidP="00234376">
            <w:pPr>
              <w:pStyle w:val="TableHeading"/>
              <w:jc w:val="center"/>
            </w:pPr>
            <w:r w:rsidRPr="00BB76D8">
              <w:t>ASCUS</w:t>
            </w:r>
          </w:p>
        </w:tc>
        <w:tc>
          <w:tcPr>
            <w:tcW w:w="706" w:type="pct"/>
            <w:tcBorders>
              <w:bottom w:val="single" w:sz="4" w:space="0" w:color="auto"/>
            </w:tcBorders>
          </w:tcPr>
          <w:p w:rsidR="00234376" w:rsidRDefault="00234376" w:rsidP="00234376">
            <w:pPr>
              <w:pStyle w:val="TableHeading"/>
              <w:jc w:val="center"/>
            </w:pPr>
            <w:r w:rsidRPr="00BB76D8">
              <w:t>LSIL</w:t>
            </w:r>
          </w:p>
        </w:tc>
        <w:tc>
          <w:tcPr>
            <w:tcW w:w="706" w:type="pct"/>
            <w:tcBorders>
              <w:bottom w:val="single" w:sz="4" w:space="0" w:color="auto"/>
            </w:tcBorders>
          </w:tcPr>
          <w:p w:rsidR="00234376" w:rsidRDefault="00234376" w:rsidP="00234376">
            <w:pPr>
              <w:pStyle w:val="TableHeading"/>
              <w:jc w:val="center"/>
            </w:pPr>
            <w:r w:rsidRPr="00BB76D8">
              <w:t>HSIL</w:t>
            </w:r>
          </w:p>
        </w:tc>
        <w:tc>
          <w:tcPr>
            <w:tcW w:w="706" w:type="pct"/>
            <w:tcBorders>
              <w:bottom w:val="single" w:sz="4" w:space="0" w:color="auto"/>
            </w:tcBorders>
          </w:tcPr>
          <w:p w:rsidR="00234376" w:rsidRDefault="00234376" w:rsidP="00234376">
            <w:pPr>
              <w:pStyle w:val="TableHeading"/>
              <w:jc w:val="center"/>
            </w:pPr>
            <w:r w:rsidRPr="00BB76D8">
              <w:t>ASCUS</w:t>
            </w:r>
          </w:p>
        </w:tc>
        <w:tc>
          <w:tcPr>
            <w:tcW w:w="706" w:type="pct"/>
            <w:tcBorders>
              <w:bottom w:val="single" w:sz="4" w:space="0" w:color="auto"/>
            </w:tcBorders>
          </w:tcPr>
          <w:p w:rsidR="00234376" w:rsidRDefault="00234376" w:rsidP="00234376">
            <w:pPr>
              <w:pStyle w:val="TableHeading"/>
              <w:jc w:val="center"/>
            </w:pPr>
            <w:r w:rsidRPr="00BB76D8">
              <w:t>LSIL</w:t>
            </w:r>
          </w:p>
        </w:tc>
        <w:tc>
          <w:tcPr>
            <w:tcW w:w="706" w:type="pct"/>
            <w:tcBorders>
              <w:bottom w:val="single" w:sz="4" w:space="0" w:color="auto"/>
            </w:tcBorders>
          </w:tcPr>
          <w:p w:rsidR="00234376" w:rsidRDefault="00234376" w:rsidP="00234376">
            <w:pPr>
              <w:pStyle w:val="TableHeading"/>
              <w:jc w:val="center"/>
            </w:pPr>
            <w:r w:rsidRPr="00BB76D8">
              <w:t>HSIL</w:t>
            </w:r>
          </w:p>
        </w:tc>
      </w:tr>
      <w:tr w:rsidR="00234376" w:rsidRPr="00537C3C">
        <w:trPr>
          <w:trHeight w:val="205"/>
        </w:trPr>
        <w:tc>
          <w:tcPr>
            <w:tcW w:w="765" w:type="pct"/>
            <w:tcBorders>
              <w:bottom w:val="single" w:sz="4" w:space="0" w:color="auto"/>
            </w:tcBorders>
          </w:tcPr>
          <w:p w:rsidR="00234376" w:rsidRPr="00537C3C" w:rsidRDefault="00234376" w:rsidP="008E03A7">
            <w:pPr>
              <w:pStyle w:val="TableTextLessSpaceCharCharCharCharCharCharCharChar"/>
              <w:rPr>
                <w:sz w:val="16"/>
              </w:rPr>
            </w:pPr>
            <w:r w:rsidRPr="00537C3C">
              <w:rPr>
                <w:sz w:val="16"/>
              </w:rPr>
              <w:t>Arbyn</w:t>
            </w:r>
          </w:p>
        </w:tc>
        <w:tc>
          <w:tcPr>
            <w:tcW w:w="706" w:type="pct"/>
            <w:tcBorders>
              <w:top w:val="single" w:sz="4" w:space="0" w:color="auto"/>
              <w:bottom w:val="single" w:sz="4" w:space="0" w:color="auto"/>
            </w:tcBorders>
          </w:tcPr>
          <w:p w:rsidR="00234376" w:rsidRDefault="00234376" w:rsidP="00234376">
            <w:pPr>
              <w:pStyle w:val="TableText"/>
              <w:jc w:val="center"/>
              <w:rPr>
                <w:rStyle w:val="TableTextLessSpaceCharCharCharCharCharCharCharCharChar"/>
                <w:sz w:val="16"/>
              </w:rPr>
            </w:pPr>
            <w:r w:rsidRPr="00537C3C">
              <w:rPr>
                <w:rStyle w:val="TableTextLessSpaceCharCharCharCharCharCharCharCharChar"/>
                <w:sz w:val="16"/>
              </w:rPr>
              <w:t>1.03 (0.97–1.09)</w:t>
            </w:r>
          </w:p>
        </w:tc>
        <w:tc>
          <w:tcPr>
            <w:tcW w:w="706" w:type="pct"/>
            <w:tcBorders>
              <w:top w:val="single" w:sz="4" w:space="0" w:color="auto"/>
              <w:bottom w:val="single" w:sz="4" w:space="0" w:color="auto"/>
            </w:tcBorders>
          </w:tcPr>
          <w:p w:rsidR="00234376" w:rsidRDefault="00234376" w:rsidP="00234376">
            <w:pPr>
              <w:pStyle w:val="TableText"/>
              <w:jc w:val="center"/>
              <w:rPr>
                <w:rStyle w:val="TableTextLessSpaceCharCharCharCharCharCharCharCharChar"/>
                <w:sz w:val="16"/>
              </w:rPr>
            </w:pPr>
            <w:r w:rsidRPr="00537C3C">
              <w:rPr>
                <w:rStyle w:val="TableTextLessSpaceCharCharCharCharCharCharCharCharChar"/>
                <w:sz w:val="16"/>
              </w:rPr>
              <w:t>1.03 (0.96–1.11)</w:t>
            </w:r>
          </w:p>
        </w:tc>
        <w:tc>
          <w:tcPr>
            <w:tcW w:w="706" w:type="pct"/>
            <w:tcBorders>
              <w:top w:val="single" w:sz="4" w:space="0" w:color="auto"/>
              <w:bottom w:val="single" w:sz="4" w:space="0" w:color="auto"/>
            </w:tcBorders>
          </w:tcPr>
          <w:p w:rsidR="00234376" w:rsidRDefault="00234376" w:rsidP="00234376">
            <w:pPr>
              <w:pStyle w:val="TableText"/>
              <w:jc w:val="center"/>
              <w:rPr>
                <w:rStyle w:val="TableTextLessSpaceCharCharCharCharCharCharCharCharChar"/>
                <w:sz w:val="16"/>
              </w:rPr>
            </w:pPr>
            <w:r w:rsidRPr="00537C3C">
              <w:rPr>
                <w:rStyle w:val="TableTextLessSpaceCharCharCharCharCharCharCharCharChar"/>
                <w:sz w:val="16"/>
              </w:rPr>
              <w:t>1.05 (0.95–1.16)</w:t>
            </w:r>
          </w:p>
        </w:tc>
        <w:tc>
          <w:tcPr>
            <w:tcW w:w="706" w:type="pct"/>
            <w:tcBorders>
              <w:top w:val="single" w:sz="4" w:space="0" w:color="auto"/>
              <w:bottom w:val="single" w:sz="4" w:space="0" w:color="auto"/>
            </w:tcBorders>
          </w:tcPr>
          <w:p w:rsidR="00234376" w:rsidRDefault="00234376" w:rsidP="00234376">
            <w:pPr>
              <w:pStyle w:val="TableText"/>
              <w:jc w:val="center"/>
              <w:rPr>
                <w:rStyle w:val="TableTextLessSpaceCharCharCharCharCharCharCharCharChar"/>
                <w:sz w:val="16"/>
              </w:rPr>
            </w:pPr>
            <w:r w:rsidRPr="00537C3C">
              <w:rPr>
                <w:rStyle w:val="TableTextLessSpaceCharCharCharCharCharCharCharCharChar"/>
                <w:sz w:val="16"/>
              </w:rPr>
              <w:t>0.91 (0.84–0.98)</w:t>
            </w:r>
          </w:p>
        </w:tc>
        <w:tc>
          <w:tcPr>
            <w:tcW w:w="706" w:type="pct"/>
            <w:tcBorders>
              <w:top w:val="single" w:sz="4" w:space="0" w:color="auto"/>
              <w:bottom w:val="single" w:sz="4" w:space="0" w:color="auto"/>
            </w:tcBorders>
          </w:tcPr>
          <w:p w:rsidR="00234376" w:rsidRDefault="00234376" w:rsidP="00234376">
            <w:pPr>
              <w:pStyle w:val="TableText"/>
              <w:jc w:val="center"/>
              <w:rPr>
                <w:rStyle w:val="TableTextLessSpaceCharCharCharCharCharCharCharCharChar"/>
                <w:sz w:val="16"/>
              </w:rPr>
            </w:pPr>
            <w:r w:rsidRPr="00537C3C">
              <w:rPr>
                <w:rStyle w:val="TableTextLessSpaceCharCharCharCharCharCharCharCharChar"/>
                <w:sz w:val="16"/>
              </w:rPr>
              <w:t>0.97 (0.94–1.01)</w:t>
            </w:r>
          </w:p>
        </w:tc>
        <w:tc>
          <w:tcPr>
            <w:tcW w:w="706" w:type="pct"/>
            <w:tcBorders>
              <w:top w:val="single" w:sz="4" w:space="0" w:color="auto"/>
              <w:bottom w:val="single" w:sz="4" w:space="0" w:color="auto"/>
            </w:tcBorders>
          </w:tcPr>
          <w:p w:rsidR="00234376" w:rsidRDefault="00234376" w:rsidP="00234376">
            <w:pPr>
              <w:pStyle w:val="TableText"/>
              <w:jc w:val="center"/>
              <w:rPr>
                <w:rStyle w:val="TableTextLessSpaceCharCharCharCharCharCharCharCharChar"/>
                <w:sz w:val="16"/>
              </w:rPr>
            </w:pPr>
            <w:r w:rsidRPr="00537C3C">
              <w:rPr>
                <w:rStyle w:val="TableTextLessSpaceCharCharCharCharCharCharCharCharChar"/>
                <w:sz w:val="16"/>
              </w:rPr>
              <w:t>0.99 (0.98–1.01)</w:t>
            </w:r>
          </w:p>
        </w:tc>
      </w:tr>
    </w:tbl>
    <w:p w:rsidR="00234376" w:rsidRPr="00537C3C" w:rsidRDefault="00234376" w:rsidP="008E03A7"/>
    <w:p w:rsidR="00234376" w:rsidRPr="00537C3C" w:rsidRDefault="00234376" w:rsidP="008E03A7">
      <w:r w:rsidRPr="00537C3C">
        <w:t xml:space="preserve">We also estimated the probability of a normal test result given underlying </w:t>
      </w:r>
      <w:r w:rsidRPr="00BB76D8">
        <w:t>HPV</w:t>
      </w:r>
      <w:r w:rsidRPr="00537C3C">
        <w:t xml:space="preserve"> infection by using the cross-sectional prevalence of </w:t>
      </w:r>
      <w:r w:rsidRPr="00BB76D8">
        <w:t>HPV</w:t>
      </w:r>
      <w:r w:rsidRPr="00537C3C">
        <w:t xml:space="preserve"> in cytologically normal non-Indigenous </w:t>
      </w:r>
      <w:r w:rsidRPr="00537C3C">
        <w:lastRenderedPageBreak/>
        <w:t>Australian women aged 25–29 years, assumed to be 22.7 per cent on the bas</w:t>
      </w:r>
      <w:r w:rsidRPr="00537C3C" w:rsidDel="00C27CD6">
        <w:t>is</w:t>
      </w:r>
      <w:r w:rsidRPr="00537C3C">
        <w:t xml:space="preserve"> o</w:t>
      </w:r>
      <w:r w:rsidRPr="00537C3C" w:rsidDel="00C27CD6">
        <w:t>f</w:t>
      </w:r>
      <w:r w:rsidRPr="00537C3C">
        <w:t xml:space="preserve"> interim </w:t>
      </w:r>
      <w:r w:rsidRPr="00BB76D8">
        <w:t>WHINURS</w:t>
      </w:r>
      <w:r w:rsidRPr="00537C3C">
        <w:t xml:space="preserve"> data </w:t>
      </w:r>
      <w:r w:rsidRPr="00537C3C">
        <w:rPr>
          <w:szCs w:val="24"/>
        </w:rPr>
        <w:t>from July 2006</w:t>
      </w:r>
      <w:r w:rsidRPr="00537C3C">
        <w:t xml:space="preserve"> (pers. comm., Prof. Suzanne Garland). This age group was chosen because it is close to that of the </w:t>
      </w:r>
      <w:r w:rsidRPr="00BB76D8">
        <w:t>ALTS</w:t>
      </w:r>
      <w:r w:rsidRPr="00537C3C">
        <w:t xml:space="preserve"> study and is therefore assumed to have similar underlying disease prevalence.</w:t>
      </w:r>
    </w:p>
    <w:p w:rsidR="00234376" w:rsidRDefault="00234376" w:rsidP="00234376">
      <w:pPr>
        <w:pStyle w:val="Heading3"/>
      </w:pPr>
      <w:r w:rsidRPr="00537C3C">
        <w:t>Distribution of abnormal cytology reports in the screening population</w:t>
      </w:r>
    </w:p>
    <w:p w:rsidR="00234376" w:rsidRPr="00537C3C" w:rsidRDefault="00234376" w:rsidP="008E03A7">
      <w:r w:rsidRPr="00537C3C">
        <w:t xml:space="preserve">We have used the reporting rates for cytology in the screening population of </w:t>
      </w:r>
      <w:smartTag w:uri="urn:schemas-microsoft-com:office:smarttags" w:element="country-region">
        <w:r w:rsidRPr="00537C3C">
          <w:t>Australia</w:t>
        </w:r>
      </w:smartTag>
      <w:r w:rsidRPr="00537C3C">
        <w:t xml:space="preserve"> to derive matrices specific to </w:t>
      </w:r>
      <w:smartTag w:uri="urn:schemas-microsoft-com:office:smarttags" w:element="country-region">
        <w:r w:rsidRPr="00537C3C">
          <w:t>Australia</w:t>
        </w:r>
      </w:smartTag>
      <w:r w:rsidRPr="00537C3C">
        <w:t xml:space="preserve">, or to check whether matrices derived independently of the distribution of abnormal cytology reports are applicable to </w:t>
      </w:r>
      <w:smartTag w:uri="urn:schemas-microsoft-com:office:smarttags" w:element="place">
        <w:smartTag w:uri="urn:schemas-microsoft-com:office:smarttags" w:element="country-region">
          <w:r w:rsidRPr="00537C3C">
            <w:t>Australia</w:t>
          </w:r>
        </w:smartTag>
      </w:smartTag>
      <w:r w:rsidRPr="00537C3C">
        <w:t xml:space="preserve"> (</w:t>
      </w:r>
      <w:r w:rsidRPr="00537C3C">
        <w:fldChar w:fldCharType="begin"/>
      </w:r>
      <w:r w:rsidRPr="00537C3C">
        <w:instrText xml:space="preserve"> REF _Ref219701425 \h </w:instrText>
      </w:r>
      <w:r w:rsidRPr="00537C3C">
        <w:fldChar w:fldCharType="separate"/>
      </w:r>
      <w:r w:rsidR="007D3DFF" w:rsidRPr="00537C3C">
        <w:t xml:space="preserve">Table </w:t>
      </w:r>
      <w:r w:rsidR="007D3DFF">
        <w:rPr>
          <w:noProof/>
        </w:rPr>
        <w:t>74</w:t>
      </w:r>
      <w:r w:rsidRPr="00537C3C">
        <w:fldChar w:fldCharType="end"/>
      </w:r>
      <w:r w:rsidRPr="00537C3C">
        <w:t xml:space="preserve">). We used cytology distributions from the </w:t>
      </w:r>
      <w:r w:rsidRPr="00BB76D8">
        <w:t>VCCR</w:t>
      </w:r>
      <w:r w:rsidRPr="00537C3C">
        <w:t xml:space="preserve"> (July 2008) and </w:t>
      </w:r>
      <w:r w:rsidRPr="00BB76D8">
        <w:t>NSW</w:t>
      </w:r>
      <w:r w:rsidRPr="00537C3C">
        <w:t xml:space="preserve"> PTR (pers. comm., Robyn Godding, Cancer Institute </w:t>
      </w:r>
      <w:r w:rsidRPr="00BB76D8">
        <w:t>NSW</w:t>
      </w:r>
      <w:r w:rsidRPr="00537C3C">
        <w:t>) for:</w:t>
      </w:r>
    </w:p>
    <w:p w:rsidR="00234376" w:rsidRPr="00537C3C" w:rsidRDefault="00234376" w:rsidP="008E03A7">
      <w:pPr>
        <w:numPr>
          <w:ilvl w:val="0"/>
          <w:numId w:val="24"/>
        </w:numPr>
      </w:pPr>
      <w:r w:rsidRPr="00537C3C">
        <w:t xml:space="preserve">women of all ages, </w:t>
      </w:r>
      <w:r w:rsidRPr="00BB76D8">
        <w:t>VCCR</w:t>
      </w:r>
      <w:r w:rsidRPr="00537C3C">
        <w:t xml:space="preserve"> whole of 2006 </w:t>
      </w:r>
      <w:r w:rsidRPr="00537C3C">
        <w:fldChar w:fldCharType="begin"/>
      </w:r>
      <w:r w:rsidRPr="00537C3C">
        <w:instrText xml:space="preserve"> ADDIN REFMGR.CITE &lt;Refman&gt;&lt;Cite&gt;&lt;Author&gt;Victorian Cervical Cytology Registry&lt;/Author&gt;&lt;Year&gt;2006&lt;/Year&gt;&lt;RecNum&gt;4976&lt;/RecNum&gt;&lt;IDText&gt;Statistical Report 2006&lt;/IDText&gt;&lt;MDL Ref_Type="Generic"&gt;&lt;Ref_Type&gt;Generic&lt;/Ref_Type&gt;&lt;Ref_ID&gt;4976&lt;/Ref_ID&gt;&lt;Title_Primary&gt;Statistical Report 2006&lt;/Title_Primary&gt;&lt;Authors_Primary&gt;Victorian Cervical Cytology Registry&lt;/Authors_Primary&gt;&lt;Date_Primary&gt;2006=October &lt;/Date_Primary&gt;&lt;Keywords&gt;cytology&lt;/Keywords&gt;&lt;Keywords&gt;Registries&lt;/Keywords&gt;&lt;Keywords&gt;Statistical&lt;/Keywords&gt;&lt;Reprint&gt;Not in File&lt;/Reprint&gt;&lt;Web_URL&gt;www.vccr.org/downloads/VCCRStatisticalReport2006_Final_114224102007.pdf&lt;/Web_URL&gt;&lt;ZZ_WorkformID&gt;33&lt;/ZZ_WorkformID&gt;&lt;/MDL&gt;&lt;/Cite&gt;&lt;/Refman&gt;</w:instrText>
      </w:r>
      <w:r w:rsidRPr="00537C3C">
        <w:fldChar w:fldCharType="separate"/>
      </w:r>
      <w:r w:rsidRPr="00537C3C">
        <w:t>(VCCR 2006)</w:t>
      </w:r>
      <w:r w:rsidRPr="00537C3C">
        <w:fldChar w:fldCharType="end"/>
      </w:r>
    </w:p>
    <w:p w:rsidR="00234376" w:rsidRPr="00537C3C" w:rsidRDefault="00234376" w:rsidP="008E03A7">
      <w:pPr>
        <w:numPr>
          <w:ilvl w:val="0"/>
          <w:numId w:val="24"/>
        </w:numPr>
      </w:pPr>
      <w:r w:rsidRPr="00537C3C">
        <w:t xml:space="preserve">women of all ages, </w:t>
      </w:r>
      <w:r w:rsidRPr="00BB76D8">
        <w:t>NSW</w:t>
      </w:r>
      <w:r w:rsidRPr="00537C3C">
        <w:t xml:space="preserve"> PTR fourth quarter of 2006</w:t>
      </w:r>
    </w:p>
    <w:p w:rsidR="00234376" w:rsidRPr="00537C3C" w:rsidRDefault="00234376" w:rsidP="008E03A7">
      <w:pPr>
        <w:numPr>
          <w:ilvl w:val="0"/>
          <w:numId w:val="24"/>
        </w:numPr>
      </w:pPr>
      <w:r w:rsidRPr="00537C3C">
        <w:t xml:space="preserve">women aged 25–29 years, </w:t>
      </w:r>
      <w:r w:rsidRPr="00BB76D8">
        <w:t>VCCR</w:t>
      </w:r>
      <w:r w:rsidRPr="00537C3C">
        <w:t xml:space="preserve"> during 2005 and 2006</w:t>
      </w:r>
    </w:p>
    <w:p w:rsidR="00234376" w:rsidRPr="00537C3C" w:rsidRDefault="00234376" w:rsidP="008E03A7">
      <w:pPr>
        <w:numPr>
          <w:ilvl w:val="0"/>
          <w:numId w:val="24"/>
        </w:numPr>
      </w:pPr>
      <w:r w:rsidRPr="00537C3C">
        <w:t xml:space="preserve">women aged 25–29 years, </w:t>
      </w:r>
      <w:r w:rsidRPr="00BB76D8">
        <w:t>NSW</w:t>
      </w:r>
      <w:r w:rsidRPr="00537C3C">
        <w:t xml:space="preserve"> PTR fourth quarter of 2006.</w:t>
      </w:r>
    </w:p>
    <w:p w:rsidR="00234376" w:rsidRPr="00537C3C" w:rsidRDefault="00234376" w:rsidP="008E03A7">
      <w:pPr>
        <w:pStyle w:val="TableNamea"/>
        <w:ind w:left="1644"/>
      </w:pPr>
      <w:bookmarkStart w:id="1109" w:name="_Ref219701425"/>
      <w:bookmarkStart w:id="1110" w:name="_Toc216169962"/>
      <w:bookmarkStart w:id="1111" w:name="_Toc95971310"/>
      <w:r w:rsidRPr="00537C3C">
        <w:t xml:space="preserve">Table </w:t>
      </w:r>
      <w:fldSimple w:instr=" SEQ Table \* ARABIC ">
        <w:r w:rsidR="007D3DFF">
          <w:rPr>
            <w:noProof/>
          </w:rPr>
          <w:t>74</w:t>
        </w:r>
      </w:fldSimple>
      <w:bookmarkEnd w:id="1109"/>
      <w:r w:rsidRPr="00537C3C">
        <w:tab/>
        <w:t>Cytology report distributions, adjusted to exclude unsatisfactory smears</w:t>
      </w:r>
      <w:bookmarkEnd w:id="1110"/>
      <w:r w:rsidRPr="00537C3C">
        <w:t>.</w:t>
      </w:r>
      <w:bookmarkEnd w:id="1111"/>
    </w:p>
    <w:tbl>
      <w:tblPr>
        <w:tblW w:w="4356"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354"/>
        <w:gridCol w:w="1356"/>
        <w:gridCol w:w="1356"/>
        <w:gridCol w:w="1356"/>
        <w:gridCol w:w="1354"/>
      </w:tblGrid>
      <w:tr w:rsidR="00234376" w:rsidRPr="00537C3C">
        <w:trPr>
          <w:cantSplit/>
          <w:trHeight w:val="289"/>
          <w:tblHeader/>
        </w:trPr>
        <w:tc>
          <w:tcPr>
            <w:tcW w:w="792" w:type="pct"/>
            <w:vMerge w:val="restart"/>
            <w:tcBorders>
              <w:left w:val="nil"/>
              <w:right w:val="nil"/>
            </w:tcBorders>
            <w:vAlign w:val="bottom"/>
          </w:tcPr>
          <w:p w:rsidR="00234376" w:rsidRPr="00537C3C" w:rsidRDefault="00234376" w:rsidP="008E03A7">
            <w:pPr>
              <w:pStyle w:val="TableHeading"/>
            </w:pPr>
            <w:r w:rsidRPr="00537C3C">
              <w:t xml:space="preserve">Source </w:t>
            </w:r>
          </w:p>
        </w:tc>
        <w:tc>
          <w:tcPr>
            <w:tcW w:w="4208" w:type="pct"/>
            <w:gridSpan w:val="5"/>
            <w:tcBorders>
              <w:left w:val="nil"/>
              <w:right w:val="nil"/>
            </w:tcBorders>
            <w:vAlign w:val="bottom"/>
          </w:tcPr>
          <w:p w:rsidR="00234376" w:rsidRPr="00537C3C" w:rsidRDefault="00234376" w:rsidP="008E03A7">
            <w:pPr>
              <w:pStyle w:val="TableHeading"/>
              <w:jc w:val="center"/>
            </w:pPr>
            <w:r w:rsidRPr="00537C3C">
              <w:t>Cytology report</w:t>
            </w:r>
          </w:p>
        </w:tc>
      </w:tr>
      <w:tr w:rsidR="00234376" w:rsidRPr="00537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9"/>
        </w:trPr>
        <w:tc>
          <w:tcPr>
            <w:tcW w:w="792" w:type="pct"/>
            <w:vMerge/>
          </w:tcPr>
          <w:p w:rsidR="00234376" w:rsidRPr="00537C3C" w:rsidRDefault="00234376" w:rsidP="008E03A7">
            <w:pPr>
              <w:pStyle w:val="TableHeading"/>
            </w:pPr>
          </w:p>
        </w:tc>
        <w:tc>
          <w:tcPr>
            <w:tcW w:w="841" w:type="pct"/>
          </w:tcPr>
          <w:p w:rsidR="00234376" w:rsidRPr="00537C3C" w:rsidRDefault="00234376" w:rsidP="008E03A7">
            <w:pPr>
              <w:pStyle w:val="TableHeading"/>
            </w:pPr>
            <w:smartTag w:uri="urn:schemas-microsoft-com:office:smarttags" w:element="place">
              <w:smartTag w:uri="urn:schemas-microsoft-com:office:smarttags" w:element="City">
                <w:r w:rsidRPr="00537C3C">
                  <w:t>Normal</w:t>
                </w:r>
              </w:smartTag>
            </w:smartTag>
          </w:p>
        </w:tc>
        <w:tc>
          <w:tcPr>
            <w:tcW w:w="842" w:type="pct"/>
          </w:tcPr>
          <w:p w:rsidR="00234376" w:rsidRPr="00537C3C" w:rsidRDefault="00234376" w:rsidP="008E03A7">
            <w:pPr>
              <w:pStyle w:val="TableHeading"/>
            </w:pPr>
            <w:r w:rsidRPr="00BB76D8">
              <w:t>pLSIL</w:t>
            </w:r>
          </w:p>
        </w:tc>
        <w:tc>
          <w:tcPr>
            <w:tcW w:w="842" w:type="pct"/>
          </w:tcPr>
          <w:p w:rsidR="00234376" w:rsidRPr="00537C3C" w:rsidRDefault="00234376" w:rsidP="008E03A7">
            <w:pPr>
              <w:pStyle w:val="TableHeading"/>
            </w:pPr>
            <w:r w:rsidRPr="00537C3C">
              <w:t>d</w:t>
            </w:r>
            <w:r w:rsidRPr="00BB76D8">
              <w:t>LSIL</w:t>
            </w:r>
          </w:p>
        </w:tc>
        <w:tc>
          <w:tcPr>
            <w:tcW w:w="842" w:type="pct"/>
          </w:tcPr>
          <w:p w:rsidR="00234376" w:rsidRPr="00537C3C" w:rsidRDefault="00234376" w:rsidP="008E03A7">
            <w:pPr>
              <w:pStyle w:val="TableHeading"/>
            </w:pPr>
            <w:r w:rsidRPr="00BB76D8">
              <w:t>pHSIL</w:t>
            </w:r>
          </w:p>
        </w:tc>
        <w:tc>
          <w:tcPr>
            <w:tcW w:w="841" w:type="pct"/>
          </w:tcPr>
          <w:p w:rsidR="00234376" w:rsidRPr="00537C3C" w:rsidRDefault="00234376" w:rsidP="008E03A7">
            <w:pPr>
              <w:pStyle w:val="TableHeading"/>
            </w:pPr>
            <w:r w:rsidRPr="00537C3C">
              <w:t>d</w:t>
            </w:r>
            <w:r w:rsidRPr="00BB76D8">
              <w:t>HSIL</w:t>
            </w:r>
            <w:r w:rsidRPr="00537C3C">
              <w:t>+</w:t>
            </w:r>
          </w:p>
        </w:tc>
      </w:tr>
      <w:tr w:rsidR="00234376" w:rsidRPr="00537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
        </w:trPr>
        <w:tc>
          <w:tcPr>
            <w:tcW w:w="792" w:type="pct"/>
            <w:tcBorders>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(all ages)</w:t>
            </w:r>
          </w:p>
        </w:tc>
        <w:tc>
          <w:tcPr>
            <w:tcW w:w="841" w:type="pct"/>
            <w:tcBorders>
              <w:bottom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93.9%</w:t>
            </w:r>
          </w:p>
        </w:tc>
        <w:tc>
          <w:tcPr>
            <w:tcW w:w="842" w:type="pct"/>
            <w:tcBorders>
              <w:bottom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2.2%</w:t>
            </w:r>
          </w:p>
        </w:tc>
        <w:tc>
          <w:tcPr>
            <w:tcW w:w="842" w:type="pct"/>
            <w:tcBorders>
              <w:bottom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3.0%</w:t>
            </w:r>
          </w:p>
        </w:tc>
        <w:tc>
          <w:tcPr>
            <w:tcW w:w="842" w:type="pct"/>
            <w:tcBorders>
              <w:bottom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0.4%</w:t>
            </w:r>
          </w:p>
        </w:tc>
        <w:tc>
          <w:tcPr>
            <w:tcW w:w="841" w:type="pct"/>
            <w:tcBorders>
              <w:bottom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0.5%</w:t>
            </w:r>
          </w:p>
        </w:tc>
      </w:tr>
      <w:tr w:rsidR="00234376" w:rsidRPr="00537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
        </w:trPr>
        <w:tc>
          <w:tcPr>
            <w:tcW w:w="792" w:type="pct"/>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841" w:type="pct"/>
            <w:tcBorders>
              <w:top w:val="nil"/>
              <w:bottom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87.0%</w:t>
            </w:r>
          </w:p>
        </w:tc>
        <w:tc>
          <w:tcPr>
            <w:tcW w:w="842" w:type="pct"/>
            <w:tcBorders>
              <w:top w:val="nil"/>
              <w:bottom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3.7%</w:t>
            </w:r>
          </w:p>
        </w:tc>
        <w:tc>
          <w:tcPr>
            <w:tcW w:w="842" w:type="pct"/>
            <w:tcBorders>
              <w:top w:val="nil"/>
              <w:bottom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6.6%</w:t>
            </w:r>
          </w:p>
        </w:tc>
        <w:tc>
          <w:tcPr>
            <w:tcW w:w="842" w:type="pct"/>
            <w:tcBorders>
              <w:top w:val="nil"/>
              <w:bottom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0.8%</w:t>
            </w:r>
          </w:p>
        </w:tc>
        <w:tc>
          <w:tcPr>
            <w:tcW w:w="841" w:type="pct"/>
            <w:tcBorders>
              <w:top w:val="nil"/>
              <w:bottom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1.8%</w:t>
            </w:r>
          </w:p>
        </w:tc>
      </w:tr>
      <w:tr w:rsidR="00234376" w:rsidRPr="00537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
        </w:trPr>
        <w:tc>
          <w:tcPr>
            <w:tcW w:w="792" w:type="pct"/>
            <w:tcBorders>
              <w:top w:val="nil"/>
            </w:tcBorders>
          </w:tcPr>
          <w:p w:rsidR="00234376" w:rsidRPr="00537C3C" w:rsidRDefault="00234376" w:rsidP="008E03A7">
            <w:pPr>
              <w:pStyle w:val="TableTextLessSpaceCharCharCharCharCharCharCharChar"/>
              <w:rPr>
                <w:sz w:val="16"/>
              </w:rPr>
            </w:pPr>
            <w:r w:rsidRPr="00537C3C">
              <w:rPr>
                <w:sz w:val="16"/>
              </w:rPr>
              <w:t>PTR (all ages)</w:t>
            </w:r>
          </w:p>
        </w:tc>
        <w:tc>
          <w:tcPr>
            <w:tcW w:w="841" w:type="pct"/>
            <w:tcBorders>
              <w:top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93.6%</w:t>
            </w:r>
          </w:p>
        </w:tc>
        <w:tc>
          <w:tcPr>
            <w:tcW w:w="842" w:type="pct"/>
            <w:tcBorders>
              <w:top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2.7%</w:t>
            </w:r>
          </w:p>
        </w:tc>
        <w:tc>
          <w:tcPr>
            <w:tcW w:w="842" w:type="pct"/>
            <w:tcBorders>
              <w:top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2.2%</w:t>
            </w:r>
          </w:p>
        </w:tc>
        <w:tc>
          <w:tcPr>
            <w:tcW w:w="842" w:type="pct"/>
            <w:tcBorders>
              <w:top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0.5%</w:t>
            </w:r>
          </w:p>
        </w:tc>
        <w:tc>
          <w:tcPr>
            <w:tcW w:w="841" w:type="pct"/>
            <w:tcBorders>
              <w:top w:val="nil"/>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0.9%</w:t>
            </w:r>
          </w:p>
        </w:tc>
      </w:tr>
      <w:tr w:rsidR="00234376" w:rsidRPr="00537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
        </w:trPr>
        <w:tc>
          <w:tcPr>
            <w:tcW w:w="792" w:type="pct"/>
            <w:tcBorders>
              <w:top w:val="nil"/>
              <w:bottom w:val="single" w:sz="4" w:space="0" w:color="auto"/>
            </w:tcBorders>
          </w:tcPr>
          <w:p w:rsidR="00234376" w:rsidRPr="00537C3C" w:rsidRDefault="00234376" w:rsidP="008E03A7">
            <w:pPr>
              <w:pStyle w:val="TableTextLessSpaceCharCharCharCharCharCharCharChar"/>
              <w:rPr>
                <w:sz w:val="16"/>
              </w:rPr>
            </w:pPr>
            <w:r w:rsidRPr="00537C3C">
              <w:rPr>
                <w:sz w:val="16"/>
              </w:rPr>
              <w:t>PTR (25–29 y)</w:t>
            </w:r>
          </w:p>
        </w:tc>
        <w:tc>
          <w:tcPr>
            <w:tcW w:w="841" w:type="pct"/>
            <w:tcBorders>
              <w:top w:val="nil"/>
              <w:bottom w:val="single" w:sz="4" w:space="0" w:color="auto"/>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89.1%</w:t>
            </w:r>
          </w:p>
        </w:tc>
        <w:tc>
          <w:tcPr>
            <w:tcW w:w="842" w:type="pct"/>
            <w:tcBorders>
              <w:top w:val="nil"/>
              <w:bottom w:val="single" w:sz="4" w:space="0" w:color="auto"/>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4.0%</w:t>
            </w:r>
          </w:p>
        </w:tc>
        <w:tc>
          <w:tcPr>
            <w:tcW w:w="842" w:type="pct"/>
            <w:tcBorders>
              <w:top w:val="nil"/>
              <w:bottom w:val="single" w:sz="4" w:space="0" w:color="auto"/>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4.1%</w:t>
            </w:r>
          </w:p>
        </w:tc>
        <w:tc>
          <w:tcPr>
            <w:tcW w:w="842" w:type="pct"/>
            <w:tcBorders>
              <w:top w:val="nil"/>
              <w:bottom w:val="single" w:sz="4" w:space="0" w:color="auto"/>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0.9%</w:t>
            </w:r>
          </w:p>
        </w:tc>
        <w:tc>
          <w:tcPr>
            <w:tcW w:w="841" w:type="pct"/>
            <w:tcBorders>
              <w:top w:val="nil"/>
              <w:bottom w:val="single" w:sz="4" w:space="0" w:color="auto"/>
            </w:tcBorders>
          </w:tcPr>
          <w:p w:rsidR="00234376" w:rsidRPr="00537C3C" w:rsidRDefault="00234376" w:rsidP="008E03A7">
            <w:pPr>
              <w:pStyle w:val="TableText"/>
              <w:rPr>
                <w:rStyle w:val="TableTextLessSpaceCharCharCharCharCharCharCharCharChar"/>
                <w:sz w:val="16"/>
              </w:rPr>
            </w:pPr>
            <w:r w:rsidRPr="00537C3C">
              <w:rPr>
                <w:rStyle w:val="TableTextLessSpaceCharCharCharCharCharCharCharCharChar"/>
                <w:sz w:val="16"/>
              </w:rPr>
              <w:t>1.9%</w:t>
            </w:r>
          </w:p>
        </w:tc>
      </w:tr>
    </w:tbl>
    <w:p w:rsidR="00234376" w:rsidRPr="00537C3C" w:rsidRDefault="00234376" w:rsidP="008E03A7">
      <w:pPr>
        <w:ind w:left="0"/>
      </w:pPr>
    </w:p>
    <w:p w:rsidR="00234376" w:rsidRPr="00537C3C" w:rsidRDefault="00234376" w:rsidP="008E03A7">
      <w:r w:rsidRPr="00537C3C">
        <w:t xml:space="preserve">These registry data show some differences in the reporting rates of Victoria and </w:t>
      </w:r>
      <w:r w:rsidRPr="00BB76D8">
        <w:t>NSW</w:t>
      </w:r>
      <w:r w:rsidRPr="00537C3C">
        <w:t xml:space="preserve">. Therefore, our approach was to separately apply </w:t>
      </w:r>
      <w:r w:rsidRPr="00BB76D8">
        <w:t>NSW</w:t>
      </w:r>
      <w:r w:rsidRPr="00537C3C">
        <w:t xml:space="preserve"> and Victorian data for the relevant age group, and compare the two results </w:t>
      </w:r>
      <w:r w:rsidRPr="00537C3C" w:rsidDel="00C27CD6">
        <w:t>by</w:t>
      </w:r>
      <w:r w:rsidRPr="00537C3C">
        <w:t xml:space="preserve"> sensitivity analysis.</w:t>
      </w:r>
    </w:p>
    <w:p w:rsidR="00234376" w:rsidRDefault="00234376" w:rsidP="00234376">
      <w:pPr>
        <w:pStyle w:val="Heading3"/>
      </w:pPr>
      <w:r w:rsidRPr="00537C3C">
        <w:t>Nomenclature</w:t>
      </w:r>
    </w:p>
    <w:p w:rsidR="00234376" w:rsidRPr="00537C3C" w:rsidRDefault="00234376" w:rsidP="008E03A7">
      <w:r w:rsidRPr="00537C3C">
        <w:t xml:space="preserve">Many of our data sources report cytology results using the Bethesda System 1991 or 2001, and one source of Australian data </w:t>
      </w:r>
      <w:r w:rsidRPr="00537C3C">
        <w:fldChar w:fldCharType="begin"/>
      </w:r>
      <w:r w:rsidRPr="00537C3C">
        <w:instrText xml:space="preserve"> ADDIN REFMGR.CITE &lt;Refman&gt;&lt;Cite&gt;&lt;Author&gt;Medical Services Advisory Committee&lt;/Author&gt;&lt;Year&gt;2002&lt;/Year&gt;&lt;RecNum&gt;3364&lt;/RecNum&gt;&lt;IDText&gt;Human papillomavirus testing in women with cytological prediction of low-grade abnormality&lt;/IDText&gt;&lt;MDL Ref_Type="Report"&gt;&lt;Ref_Type&gt;Report&lt;/Ref_Type&gt;&lt;Ref_ID&gt;3364&lt;/Ref_ID&gt;&lt;Title_Primary&gt;Human papillomavirus testing in women with cytological prediction of low-grade abnormality&lt;/Title_Primary&gt;&lt;Authors_Primary&gt;Medical Services Advisory Committee&lt;/Authors_Primary&gt;&lt;Date_Primary&gt;2002&lt;/Date_Primary&gt;&lt;Reprint&gt;In File&lt;/Reprint&gt;&lt;Volume&gt;Reference 12b&lt;/Volume&gt;&lt;Pub_Place&gt;Canberra&lt;/Pub_Place&gt;&lt;Publisher&gt;Commonwealth of Australia&lt;/Publisher&gt;&lt;Web_URL&gt;&lt;u&gt;www.msac.gov.au&lt;/u&gt;&lt;/Web_URL&gt;&lt;ZZ_WorkformID&gt;24&lt;/ZZ_WorkformID&gt;&lt;/MDL&gt;&lt;/Cite&gt;&lt;/Refman&gt;</w:instrText>
      </w:r>
      <w:r w:rsidRPr="00537C3C">
        <w:fldChar w:fldCharType="separate"/>
      </w:r>
      <w:r w:rsidRPr="00537C3C">
        <w:t>(MSAC 2002a)</w:t>
      </w:r>
      <w:r w:rsidRPr="00537C3C">
        <w:fldChar w:fldCharType="end"/>
      </w:r>
      <w:r w:rsidRPr="00537C3C">
        <w:t xml:space="preserve"> using the 1994 Australian </w:t>
      </w:r>
      <w:bookmarkStart w:id="1112" w:name="OLE_LINK49"/>
      <w:bookmarkStart w:id="1113" w:name="OLE_LINK50"/>
      <w:r w:rsidRPr="00537C3C">
        <w:t>NHMR</w:t>
      </w:r>
      <w:bookmarkEnd w:id="1112"/>
      <w:bookmarkEnd w:id="1113"/>
      <w:r w:rsidRPr="00537C3C">
        <w:t xml:space="preserve">C-endorsed terminology. We have mapped these results to </w:t>
      </w:r>
      <w:r w:rsidRPr="00BB76D8">
        <w:t>AMBS</w:t>
      </w:r>
      <w:r w:rsidRPr="00537C3C">
        <w:t xml:space="preserve"> 2004, taken from the 2005 Australian National Guidelines for Cervical Screening </w:t>
      </w:r>
      <w:r w:rsidRPr="00537C3C">
        <w:fldChar w:fldCharType="begin"/>
      </w:r>
      <w:r w:rsidRPr="00537C3C">
        <w:instrText xml:space="preserve"> ADDIN REFMGR.CITE &lt;Refman&gt;&lt;Cite&gt;&lt;Author&gt;NHMRC&lt;/Author&gt;&lt;Year&gt;2005&lt;/Year&gt;&lt;RecNum&gt;321&lt;/RecNum&gt;&lt;IDText&gt;Screening to prevent cervical cancer: Guidelines for the management of asymptomatic women with screen detected abnormalities&lt;/IDText&gt;&lt;MDL Ref_Type="Report"&gt;&lt;Ref_Type&gt;Report&lt;/Ref_Type&gt;&lt;Ref_ID&gt;321&lt;/Ref_ID&gt;&lt;Title_Primary&gt;Screening to prevent cervical cancer: Guidelines for the management of asymptomatic women with screen detected abnormalities&lt;/Title_Primary&gt;&lt;Authors_Primary&gt;NHMRC&lt;/Authors_Primary&gt;&lt;Date_Primary&gt;2005&lt;/Date_Primary&gt;&lt;Reprint&gt;In File&lt;/Reprint&gt;&lt;Pub_Place&gt;Canberra, ACT&lt;/Pub_Place&gt;&lt;Publisher&gt;National Health and Medical Research Council, Commonwealth of Australia&lt;/Publisher&gt;&lt;Web_URL&gt;&lt;u&gt;www.nhmrc.gov.au/publications&lt;/u&gt;&lt;/Web_URL&gt;&lt;ZZ_WorkformID&gt;24&lt;/ZZ_WorkformID&gt;&lt;/MDL&gt;&lt;/Cite&gt;&lt;/Refman&gt;</w:instrText>
      </w:r>
      <w:r w:rsidRPr="00537C3C">
        <w:fldChar w:fldCharType="separate"/>
      </w:r>
      <w:r w:rsidRPr="00537C3C">
        <w:t>(</w:t>
      </w:r>
      <w:r w:rsidRPr="00BB76D8">
        <w:t>NHMRC</w:t>
      </w:r>
      <w:r w:rsidRPr="00537C3C">
        <w:t xml:space="preserve"> 2005)</w:t>
      </w:r>
      <w:r w:rsidRPr="00537C3C">
        <w:fldChar w:fldCharType="end"/>
      </w:r>
      <w:r w:rsidRPr="00537C3C">
        <w:t xml:space="preserve">, with the additional assumption that TBS1991 </w:t>
      </w:r>
      <w:r w:rsidRPr="00BB76D8">
        <w:t>ASCUS</w:t>
      </w:r>
      <w:r w:rsidRPr="00537C3C">
        <w:t xml:space="preserve"> includes TBS2001 </w:t>
      </w:r>
      <w:bookmarkStart w:id="1114" w:name="OLE_LINK51"/>
      <w:bookmarkStart w:id="1115" w:name="OLE_LINK52"/>
      <w:r w:rsidRPr="00BB76D8">
        <w:t>ASC</w:t>
      </w:r>
      <w:bookmarkEnd w:id="1114"/>
      <w:bookmarkEnd w:id="1115"/>
      <w:r w:rsidRPr="00537C3C">
        <w:t xml:space="preserve">US and TBS2001 </w:t>
      </w:r>
      <w:r w:rsidRPr="00BB76D8">
        <w:t>ASC</w:t>
      </w:r>
      <w:r w:rsidRPr="00537C3C">
        <w:t>-H (</w:t>
      </w:r>
      <w:r w:rsidRPr="00537C3C">
        <w:fldChar w:fldCharType="begin"/>
      </w:r>
      <w:r w:rsidRPr="00537C3C">
        <w:instrText xml:space="preserve"> REF _Ref95895103 \h </w:instrText>
      </w:r>
      <w:r w:rsidRPr="00537C3C">
        <w:fldChar w:fldCharType="separate"/>
      </w:r>
      <w:r w:rsidR="007D3DFF" w:rsidRPr="00537C3C">
        <w:t xml:space="preserve">Table </w:t>
      </w:r>
      <w:r w:rsidR="007D3DFF">
        <w:rPr>
          <w:noProof/>
        </w:rPr>
        <w:t>75</w:t>
      </w:r>
      <w:r w:rsidRPr="00537C3C">
        <w:fldChar w:fldCharType="end"/>
      </w:r>
      <w:r w:rsidRPr="00537C3C">
        <w:t>).</w:t>
      </w:r>
    </w:p>
    <w:p w:rsidR="00234376" w:rsidRPr="00537C3C" w:rsidRDefault="00234376" w:rsidP="008E03A7">
      <w:pPr>
        <w:pStyle w:val="Caption"/>
        <w:rPr>
          <w:lang w:eastAsia="zh-CN"/>
        </w:rPr>
      </w:pPr>
      <w:bookmarkStart w:id="1116" w:name="_Ref95895103"/>
      <w:bookmarkStart w:id="1117" w:name="_Toc216169963"/>
      <w:bookmarkStart w:id="1118" w:name="_Toc95971311"/>
      <w:r w:rsidRPr="00537C3C">
        <w:lastRenderedPageBreak/>
        <w:t xml:space="preserve">Table </w:t>
      </w:r>
      <w:fldSimple w:instr=" SEQ Table \* ARABIC ">
        <w:r w:rsidR="007D3DFF">
          <w:rPr>
            <w:noProof/>
          </w:rPr>
          <w:t>75</w:t>
        </w:r>
      </w:fldSimple>
      <w:bookmarkEnd w:id="1116"/>
      <w:r w:rsidRPr="00537C3C">
        <w:rPr>
          <w:lang w:eastAsia="zh-CN"/>
        </w:rPr>
        <w:tab/>
      </w:r>
      <w:r w:rsidRPr="00537C3C">
        <w:t>Comparison of the Australian Modified Bethesda System (</w:t>
      </w:r>
      <w:bookmarkStart w:id="1119" w:name="OLE_LINK532"/>
      <w:bookmarkStart w:id="1120" w:name="OLE_LINK533"/>
      <w:r w:rsidRPr="00BB76D8">
        <w:t>AMBS</w:t>
      </w:r>
      <w:r w:rsidRPr="00537C3C">
        <w:t xml:space="preserve"> 2004</w:t>
      </w:r>
      <w:bookmarkEnd w:id="1119"/>
      <w:bookmarkEnd w:id="1120"/>
      <w:r w:rsidRPr="00537C3C">
        <w:t>) with previous Australian terminology and the Bethesda System (</w:t>
      </w:r>
      <w:bookmarkStart w:id="1121" w:name="OLE_LINK534"/>
      <w:bookmarkStart w:id="1122" w:name="OLE_LINK535"/>
      <w:r w:rsidRPr="00537C3C">
        <w:t>TBS2001</w:t>
      </w:r>
      <w:bookmarkEnd w:id="1121"/>
      <w:bookmarkEnd w:id="1122"/>
      <w:r w:rsidRPr="00537C3C">
        <w:t>)</w:t>
      </w:r>
      <w:bookmarkEnd w:id="1117"/>
      <w:r w:rsidRPr="00537C3C">
        <w:t>.</w:t>
      </w:r>
      <w:bookmarkEnd w:id="1118"/>
    </w:p>
    <w:tbl>
      <w:tblPr>
        <w:tblW w:w="4418" w:type="pct"/>
        <w:tblInd w:w="880" w:type="dxa"/>
        <w:tblLayout w:type="fixed"/>
        <w:tblLook w:val="0000" w:firstRow="0" w:lastRow="0" w:firstColumn="0" w:lastColumn="0" w:noHBand="0" w:noVBand="0"/>
      </w:tblPr>
      <w:tblGrid>
        <w:gridCol w:w="1252"/>
        <w:gridCol w:w="2414"/>
        <w:gridCol w:w="851"/>
        <w:gridCol w:w="3649"/>
      </w:tblGrid>
      <w:tr w:rsidR="00234376" w:rsidRPr="00537C3C">
        <w:trPr>
          <w:trHeight w:val="245"/>
        </w:trPr>
        <w:tc>
          <w:tcPr>
            <w:tcW w:w="767" w:type="pct"/>
            <w:tcBorders>
              <w:top w:val="single" w:sz="4" w:space="0" w:color="auto"/>
              <w:bottom w:val="single" w:sz="4" w:space="0" w:color="auto"/>
            </w:tcBorders>
          </w:tcPr>
          <w:p w:rsidR="00234376" w:rsidRPr="00537C3C" w:rsidRDefault="00234376" w:rsidP="008E03A7">
            <w:pPr>
              <w:pStyle w:val="TableHeading"/>
            </w:pPr>
            <w:r w:rsidRPr="00BB76D8">
              <w:t>AMBS</w:t>
            </w:r>
            <w:r w:rsidRPr="00537C3C">
              <w:t xml:space="preserve"> 2004</w:t>
            </w:r>
          </w:p>
        </w:tc>
        <w:tc>
          <w:tcPr>
            <w:tcW w:w="1478" w:type="pct"/>
            <w:tcBorders>
              <w:top w:val="single" w:sz="4" w:space="0" w:color="auto"/>
              <w:bottom w:val="single" w:sz="4" w:space="0" w:color="auto"/>
            </w:tcBorders>
          </w:tcPr>
          <w:p w:rsidR="00234376" w:rsidRPr="00537C3C" w:rsidRDefault="00234376" w:rsidP="008E03A7">
            <w:pPr>
              <w:pStyle w:val="TableHeading"/>
            </w:pPr>
            <w:r w:rsidRPr="00537C3C">
              <w:t xml:space="preserve">Australian </w:t>
            </w:r>
            <w:r w:rsidRPr="00BB76D8">
              <w:t>NHMRC</w:t>
            </w:r>
            <w:r w:rsidRPr="00537C3C">
              <w:t>-endorsed terminology 1994</w:t>
            </w:r>
          </w:p>
        </w:tc>
        <w:tc>
          <w:tcPr>
            <w:tcW w:w="521" w:type="pct"/>
            <w:tcBorders>
              <w:top w:val="single" w:sz="4" w:space="0" w:color="auto"/>
              <w:bottom w:val="single" w:sz="4" w:space="0" w:color="auto"/>
            </w:tcBorders>
          </w:tcPr>
          <w:p w:rsidR="00234376" w:rsidRPr="00537C3C" w:rsidRDefault="00234376" w:rsidP="008E03A7">
            <w:pPr>
              <w:pStyle w:val="TableHeading"/>
            </w:pPr>
            <w:r w:rsidRPr="00537C3C">
              <w:t>TBS2001</w:t>
            </w:r>
          </w:p>
        </w:tc>
        <w:tc>
          <w:tcPr>
            <w:tcW w:w="2234" w:type="pct"/>
            <w:tcBorders>
              <w:top w:val="single" w:sz="4" w:space="0" w:color="auto"/>
              <w:bottom w:val="single" w:sz="4" w:space="0" w:color="auto"/>
            </w:tcBorders>
          </w:tcPr>
          <w:p w:rsidR="00234376" w:rsidRPr="00537C3C" w:rsidRDefault="00234376" w:rsidP="008E03A7">
            <w:pPr>
              <w:pStyle w:val="TableHeading"/>
            </w:pPr>
            <w:r w:rsidRPr="00537C3C">
              <w:t>Incorporates</w:t>
            </w:r>
          </w:p>
        </w:tc>
      </w:tr>
      <w:tr w:rsidR="00234376" w:rsidRPr="00537C3C">
        <w:trPr>
          <w:trHeight w:val="414"/>
        </w:trPr>
        <w:tc>
          <w:tcPr>
            <w:tcW w:w="2245" w:type="pct"/>
            <w:gridSpan w:val="2"/>
            <w:tcBorders>
              <w:top w:val="single" w:sz="4" w:space="0" w:color="auto"/>
              <w:bottom w:val="single" w:sz="4" w:space="0" w:color="auto"/>
            </w:tcBorders>
          </w:tcPr>
          <w:p w:rsidR="00234376" w:rsidRPr="00537C3C" w:rsidRDefault="00234376" w:rsidP="008E03A7">
            <w:pPr>
              <w:pStyle w:val="TableTextLessSpaceCharCharCharCharCharCharCharChar"/>
            </w:pPr>
            <w:r w:rsidRPr="00537C3C">
              <w:rPr>
                <w:b/>
              </w:rPr>
              <w:t>Squamous abnormalities</w:t>
            </w:r>
          </w:p>
        </w:tc>
        <w:tc>
          <w:tcPr>
            <w:tcW w:w="521" w:type="pct"/>
            <w:tcBorders>
              <w:top w:val="single" w:sz="4" w:space="0" w:color="auto"/>
              <w:bottom w:val="single" w:sz="4" w:space="0" w:color="auto"/>
            </w:tcBorders>
          </w:tcPr>
          <w:p w:rsidR="00234376" w:rsidRPr="00537C3C" w:rsidRDefault="00234376" w:rsidP="008E03A7">
            <w:pPr>
              <w:pStyle w:val="TableTextLessSpaceCharCharCharCharCharCharCharChar"/>
            </w:pPr>
          </w:p>
        </w:tc>
        <w:tc>
          <w:tcPr>
            <w:tcW w:w="2234" w:type="pct"/>
            <w:tcBorders>
              <w:top w:val="single" w:sz="4" w:space="0" w:color="auto"/>
              <w:bottom w:val="single" w:sz="4" w:space="0" w:color="auto"/>
            </w:tcBorders>
          </w:tcPr>
          <w:p w:rsidR="00234376" w:rsidRPr="00537C3C" w:rsidRDefault="00234376" w:rsidP="008E03A7">
            <w:pPr>
              <w:pStyle w:val="TableTextLessSpaceCharCharCharCharCharCharCharChar"/>
            </w:pPr>
          </w:p>
        </w:tc>
      </w:tr>
      <w:tr w:rsidR="00234376" w:rsidRPr="00537C3C">
        <w:trPr>
          <w:trHeight w:val="410"/>
        </w:trPr>
        <w:tc>
          <w:tcPr>
            <w:tcW w:w="767" w:type="pct"/>
            <w:tcBorders>
              <w:top w:val="single" w:sz="4" w:space="0" w:color="auto"/>
            </w:tcBorders>
          </w:tcPr>
          <w:p w:rsidR="00234376" w:rsidRPr="00537C3C" w:rsidRDefault="00234376" w:rsidP="008E03A7">
            <w:pPr>
              <w:pStyle w:val="TableTextLessSpaceCharCharCharCharCharCharCharChar"/>
            </w:pPr>
            <w:r w:rsidRPr="00537C3C">
              <w:t>pLSIL</w:t>
            </w:r>
          </w:p>
        </w:tc>
        <w:tc>
          <w:tcPr>
            <w:tcW w:w="1478" w:type="pct"/>
            <w:tcBorders>
              <w:top w:val="single" w:sz="4" w:space="0" w:color="auto"/>
            </w:tcBorders>
          </w:tcPr>
          <w:p w:rsidR="00234376" w:rsidRPr="00537C3C" w:rsidRDefault="00234376" w:rsidP="008E03A7">
            <w:pPr>
              <w:pStyle w:val="TableTextLessSpaceCharCharCharCharCharCharCharChar"/>
            </w:pPr>
            <w:r w:rsidRPr="00537C3C">
              <w:t>Low-grade epithelial abnormality</w:t>
            </w:r>
          </w:p>
        </w:tc>
        <w:tc>
          <w:tcPr>
            <w:tcW w:w="521" w:type="pct"/>
            <w:tcBorders>
              <w:top w:val="single" w:sz="4" w:space="0" w:color="auto"/>
            </w:tcBorders>
          </w:tcPr>
          <w:p w:rsidR="00234376" w:rsidRPr="00537C3C" w:rsidRDefault="00234376" w:rsidP="008E03A7">
            <w:pPr>
              <w:pStyle w:val="TableTextLessSpaceCharCharCharCharCharCharCharChar"/>
            </w:pPr>
            <w:r w:rsidRPr="00BB76D8">
              <w:t>ASC</w:t>
            </w:r>
            <w:r w:rsidRPr="00537C3C">
              <w:t>US</w:t>
            </w:r>
          </w:p>
        </w:tc>
        <w:tc>
          <w:tcPr>
            <w:tcW w:w="2234" w:type="pct"/>
            <w:tcBorders>
              <w:top w:val="single" w:sz="4" w:space="0" w:color="auto"/>
            </w:tcBorders>
          </w:tcPr>
          <w:p w:rsidR="00234376" w:rsidRPr="00537C3C" w:rsidRDefault="00234376" w:rsidP="008E03A7">
            <w:pPr>
              <w:pStyle w:val="TableTextLessSpaceCharCharCharCharCharCharCharChar"/>
            </w:pPr>
            <w:r w:rsidRPr="00537C3C">
              <w:t xml:space="preserve">Non-specific minor squamous cell changes; changes that suggest, but fall short of, </w:t>
            </w:r>
            <w:r w:rsidRPr="00BB76D8">
              <w:t>HPV</w:t>
            </w:r>
            <w:r w:rsidRPr="00537C3C">
              <w:t>/</w:t>
            </w:r>
            <w:r w:rsidRPr="00BB76D8">
              <w:t>CIN</w:t>
            </w:r>
            <w:r w:rsidRPr="00537C3C">
              <w:t xml:space="preserve"> 1</w:t>
            </w:r>
          </w:p>
        </w:tc>
      </w:tr>
      <w:tr w:rsidR="00234376" w:rsidRPr="00537C3C">
        <w:trPr>
          <w:trHeight w:val="410"/>
        </w:trPr>
        <w:tc>
          <w:tcPr>
            <w:tcW w:w="767" w:type="pct"/>
          </w:tcPr>
          <w:p w:rsidR="00234376" w:rsidRPr="00537C3C" w:rsidRDefault="00234376" w:rsidP="008E03A7">
            <w:pPr>
              <w:pStyle w:val="TableTextLessSpaceCharCharCharCharCharCharCharChar"/>
            </w:pPr>
            <w:r w:rsidRPr="00537C3C">
              <w:t>LSIL</w:t>
            </w:r>
          </w:p>
        </w:tc>
        <w:tc>
          <w:tcPr>
            <w:tcW w:w="1478" w:type="pct"/>
          </w:tcPr>
          <w:p w:rsidR="00234376" w:rsidRPr="00537C3C" w:rsidRDefault="00234376" w:rsidP="008E03A7">
            <w:pPr>
              <w:pStyle w:val="TableTextLessSpaceCharCharCharCharCharCharCharChar"/>
            </w:pPr>
            <w:r w:rsidRPr="00537C3C">
              <w:t>Low-grade epithelial abnormality</w:t>
            </w:r>
          </w:p>
        </w:tc>
        <w:tc>
          <w:tcPr>
            <w:tcW w:w="521" w:type="pct"/>
          </w:tcPr>
          <w:p w:rsidR="00234376" w:rsidRPr="00537C3C" w:rsidRDefault="00234376" w:rsidP="008E03A7">
            <w:pPr>
              <w:pStyle w:val="TableTextLessSpaceCharCharCharCharCharCharCharChar"/>
            </w:pPr>
            <w:r w:rsidRPr="00537C3C">
              <w:t>LSIL</w:t>
            </w:r>
          </w:p>
        </w:tc>
        <w:tc>
          <w:tcPr>
            <w:tcW w:w="2234" w:type="pct"/>
          </w:tcPr>
          <w:p w:rsidR="00234376" w:rsidRPr="00537C3C" w:rsidRDefault="00234376" w:rsidP="008E03A7">
            <w:pPr>
              <w:pStyle w:val="TableTextLessSpaceCharCharCharCharCharCharCharChar"/>
            </w:pPr>
            <w:r w:rsidRPr="00BB76D8">
              <w:t>HPV</w:t>
            </w:r>
            <w:r w:rsidRPr="00537C3C">
              <w:t xml:space="preserve"> effect, </w:t>
            </w:r>
            <w:r w:rsidRPr="00BB76D8">
              <w:t>CIN</w:t>
            </w:r>
            <w:r w:rsidRPr="00537C3C">
              <w:t xml:space="preserve"> 1</w:t>
            </w:r>
          </w:p>
        </w:tc>
      </w:tr>
      <w:tr w:rsidR="00234376" w:rsidRPr="00537C3C">
        <w:trPr>
          <w:trHeight w:val="410"/>
        </w:trPr>
        <w:tc>
          <w:tcPr>
            <w:tcW w:w="767" w:type="pct"/>
          </w:tcPr>
          <w:p w:rsidR="00234376" w:rsidRPr="00537C3C" w:rsidRDefault="00234376" w:rsidP="008E03A7">
            <w:pPr>
              <w:pStyle w:val="TableTextLessSpaceCharCharCharCharCharCharCharChar"/>
            </w:pPr>
            <w:r w:rsidRPr="00537C3C">
              <w:t>pHSIL</w:t>
            </w:r>
          </w:p>
        </w:tc>
        <w:tc>
          <w:tcPr>
            <w:tcW w:w="1478" w:type="pct"/>
          </w:tcPr>
          <w:p w:rsidR="00234376" w:rsidRPr="00537C3C" w:rsidRDefault="00234376" w:rsidP="008E03A7">
            <w:pPr>
              <w:pStyle w:val="TableTextLessSpaceCharCharCharCharCharCharCharChar"/>
            </w:pPr>
            <w:r w:rsidRPr="00537C3C">
              <w:t>Inconclusive, possible high-grade squamous abnormality</w:t>
            </w:r>
          </w:p>
        </w:tc>
        <w:tc>
          <w:tcPr>
            <w:tcW w:w="521" w:type="pct"/>
          </w:tcPr>
          <w:p w:rsidR="00234376" w:rsidRPr="00537C3C" w:rsidRDefault="00234376" w:rsidP="008E03A7">
            <w:pPr>
              <w:pStyle w:val="TableTextLessSpaceCharCharCharCharCharCharCharChar"/>
            </w:pPr>
            <w:r w:rsidRPr="00BB76D8">
              <w:t>ASC</w:t>
            </w:r>
            <w:r w:rsidRPr="00537C3C">
              <w:t>-H</w:t>
            </w:r>
          </w:p>
        </w:tc>
        <w:tc>
          <w:tcPr>
            <w:tcW w:w="2234" w:type="pct"/>
          </w:tcPr>
          <w:p w:rsidR="00234376" w:rsidRPr="00537C3C" w:rsidRDefault="00234376" w:rsidP="008E03A7">
            <w:pPr>
              <w:pStyle w:val="TableTextLessSpaceCharCharCharCharCharCharCharChar"/>
            </w:pPr>
            <w:r w:rsidRPr="00537C3C">
              <w:t xml:space="preserve">Changes that suggest, but fall short of, </w:t>
            </w:r>
            <w:r w:rsidRPr="00BB76D8">
              <w:t>CIN</w:t>
            </w:r>
            <w:r w:rsidRPr="00537C3C">
              <w:t xml:space="preserve"> 2, </w:t>
            </w:r>
            <w:r w:rsidRPr="00BB76D8">
              <w:t>CIN</w:t>
            </w:r>
            <w:r w:rsidRPr="00537C3C">
              <w:t xml:space="preserve"> 3 or </w:t>
            </w:r>
            <w:r w:rsidRPr="00BB76D8">
              <w:t>SCC</w:t>
            </w:r>
          </w:p>
        </w:tc>
      </w:tr>
      <w:tr w:rsidR="00234376" w:rsidRPr="00537C3C">
        <w:trPr>
          <w:trHeight w:val="410"/>
        </w:trPr>
        <w:tc>
          <w:tcPr>
            <w:tcW w:w="767" w:type="pct"/>
          </w:tcPr>
          <w:p w:rsidR="00234376" w:rsidRPr="00537C3C" w:rsidRDefault="00234376" w:rsidP="008E03A7">
            <w:pPr>
              <w:pStyle w:val="TableTextLessSpaceCharCharCharCharCharCharCharChar"/>
            </w:pPr>
            <w:r w:rsidRPr="00537C3C">
              <w:t>HSIL</w:t>
            </w:r>
          </w:p>
        </w:tc>
        <w:tc>
          <w:tcPr>
            <w:tcW w:w="1478" w:type="pct"/>
          </w:tcPr>
          <w:p w:rsidR="00234376" w:rsidRPr="00537C3C" w:rsidRDefault="00234376" w:rsidP="008E03A7">
            <w:pPr>
              <w:pStyle w:val="TableTextLessSpaceCharCharCharCharCharCharCharChar"/>
            </w:pPr>
            <w:r w:rsidRPr="00537C3C">
              <w:t>High-grade epithelial abnormality</w:t>
            </w:r>
          </w:p>
        </w:tc>
        <w:tc>
          <w:tcPr>
            <w:tcW w:w="521" w:type="pct"/>
          </w:tcPr>
          <w:p w:rsidR="00234376" w:rsidRPr="00537C3C" w:rsidRDefault="00234376" w:rsidP="008E03A7">
            <w:pPr>
              <w:pStyle w:val="TableTextLessSpaceCharCharCharCharCharCharCharChar"/>
            </w:pPr>
            <w:r w:rsidRPr="00537C3C">
              <w:t>HSIL</w:t>
            </w:r>
          </w:p>
        </w:tc>
        <w:tc>
          <w:tcPr>
            <w:tcW w:w="2234" w:type="pct"/>
          </w:tcPr>
          <w:p w:rsidR="00234376" w:rsidRPr="00537C3C" w:rsidRDefault="00234376" w:rsidP="008E03A7">
            <w:pPr>
              <w:pStyle w:val="TableTextLessSpaceCharCharCharCharCharCharCharChar"/>
            </w:pPr>
            <w:r w:rsidRPr="00BB76D8">
              <w:t>CIN</w:t>
            </w:r>
            <w:r w:rsidRPr="00537C3C">
              <w:t xml:space="preserve"> 2, </w:t>
            </w:r>
            <w:r w:rsidRPr="00BB76D8">
              <w:t>CIN</w:t>
            </w:r>
            <w:r w:rsidRPr="00537C3C">
              <w:t xml:space="preserve"> 3</w:t>
            </w:r>
          </w:p>
        </w:tc>
      </w:tr>
      <w:tr w:rsidR="00234376" w:rsidRPr="00537C3C">
        <w:trPr>
          <w:trHeight w:val="410"/>
        </w:trPr>
        <w:tc>
          <w:tcPr>
            <w:tcW w:w="767" w:type="pct"/>
            <w:tcBorders>
              <w:bottom w:val="single" w:sz="4" w:space="0" w:color="auto"/>
            </w:tcBorders>
          </w:tcPr>
          <w:p w:rsidR="00234376" w:rsidRPr="00537C3C" w:rsidRDefault="00234376" w:rsidP="008E03A7">
            <w:pPr>
              <w:pStyle w:val="TableTextLessSpaceCharCharCharCharCharCharCharChar"/>
            </w:pPr>
            <w:r w:rsidRPr="00537C3C">
              <w:t>SCC</w:t>
            </w:r>
          </w:p>
        </w:tc>
        <w:tc>
          <w:tcPr>
            <w:tcW w:w="1478" w:type="pct"/>
            <w:tcBorders>
              <w:bottom w:val="single" w:sz="4" w:space="0" w:color="auto"/>
            </w:tcBorders>
          </w:tcPr>
          <w:p w:rsidR="00234376" w:rsidRPr="00537C3C" w:rsidRDefault="00234376" w:rsidP="008E03A7">
            <w:pPr>
              <w:pStyle w:val="TableTextLessSpaceCharCharCharCharCharCharCharChar"/>
            </w:pPr>
            <w:r w:rsidRPr="00537C3C">
              <w:t>High-grade epithelial abnormality</w:t>
            </w:r>
          </w:p>
        </w:tc>
        <w:tc>
          <w:tcPr>
            <w:tcW w:w="521" w:type="pct"/>
            <w:tcBorders>
              <w:bottom w:val="single" w:sz="4" w:space="0" w:color="auto"/>
            </w:tcBorders>
          </w:tcPr>
          <w:p w:rsidR="00234376" w:rsidRPr="00537C3C" w:rsidRDefault="00234376" w:rsidP="008E03A7">
            <w:pPr>
              <w:pStyle w:val="TableTextLessSpaceCharCharCharCharCharCharCharChar"/>
            </w:pPr>
            <w:r w:rsidRPr="00537C3C">
              <w:t>SCC</w:t>
            </w:r>
          </w:p>
        </w:tc>
        <w:tc>
          <w:tcPr>
            <w:tcW w:w="2234" w:type="pct"/>
            <w:tcBorders>
              <w:bottom w:val="single" w:sz="4" w:space="0" w:color="auto"/>
            </w:tcBorders>
          </w:tcPr>
          <w:p w:rsidR="00234376" w:rsidRPr="00537C3C" w:rsidRDefault="00234376" w:rsidP="008E03A7">
            <w:pPr>
              <w:pStyle w:val="TableTextLessSpaceCharCharCharCharCharCharCharChar"/>
            </w:pPr>
            <w:r w:rsidRPr="00537C3C">
              <w:t>SCC</w:t>
            </w:r>
          </w:p>
        </w:tc>
      </w:tr>
    </w:tbl>
    <w:p w:rsidR="00234376" w:rsidRPr="00537C3C" w:rsidRDefault="00234376" w:rsidP="008E03A7">
      <w:pPr>
        <w:pStyle w:val="TableNotes"/>
      </w:pPr>
      <w:r w:rsidRPr="00537C3C">
        <w:t xml:space="preserve">Reproduced from </w:t>
      </w:r>
      <w:r w:rsidRPr="00BB76D8">
        <w:t>NHMRC</w:t>
      </w:r>
      <w:r w:rsidRPr="00537C3C">
        <w:t xml:space="preserve"> Guidelines 2005.</w:t>
      </w:r>
    </w:p>
    <w:p w:rsidR="00234376" w:rsidRPr="00537C3C" w:rsidRDefault="00234376" w:rsidP="008E03A7">
      <w:pPr>
        <w:pStyle w:val="Heading2"/>
        <w:ind w:left="0"/>
        <w:rPr>
          <w:bCs/>
        </w:rPr>
      </w:pPr>
      <w:bookmarkStart w:id="1123" w:name="_Toc216169882"/>
      <w:bookmarkStart w:id="1124" w:name="_Toc216170255"/>
      <w:bookmarkStart w:id="1125" w:name="_Toc219865830"/>
      <w:bookmarkStart w:id="1126" w:name="_Toc219866038"/>
      <w:bookmarkStart w:id="1127" w:name="_Toc219880678"/>
      <w:bookmarkStart w:id="1128" w:name="_Toc220144592"/>
      <w:bookmarkStart w:id="1129" w:name="_Toc95971123"/>
      <w:bookmarkStart w:id="1130" w:name="_Toc231895831"/>
      <w:bookmarkStart w:id="1131" w:name="_Toc241658221"/>
      <w:r w:rsidRPr="00537C3C">
        <w:rPr>
          <w:bCs/>
        </w:rPr>
        <w:t>Health state approximations</w:t>
      </w:r>
      <w:bookmarkEnd w:id="1123"/>
      <w:bookmarkEnd w:id="1124"/>
      <w:bookmarkEnd w:id="1125"/>
      <w:bookmarkEnd w:id="1126"/>
      <w:bookmarkEnd w:id="1127"/>
      <w:bookmarkEnd w:id="1128"/>
      <w:bookmarkEnd w:id="1129"/>
      <w:bookmarkEnd w:id="1130"/>
      <w:bookmarkEnd w:id="1131"/>
    </w:p>
    <w:p w:rsidR="00234376" w:rsidRPr="00537C3C" w:rsidRDefault="00234376" w:rsidP="008E03A7">
      <w:r w:rsidRPr="00537C3C">
        <w:t>Health states had to be approximated due to lack of appropriate data (</w:t>
      </w:r>
      <w:r w:rsidRPr="00537C3C">
        <w:fldChar w:fldCharType="begin"/>
      </w:r>
      <w:r w:rsidRPr="00537C3C">
        <w:instrText xml:space="preserve"> REF _Ref95804651 \h </w:instrText>
      </w:r>
      <w:r w:rsidRPr="00537C3C">
        <w:fldChar w:fldCharType="separate"/>
      </w:r>
      <w:r w:rsidR="007D3DFF" w:rsidRPr="00537C3C">
        <w:t xml:space="preserve">Table </w:t>
      </w:r>
      <w:r w:rsidR="007D3DFF">
        <w:rPr>
          <w:noProof/>
        </w:rPr>
        <w:t>76</w:t>
      </w:r>
      <w:r w:rsidRPr="00537C3C">
        <w:fldChar w:fldCharType="end"/>
      </w:r>
      <w:r w:rsidRPr="00537C3C">
        <w:t>).</w:t>
      </w:r>
    </w:p>
    <w:p w:rsidR="00234376" w:rsidRPr="00537C3C" w:rsidRDefault="00234376" w:rsidP="008E03A7">
      <w:pPr>
        <w:pStyle w:val="Caption"/>
        <w:rPr>
          <w:lang w:eastAsia="zh-CN"/>
        </w:rPr>
      </w:pPr>
      <w:bookmarkStart w:id="1132" w:name="_Ref95804651"/>
      <w:bookmarkStart w:id="1133" w:name="_Toc216169964"/>
      <w:bookmarkStart w:id="1134" w:name="_Toc95971312"/>
      <w:r w:rsidRPr="00537C3C">
        <w:t xml:space="preserve">Table </w:t>
      </w:r>
      <w:fldSimple w:instr=" SEQ Table \* ARABIC ">
        <w:r w:rsidR="007D3DFF">
          <w:rPr>
            <w:noProof/>
          </w:rPr>
          <w:t>76</w:t>
        </w:r>
      </w:fldSimple>
      <w:bookmarkEnd w:id="1132"/>
      <w:r w:rsidRPr="00537C3C">
        <w:rPr>
          <w:lang w:eastAsia="zh-CN"/>
        </w:rPr>
        <w:tab/>
      </w:r>
      <w:r w:rsidRPr="00537C3C">
        <w:t>Approximations for model health states</w:t>
      </w:r>
      <w:bookmarkEnd w:id="1133"/>
      <w:r w:rsidRPr="00537C3C">
        <w:t>.</w:t>
      </w:r>
      <w:bookmarkEnd w:id="1134"/>
    </w:p>
    <w:tbl>
      <w:tblPr>
        <w:tblW w:w="4779" w:type="pct"/>
        <w:tblInd w:w="840" w:type="dxa"/>
        <w:tblLayout w:type="fixed"/>
        <w:tblLook w:val="0000" w:firstRow="0" w:lastRow="0" w:firstColumn="0" w:lastColumn="0" w:noHBand="0" w:noVBand="0"/>
      </w:tblPr>
      <w:tblGrid>
        <w:gridCol w:w="1323"/>
        <w:gridCol w:w="1562"/>
        <w:gridCol w:w="5949"/>
      </w:tblGrid>
      <w:tr w:rsidR="00234376" w:rsidRPr="00537C3C">
        <w:trPr>
          <w:trHeight w:val="245"/>
        </w:trPr>
        <w:tc>
          <w:tcPr>
            <w:tcW w:w="749" w:type="pct"/>
            <w:tcBorders>
              <w:top w:val="single" w:sz="4" w:space="0" w:color="auto"/>
              <w:bottom w:val="single" w:sz="4" w:space="0" w:color="auto"/>
            </w:tcBorders>
          </w:tcPr>
          <w:p w:rsidR="00234376" w:rsidRPr="00537C3C" w:rsidRDefault="00234376" w:rsidP="008E03A7">
            <w:pPr>
              <w:pStyle w:val="TableHeading"/>
            </w:pPr>
            <w:r w:rsidRPr="00537C3C">
              <w:t>Data source</w:t>
            </w:r>
          </w:p>
        </w:tc>
        <w:tc>
          <w:tcPr>
            <w:tcW w:w="884" w:type="pct"/>
            <w:tcBorders>
              <w:top w:val="single" w:sz="4" w:space="0" w:color="auto"/>
              <w:left w:val="nil"/>
              <w:bottom w:val="single" w:sz="4" w:space="0" w:color="auto"/>
            </w:tcBorders>
          </w:tcPr>
          <w:p w:rsidR="00234376" w:rsidRPr="00537C3C" w:rsidRDefault="00234376" w:rsidP="008E03A7">
            <w:pPr>
              <w:pStyle w:val="TableHeading"/>
            </w:pPr>
            <w:r w:rsidRPr="00537C3C">
              <w:t>Model health state</w:t>
            </w:r>
          </w:p>
        </w:tc>
        <w:tc>
          <w:tcPr>
            <w:tcW w:w="3366" w:type="pct"/>
            <w:tcBorders>
              <w:top w:val="single" w:sz="4" w:space="0" w:color="auto"/>
              <w:bottom w:val="single" w:sz="4" w:space="0" w:color="auto"/>
            </w:tcBorders>
          </w:tcPr>
          <w:p w:rsidR="00234376" w:rsidRPr="00537C3C" w:rsidRDefault="00526C34" w:rsidP="008E03A7">
            <w:pPr>
              <w:pStyle w:val="TableHeading"/>
            </w:pPr>
            <w:r>
              <w:t>Approximation to g</w:t>
            </w:r>
            <w:r w:rsidR="00234376" w:rsidRPr="00537C3C">
              <w:t>old standard definition</w:t>
            </w:r>
          </w:p>
        </w:tc>
      </w:tr>
      <w:tr w:rsidR="00234376" w:rsidRPr="00537C3C">
        <w:trPr>
          <w:trHeight w:val="243"/>
        </w:trPr>
        <w:tc>
          <w:tcPr>
            <w:tcW w:w="749" w:type="pct"/>
            <w:tcBorders>
              <w:top w:val="single" w:sz="4" w:space="0" w:color="auto"/>
              <w:bottom w:val="single" w:sz="4" w:space="0" w:color="auto"/>
            </w:tcBorders>
          </w:tcPr>
          <w:p w:rsidR="00234376" w:rsidRPr="00537C3C" w:rsidRDefault="00234376" w:rsidP="008E03A7">
            <w:pPr>
              <w:pStyle w:val="TableTextLessSpaceCharCharCharCharCharCharCharChar"/>
            </w:pPr>
            <w:r w:rsidRPr="00BB76D8">
              <w:t>ALTS</w:t>
            </w:r>
          </w:p>
        </w:tc>
        <w:tc>
          <w:tcPr>
            <w:tcW w:w="884" w:type="pct"/>
            <w:tcBorders>
              <w:top w:val="single" w:sz="4" w:space="0" w:color="auto"/>
              <w:bottom w:val="single" w:sz="4" w:space="0" w:color="auto"/>
            </w:tcBorders>
          </w:tcPr>
          <w:p w:rsidR="00234376" w:rsidRPr="00537C3C" w:rsidRDefault="00234376" w:rsidP="008E03A7">
            <w:pPr>
              <w:pStyle w:val="TableTextLessSpaceCharCharCharCharCharCharCharChar"/>
            </w:pPr>
            <w:smartTag w:uri="urn:schemas-microsoft-com:office:smarttags" w:element="place">
              <w:smartTag w:uri="urn:schemas-microsoft-com:office:smarttags" w:element="City">
                <w:r w:rsidRPr="00537C3C">
                  <w:t>Normal</w:t>
                </w:r>
              </w:smartTag>
            </w:smartTag>
          </w:p>
        </w:tc>
        <w:tc>
          <w:tcPr>
            <w:tcW w:w="3366" w:type="pct"/>
            <w:tcBorders>
              <w:top w:val="single" w:sz="4" w:space="0" w:color="auto"/>
              <w:bottom w:val="single" w:sz="4" w:space="0" w:color="auto"/>
            </w:tcBorders>
          </w:tcPr>
          <w:p w:rsidR="00234376" w:rsidRPr="00537C3C" w:rsidRDefault="00234376" w:rsidP="008E03A7">
            <w:pPr>
              <w:pStyle w:val="TableTextLessSpaceCharCharCharCharCharCharCharChar"/>
            </w:pPr>
            <w:r w:rsidRPr="00537C3C">
              <w:t>H</w:t>
            </w:r>
            <w:r w:rsidRPr="00BB76D8">
              <w:t>CI</w:t>
            </w:r>
            <w:r w:rsidRPr="00537C3C">
              <w:t xml:space="preserve">I negative; absence of </w:t>
            </w:r>
            <w:r w:rsidRPr="00BB76D8">
              <w:t>CIN</w:t>
            </w:r>
            <w:r w:rsidRPr="00537C3C">
              <w:t xml:space="preserve"> 2 or worse histology </w:t>
            </w:r>
          </w:p>
        </w:tc>
      </w:tr>
      <w:tr w:rsidR="00234376" w:rsidRPr="00537C3C">
        <w:trPr>
          <w:trHeight w:val="243"/>
        </w:trPr>
        <w:tc>
          <w:tcPr>
            <w:tcW w:w="749" w:type="pct"/>
            <w:tcBorders>
              <w:top w:val="single" w:sz="4" w:space="0" w:color="auto"/>
              <w:bottom w:val="single" w:sz="4" w:space="0" w:color="auto"/>
            </w:tcBorders>
          </w:tcPr>
          <w:p w:rsidR="00234376" w:rsidRPr="00537C3C" w:rsidRDefault="00234376" w:rsidP="008E03A7">
            <w:pPr>
              <w:pStyle w:val="TableTextLessSpaceCharCharCharCharCharCharCharChar"/>
            </w:pPr>
          </w:p>
        </w:tc>
        <w:tc>
          <w:tcPr>
            <w:tcW w:w="884" w:type="pct"/>
            <w:tcBorders>
              <w:top w:val="single" w:sz="4" w:space="0" w:color="auto"/>
              <w:bottom w:val="single" w:sz="4" w:space="0" w:color="auto"/>
            </w:tcBorders>
          </w:tcPr>
          <w:p w:rsidR="00234376" w:rsidRPr="00537C3C" w:rsidRDefault="00234376" w:rsidP="008E03A7">
            <w:pPr>
              <w:pStyle w:val="TableTextLessSpaceCharCharCharCharCharCharCharChar"/>
            </w:pPr>
            <w:r w:rsidRPr="00BB76D8">
              <w:t>HPV</w:t>
            </w:r>
            <w:r w:rsidRPr="00537C3C">
              <w:t xml:space="preserve"> and </w:t>
            </w:r>
            <w:r w:rsidRPr="00BB76D8">
              <w:t>CIN</w:t>
            </w:r>
            <w:r w:rsidRPr="00537C3C">
              <w:t xml:space="preserve"> 1</w:t>
            </w:r>
          </w:p>
        </w:tc>
        <w:tc>
          <w:tcPr>
            <w:tcW w:w="3366" w:type="pct"/>
            <w:tcBorders>
              <w:top w:val="single" w:sz="4" w:space="0" w:color="auto"/>
              <w:bottom w:val="single" w:sz="4" w:space="0" w:color="auto"/>
            </w:tcBorders>
          </w:tcPr>
          <w:p w:rsidR="00234376" w:rsidRPr="00537C3C" w:rsidRDefault="00234376" w:rsidP="008E03A7">
            <w:pPr>
              <w:pStyle w:val="TableTextLessSpaceCharCharCharCharCharCharCharChar"/>
            </w:pPr>
            <w:r w:rsidRPr="00537C3C">
              <w:t xml:space="preserve">For each test result (excluding negative) we assigned proportions into normal, </w:t>
            </w:r>
            <w:r w:rsidRPr="00BB76D8">
              <w:t>CIN</w:t>
            </w:r>
            <w:r w:rsidRPr="00537C3C">
              <w:t xml:space="preserve"> 2, and </w:t>
            </w:r>
            <w:r w:rsidRPr="00BB76D8">
              <w:t>CIN</w:t>
            </w:r>
            <w:r w:rsidRPr="00537C3C">
              <w:t xml:space="preserve"> 3+ health states. The remaining unassigned proportion was divided between </w:t>
            </w:r>
            <w:r w:rsidRPr="00BB76D8">
              <w:t>HPV</w:t>
            </w:r>
            <w:r w:rsidRPr="00537C3C">
              <w:t xml:space="preserve"> and </w:t>
            </w:r>
            <w:r w:rsidRPr="00BB76D8">
              <w:t>CIN</w:t>
            </w:r>
            <w:r w:rsidRPr="00537C3C">
              <w:t xml:space="preserve"> 1 health states according to a proportional breakdown based on Australian cytology and histology correlation data</w:t>
            </w:r>
          </w:p>
        </w:tc>
      </w:tr>
      <w:tr w:rsidR="00234376" w:rsidRPr="00537C3C">
        <w:trPr>
          <w:trHeight w:val="243"/>
        </w:trPr>
        <w:tc>
          <w:tcPr>
            <w:tcW w:w="749" w:type="pct"/>
            <w:tcBorders>
              <w:top w:val="single" w:sz="4" w:space="0" w:color="auto"/>
              <w:bottom w:val="single" w:sz="4" w:space="0" w:color="auto"/>
            </w:tcBorders>
          </w:tcPr>
          <w:p w:rsidR="00234376" w:rsidRPr="00537C3C" w:rsidRDefault="00234376" w:rsidP="008E03A7">
            <w:pPr>
              <w:pStyle w:val="TableTextLessSpaceCharCharCharCharCharCharCharChar"/>
            </w:pPr>
            <w:r w:rsidRPr="00BB76D8">
              <w:t>VCCR</w:t>
            </w:r>
          </w:p>
        </w:tc>
        <w:tc>
          <w:tcPr>
            <w:tcW w:w="884" w:type="pct"/>
            <w:tcBorders>
              <w:top w:val="single" w:sz="4" w:space="0" w:color="auto"/>
              <w:bottom w:val="single" w:sz="4" w:space="0" w:color="auto"/>
            </w:tcBorders>
          </w:tcPr>
          <w:p w:rsidR="00234376" w:rsidRPr="00537C3C" w:rsidRDefault="00234376" w:rsidP="008E03A7">
            <w:pPr>
              <w:pStyle w:val="TableTextLessSpaceCharCharCharCharCharCharCharChar"/>
            </w:pPr>
            <w:r w:rsidRPr="00BB76D8">
              <w:t>HPV</w:t>
            </w:r>
          </w:p>
        </w:tc>
        <w:tc>
          <w:tcPr>
            <w:tcW w:w="3366" w:type="pct"/>
            <w:tcBorders>
              <w:top w:val="single" w:sz="4" w:space="0" w:color="auto"/>
              <w:bottom w:val="single" w:sz="4" w:space="0" w:color="auto"/>
            </w:tcBorders>
          </w:tcPr>
          <w:p w:rsidR="00234376" w:rsidRPr="00537C3C" w:rsidRDefault="00234376" w:rsidP="008E03A7">
            <w:pPr>
              <w:pStyle w:val="TableTextLessSpaceCharCharCharCharCharCharCharChar"/>
            </w:pPr>
            <w:r w:rsidRPr="00BB76D8">
              <w:t>HPV</w:t>
            </w:r>
            <w:r w:rsidRPr="00537C3C">
              <w:t xml:space="preserve"> histology</w:t>
            </w:r>
          </w:p>
        </w:tc>
      </w:tr>
      <w:tr w:rsidR="00234376" w:rsidRPr="00537C3C">
        <w:trPr>
          <w:trHeight w:val="243"/>
        </w:trPr>
        <w:tc>
          <w:tcPr>
            <w:tcW w:w="749" w:type="pct"/>
            <w:tcBorders>
              <w:top w:val="single" w:sz="4" w:space="0" w:color="auto"/>
              <w:bottom w:val="single" w:sz="4" w:space="0" w:color="auto"/>
            </w:tcBorders>
          </w:tcPr>
          <w:p w:rsidR="00234376" w:rsidRPr="00537C3C" w:rsidRDefault="00234376" w:rsidP="008E03A7">
            <w:pPr>
              <w:pStyle w:val="TableTextLessSpaceCharCharCharCharCharCharCharChar"/>
            </w:pPr>
          </w:p>
        </w:tc>
        <w:tc>
          <w:tcPr>
            <w:tcW w:w="884" w:type="pct"/>
            <w:tcBorders>
              <w:top w:val="single" w:sz="4" w:space="0" w:color="auto"/>
              <w:bottom w:val="single" w:sz="4" w:space="0" w:color="auto"/>
            </w:tcBorders>
          </w:tcPr>
          <w:p w:rsidR="00234376" w:rsidRPr="00537C3C" w:rsidRDefault="00234376" w:rsidP="008E03A7">
            <w:pPr>
              <w:pStyle w:val="TableTextLessSpaceCharCharCharCharCharCharCharChar"/>
            </w:pPr>
            <w:smartTag w:uri="urn:schemas-microsoft-com:office:smarttags" w:element="place">
              <w:smartTag w:uri="urn:schemas-microsoft-com:office:smarttags" w:element="City">
                <w:r w:rsidRPr="00537C3C">
                  <w:t>Normal</w:t>
                </w:r>
              </w:smartTag>
            </w:smartTag>
          </w:p>
        </w:tc>
        <w:tc>
          <w:tcPr>
            <w:tcW w:w="3366" w:type="pct"/>
            <w:tcBorders>
              <w:top w:val="single" w:sz="4" w:space="0" w:color="auto"/>
              <w:bottom w:val="single" w:sz="4" w:space="0" w:color="auto"/>
            </w:tcBorders>
          </w:tcPr>
          <w:p w:rsidR="00234376" w:rsidRPr="00537C3C" w:rsidRDefault="00234376" w:rsidP="008E03A7">
            <w:pPr>
              <w:pStyle w:val="TableTextLessSpaceCharCharCharCharCharCharCharChar"/>
            </w:pPr>
            <w:r w:rsidRPr="00537C3C">
              <w:t>Normal histology</w:t>
            </w:r>
          </w:p>
        </w:tc>
      </w:tr>
      <w:tr w:rsidR="00234376" w:rsidRPr="00537C3C">
        <w:trPr>
          <w:trHeight w:val="243"/>
        </w:trPr>
        <w:tc>
          <w:tcPr>
            <w:tcW w:w="749" w:type="pct"/>
            <w:tcBorders>
              <w:top w:val="single" w:sz="4" w:space="0" w:color="auto"/>
              <w:bottom w:val="single" w:sz="4" w:space="0" w:color="auto"/>
            </w:tcBorders>
          </w:tcPr>
          <w:p w:rsidR="00234376" w:rsidRPr="00537C3C" w:rsidRDefault="00234376" w:rsidP="008E03A7">
            <w:pPr>
              <w:pStyle w:val="TableTextLessSpaceCharCharCharCharCharCharCharChar"/>
            </w:pPr>
            <w:r w:rsidRPr="00537C3C">
              <w:t>Coste</w:t>
            </w:r>
          </w:p>
        </w:tc>
        <w:tc>
          <w:tcPr>
            <w:tcW w:w="884" w:type="pct"/>
            <w:tcBorders>
              <w:top w:val="single" w:sz="4" w:space="0" w:color="auto"/>
              <w:bottom w:val="single" w:sz="4" w:space="0" w:color="auto"/>
            </w:tcBorders>
          </w:tcPr>
          <w:p w:rsidR="00234376" w:rsidRPr="00537C3C" w:rsidRDefault="00234376" w:rsidP="008E03A7">
            <w:pPr>
              <w:pStyle w:val="TableTextLessSpaceCharCharCharCharCharCharCharChar"/>
            </w:pPr>
            <w:smartTag w:uri="urn:schemas-microsoft-com:office:smarttags" w:element="place">
              <w:smartTag w:uri="urn:schemas-microsoft-com:office:smarttags" w:element="City">
                <w:r w:rsidRPr="00537C3C">
                  <w:t>Normal</w:t>
                </w:r>
              </w:smartTag>
            </w:smartTag>
            <w:r w:rsidRPr="00537C3C">
              <w:t xml:space="preserve"> and </w:t>
            </w:r>
            <w:r w:rsidRPr="00BB76D8">
              <w:t>HPV</w:t>
            </w:r>
          </w:p>
        </w:tc>
        <w:tc>
          <w:tcPr>
            <w:tcW w:w="3366" w:type="pct"/>
            <w:tcBorders>
              <w:top w:val="single" w:sz="4" w:space="0" w:color="auto"/>
              <w:bottom w:val="single" w:sz="4" w:space="0" w:color="auto"/>
            </w:tcBorders>
          </w:tcPr>
          <w:p w:rsidR="00234376" w:rsidRPr="00537C3C" w:rsidRDefault="00234376" w:rsidP="008E03A7">
            <w:pPr>
              <w:pStyle w:val="TableTextLessSpaceCharCharCharCharCharCharCharChar"/>
            </w:pPr>
            <w:r w:rsidRPr="00537C3C">
              <w:t xml:space="preserve">After assigning proportions into histology categories for </w:t>
            </w:r>
            <w:r w:rsidRPr="00BB76D8">
              <w:t>CIN</w:t>
            </w:r>
            <w:r w:rsidRPr="00537C3C">
              <w:t xml:space="preserve"> 1, </w:t>
            </w:r>
            <w:r w:rsidRPr="00BB76D8">
              <w:t>CIN</w:t>
            </w:r>
            <w:r w:rsidRPr="00537C3C">
              <w:t xml:space="preserve"> 2, and </w:t>
            </w:r>
            <w:r w:rsidRPr="00BB76D8">
              <w:t>CIN</w:t>
            </w:r>
            <w:r w:rsidRPr="00537C3C">
              <w:t xml:space="preserve"> 3 or worse, the remainder was split between normal and </w:t>
            </w:r>
            <w:r w:rsidRPr="00BB76D8">
              <w:t>HPV</w:t>
            </w:r>
            <w:r w:rsidRPr="00537C3C">
              <w:t xml:space="preserve"> states. The proportion assigned to the </w:t>
            </w:r>
            <w:r w:rsidRPr="00BB76D8">
              <w:t>HPV</w:t>
            </w:r>
            <w:r w:rsidRPr="00537C3C">
              <w:t xml:space="preserve"> health state is based on the proportion with </w:t>
            </w:r>
            <w:r w:rsidRPr="00BB76D8">
              <w:t>CIN</w:t>
            </w:r>
            <w:r w:rsidRPr="00537C3C">
              <w:t xml:space="preserve"> 1, according to the Australian histology and cytology data </w:t>
            </w:r>
            <w:r w:rsidR="00526C34" w:rsidRPr="00537C3C">
              <w:fldChar w:fldCharType="begin"/>
            </w:r>
            <w:r w:rsidR="00526C34" w:rsidRPr="00537C3C">
              <w:instrText xml:space="preserve"> ADDIN REFMGR.CITE &lt;Refman&gt;&lt;Cite&gt;&lt;Author&gt;Medical Services Advisory Committee&lt;/Author&gt;&lt;Year&gt;2002&lt;/Year&gt;&lt;RecNum&gt;3364&lt;/RecNum&gt;&lt;IDText&gt;Human papillomavirus testing in women with cytological prediction of low-grade abnormality&lt;/IDText&gt;&lt;MDL Ref_Type="Report"&gt;&lt;Ref_Type&gt;Report&lt;/Ref_Type&gt;&lt;Ref_ID&gt;3364&lt;/Ref_ID&gt;&lt;Title_Primary&gt;Human papillomavirus testing in women with cytological prediction of low-grade abnormality&lt;/Title_Primary&gt;&lt;Authors_Primary&gt;Medical Services Advisory Committee&lt;/Authors_Primary&gt;&lt;Date_Primary&gt;2002&lt;/Date_Primary&gt;&lt;Reprint&gt;In File&lt;/Reprint&gt;&lt;Volume&gt;Reference 12b&lt;/Volume&gt;&lt;Pub_Place&gt;Canberra&lt;/Pub_Place&gt;&lt;Publisher&gt;Commonwealth of Australia&lt;/Publisher&gt;&lt;Web_URL&gt;&lt;u&gt;www.msac.gov.au&lt;/u&gt;&lt;/Web_URL&gt;&lt;ZZ_WorkformID&gt;24&lt;/ZZ_WorkformID&gt;&lt;/MDL&gt;&lt;/Cite&gt;&lt;/Refman&gt;</w:instrText>
            </w:r>
            <w:r w:rsidR="00526C34" w:rsidRPr="00537C3C">
              <w:fldChar w:fldCharType="separate"/>
            </w:r>
            <w:r w:rsidR="00526C34" w:rsidRPr="00537C3C">
              <w:t>(MSAC 2002a)</w:t>
            </w:r>
            <w:r w:rsidR="00526C34" w:rsidRPr="00537C3C">
              <w:fldChar w:fldCharType="end"/>
            </w:r>
            <w:r w:rsidRPr="00537C3C">
              <w:t>, and the remainder is assumed to be health state normal</w:t>
            </w:r>
          </w:p>
        </w:tc>
      </w:tr>
    </w:tbl>
    <w:p w:rsidR="00234376" w:rsidRPr="00537C3C" w:rsidRDefault="00234376" w:rsidP="00B94BF8">
      <w:pPr>
        <w:pStyle w:val="Heading3"/>
      </w:pPr>
      <w:r w:rsidRPr="00537C3C">
        <w:t>Australian cytology and histology correlation data</w:t>
      </w:r>
    </w:p>
    <w:p w:rsidR="00234376" w:rsidRPr="00537C3C" w:rsidRDefault="00234376" w:rsidP="008E03A7">
      <w:r w:rsidRPr="00537C3C">
        <w:t xml:space="preserve">We use data collected for a previous </w:t>
      </w:r>
      <w:r w:rsidRPr="00BB76D8">
        <w:t>MSAC</w:t>
      </w:r>
      <w:r w:rsidRPr="00537C3C">
        <w:t xml:space="preserve"> evaluation </w:t>
      </w:r>
      <w:r w:rsidRPr="00537C3C">
        <w:fldChar w:fldCharType="begin"/>
      </w:r>
      <w:r w:rsidRPr="00537C3C">
        <w:instrText xml:space="preserve"> ADDIN REFMGR.CITE &lt;Refman&gt;&lt;Cite&gt;&lt;Author&gt;Medical Services Advisory Committee&lt;/Author&gt;&lt;Year&gt;2002&lt;/Year&gt;&lt;RecNum&gt;3364&lt;/RecNum&gt;&lt;IDText&gt;Human papillomavirus testing in women with cytological prediction of low-grade abnormality&lt;/IDText&gt;&lt;MDL Ref_Type="Report"&gt;&lt;Ref_Type&gt;Report&lt;/Ref_Type&gt;&lt;Ref_ID&gt;3364&lt;/Ref_ID&gt;&lt;Title_Primary&gt;Human papillomavirus testing in women with cytological prediction of low-grade abnormality&lt;/Title_Primary&gt;&lt;Authors_Primary&gt;Medical Services Advisory Committee&lt;/Authors_Primary&gt;&lt;Date_Primary&gt;2002&lt;/Date_Primary&gt;&lt;Reprint&gt;In File&lt;/Reprint&gt;&lt;Volume&gt;Reference 12b&lt;/Volume&gt;&lt;Pub_Place&gt;Canberra&lt;/Pub_Place&gt;&lt;Publisher&gt;Commonwealth of Australia&lt;/Publisher&gt;&lt;Web_URL&gt;&lt;u&gt;www.msac.gov.au&lt;/u&gt;&lt;/Web_URL&gt;&lt;ZZ_WorkformID&gt;24&lt;/ZZ_WorkformID&gt;&lt;/MDL&gt;&lt;/Cite&gt;&lt;/Refman&gt;</w:instrText>
      </w:r>
      <w:r w:rsidRPr="00537C3C">
        <w:fldChar w:fldCharType="separate"/>
      </w:r>
      <w:r w:rsidRPr="00537C3C">
        <w:t>(MSAC 2002a)</w:t>
      </w:r>
      <w:r w:rsidRPr="00537C3C">
        <w:fldChar w:fldCharType="end"/>
      </w:r>
      <w:r w:rsidRPr="00537C3C">
        <w:t xml:space="preserve"> to estimate remaining unknown parameters. Th</w:t>
      </w:r>
      <w:r w:rsidRPr="00537C3C" w:rsidDel="00C27CD6">
        <w:t>e</w:t>
      </w:r>
      <w:r w:rsidRPr="00537C3C">
        <w:t xml:space="preserve">se data cross-tabulate histology and cytology for all women with histology performed within 6 months of an abnormal cytology result. Data for 1999 were provided from all States and Territories except </w:t>
      </w:r>
      <w:r w:rsidRPr="00BB76D8">
        <w:t>NSW</w:t>
      </w:r>
      <w:r w:rsidRPr="00537C3C">
        <w:t xml:space="preserve"> and </w:t>
      </w:r>
      <w:smartTag w:uri="urn:schemas-microsoft-com:office:smarttags" w:element="place">
        <w:smartTag w:uri="urn:schemas-microsoft-com:office:smarttags" w:element="State">
          <w:r w:rsidRPr="00537C3C">
            <w:t>Queensland</w:t>
          </w:r>
        </w:smartTag>
      </w:smartTag>
      <w:r w:rsidRPr="00537C3C">
        <w:t>.</w:t>
      </w:r>
    </w:p>
    <w:p w:rsidR="00234376" w:rsidRPr="00537C3C" w:rsidRDefault="00234376" w:rsidP="008E03A7">
      <w:r w:rsidRPr="00537C3C">
        <w:t xml:space="preserve">We used the correlation data to estimate the proportional breakdown into </w:t>
      </w:r>
      <w:r w:rsidRPr="00BB76D8">
        <w:t>CIN</w:t>
      </w:r>
      <w:r w:rsidRPr="00537C3C">
        <w:t xml:space="preserve"> 1 and </w:t>
      </w:r>
      <w:r w:rsidRPr="00BB76D8">
        <w:t>HPV</w:t>
      </w:r>
      <w:r w:rsidRPr="00537C3C">
        <w:t xml:space="preserve"> health states for all abnormal cytology results. Where these data have been used, histological </w:t>
      </w:r>
      <w:r w:rsidRPr="00BB76D8">
        <w:t>HPV</w:t>
      </w:r>
      <w:r w:rsidRPr="00537C3C">
        <w:t xml:space="preserve"> is a proxy for </w:t>
      </w:r>
      <w:r w:rsidRPr="00BB76D8">
        <w:t>HPV</w:t>
      </w:r>
      <w:r w:rsidRPr="00537C3C">
        <w:t xml:space="preserve"> health status.</w:t>
      </w:r>
    </w:p>
    <w:p w:rsidR="00234376" w:rsidRPr="00537C3C" w:rsidRDefault="00234376" w:rsidP="008E03A7">
      <w:pPr>
        <w:pStyle w:val="Heading2"/>
        <w:ind w:left="0"/>
        <w:rPr>
          <w:bCs/>
        </w:rPr>
      </w:pPr>
      <w:bookmarkStart w:id="1135" w:name="_Toc216169883"/>
      <w:bookmarkStart w:id="1136" w:name="_Toc216170256"/>
      <w:bookmarkStart w:id="1137" w:name="_Toc219865831"/>
      <w:bookmarkStart w:id="1138" w:name="_Toc219866039"/>
      <w:bookmarkStart w:id="1139" w:name="_Toc219880679"/>
      <w:bookmarkStart w:id="1140" w:name="_Toc220144593"/>
      <w:bookmarkStart w:id="1141" w:name="_Toc95971124"/>
      <w:bookmarkStart w:id="1142" w:name="_Toc231895832"/>
      <w:bookmarkStart w:id="1143" w:name="_Toc241658222"/>
      <w:r w:rsidRPr="00537C3C">
        <w:rPr>
          <w:bCs/>
        </w:rPr>
        <w:t>Methods</w:t>
      </w:r>
      <w:bookmarkEnd w:id="1135"/>
      <w:bookmarkEnd w:id="1136"/>
      <w:bookmarkEnd w:id="1137"/>
      <w:bookmarkEnd w:id="1138"/>
      <w:bookmarkEnd w:id="1139"/>
      <w:bookmarkEnd w:id="1140"/>
      <w:bookmarkEnd w:id="1141"/>
      <w:bookmarkEnd w:id="1142"/>
      <w:bookmarkEnd w:id="1143"/>
    </w:p>
    <w:p w:rsidR="00234376" w:rsidRPr="00537C3C" w:rsidRDefault="00234376" w:rsidP="008E03A7">
      <w:r w:rsidRPr="00537C3C">
        <w:t xml:space="preserve">We found it difficult to find sources of data on a screening population that were consistent with data from meta-analyses. A summary of our methods for combining data sources is presented in </w:t>
      </w:r>
      <w:r>
        <w:fldChar w:fldCharType="begin"/>
      </w:r>
      <w:r>
        <w:instrText xml:space="preserve"> REF _Ref216169548 \h  \* MERGEFORMAT </w:instrText>
      </w:r>
      <w:r>
        <w:fldChar w:fldCharType="separate"/>
      </w:r>
      <w:r w:rsidR="007D3DFF" w:rsidRPr="00537C3C">
        <w:t xml:space="preserve">Table </w:t>
      </w:r>
      <w:r w:rsidR="007D3DFF">
        <w:rPr>
          <w:noProof/>
        </w:rPr>
        <w:t>77</w:t>
      </w:r>
      <w:r>
        <w:fldChar w:fldCharType="end"/>
      </w:r>
      <w:r w:rsidRPr="00537C3C">
        <w:t xml:space="preserve">. Details are provided in supplementary material to this appendix on page </w:t>
      </w:r>
      <w:r w:rsidRPr="00537C3C">
        <w:fldChar w:fldCharType="begin"/>
      </w:r>
      <w:r w:rsidRPr="00537C3C">
        <w:instrText xml:space="preserve"> PAGEREF _Ref95895620 \h </w:instrText>
      </w:r>
      <w:r w:rsidRPr="00537C3C">
        <w:fldChar w:fldCharType="separate"/>
      </w:r>
      <w:r w:rsidR="007D3DFF">
        <w:rPr>
          <w:noProof/>
        </w:rPr>
        <w:t>164</w:t>
      </w:r>
      <w:r w:rsidRPr="00537C3C">
        <w:fldChar w:fldCharType="end"/>
      </w:r>
      <w:r w:rsidRPr="00537C3C">
        <w:t xml:space="preserve">. In many cases it was impossible to obtain a coherent matrix: sensitivity estimates used to derive parameters for negative cytology resulted in meaningless negative estimates. This indicates that the characteristics of the test in a </w:t>
      </w:r>
      <w:r w:rsidRPr="00537C3C">
        <w:lastRenderedPageBreak/>
        <w:t xml:space="preserve">study may be different </w:t>
      </w:r>
      <w:r w:rsidRPr="00537C3C" w:rsidDel="00C27CD6">
        <w:t>from</w:t>
      </w:r>
      <w:r w:rsidRPr="00537C3C">
        <w:t xml:space="preserve"> those of a test used in routine practice, or that the population in which it was being used may not be representative of a screening population. The second last column of </w:t>
      </w:r>
      <w:r>
        <w:fldChar w:fldCharType="begin"/>
      </w:r>
      <w:r>
        <w:instrText xml:space="preserve"> REF _Ref216169548 \h  \* MERGEFORMAT </w:instrText>
      </w:r>
      <w:r>
        <w:fldChar w:fldCharType="separate"/>
      </w:r>
      <w:r w:rsidR="007D3DFF" w:rsidRPr="00537C3C">
        <w:t xml:space="preserve">Table </w:t>
      </w:r>
      <w:r w:rsidR="007D3DFF">
        <w:rPr>
          <w:noProof/>
        </w:rPr>
        <w:t>77</w:t>
      </w:r>
      <w:r>
        <w:fldChar w:fldCharType="end"/>
      </w:r>
      <w:r w:rsidRPr="00537C3C">
        <w:t xml:space="preserve"> indicates whether or not the specific method generated a coherent matrix. The final column indicates whether or not the matrix was considered a candidate for sensitivity analysis. We have also used the matrices reported in the Applicant’s submission to </w:t>
      </w:r>
      <w:r w:rsidRPr="00BB76D8">
        <w:t>MSAC</w:t>
      </w:r>
      <w:r w:rsidRPr="00537C3C">
        <w:t xml:space="preserve"> in our sensitivity analysis.</w:t>
      </w:r>
    </w:p>
    <w:p w:rsidR="00234376" w:rsidRPr="00537C3C" w:rsidRDefault="00234376" w:rsidP="008E03A7">
      <w:r w:rsidRPr="00537C3C">
        <w:t xml:space="preserve">The matrix obtained via Method 6(b) was initially chosen as the baseline matrix, but this matrix was calibrated in a parallel </w:t>
      </w:r>
      <w:r w:rsidRPr="00BB76D8">
        <w:t>MSAC</w:t>
      </w:r>
      <w:r w:rsidRPr="00537C3C">
        <w:t xml:space="preserve"> assessment (</w:t>
      </w:r>
      <w:r w:rsidRPr="00BB76D8">
        <w:t>MSAC</w:t>
      </w:r>
      <w:r w:rsidRPr="00537C3C">
        <w:t xml:space="preserve"> reference 39: </w:t>
      </w:r>
      <w:r w:rsidRPr="00BB76D8">
        <w:t>HPV</w:t>
      </w:r>
      <w:r w:rsidRPr="00537C3C">
        <w:t xml:space="preserve"> triage), so we used the calibrated version for consistency between the two reports.</w:t>
      </w:r>
    </w:p>
    <w:p w:rsidR="00234376" w:rsidRPr="00537C3C" w:rsidRDefault="00234376" w:rsidP="008E03A7">
      <w:r w:rsidRPr="00537C3C">
        <w:t xml:space="preserve">Of the matrices in </w:t>
      </w:r>
      <w:r>
        <w:fldChar w:fldCharType="begin"/>
      </w:r>
      <w:r>
        <w:instrText xml:space="preserve"> REF _Ref216169548 \h  \* MERGEFORMAT </w:instrText>
      </w:r>
      <w:r>
        <w:fldChar w:fldCharType="separate"/>
      </w:r>
      <w:r w:rsidR="007D3DFF" w:rsidRPr="00537C3C">
        <w:t xml:space="preserve">Table </w:t>
      </w:r>
      <w:r w:rsidR="007D3DFF">
        <w:rPr>
          <w:noProof/>
        </w:rPr>
        <w:t>77</w:t>
      </w:r>
      <w:r>
        <w:fldChar w:fldCharType="end"/>
      </w:r>
      <w:r w:rsidRPr="00537C3C">
        <w:t xml:space="preserve">, Method 6(b) combined the sources of data with the best level of verification against an appropriate reference standard. Of our sources of data, Coste </w:t>
      </w:r>
      <w:r w:rsidRPr="00537C3C">
        <w:fldChar w:fldCharType="begin"/>
      </w:r>
      <w:r w:rsidRPr="00537C3C">
        <w:instrText xml:space="preserve"> ADDIN REFMGR.CITE &lt;Refman&gt;&lt;Cite&gt;&lt;Author&gt;Coste J.&lt;/Author&gt;&lt;Year&gt;2003&lt;/Year&gt;&lt;RecNum&gt;4974&lt;/RecNum&gt;&lt;IDText&gt;Cross sectional study of conventional cervical smear, monolayer cytology, and human papillomavirus DNA testing for cervical cancer screening&lt;/IDText&gt;&lt;MDL Ref_Type="Journal"&gt;&lt;Ref_Type&gt;Journal&lt;/Ref_Type&gt;&lt;Ref_ID&gt;4974&lt;/Ref_ID&gt;&lt;Title_Primary&gt;Cross sectional study of conventional cervical smear, monolayer cytology, and human papillomavirus DNA testing for cervical cancer screening&lt;/Title_Primary&gt;&lt;Authors_Primary&gt;Coste J.&lt;/Authors_Primary&gt;&lt;Date_Primary&gt;2003&lt;/Date_Primary&gt;&lt;Keywords&gt;Cancer&lt;/Keywords&gt;&lt;Keywords&gt;cytology&lt;/Keywords&gt;&lt;Keywords&gt;Dna&lt;/Keywords&gt;&lt;Keywords&gt;Human&lt;/Keywords&gt;&lt;Keywords&gt;Papillomavirus&lt;/Keywords&gt;&lt;Keywords&gt;screening&lt;/Keywords&gt;&lt;Reprint&gt;Not in File&lt;/Reprint&gt;&lt;Periodical&gt;BMJ.&lt;/Periodical&gt;&lt;Volume&gt;326(7392)&lt;/Volume&gt;&lt;Authors_Secondary&gt;Cochand-Priollet B.de Cremoux P.Le Gales C.Cartier I.Molinie V.Labbe S.Vacher-Lavenu MC.Vielh P.French Society of Clinical Cytology Study Group.&lt;/Authors_Secondary&gt;&lt;Issue&gt;733&lt;/Issue&gt;&lt;ZZ_JournalStdAbbrev&gt;&lt;f name="System"&gt;BMJ.&lt;/f&gt;&lt;/ZZ_JournalStdAbbrev&gt;&lt;ZZ_WorkformID&gt;1&lt;/ZZ_WorkformID&gt;&lt;/MDL&gt;&lt;/Cite&gt;&lt;/Refman&gt;</w:instrText>
      </w:r>
      <w:r w:rsidRPr="00537C3C">
        <w:fldChar w:fldCharType="separate"/>
      </w:r>
      <w:r w:rsidRPr="00537C3C">
        <w:t>(2003)</w:t>
      </w:r>
      <w:r w:rsidRPr="00537C3C">
        <w:fldChar w:fldCharType="end"/>
      </w:r>
      <w:r w:rsidRPr="00537C3C">
        <w:t xml:space="preserve"> had the best follow-up for women with negative cytology; </w:t>
      </w:r>
      <w:r w:rsidRPr="00BB76D8">
        <w:t>ALTS</w:t>
      </w:r>
      <w:r w:rsidRPr="00537C3C">
        <w:t xml:space="preserve"> </w:t>
      </w:r>
      <w:r w:rsidRPr="00537C3C">
        <w:fldChar w:fldCharType="begin"/>
      </w:r>
      <w:r w:rsidRPr="00537C3C">
        <w:instrText xml:space="preserve"> ADDIN REFMGR.CITE &lt;Refman&gt;&lt;Cite&gt;&lt;Author&gt;Sherman&lt;/Author&gt;&lt;Year&gt;2006&lt;/Year&gt;&lt;RecNum&gt;3580&lt;/RecNum&gt;&lt;IDText&gt;Cervical cytology of atypical squamous cells-cannot exclude high-grade squamous intraepithelial lesion (ASC-H): characteristics and histologic outcomes&lt;/IDText&gt;&lt;MDL Ref_Type="Journal"&gt;&lt;Ref_Type&gt;Journal&lt;/Ref_Type&gt;&lt;Ref_ID&gt;3580&lt;/Ref_ID&gt;&lt;Title_Primary&gt;Cervical cytology of atypical squamous cells-cannot exclude high-grade squamous intraepithelial lesion (ASC-H): characteristics and histologic outcomes&lt;/Title_Primary&gt;&lt;Authors_Primary&gt;Sherman,M.E.&lt;/Authors_Primary&gt;&lt;Authors_Primary&gt;Castle,P.E.&lt;/Authors_Primary&gt;&lt;Authors_Primary&gt;Solomon,D.&lt;/Authors_Primary&gt;&lt;Date_Primary&gt;2006&lt;/Date_Primary&gt;&lt;Keywords&gt;ALTS&lt;/Keywords&gt;&lt;Keywords&gt;Cancer&lt;/Keywords&gt;&lt;Keywords&gt;Cells&lt;/Keywords&gt;&lt;Keywords&gt;Cervical Intraepithelial&lt;/Keywords&gt;&lt;Keywords&gt;Cervical Intraepithelial Neoplasia&lt;/Keywords&gt;&lt;Keywords&gt;Colposcopy&lt;/Keywords&gt;&lt;Keywords&gt;Comparative Study&lt;/Keywords&gt;&lt;Keywords&gt;complications&lt;/Keywords&gt;&lt;Keywords&gt;cytology&lt;/Keywords&gt;&lt;Keywords&gt;Epidemiology&lt;/Keywords&gt;&lt;Keywords&gt;Female&lt;/Keywords&gt;&lt;Keywords&gt;Follow-Up Studies&lt;/Keywords&gt;&lt;Keywords&gt;Genetic&lt;/Keywords&gt;&lt;Keywords&gt;genetics&lt;/Keywords&gt;&lt;Keywords&gt;Hormonal&lt;/Keywords&gt;&lt;Keywords&gt;HPV&lt;/Keywords&gt;&lt;Keywords&gt;HPV testing&lt;/Keywords&gt;&lt;Keywords&gt;Human&lt;/Keywords&gt;&lt;Keywords&gt;Humans&lt;/Keywords&gt;&lt;Keywords&gt;isolation &amp;amp; purification&lt;/Keywords&gt;&lt;Keywords&gt;Maryland&lt;/Keywords&gt;&lt;Keywords&gt;methods&lt;/Keywords&gt;&lt;Keywords&gt;Neoplasia&lt;/Keywords&gt;&lt;Keywords&gt;Neoplasms,Squamous Cell&lt;/Keywords&gt;&lt;Keywords&gt;Papillomaviridae&lt;/Keywords&gt;&lt;Keywords&gt;Papillomavirus&lt;/Keywords&gt;&lt;Keywords&gt;Papillomavirus Infections&lt;/Keywords&gt;&lt;Keywords&gt;pathology&lt;/Keywords&gt;&lt;Keywords&gt;Precancerous Conditions&lt;/Keywords&gt;&lt;Keywords&gt;Risk&lt;/Keywords&gt;&lt;Keywords&gt;Risk Factors&lt;/Keywords&gt;&lt;Keywords&gt;Squamous Cell&lt;/Keywords&gt;&lt;Keywords&gt;Triage&lt;/Keywords&gt;&lt;Keywords&gt;Uterine Cervical Neoplasms&lt;/Keywords&gt;&lt;Keywords&gt;Vaginal Smears&lt;/Keywords&gt;&lt;Keywords&gt;virology&lt;/Keywords&gt;&lt;Keywords&gt;Women&lt;/Keywords&gt;&lt;Reprint&gt;Not in File&lt;/Reprint&gt;&lt;Start_Page&gt;298&lt;/Start_Page&gt;&lt;End_Page&gt;305&lt;/End_Page&gt;&lt;Periodical&gt;Cancer&lt;/Periodical&gt;&lt;Volume&gt;108&lt;/Volume&gt;&lt;Issue&gt;5&lt;/Issue&gt;&lt;Address&gt;Division of Cancer Epidemiology and Genetics, Hormonal and Reproductive Epidemiology Branch, National Cancer Institute, Bethesda, Maryland, USA. shermanm@mail.nih.gov&lt;/Address&gt;&lt;Web_URL&gt;PM:16544318&lt;/Web_URL&gt;&lt;ZZ_JournalFull&gt;&lt;f name="System"&gt;Cancer&lt;/f&gt;&lt;/ZZ_JournalFull&gt;&lt;ZZ_WorkformID&gt;1&lt;/ZZ_WorkformID&gt;&lt;/MDL&gt;&lt;/Cite&gt;&lt;/Refman&gt;</w:instrText>
      </w:r>
      <w:r w:rsidRPr="00537C3C">
        <w:fldChar w:fldCharType="separate"/>
      </w:r>
      <w:r w:rsidRPr="00537C3C">
        <w:t>(Sherman et al. 2006)</w:t>
      </w:r>
      <w:r w:rsidRPr="00537C3C">
        <w:fldChar w:fldCharType="end"/>
      </w:r>
      <w:r w:rsidRPr="00537C3C">
        <w:t xml:space="preserve"> had the best follow-up of women with low-grade cytology; and we expect that Australian registry data will be the most representative of women with high-grade cytology in Australia, for which follow-up is routine. We used data from the age group 25–29 years to be consistent with the </w:t>
      </w:r>
      <w:r w:rsidRPr="00BB76D8">
        <w:t>ALTS</w:t>
      </w:r>
      <w:r w:rsidRPr="00537C3C">
        <w:t xml:space="preserve"> population, but when this is combined with cytology reporting rates in this age group, the resulting test probability matrix is age-independent. The </w:t>
      </w:r>
      <w:r w:rsidRPr="00BB76D8">
        <w:t>NSW</w:t>
      </w:r>
      <w:r w:rsidRPr="00537C3C">
        <w:t xml:space="preserve"> screening rates for women aged 25–29 years produce very similar operating characteristics to </w:t>
      </w:r>
      <w:r w:rsidRPr="00BB76D8">
        <w:t>VCCR</w:t>
      </w:r>
      <w:r w:rsidRPr="00537C3C">
        <w:t xml:space="preserve"> rates, but </w:t>
      </w:r>
      <w:r w:rsidRPr="00BB76D8">
        <w:t>NSW</w:t>
      </w:r>
      <w:r w:rsidRPr="00537C3C">
        <w:t xml:space="preserve"> rates produce a test probability matrix with sensitivities closer to the published estimates. We included the matrix produced by applying Victorian rates in a sensitivity analysis of the model. This method does not require us to use lower estimates from any data source.</w:t>
      </w:r>
    </w:p>
    <w:p w:rsidR="00234376" w:rsidRPr="00537C3C" w:rsidRDefault="00234376" w:rsidP="008E03A7">
      <w:r w:rsidRPr="00537C3C">
        <w:t xml:space="preserve">Estimating negative cytology results via Coste </w:t>
      </w:r>
      <w:r w:rsidRPr="00537C3C">
        <w:fldChar w:fldCharType="begin"/>
      </w:r>
      <w:r w:rsidRPr="00537C3C">
        <w:instrText xml:space="preserve"> ADDIN REFMGR.CITE &lt;Refman&gt;&lt;Cite&gt;&lt;Author&gt;Coste J.&lt;/Author&gt;&lt;Year&gt;2003&lt;/Year&gt;&lt;RecNum&gt;4974&lt;/RecNum&gt;&lt;IDText&gt;Cross sectional study of conventional cervical smear, monolayer cytology, and human papillomavirus DNA testing for cervical cancer screening&lt;/IDText&gt;&lt;MDL Ref_Type="Journal"&gt;&lt;Ref_Type&gt;Journal&lt;/Ref_Type&gt;&lt;Ref_ID&gt;4974&lt;/Ref_ID&gt;&lt;Title_Primary&gt;Cross sectional study of conventional cervical smear, monolayer cytology, and human papillomavirus DNA testing for cervical cancer screening&lt;/Title_Primary&gt;&lt;Authors_Primary&gt;Coste J.&lt;/Authors_Primary&gt;&lt;Date_Primary&gt;2003&lt;/Date_Primary&gt;&lt;Keywords&gt;Cancer&lt;/Keywords&gt;&lt;Keywords&gt;cytology&lt;/Keywords&gt;&lt;Keywords&gt;Dna&lt;/Keywords&gt;&lt;Keywords&gt;Human&lt;/Keywords&gt;&lt;Keywords&gt;Papillomavirus&lt;/Keywords&gt;&lt;Keywords&gt;screening&lt;/Keywords&gt;&lt;Reprint&gt;Not in File&lt;/Reprint&gt;&lt;Periodical&gt;BMJ.&lt;/Periodical&gt;&lt;Volume&gt;326(7392)&lt;/Volume&gt;&lt;Authors_Secondary&gt;Cochand-Priollet B.de Cremoux P.Le Gales C.Cartier I.Molinie V.Labbe S.Vacher-Lavenu MC.Vielh P.French Society of Clinical Cytology Study Group.&lt;/Authors_Secondary&gt;&lt;Issue&gt;733&lt;/Issue&gt;&lt;ZZ_JournalStdAbbrev&gt;&lt;f name="System"&gt;BMJ.&lt;/f&gt;&lt;/ZZ_JournalStdAbbrev&gt;&lt;ZZ_WorkformID&gt;1&lt;/ZZ_WorkformID&gt;&lt;/MDL&gt;&lt;/Cite&gt;&lt;/Refman&gt;</w:instrText>
      </w:r>
      <w:r w:rsidRPr="00537C3C">
        <w:fldChar w:fldCharType="separate"/>
      </w:r>
      <w:r w:rsidRPr="00537C3C">
        <w:t>(2003)</w:t>
      </w:r>
      <w:r w:rsidRPr="00537C3C">
        <w:fldChar w:fldCharType="end"/>
      </w:r>
      <w:r w:rsidRPr="00537C3C">
        <w:t xml:space="preserve"> avoids the difficulties in applying sensitivity estimates from Arbyn et al. </w:t>
      </w:r>
      <w:r w:rsidRPr="00537C3C">
        <w:fldChar w:fldCharType="begin"/>
      </w:r>
      <w:r w:rsidRPr="00537C3C">
        <w:instrText xml:space="preserve"> ADDIN REFMGR.CITE &lt;Refman&gt;&lt;Cite ExcludeAuth="1"&gt;&lt;Author&gt;Arbyn&lt;/Author&gt;&lt;Year&gt;2008&lt;/Year&gt;&lt;RecNum&gt;5&lt;/RecNum&gt;&lt;IDText&gt;Liquid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537C3C">
        <w:fldChar w:fldCharType="separate"/>
      </w:r>
      <w:r w:rsidRPr="00537C3C">
        <w:t>(2008)</w:t>
      </w:r>
      <w:r w:rsidRPr="00537C3C">
        <w:fldChar w:fldCharType="end"/>
      </w:r>
      <w:r w:rsidRPr="00537C3C">
        <w:t xml:space="preserve">. Methods derived from sensitivity estimates from Arbyn et al. at a </w:t>
      </w:r>
      <w:r w:rsidRPr="00BB76D8">
        <w:t>pHSIL</w:t>
      </w:r>
      <w:r w:rsidRPr="00537C3C">
        <w:t xml:space="preserve"> threshold often produced matrices with unrealistically high sensitivity (100.00%). We expect that this is largely because of differences in the operating characteristics of cytology when different populations are studied: since Arbyn et al. consisted largely of studies based on women referred for further investigation (eg, colposcopy), it may not be appropriate to apply the sensitivity estimates reported in the meta-analysis to a test probability matrix which must apply to a screening population.</w:t>
      </w:r>
    </w:p>
    <w:p w:rsidR="00234376" w:rsidRPr="00537C3C" w:rsidRDefault="00234376" w:rsidP="008E03A7">
      <w:r w:rsidRPr="00537C3C">
        <w:t xml:space="preserve">Points on the ROC graph generated by Method 6 are consistent with </w:t>
      </w:r>
      <w:r w:rsidRPr="008E03A7">
        <w:t xml:space="preserve">Figure </w:t>
      </w:r>
      <w:smartTag w:uri="urn:schemas-microsoft-com:office:smarttags" w:element="metricconverter">
        <w:smartTagPr>
          <w:attr w:name="ProductID" w:val="2 in"/>
        </w:smartTagPr>
        <w:r w:rsidRPr="008E03A7">
          <w:t>2</w:t>
        </w:r>
        <w:r w:rsidRPr="00537C3C">
          <w:t xml:space="preserve"> in</w:t>
        </w:r>
      </w:smartTag>
      <w:r w:rsidRPr="00537C3C">
        <w:t xml:space="preserve"> Davey et al. </w:t>
      </w:r>
      <w:r w:rsidRPr="00537C3C">
        <w:fldChar w:fldCharType="begin"/>
      </w:r>
      <w:r w:rsidRPr="00537C3C">
        <w:instrText xml:space="preserve"> ADDIN REFMGR.CITE &lt;Refman&gt;&lt;Cite ExcludeAuth="1"&gt;&lt;Author&gt;Davey&lt;/Author&gt;&lt;Year&gt;2006&lt;/Year&gt;&lt;RecNum&gt;268&lt;/RecNum&gt;&lt;IDText&gt;Effect of study design and quality on unsatisfactory rates, cytology classifications, and accuracy in liquid-based versus conventional cervical cytology: A systematic review&lt;/IDText&gt;&lt;MDL Ref_Type="Journal"&gt;&lt;Ref_Type&gt;Journal&lt;/Ref_Type&gt;&lt;Ref_ID&gt;268&lt;/Ref_ID&gt;&lt;Title_Primary&gt;Effect of study design and quality on unsatisfactory rates, cytology classifications, and accuracy in liquid-based versus conventional cervical cytology: A systematic review&lt;/Title_Primary&gt;&lt;Authors_Primary&gt;Davey,E.&lt;/Authors_Primary&gt;&lt;Authors_Primary&gt;Barratt,A.&lt;/Authors_Primary&gt;&lt;Authors_Primary&gt;Irwig,L.&lt;/Authors_Primary&gt;&lt;Authors_Primary&gt;Chan,S.F.&lt;/Authors_Primary&gt;&lt;Authors_Primary&gt;Macaskill,P.&lt;/Authors_Primary&gt;&lt;Authors_Primary&gt;Mannes,P.&lt;/Authors_Primary&gt;&lt;Authors_Primary&gt;Saville,A.M.&lt;/Authors_Primary&gt;&lt;Date_Primary&gt;2006&lt;/Date_Primary&gt;&lt;Keywords&gt;cancer screening&lt;/Keywords&gt;&lt;Keywords&gt;comparative study&lt;/Keywords&gt;&lt;Keywords&gt;cytodiagnosis&lt;/Keywords&gt;&lt;Keywords&gt;cytology&lt;/Keywords&gt;&lt;Keywords&gt;cytopathology&lt;/Keywords&gt;&lt;Keywords&gt;diagnostic accuracy&lt;/Keywords&gt;&lt;Keywords&gt;human&lt;/Keywords&gt;&lt;Keywords&gt;liquid based cytology&lt;/Keywords&gt;&lt;Keywords&gt;methodology&lt;/Keywords&gt;&lt;Keywords&gt;Papanicolaou test&lt;/Keywords&gt;&lt;Keywords&gt;priority journal&lt;/Keywords&gt;&lt;Keywords&gt;review&lt;/Keywords&gt;&lt;Keywords&gt;sensitivity and specificity&lt;/Keywords&gt;&lt;Keywords&gt;squamous epithelium&lt;/Keywords&gt;&lt;Keywords&gt;systematic review&lt;/Keywords&gt;&lt;Keywords&gt;uterine cervix cytology&lt;/Keywords&gt;&lt;Reprint&gt;Not in File&lt;/Reprint&gt;&lt;Start_Page&gt;122&lt;/Start_Page&gt;&lt;End_Page&gt;132&lt;/End_Page&gt;&lt;Periodical&gt;Lancet&lt;/Periodical&gt;&lt;Volume&gt;367&lt;/Volume&gt;&lt;Issue&gt;9505&lt;/Issue&gt;&lt;ISSN_ISBN&gt;0140-6736&lt;/ISSN_ISBN&gt;&lt;Address&gt;Davey, E., Screening and Test Evaluation Program, School of Public Health, University of Sydney, NSW 2006, Australia&lt;/Address&gt;&lt;ZZ_JournalFull&gt;&lt;f name="System"&gt;Lancet&lt;/f&gt;&lt;/ZZ_JournalFull&gt;&lt;ZZ_WorkformID&gt;1&lt;/ZZ_WorkformID&gt;&lt;/MDL&gt;&lt;/Cite&gt;&lt;/Refman&gt;</w:instrText>
      </w:r>
      <w:r w:rsidRPr="00537C3C">
        <w:fldChar w:fldCharType="separate"/>
      </w:r>
      <w:r w:rsidRPr="00537C3C">
        <w:t>(2006)</w:t>
      </w:r>
      <w:r w:rsidRPr="00537C3C">
        <w:fldChar w:fldCharType="end"/>
      </w:r>
      <w:r w:rsidRPr="00537C3C">
        <w:t xml:space="preserve"> for screening populations. As can be expected, points on the ROC from Arbyn et al. are more consistent with </w:t>
      </w:r>
      <w:r w:rsidRPr="008E03A7">
        <w:t xml:space="preserve">Figure </w:t>
      </w:r>
      <w:smartTag w:uri="urn:schemas-microsoft-com:office:smarttags" w:element="metricconverter">
        <w:smartTagPr>
          <w:attr w:name="ProductID" w:val="2 in"/>
        </w:smartTagPr>
        <w:r w:rsidRPr="008E03A7">
          <w:t>2</w:t>
        </w:r>
        <w:r w:rsidRPr="00537C3C">
          <w:t xml:space="preserve"> in</w:t>
        </w:r>
      </w:smartTag>
      <w:r w:rsidRPr="00537C3C">
        <w:t xml:space="preserve"> Davey et al. for studies with populations of women referred for investigation. The specificity of cytology is much higher in a screening population than in a population referred for further investigation.</w:t>
      </w:r>
    </w:p>
    <w:p w:rsidR="00234376" w:rsidRPr="00537C3C" w:rsidRDefault="00234376" w:rsidP="008E03A7">
      <w:pPr>
        <w:pStyle w:val="Caption"/>
      </w:pPr>
      <w:bookmarkStart w:id="1144" w:name="_Ref216169548"/>
      <w:bookmarkStart w:id="1145" w:name="_Ref214422808"/>
      <w:bookmarkStart w:id="1146" w:name="_Toc216169965"/>
      <w:bookmarkStart w:id="1147" w:name="_Toc95971313"/>
      <w:r w:rsidRPr="00537C3C">
        <w:lastRenderedPageBreak/>
        <w:t xml:space="preserve">Table </w:t>
      </w:r>
      <w:fldSimple w:instr=" SEQ Table \* ARABIC ">
        <w:r w:rsidR="007D3DFF">
          <w:rPr>
            <w:noProof/>
          </w:rPr>
          <w:t>77</w:t>
        </w:r>
      </w:fldSimple>
      <w:bookmarkEnd w:id="1144"/>
      <w:r w:rsidRPr="00537C3C">
        <w:tab/>
        <w:t xml:space="preserve">Data sources for various methods of deriving test probability matrices for </w:t>
      </w:r>
      <w:r w:rsidRPr="00537C3C">
        <w:rPr>
          <w:rFonts w:cs="Arial"/>
        </w:rPr>
        <w:t>CC</w:t>
      </w:r>
      <w:r w:rsidRPr="00537C3C">
        <w:t xml:space="preserve"> or </w:t>
      </w:r>
      <w:r w:rsidRPr="00BB76D8">
        <w:t>LBC</w:t>
      </w:r>
      <w:bookmarkEnd w:id="1145"/>
      <w:bookmarkEnd w:id="1146"/>
      <w:r w:rsidRPr="00537C3C">
        <w:t>.</w:t>
      </w:r>
      <w:bookmarkEnd w:id="1147"/>
    </w:p>
    <w:tbl>
      <w:tblPr>
        <w:tblW w:w="9072" w:type="dxa"/>
        <w:tblInd w:w="822" w:type="dxa"/>
        <w:tblLayout w:type="fixed"/>
        <w:tblCellMar>
          <w:left w:w="28" w:type="dxa"/>
        </w:tblCellMar>
        <w:tblLook w:val="0000" w:firstRow="0" w:lastRow="0" w:firstColumn="0" w:lastColumn="0" w:noHBand="0" w:noVBand="0"/>
      </w:tblPr>
      <w:tblGrid>
        <w:gridCol w:w="968"/>
        <w:gridCol w:w="19"/>
        <w:gridCol w:w="990"/>
        <w:gridCol w:w="993"/>
        <w:gridCol w:w="20"/>
        <w:gridCol w:w="974"/>
        <w:gridCol w:w="38"/>
        <w:gridCol w:w="1004"/>
        <w:gridCol w:w="9"/>
        <w:gridCol w:w="936"/>
        <w:gridCol w:w="901"/>
        <w:gridCol w:w="95"/>
        <w:gridCol w:w="899"/>
        <w:gridCol w:w="1226"/>
      </w:tblGrid>
      <w:tr w:rsidR="00234376" w:rsidRPr="00537C3C">
        <w:trPr>
          <w:trHeight w:val="292"/>
        </w:trPr>
        <w:tc>
          <w:tcPr>
            <w:tcW w:w="968" w:type="dxa"/>
            <w:vMerge w:val="restart"/>
            <w:tcBorders>
              <w:top w:val="single" w:sz="4" w:space="0" w:color="auto"/>
            </w:tcBorders>
          </w:tcPr>
          <w:p w:rsidR="00234376" w:rsidRPr="00537C3C" w:rsidRDefault="00234376" w:rsidP="008E03A7">
            <w:pPr>
              <w:pStyle w:val="TableHeading"/>
            </w:pPr>
            <w:r w:rsidRPr="00537C3C">
              <w:t>Method</w:t>
            </w:r>
          </w:p>
        </w:tc>
        <w:tc>
          <w:tcPr>
            <w:tcW w:w="8104" w:type="dxa"/>
            <w:gridSpan w:val="13"/>
            <w:tcBorders>
              <w:top w:val="single" w:sz="4" w:space="0" w:color="auto"/>
              <w:bottom w:val="single" w:sz="4" w:space="0" w:color="auto"/>
            </w:tcBorders>
          </w:tcPr>
          <w:p w:rsidR="00234376" w:rsidRPr="00537C3C" w:rsidRDefault="00234376" w:rsidP="008E03A7">
            <w:pPr>
              <w:pStyle w:val="TableHeading"/>
              <w:jc w:val="center"/>
            </w:pPr>
            <w:r w:rsidRPr="00537C3C">
              <w:t>Data sources</w:t>
            </w:r>
          </w:p>
        </w:tc>
      </w:tr>
      <w:tr w:rsidR="00234376" w:rsidRPr="00537C3C">
        <w:trPr>
          <w:trHeight w:val="295"/>
        </w:trPr>
        <w:tc>
          <w:tcPr>
            <w:tcW w:w="968" w:type="dxa"/>
            <w:vMerge/>
          </w:tcPr>
          <w:p w:rsidR="00234376" w:rsidRPr="00537C3C" w:rsidRDefault="00234376" w:rsidP="008E03A7">
            <w:pPr>
              <w:pStyle w:val="TableHeading"/>
            </w:pPr>
          </w:p>
        </w:tc>
        <w:tc>
          <w:tcPr>
            <w:tcW w:w="1009" w:type="dxa"/>
            <w:gridSpan w:val="2"/>
            <w:tcBorders>
              <w:top w:val="single" w:sz="4" w:space="0" w:color="auto"/>
              <w:bottom w:val="single" w:sz="4" w:space="0" w:color="auto"/>
            </w:tcBorders>
          </w:tcPr>
          <w:p w:rsidR="00234376" w:rsidRPr="00537C3C" w:rsidRDefault="00234376" w:rsidP="008E03A7">
            <w:pPr>
              <w:pStyle w:val="TableHeading"/>
            </w:pPr>
            <w:r w:rsidRPr="00BB76D8">
              <w:t>pLSIL</w:t>
            </w:r>
          </w:p>
        </w:tc>
        <w:tc>
          <w:tcPr>
            <w:tcW w:w="1013" w:type="dxa"/>
            <w:gridSpan w:val="2"/>
            <w:tcBorders>
              <w:top w:val="single" w:sz="4" w:space="0" w:color="auto"/>
              <w:bottom w:val="single" w:sz="4" w:space="0" w:color="auto"/>
            </w:tcBorders>
          </w:tcPr>
          <w:p w:rsidR="00234376" w:rsidRPr="00537C3C" w:rsidRDefault="00234376" w:rsidP="008E03A7">
            <w:pPr>
              <w:pStyle w:val="TableHeading"/>
            </w:pPr>
            <w:r w:rsidRPr="00537C3C">
              <w:t>d</w:t>
            </w:r>
            <w:r w:rsidRPr="00BB76D8">
              <w:t>LSIL</w:t>
            </w:r>
          </w:p>
        </w:tc>
        <w:tc>
          <w:tcPr>
            <w:tcW w:w="1012" w:type="dxa"/>
            <w:gridSpan w:val="2"/>
            <w:tcBorders>
              <w:top w:val="single" w:sz="4" w:space="0" w:color="auto"/>
              <w:bottom w:val="single" w:sz="4" w:space="0" w:color="auto"/>
            </w:tcBorders>
          </w:tcPr>
          <w:p w:rsidR="00234376" w:rsidRPr="00537C3C" w:rsidRDefault="00234376" w:rsidP="008E03A7">
            <w:pPr>
              <w:pStyle w:val="TableHeading"/>
            </w:pPr>
            <w:r w:rsidRPr="00BB76D8">
              <w:t>pHSIL</w:t>
            </w:r>
          </w:p>
        </w:tc>
        <w:tc>
          <w:tcPr>
            <w:tcW w:w="1013" w:type="dxa"/>
            <w:gridSpan w:val="2"/>
            <w:tcBorders>
              <w:top w:val="single" w:sz="4" w:space="0" w:color="auto"/>
              <w:bottom w:val="single" w:sz="4" w:space="0" w:color="auto"/>
            </w:tcBorders>
          </w:tcPr>
          <w:p w:rsidR="00234376" w:rsidRPr="00537C3C" w:rsidRDefault="00234376" w:rsidP="008E03A7">
            <w:pPr>
              <w:pStyle w:val="TableHeading"/>
            </w:pPr>
            <w:r w:rsidRPr="00537C3C">
              <w:t>d</w:t>
            </w:r>
            <w:r w:rsidRPr="00BB76D8">
              <w:t>HSIL</w:t>
            </w:r>
          </w:p>
        </w:tc>
        <w:tc>
          <w:tcPr>
            <w:tcW w:w="936" w:type="dxa"/>
            <w:tcBorders>
              <w:top w:val="single" w:sz="4" w:space="0" w:color="auto"/>
              <w:bottom w:val="single" w:sz="4" w:space="0" w:color="auto"/>
            </w:tcBorders>
          </w:tcPr>
          <w:p w:rsidR="00234376" w:rsidRPr="00537C3C" w:rsidRDefault="00234376" w:rsidP="008E03A7">
            <w:pPr>
              <w:pStyle w:val="TableHeading"/>
            </w:pPr>
            <w:r w:rsidRPr="00537C3C">
              <w:t>Negative</w:t>
            </w:r>
          </w:p>
        </w:tc>
        <w:tc>
          <w:tcPr>
            <w:tcW w:w="901" w:type="dxa"/>
            <w:tcBorders>
              <w:top w:val="single" w:sz="4" w:space="0" w:color="auto"/>
              <w:bottom w:val="single" w:sz="4" w:space="0" w:color="auto"/>
            </w:tcBorders>
          </w:tcPr>
          <w:p w:rsidR="00234376" w:rsidRPr="00537C3C" w:rsidRDefault="00234376" w:rsidP="008E03A7">
            <w:pPr>
              <w:pStyle w:val="TableHeading"/>
            </w:pPr>
            <w:r w:rsidRPr="00537C3C">
              <w:t>Distribution of cytology</w:t>
            </w:r>
          </w:p>
        </w:tc>
        <w:tc>
          <w:tcPr>
            <w:tcW w:w="994" w:type="dxa"/>
            <w:gridSpan w:val="2"/>
            <w:tcBorders>
              <w:top w:val="single" w:sz="4" w:space="0" w:color="auto"/>
              <w:bottom w:val="single" w:sz="4" w:space="0" w:color="auto"/>
            </w:tcBorders>
          </w:tcPr>
          <w:p w:rsidR="00234376" w:rsidRPr="00537C3C" w:rsidRDefault="00234376" w:rsidP="008E03A7">
            <w:pPr>
              <w:pStyle w:val="TableHeading"/>
            </w:pPr>
            <w:r w:rsidRPr="00537C3C">
              <w:t>Coherent matrix?</w:t>
            </w:r>
          </w:p>
        </w:tc>
        <w:tc>
          <w:tcPr>
            <w:tcW w:w="1226" w:type="dxa"/>
            <w:tcBorders>
              <w:top w:val="single" w:sz="4" w:space="0" w:color="auto"/>
              <w:bottom w:val="single" w:sz="4" w:space="0" w:color="auto"/>
            </w:tcBorders>
          </w:tcPr>
          <w:p w:rsidR="00234376" w:rsidRPr="00537C3C" w:rsidRDefault="00234376" w:rsidP="008E03A7">
            <w:pPr>
              <w:pStyle w:val="TableHeading"/>
            </w:pPr>
            <w:r w:rsidRPr="00537C3C">
              <w:t>Used in sensitivity analysis?</w:t>
            </w:r>
          </w:p>
        </w:tc>
      </w:tr>
      <w:tr w:rsidR="00234376" w:rsidRPr="00537C3C">
        <w:trPr>
          <w:trHeight w:val="157"/>
        </w:trPr>
        <w:tc>
          <w:tcPr>
            <w:tcW w:w="968" w:type="dxa"/>
            <w:tcBorders>
              <w:bottom w:val="nil"/>
            </w:tcBorders>
          </w:tcPr>
          <w:p w:rsidR="00234376" w:rsidRPr="00537C3C" w:rsidRDefault="00234376" w:rsidP="008E03A7">
            <w:pPr>
              <w:pStyle w:val="TableTextLessSpaceCharCharCharCharCharCharCharChar"/>
              <w:rPr>
                <w:b/>
                <w:bCs/>
                <w:sz w:val="16"/>
              </w:rPr>
            </w:pPr>
            <w:r w:rsidRPr="00537C3C">
              <w:rPr>
                <w:b/>
                <w:bCs/>
                <w:sz w:val="16"/>
              </w:rPr>
              <w:t>1 (</w:t>
            </w:r>
            <w:r w:rsidRPr="00BB76D8">
              <w:rPr>
                <w:b/>
                <w:bCs/>
                <w:sz w:val="16"/>
              </w:rPr>
              <w:t>CC</w:t>
            </w:r>
            <w:r w:rsidRPr="00537C3C">
              <w:rPr>
                <w:b/>
                <w:bCs/>
                <w:sz w:val="16"/>
              </w:rPr>
              <w:t>)</w:t>
            </w:r>
          </w:p>
        </w:tc>
        <w:tc>
          <w:tcPr>
            <w:tcW w:w="1009" w:type="dxa"/>
            <w:gridSpan w:val="2"/>
            <w:tcBorders>
              <w:top w:val="single" w:sz="4" w:space="0" w:color="auto"/>
              <w:bottom w:val="nil"/>
            </w:tcBorders>
          </w:tcPr>
          <w:p w:rsidR="00234376" w:rsidRPr="00537C3C" w:rsidRDefault="00234376" w:rsidP="008E03A7">
            <w:pPr>
              <w:pStyle w:val="TableTextLessSpaceCharCharCharCharCharCharCharChar"/>
              <w:rPr>
                <w:sz w:val="16"/>
              </w:rPr>
            </w:pPr>
            <w:r w:rsidRPr="00537C3C">
              <w:rPr>
                <w:sz w:val="16"/>
              </w:rPr>
              <w:t>Arbyn + Coste</w:t>
            </w:r>
          </w:p>
        </w:tc>
        <w:tc>
          <w:tcPr>
            <w:tcW w:w="1013" w:type="dxa"/>
            <w:gridSpan w:val="2"/>
            <w:tcBorders>
              <w:top w:val="single" w:sz="4" w:space="0" w:color="auto"/>
              <w:bottom w:val="nil"/>
            </w:tcBorders>
          </w:tcPr>
          <w:p w:rsidR="00234376" w:rsidRPr="00537C3C" w:rsidRDefault="00234376" w:rsidP="008E03A7">
            <w:pPr>
              <w:pStyle w:val="TableTextLessSpaceCharCharCharCharCharCharCharChar"/>
              <w:rPr>
                <w:sz w:val="16"/>
              </w:rPr>
            </w:pPr>
            <w:r w:rsidRPr="00537C3C">
              <w:rPr>
                <w:sz w:val="16"/>
              </w:rPr>
              <w:t>Arbyn + Coste</w:t>
            </w:r>
          </w:p>
        </w:tc>
        <w:tc>
          <w:tcPr>
            <w:tcW w:w="1012" w:type="dxa"/>
            <w:gridSpan w:val="2"/>
            <w:tcBorders>
              <w:top w:val="single" w:sz="4" w:space="0" w:color="auto"/>
              <w:bottom w:val="nil"/>
            </w:tcBorders>
          </w:tcPr>
          <w:p w:rsidR="00234376" w:rsidRPr="00537C3C" w:rsidRDefault="00234376" w:rsidP="008E03A7">
            <w:pPr>
              <w:pStyle w:val="TableTextLessSpaceCharCharCharCharCharCharCharChar"/>
              <w:rPr>
                <w:sz w:val="16"/>
              </w:rPr>
            </w:pPr>
            <w:r w:rsidRPr="00537C3C">
              <w:rPr>
                <w:sz w:val="16"/>
              </w:rPr>
              <w:t>Arbyn + Coste</w:t>
            </w:r>
          </w:p>
        </w:tc>
        <w:tc>
          <w:tcPr>
            <w:tcW w:w="1013" w:type="dxa"/>
            <w:gridSpan w:val="2"/>
            <w:tcBorders>
              <w:top w:val="single" w:sz="4" w:space="0" w:color="auto"/>
              <w:bottom w:val="nil"/>
            </w:tcBorders>
          </w:tcPr>
          <w:p w:rsidR="00234376" w:rsidRPr="00537C3C" w:rsidRDefault="00234376" w:rsidP="008E03A7">
            <w:pPr>
              <w:pStyle w:val="TableTextLessSpaceCharCharCharCharCharCharCharChar"/>
              <w:rPr>
                <w:sz w:val="16"/>
              </w:rPr>
            </w:pPr>
            <w:r w:rsidRPr="00537C3C">
              <w:rPr>
                <w:sz w:val="16"/>
              </w:rPr>
              <w:t>Arbyn + Coste</w:t>
            </w:r>
          </w:p>
        </w:tc>
        <w:tc>
          <w:tcPr>
            <w:tcW w:w="936" w:type="dxa"/>
            <w:tcBorders>
              <w:top w:val="single" w:sz="4" w:space="0" w:color="auto"/>
              <w:bottom w:val="nil"/>
            </w:tcBorders>
          </w:tcPr>
          <w:p w:rsidR="00234376" w:rsidRPr="00537C3C" w:rsidRDefault="00234376" w:rsidP="008E03A7">
            <w:pPr>
              <w:pStyle w:val="TableTextLessSpaceCharCharCharCharCharCharCharChar"/>
              <w:rPr>
                <w:sz w:val="16"/>
              </w:rPr>
            </w:pPr>
            <w:r w:rsidRPr="00537C3C">
              <w:rPr>
                <w:sz w:val="16"/>
              </w:rPr>
              <w:t>Arbyn + Coste</w:t>
            </w:r>
          </w:p>
        </w:tc>
        <w:tc>
          <w:tcPr>
            <w:tcW w:w="996" w:type="dxa"/>
            <w:gridSpan w:val="2"/>
            <w:tcBorders>
              <w:top w:val="single" w:sz="4" w:space="0" w:color="auto"/>
              <w:bottom w:val="nil"/>
            </w:tcBorders>
          </w:tcPr>
          <w:p w:rsidR="00234376" w:rsidRPr="00537C3C" w:rsidRDefault="00234376" w:rsidP="008E03A7">
            <w:pPr>
              <w:pStyle w:val="TableTextLessSpaceCharCharCharCharCharCharCharChar"/>
              <w:rPr>
                <w:sz w:val="16"/>
              </w:rPr>
            </w:pPr>
            <w:r w:rsidRPr="00A316F5">
              <w:rPr>
                <w:sz w:val="16"/>
              </w:rPr>
              <w:t>n/</w:t>
            </w:r>
            <w:r w:rsidRPr="00537C3C">
              <w:rPr>
                <w:sz w:val="16"/>
              </w:rPr>
              <w:t>a</w:t>
            </w:r>
          </w:p>
        </w:tc>
        <w:tc>
          <w:tcPr>
            <w:tcW w:w="899" w:type="dxa"/>
            <w:tcBorders>
              <w:top w:val="single" w:sz="4" w:space="0" w:color="auto"/>
              <w:bottom w:val="nil"/>
            </w:tcBorders>
          </w:tcPr>
          <w:p w:rsidR="00234376" w:rsidRPr="00537C3C" w:rsidRDefault="00234376" w:rsidP="008E03A7">
            <w:pPr>
              <w:pStyle w:val="TableTextLessSpaceCharCharCharCharCharCharCharChar"/>
              <w:rPr>
                <w:sz w:val="16"/>
              </w:rPr>
            </w:pPr>
            <w:r w:rsidRPr="00537C3C">
              <w:rPr>
                <w:sz w:val="16"/>
              </w:rPr>
              <w:t>Yes</w:t>
            </w:r>
          </w:p>
        </w:tc>
        <w:tc>
          <w:tcPr>
            <w:tcW w:w="1226" w:type="dxa"/>
            <w:tcBorders>
              <w:top w:val="single" w:sz="4" w:space="0" w:color="auto"/>
              <w:bottom w:val="nil"/>
            </w:tcBorders>
          </w:tcPr>
          <w:p w:rsidR="00234376" w:rsidRPr="00537C3C" w:rsidRDefault="00234376" w:rsidP="008E03A7">
            <w:pPr>
              <w:pStyle w:val="TableTextLessSpaceCharCharCharCharCharCharCharChar"/>
              <w:rPr>
                <w:sz w:val="16"/>
              </w:rPr>
            </w:pPr>
            <w:r w:rsidRPr="00537C3C">
              <w:rPr>
                <w:sz w:val="16"/>
              </w:rPr>
              <w:t>No—not representative</w:t>
            </w:r>
          </w:p>
        </w:tc>
      </w:tr>
      <w:tr w:rsidR="00234376" w:rsidRPr="00537C3C">
        <w:trPr>
          <w:trHeight w:val="157"/>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2(a) (</w:t>
            </w:r>
            <w:r w:rsidRPr="00BB76D8">
              <w:rPr>
                <w:b/>
                <w:bCs/>
                <w:sz w:val="16"/>
              </w:rPr>
              <w:t>CC</w:t>
            </w:r>
            <w:r w:rsidRPr="00537C3C">
              <w:rPr>
                <w:b/>
                <w:bCs/>
                <w:sz w:val="16"/>
              </w:rPr>
              <w:t xml:space="preserve">) </w:t>
            </w:r>
          </w:p>
        </w:tc>
        <w:tc>
          <w:tcPr>
            <w:tcW w:w="1009"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1013"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1012"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1013"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szCs w:val="16"/>
              </w:rPr>
              <w:t>Coste</w:t>
            </w:r>
          </w:p>
        </w:tc>
        <w:tc>
          <w:tcPr>
            <w:tcW w:w="996"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899" w:type="dxa"/>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Yes</w:t>
            </w:r>
          </w:p>
        </w:tc>
        <w:tc>
          <w:tcPr>
            <w:tcW w:w="1226" w:type="dxa"/>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 xml:space="preserve">No—no </w:t>
            </w:r>
            <w:r w:rsidRPr="00BB76D8">
              <w:rPr>
                <w:sz w:val="16"/>
                <w:szCs w:val="16"/>
              </w:rPr>
              <w:t>HPV</w:t>
            </w:r>
            <w:r w:rsidRPr="00537C3C">
              <w:rPr>
                <w:sz w:val="16"/>
                <w:szCs w:val="16"/>
              </w:rPr>
              <w:t xml:space="preserve"> health state</w:t>
            </w:r>
          </w:p>
        </w:tc>
      </w:tr>
      <w:tr w:rsidR="00234376" w:rsidRPr="00537C3C">
        <w:trPr>
          <w:trHeight w:val="157"/>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2(b) (</w:t>
            </w:r>
            <w:r w:rsidRPr="00BB76D8">
              <w:rPr>
                <w:b/>
                <w:bCs/>
                <w:sz w:val="16"/>
              </w:rPr>
              <w:t>CC</w:t>
            </w:r>
            <w:r w:rsidRPr="00537C3C">
              <w:rPr>
                <w:b/>
                <w:bCs/>
                <w:sz w:val="16"/>
              </w:rPr>
              <w:t xml:space="preserve">) </w:t>
            </w:r>
          </w:p>
        </w:tc>
        <w:tc>
          <w:tcPr>
            <w:tcW w:w="1009"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1013"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1012"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1013"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szCs w:val="16"/>
              </w:rPr>
              <w:t>Coste</w:t>
            </w:r>
          </w:p>
        </w:tc>
        <w:tc>
          <w:tcPr>
            <w:tcW w:w="996" w:type="dxa"/>
            <w:gridSpan w:val="2"/>
            <w:tcBorders>
              <w:top w:val="nil"/>
              <w:bottom w:val="nil"/>
            </w:tcBorders>
          </w:tcPr>
          <w:p w:rsidR="00234376" w:rsidRPr="00537C3C" w:rsidRDefault="00234376" w:rsidP="008E03A7">
            <w:pPr>
              <w:pStyle w:val="TableTextLessSpaceCharCharCharCharCharCharCharChar"/>
              <w:rPr>
                <w:sz w:val="16"/>
                <w:szCs w:val="16"/>
              </w:rPr>
            </w:pPr>
            <w:r w:rsidRPr="00BB76D8">
              <w:rPr>
                <w:sz w:val="16"/>
                <w:szCs w:val="16"/>
              </w:rPr>
              <w:t>NSW</w:t>
            </w:r>
            <w:r w:rsidRPr="00537C3C">
              <w:rPr>
                <w:sz w:val="16"/>
                <w:szCs w:val="16"/>
              </w:rPr>
              <w:t xml:space="preserve"> (all ages)</w:t>
            </w:r>
          </w:p>
        </w:tc>
        <w:tc>
          <w:tcPr>
            <w:tcW w:w="899" w:type="dxa"/>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Yes</w:t>
            </w:r>
          </w:p>
        </w:tc>
        <w:tc>
          <w:tcPr>
            <w:tcW w:w="1226" w:type="dxa"/>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 xml:space="preserve">No—no </w:t>
            </w:r>
            <w:r w:rsidRPr="00BB76D8">
              <w:rPr>
                <w:sz w:val="16"/>
                <w:szCs w:val="16"/>
              </w:rPr>
              <w:t>HPV</w:t>
            </w:r>
            <w:r w:rsidRPr="00537C3C">
              <w:rPr>
                <w:sz w:val="16"/>
                <w:szCs w:val="16"/>
              </w:rPr>
              <w:t xml:space="preserve"> health state</w:t>
            </w:r>
          </w:p>
        </w:tc>
      </w:tr>
      <w:tr w:rsidR="00234376" w:rsidRPr="00537C3C">
        <w:trPr>
          <w:trHeight w:val="157"/>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2(c) (</w:t>
            </w:r>
            <w:r w:rsidRPr="00BB76D8">
              <w:rPr>
                <w:b/>
                <w:bCs/>
                <w:sz w:val="16"/>
              </w:rPr>
              <w:t>CC</w:t>
            </w:r>
            <w:r w:rsidRPr="00537C3C">
              <w:rPr>
                <w:b/>
                <w:bCs/>
                <w:sz w:val="16"/>
              </w:rPr>
              <w:t xml:space="preserve">) </w:t>
            </w:r>
          </w:p>
        </w:tc>
        <w:tc>
          <w:tcPr>
            <w:tcW w:w="1009"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1013"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1012"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1013" w:type="dxa"/>
            <w:gridSpan w:val="2"/>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Coste</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szCs w:val="16"/>
              </w:rPr>
              <w:t>Coste</w:t>
            </w:r>
          </w:p>
        </w:tc>
        <w:tc>
          <w:tcPr>
            <w:tcW w:w="996" w:type="dxa"/>
            <w:gridSpan w:val="2"/>
            <w:tcBorders>
              <w:top w:val="nil"/>
              <w:bottom w:val="nil"/>
            </w:tcBorders>
          </w:tcPr>
          <w:p w:rsidR="00234376" w:rsidRPr="00537C3C" w:rsidRDefault="00234376" w:rsidP="008E03A7">
            <w:pPr>
              <w:pStyle w:val="TableTextLessSpaceCharCharCharCharCharCharCharChar"/>
              <w:rPr>
                <w:sz w:val="16"/>
                <w:szCs w:val="16"/>
              </w:rPr>
            </w:pPr>
            <w:r w:rsidRPr="00BB76D8">
              <w:rPr>
                <w:sz w:val="16"/>
                <w:szCs w:val="16"/>
              </w:rPr>
              <w:t>VCCR</w:t>
            </w:r>
            <w:r w:rsidRPr="00537C3C">
              <w:rPr>
                <w:sz w:val="16"/>
                <w:szCs w:val="16"/>
              </w:rPr>
              <w:t xml:space="preserve"> (all ages)</w:t>
            </w:r>
          </w:p>
        </w:tc>
        <w:tc>
          <w:tcPr>
            <w:tcW w:w="899" w:type="dxa"/>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Yes</w:t>
            </w:r>
          </w:p>
        </w:tc>
        <w:tc>
          <w:tcPr>
            <w:tcW w:w="1226" w:type="dxa"/>
            <w:tcBorders>
              <w:top w:val="nil"/>
              <w:bottom w:val="nil"/>
            </w:tcBorders>
          </w:tcPr>
          <w:p w:rsidR="00234376" w:rsidRPr="00537C3C" w:rsidRDefault="00234376" w:rsidP="008E03A7">
            <w:pPr>
              <w:pStyle w:val="TableTextLessSpaceCharCharCharCharCharCharCharChar"/>
              <w:rPr>
                <w:sz w:val="16"/>
                <w:szCs w:val="16"/>
              </w:rPr>
            </w:pPr>
            <w:r w:rsidRPr="00537C3C">
              <w:rPr>
                <w:sz w:val="16"/>
                <w:szCs w:val="16"/>
              </w:rPr>
              <w:t xml:space="preserve">No—no </w:t>
            </w:r>
            <w:r w:rsidRPr="00BB76D8">
              <w:rPr>
                <w:sz w:val="16"/>
                <w:szCs w:val="16"/>
              </w:rPr>
              <w:t>HPV</w:t>
            </w:r>
            <w:r w:rsidRPr="00537C3C">
              <w:rPr>
                <w:sz w:val="16"/>
                <w:szCs w:val="16"/>
              </w:rPr>
              <w:t xml:space="preserve"> health state</w:t>
            </w:r>
          </w:p>
        </w:tc>
      </w:tr>
      <w:tr w:rsidR="00234376" w:rsidRPr="00537C3C">
        <w:trPr>
          <w:trHeight w:val="157"/>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3(a) (</w:t>
            </w:r>
            <w:r w:rsidRPr="00BB76D8">
              <w:rPr>
                <w:b/>
                <w:bCs/>
                <w:sz w:val="16"/>
              </w:rPr>
              <w:t>LBC</w:t>
            </w:r>
            <w:r w:rsidRPr="00537C3C">
              <w:rPr>
                <w:b/>
                <w:bCs/>
                <w:sz w:val="16"/>
              </w:rPr>
              <w:t>)</w:t>
            </w:r>
          </w:p>
          <w:p w:rsidR="00234376" w:rsidRPr="00537C3C" w:rsidRDefault="00234376" w:rsidP="008E03A7">
            <w:pPr>
              <w:pStyle w:val="TableTextLessSpaceCharCharCharCharCharCharCharChar"/>
              <w:rPr>
                <w:b/>
                <w:bCs/>
                <w:sz w:val="16"/>
              </w:rPr>
            </w:pP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936" w:type="dxa"/>
            <w:tcBorders>
              <w:top w:val="nil"/>
              <w:bottom w:val="nil"/>
            </w:tcBorders>
          </w:tcPr>
          <w:p w:rsidR="00234376" w:rsidRPr="00537C3C" w:rsidRDefault="00234376" w:rsidP="008E03A7">
            <w:pPr>
              <w:pStyle w:val="TableTextLessSpaceCharCharCharCharCharCharCharChar"/>
              <w:rPr>
                <w:sz w:val="16"/>
              </w:rPr>
            </w:pPr>
            <w:r w:rsidRPr="00BB76D8">
              <w:rPr>
                <w:sz w:val="16"/>
              </w:rPr>
              <w:t>CADTH</w:t>
            </w:r>
            <w:r w:rsidRPr="00537C3C">
              <w:rPr>
                <w:sz w:val="16"/>
              </w:rPr>
              <w:t xml:space="preserve">; </w:t>
            </w:r>
            <w:r w:rsidRPr="00BB76D8">
              <w:rPr>
                <w:sz w:val="16"/>
              </w:rPr>
              <w:t>WHINURS</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NSW</w:t>
            </w:r>
            <w:r w:rsidRPr="00537C3C">
              <w:rPr>
                <w:sz w:val="16"/>
              </w:rPr>
              <w:t xml:space="preserve"> 2006 Q4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Yes</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Pr>
                <w:sz w:val="16"/>
              </w:rPr>
              <w:t>No—inconsistent</w:t>
            </w:r>
          </w:p>
        </w:tc>
      </w:tr>
      <w:tr w:rsidR="00234376" w:rsidRPr="00537C3C">
        <w:trPr>
          <w:trHeight w:val="152"/>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3(b) (</w:t>
            </w:r>
            <w:r w:rsidRPr="00BB76D8">
              <w:rPr>
                <w:b/>
                <w:bCs/>
                <w:sz w:val="16"/>
              </w:rPr>
              <w:t>CC</w:t>
            </w:r>
            <w:r w:rsidRPr="00537C3C">
              <w:rPr>
                <w:b/>
                <w:bCs/>
                <w:sz w:val="16"/>
              </w:rPr>
              <w:t>)</w:t>
            </w: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rPr>
              <w:t>Via 2(a) (</w:t>
            </w:r>
            <w:r w:rsidRPr="00BB76D8">
              <w:rPr>
                <w:sz w:val="16"/>
              </w:rPr>
              <w:t>LBC</w:t>
            </w:r>
            <w:r w:rsidRPr="00537C3C">
              <w:rPr>
                <w:sz w:val="16"/>
              </w:rPr>
              <w:t>) disease distribution</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NSW</w:t>
            </w:r>
            <w:r w:rsidRPr="00537C3C">
              <w:rPr>
                <w:sz w:val="16"/>
              </w:rPr>
              <w:t xml:space="preserve"> 2006 Q4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Yes</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Pr>
                <w:sz w:val="16"/>
              </w:rPr>
              <w:t>No—inconsistent</w:t>
            </w:r>
          </w:p>
        </w:tc>
      </w:tr>
      <w:tr w:rsidR="00234376" w:rsidRPr="00537C3C">
        <w:trPr>
          <w:trHeight w:val="152"/>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4(a) (</w:t>
            </w:r>
            <w:r w:rsidRPr="00BB76D8">
              <w:rPr>
                <w:b/>
                <w:bCs/>
                <w:sz w:val="16"/>
              </w:rPr>
              <w:t>CC</w:t>
            </w:r>
            <w:r w:rsidRPr="00537C3C">
              <w:rPr>
                <w:b/>
                <w:bCs/>
                <w:sz w:val="16"/>
              </w:rPr>
              <w:t>)</w:t>
            </w: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rPr>
              <w:t xml:space="preserve">Arbyn; Nanda; </w:t>
            </w:r>
            <w:r w:rsidRPr="00BB76D8">
              <w:rPr>
                <w:sz w:val="16"/>
              </w:rPr>
              <w:t>WHINURS</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NSW</w:t>
            </w:r>
            <w:r w:rsidRPr="00537C3C">
              <w:rPr>
                <w:sz w:val="16"/>
              </w:rPr>
              <w:t xml:space="preserve"> 2006 Q4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No; no with Arbyn lower estimate</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sidDel="001E6D1E">
              <w:rPr>
                <w:sz w:val="16"/>
              </w:rPr>
              <w:t>–</w:t>
            </w:r>
          </w:p>
        </w:tc>
      </w:tr>
      <w:tr w:rsidR="00234376" w:rsidRPr="00537C3C">
        <w:trPr>
          <w:trHeight w:val="152"/>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4(b) (</w:t>
            </w:r>
            <w:r w:rsidRPr="00BB76D8">
              <w:rPr>
                <w:b/>
                <w:bCs/>
                <w:sz w:val="16"/>
              </w:rPr>
              <w:t>CC</w:t>
            </w:r>
            <w:r w:rsidRPr="00537C3C">
              <w:rPr>
                <w:b/>
                <w:bCs/>
                <w:sz w:val="16"/>
              </w:rPr>
              <w:t>)</w:t>
            </w: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lower estimate of </w:t>
            </w:r>
            <w:r w:rsidRPr="00BB76D8">
              <w:rPr>
                <w:sz w:val="16"/>
              </w:rPr>
              <w:t>CI</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lower estimate of </w:t>
            </w:r>
            <w:r w:rsidRPr="00BB76D8">
              <w:rPr>
                <w:sz w:val="16"/>
              </w:rPr>
              <w:t>CI</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rPr>
              <w:t xml:space="preserve">Arbyn; Nanda; </w:t>
            </w:r>
            <w:r w:rsidRPr="00BB76D8">
              <w:rPr>
                <w:sz w:val="16"/>
              </w:rPr>
              <w:t>WHINURS</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NSW</w:t>
            </w:r>
            <w:r w:rsidRPr="00537C3C">
              <w:rPr>
                <w:sz w:val="16"/>
              </w:rPr>
              <w:t xml:space="preserve"> 2006 Q4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No; yes with Arbyn lower estimate</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Pr>
                <w:sz w:val="16"/>
              </w:rPr>
              <w:t>No—see Supplem</w:t>
            </w:r>
            <w:r w:rsidRPr="00537C3C">
              <w:rPr>
                <w:sz w:val="16"/>
              </w:rPr>
              <w:softHyphen/>
              <w:t>en</w:t>
            </w:r>
            <w:r w:rsidRPr="00537C3C">
              <w:rPr>
                <w:sz w:val="16"/>
              </w:rPr>
              <w:softHyphen/>
              <w:t>tary Material</w:t>
            </w:r>
          </w:p>
        </w:tc>
      </w:tr>
      <w:tr w:rsidR="00234376" w:rsidRPr="00537C3C">
        <w:trPr>
          <w:trHeight w:val="152"/>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4(c) (</w:t>
            </w:r>
            <w:r w:rsidRPr="00BB76D8">
              <w:rPr>
                <w:b/>
                <w:bCs/>
                <w:sz w:val="16"/>
              </w:rPr>
              <w:t>CC</w:t>
            </w:r>
            <w:r w:rsidRPr="00537C3C">
              <w:rPr>
                <w:b/>
                <w:bCs/>
                <w:sz w:val="16"/>
              </w:rPr>
              <w:t>)</w:t>
            </w: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lower estimate of </w:t>
            </w:r>
            <w:r w:rsidRPr="00BB76D8">
              <w:rPr>
                <w:sz w:val="16"/>
              </w:rPr>
              <w:t>CI</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lower estimate of </w:t>
            </w:r>
            <w:r w:rsidRPr="00BB76D8">
              <w:rPr>
                <w:sz w:val="16"/>
              </w:rPr>
              <w:t>CI</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upper estimate of </w:t>
            </w:r>
            <w:r w:rsidRPr="00BB76D8">
              <w:rPr>
                <w:sz w:val="16"/>
              </w:rPr>
              <w:t>CI</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upper estimate of </w:t>
            </w:r>
            <w:r w:rsidRPr="00BB76D8">
              <w:rPr>
                <w:sz w:val="16"/>
              </w:rPr>
              <w:t>CI</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rPr>
              <w:t xml:space="preserve">Arbyn; Nanda; </w:t>
            </w:r>
            <w:r w:rsidRPr="00BB76D8">
              <w:rPr>
                <w:sz w:val="16"/>
              </w:rPr>
              <w:t>WHINURS</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NSW</w:t>
            </w:r>
            <w:r w:rsidRPr="00537C3C">
              <w:rPr>
                <w:sz w:val="16"/>
              </w:rPr>
              <w:t xml:space="preserve"> 2006 Q4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No; yes with Arbyn lower estimate</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Pr>
                <w:sz w:val="16"/>
              </w:rPr>
              <w:t>No—see Supplem</w:t>
            </w:r>
            <w:r w:rsidRPr="00537C3C">
              <w:rPr>
                <w:sz w:val="16"/>
              </w:rPr>
              <w:softHyphen/>
              <w:t>entary Material</w:t>
            </w:r>
          </w:p>
        </w:tc>
      </w:tr>
      <w:tr w:rsidR="00234376" w:rsidRPr="00537C3C">
        <w:trPr>
          <w:trHeight w:val="152"/>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5(a) (</w:t>
            </w:r>
            <w:r w:rsidRPr="00BB76D8">
              <w:rPr>
                <w:b/>
                <w:bCs/>
                <w:sz w:val="16"/>
              </w:rPr>
              <w:t>CC</w:t>
            </w:r>
            <w:r w:rsidRPr="00537C3C">
              <w:rPr>
                <w:b/>
                <w:bCs/>
                <w:sz w:val="16"/>
              </w:rPr>
              <w:t>)</w:t>
            </w: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rPr>
              <w:t xml:space="preserve">Arbyn; Nanda; </w:t>
            </w:r>
            <w:r w:rsidRPr="00BB76D8">
              <w:rPr>
                <w:sz w:val="16"/>
              </w:rPr>
              <w:t>WHINURS</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No; no with Arbyn lower estimate</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Pr>
                <w:sz w:val="16"/>
              </w:rPr>
              <w:t>-</w:t>
            </w:r>
          </w:p>
        </w:tc>
      </w:tr>
      <w:tr w:rsidR="00234376" w:rsidRPr="00537C3C">
        <w:trPr>
          <w:trHeight w:val="152"/>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5(b) (</w:t>
            </w:r>
            <w:r w:rsidRPr="00BB76D8">
              <w:rPr>
                <w:b/>
                <w:bCs/>
                <w:sz w:val="16"/>
              </w:rPr>
              <w:t>CC</w:t>
            </w:r>
            <w:r w:rsidRPr="00537C3C">
              <w:rPr>
                <w:b/>
                <w:bCs/>
                <w:sz w:val="16"/>
              </w:rPr>
              <w:t>)</w:t>
            </w: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rPr>
              <w:t xml:space="preserve">Arbyn; Nanda; </w:t>
            </w:r>
            <w:r w:rsidRPr="00BB76D8">
              <w:rPr>
                <w:sz w:val="16"/>
              </w:rPr>
              <w:t>WHINURS</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NSW</w:t>
            </w:r>
            <w:r w:rsidRPr="00537C3C">
              <w:rPr>
                <w:sz w:val="16"/>
              </w:rPr>
              <w:t xml:space="preserve"> 2006 Q4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No; yes with Arbyn lower estimate</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Pr>
                <w:sz w:val="16"/>
              </w:rPr>
              <w:t>Yes, with lower Arbyn estimate</w:t>
            </w:r>
          </w:p>
        </w:tc>
      </w:tr>
      <w:tr w:rsidR="00234376" w:rsidRPr="00537C3C">
        <w:trPr>
          <w:trHeight w:val="152"/>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5(c) (</w:t>
            </w:r>
            <w:r w:rsidRPr="00BB76D8">
              <w:rPr>
                <w:b/>
                <w:bCs/>
                <w:sz w:val="16"/>
              </w:rPr>
              <w:t>CC</w:t>
            </w:r>
            <w:r w:rsidRPr="00537C3C">
              <w:rPr>
                <w:b/>
                <w:bCs/>
                <w:sz w:val="16"/>
              </w:rPr>
              <w:t>)</w:t>
            </w: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lower estimate of </w:t>
            </w:r>
            <w:r w:rsidRPr="00BB76D8">
              <w:rPr>
                <w:sz w:val="16"/>
              </w:rPr>
              <w:t>CI</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lower estimate of </w:t>
            </w:r>
            <w:r w:rsidRPr="00BB76D8">
              <w:rPr>
                <w:sz w:val="16"/>
              </w:rPr>
              <w:t>CI</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rPr>
              <w:t xml:space="preserve">Arbyn; Nanda; </w:t>
            </w:r>
            <w:r w:rsidRPr="00BB76D8">
              <w:rPr>
                <w:sz w:val="16"/>
              </w:rPr>
              <w:t>WHINURS</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No; yes with Arbyn lower estimate</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Pr>
                <w:sz w:val="16"/>
              </w:rPr>
              <w:t>No—see Supplem</w:t>
            </w:r>
            <w:r w:rsidRPr="00537C3C">
              <w:rPr>
                <w:sz w:val="16"/>
              </w:rPr>
              <w:softHyphen/>
              <w:t>entary Material</w:t>
            </w:r>
          </w:p>
        </w:tc>
      </w:tr>
      <w:tr w:rsidR="00234376" w:rsidRPr="00537C3C">
        <w:trPr>
          <w:trHeight w:val="152"/>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5(d) (</w:t>
            </w:r>
            <w:r w:rsidRPr="00BB76D8">
              <w:rPr>
                <w:b/>
                <w:bCs/>
                <w:sz w:val="16"/>
              </w:rPr>
              <w:t>CC</w:t>
            </w:r>
            <w:r w:rsidRPr="00537C3C">
              <w:rPr>
                <w:b/>
                <w:bCs/>
                <w:sz w:val="16"/>
              </w:rPr>
              <w:t>)</w:t>
            </w: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lower estimate of </w:t>
            </w:r>
            <w:r w:rsidRPr="00BB76D8">
              <w:rPr>
                <w:sz w:val="16"/>
              </w:rPr>
              <w:t>CI</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lower estimate of </w:t>
            </w:r>
            <w:r w:rsidRPr="00BB76D8">
              <w:rPr>
                <w:sz w:val="16"/>
              </w:rPr>
              <w:t>CI</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rPr>
              <w:t xml:space="preserve">Arbyn; Nanda; </w:t>
            </w:r>
            <w:r w:rsidRPr="00BB76D8">
              <w:rPr>
                <w:sz w:val="16"/>
              </w:rPr>
              <w:t>WHINURS</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NSW</w:t>
            </w:r>
            <w:r w:rsidRPr="00537C3C">
              <w:rPr>
                <w:sz w:val="16"/>
              </w:rPr>
              <w:t xml:space="preserve"> 2006 Q4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Yes; yes with Arbyn lower estimate</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Pr>
                <w:sz w:val="16"/>
              </w:rPr>
              <w:t>No—see Supplem</w:t>
            </w:r>
            <w:r w:rsidRPr="00537C3C">
              <w:rPr>
                <w:sz w:val="16"/>
              </w:rPr>
              <w:softHyphen/>
              <w:t>entary Material</w:t>
            </w:r>
          </w:p>
        </w:tc>
      </w:tr>
      <w:tr w:rsidR="00234376" w:rsidRPr="00537C3C">
        <w:trPr>
          <w:trHeight w:val="152"/>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6(a) (</w:t>
            </w:r>
            <w:r w:rsidRPr="00BB76D8">
              <w:rPr>
                <w:b/>
                <w:bCs/>
                <w:sz w:val="16"/>
              </w:rPr>
              <w:t>CC</w:t>
            </w:r>
            <w:r w:rsidRPr="00537C3C">
              <w:rPr>
                <w:b/>
                <w:bCs/>
                <w:sz w:val="16"/>
              </w:rPr>
              <w:t>)</w:t>
            </w: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rPr>
              <w:t xml:space="preserve">Coste; </w:t>
            </w:r>
            <w:r w:rsidRPr="00BB76D8">
              <w:rPr>
                <w:sz w:val="16"/>
              </w:rPr>
              <w:t>WHINURS</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Yes</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Pr>
                <w:sz w:val="16"/>
              </w:rPr>
              <w:t>Yes</w:t>
            </w:r>
          </w:p>
        </w:tc>
      </w:tr>
      <w:tr w:rsidR="00234376" w:rsidRPr="00537C3C">
        <w:trPr>
          <w:trHeight w:val="152"/>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6(b) (</w:t>
            </w:r>
            <w:r w:rsidRPr="00BB76D8">
              <w:rPr>
                <w:b/>
                <w:bCs/>
                <w:sz w:val="16"/>
              </w:rPr>
              <w:t>CC</w:t>
            </w:r>
            <w:r w:rsidRPr="00537C3C">
              <w:rPr>
                <w:b/>
                <w:bCs/>
                <w:sz w:val="16"/>
              </w:rPr>
              <w:t>)</w:t>
            </w: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rPr>
              <w:t xml:space="preserve">Coste; </w:t>
            </w:r>
            <w:r w:rsidRPr="00BB76D8">
              <w:rPr>
                <w:sz w:val="16"/>
              </w:rPr>
              <w:t>WHINURS</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NSW</w:t>
            </w:r>
            <w:r w:rsidRPr="00537C3C">
              <w:rPr>
                <w:sz w:val="16"/>
              </w:rPr>
              <w:t xml:space="preserve"> 2006 Q4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Yes</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Pr>
                <w:sz w:val="16"/>
              </w:rPr>
              <w:t>Yes</w:t>
            </w:r>
          </w:p>
        </w:tc>
      </w:tr>
      <w:tr w:rsidR="00234376" w:rsidRPr="00537C3C">
        <w:trPr>
          <w:trHeight w:val="152"/>
        </w:trPr>
        <w:tc>
          <w:tcPr>
            <w:tcW w:w="968" w:type="dxa"/>
            <w:tcBorders>
              <w:top w:val="nil"/>
              <w:bottom w:val="nil"/>
            </w:tcBorders>
          </w:tcPr>
          <w:p w:rsidR="00234376" w:rsidRPr="00537C3C" w:rsidRDefault="00234376" w:rsidP="008E03A7">
            <w:pPr>
              <w:pStyle w:val="TableTextLessSpaceCharCharCharCharCharCharCharChar"/>
              <w:rPr>
                <w:b/>
                <w:bCs/>
                <w:sz w:val="16"/>
              </w:rPr>
            </w:pPr>
            <w:r w:rsidRPr="00537C3C">
              <w:rPr>
                <w:b/>
                <w:bCs/>
                <w:sz w:val="16"/>
              </w:rPr>
              <w:t>6(c) (</w:t>
            </w:r>
            <w:r w:rsidRPr="00BB76D8">
              <w:rPr>
                <w:b/>
                <w:bCs/>
                <w:sz w:val="16"/>
              </w:rPr>
              <w:t>CC</w:t>
            </w:r>
            <w:r w:rsidRPr="00537C3C">
              <w:rPr>
                <w:b/>
                <w:bCs/>
                <w:sz w:val="16"/>
              </w:rPr>
              <w:t>)</w:t>
            </w:r>
          </w:p>
        </w:tc>
        <w:tc>
          <w:tcPr>
            <w:tcW w:w="1009"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lower estimate of </w:t>
            </w:r>
            <w:r w:rsidRPr="00BB76D8">
              <w:rPr>
                <w:sz w:val="16"/>
              </w:rPr>
              <w:t>CI</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ALTS</w:t>
            </w:r>
            <w:r w:rsidRPr="00537C3C">
              <w:rPr>
                <w:sz w:val="16"/>
              </w:rPr>
              <w:t xml:space="preserve">, lower estimate of </w:t>
            </w:r>
            <w:r w:rsidRPr="00BB76D8">
              <w:rPr>
                <w:sz w:val="16"/>
              </w:rPr>
              <w:t>CI</w:t>
            </w:r>
          </w:p>
        </w:tc>
        <w:tc>
          <w:tcPr>
            <w:tcW w:w="1012"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1013"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936" w:type="dxa"/>
            <w:tcBorders>
              <w:top w:val="nil"/>
              <w:bottom w:val="nil"/>
            </w:tcBorders>
          </w:tcPr>
          <w:p w:rsidR="00234376" w:rsidRPr="00537C3C" w:rsidRDefault="00234376" w:rsidP="008E03A7">
            <w:pPr>
              <w:pStyle w:val="TableTextLessSpaceCharCharCharCharCharCharCharChar"/>
              <w:rPr>
                <w:sz w:val="16"/>
              </w:rPr>
            </w:pPr>
            <w:r w:rsidRPr="00537C3C">
              <w:rPr>
                <w:sz w:val="16"/>
              </w:rPr>
              <w:t xml:space="preserve">Coste; </w:t>
            </w:r>
            <w:r w:rsidRPr="00BB76D8">
              <w:rPr>
                <w:sz w:val="16"/>
              </w:rPr>
              <w:t>WHINURS</w:t>
            </w:r>
          </w:p>
        </w:tc>
        <w:tc>
          <w:tcPr>
            <w:tcW w:w="996" w:type="dxa"/>
            <w:gridSpan w:val="2"/>
            <w:tcBorders>
              <w:top w:val="nil"/>
              <w:bottom w:val="nil"/>
            </w:tcBorders>
          </w:tcPr>
          <w:p w:rsidR="00234376" w:rsidRPr="00537C3C" w:rsidRDefault="00234376" w:rsidP="008E03A7">
            <w:pPr>
              <w:pStyle w:val="TableTextLessSpaceCharCharCharCharCharCharCharChar"/>
              <w:rPr>
                <w:sz w:val="16"/>
              </w:rPr>
            </w:pPr>
            <w:r w:rsidRPr="00BB76D8">
              <w:rPr>
                <w:sz w:val="16"/>
              </w:rPr>
              <w:t>VCCR</w:t>
            </w:r>
            <w:r w:rsidRPr="00537C3C">
              <w:rPr>
                <w:sz w:val="16"/>
              </w:rPr>
              <w:t xml:space="preserve"> 25–29 y</w:t>
            </w:r>
          </w:p>
        </w:tc>
        <w:tc>
          <w:tcPr>
            <w:tcW w:w="899" w:type="dxa"/>
            <w:tcBorders>
              <w:top w:val="nil"/>
              <w:bottom w:val="nil"/>
            </w:tcBorders>
          </w:tcPr>
          <w:p w:rsidR="00234376" w:rsidRPr="00537C3C" w:rsidRDefault="00234376" w:rsidP="008E03A7">
            <w:pPr>
              <w:pStyle w:val="TableTextLessSpaceCharCharCharCharCharCharCharChar"/>
              <w:rPr>
                <w:sz w:val="16"/>
              </w:rPr>
            </w:pPr>
            <w:r w:rsidRPr="00537C3C">
              <w:rPr>
                <w:sz w:val="16"/>
              </w:rPr>
              <w:t>Yes</w:t>
            </w:r>
          </w:p>
        </w:tc>
        <w:tc>
          <w:tcPr>
            <w:tcW w:w="1226" w:type="dxa"/>
            <w:tcBorders>
              <w:top w:val="nil"/>
              <w:bottom w:val="nil"/>
            </w:tcBorders>
          </w:tcPr>
          <w:p w:rsidR="00234376" w:rsidRPr="00537C3C" w:rsidRDefault="00234376" w:rsidP="008E03A7">
            <w:pPr>
              <w:pStyle w:val="TableTextLessSpaceCharCharCharCharCharCharCharChar"/>
              <w:rPr>
                <w:sz w:val="16"/>
              </w:rPr>
            </w:pPr>
            <w:r w:rsidRPr="00537C3C">
              <w:rPr>
                <w:sz w:val="16"/>
              </w:rPr>
              <w:t>No—see Supplem</w:t>
            </w:r>
            <w:r w:rsidRPr="00537C3C">
              <w:rPr>
                <w:sz w:val="16"/>
              </w:rPr>
              <w:softHyphen/>
              <w:t>entary Material</w:t>
            </w:r>
          </w:p>
        </w:tc>
      </w:tr>
      <w:tr w:rsidR="00234376" w:rsidRPr="007A3B60">
        <w:trPr>
          <w:trHeight w:val="152"/>
        </w:trPr>
        <w:tc>
          <w:tcPr>
            <w:tcW w:w="968" w:type="dxa"/>
            <w:tcBorders>
              <w:top w:val="nil"/>
              <w:bottom w:val="nil"/>
            </w:tcBorders>
          </w:tcPr>
          <w:p w:rsidR="00234376" w:rsidRPr="007A3B60" w:rsidRDefault="00234376" w:rsidP="008E03A7">
            <w:pPr>
              <w:pStyle w:val="TableTextLessSpaceCharCharCharCharCharCharCharChar"/>
              <w:rPr>
                <w:b/>
                <w:bCs/>
                <w:sz w:val="16"/>
              </w:rPr>
            </w:pPr>
            <w:r w:rsidRPr="007A3B60">
              <w:rPr>
                <w:b/>
                <w:bCs/>
                <w:sz w:val="16"/>
              </w:rPr>
              <w:t>6(d) (CC)</w:t>
            </w:r>
          </w:p>
        </w:tc>
        <w:tc>
          <w:tcPr>
            <w:tcW w:w="1009" w:type="dxa"/>
            <w:gridSpan w:val="2"/>
            <w:tcBorders>
              <w:top w:val="nil"/>
              <w:bottom w:val="nil"/>
            </w:tcBorders>
          </w:tcPr>
          <w:p w:rsidR="00234376" w:rsidRPr="007A3B60" w:rsidRDefault="00234376" w:rsidP="008E03A7">
            <w:pPr>
              <w:pStyle w:val="TableTextLessSpaceCharCharCharCharCharCharCharChar"/>
              <w:rPr>
                <w:sz w:val="16"/>
              </w:rPr>
            </w:pPr>
            <w:r w:rsidRPr="007A3B60">
              <w:rPr>
                <w:sz w:val="16"/>
              </w:rPr>
              <w:t>ALTS, lower estimate of CI</w:t>
            </w:r>
          </w:p>
        </w:tc>
        <w:tc>
          <w:tcPr>
            <w:tcW w:w="1013" w:type="dxa"/>
            <w:gridSpan w:val="2"/>
            <w:tcBorders>
              <w:top w:val="nil"/>
              <w:bottom w:val="nil"/>
            </w:tcBorders>
          </w:tcPr>
          <w:p w:rsidR="00234376" w:rsidRPr="007A3B60" w:rsidRDefault="00234376" w:rsidP="008E03A7">
            <w:pPr>
              <w:pStyle w:val="TableTextLessSpaceCharCharCharCharCharCharCharChar"/>
              <w:rPr>
                <w:sz w:val="16"/>
              </w:rPr>
            </w:pPr>
            <w:r w:rsidRPr="007A3B60">
              <w:rPr>
                <w:sz w:val="16"/>
              </w:rPr>
              <w:t>ALTS, lower estimate of CI</w:t>
            </w:r>
          </w:p>
        </w:tc>
        <w:tc>
          <w:tcPr>
            <w:tcW w:w="1012" w:type="dxa"/>
            <w:gridSpan w:val="2"/>
            <w:tcBorders>
              <w:top w:val="nil"/>
              <w:bottom w:val="nil"/>
            </w:tcBorders>
          </w:tcPr>
          <w:p w:rsidR="00234376" w:rsidRPr="007A3B60" w:rsidRDefault="00234376" w:rsidP="008E03A7">
            <w:pPr>
              <w:pStyle w:val="TableTextLessSpaceCharCharCharCharCharCharCharChar"/>
              <w:rPr>
                <w:sz w:val="16"/>
              </w:rPr>
            </w:pPr>
            <w:r w:rsidRPr="007A3B60">
              <w:rPr>
                <w:sz w:val="16"/>
              </w:rPr>
              <w:t>VCCR 25–29 y</w:t>
            </w:r>
          </w:p>
        </w:tc>
        <w:tc>
          <w:tcPr>
            <w:tcW w:w="1013" w:type="dxa"/>
            <w:gridSpan w:val="2"/>
            <w:tcBorders>
              <w:top w:val="nil"/>
              <w:bottom w:val="nil"/>
            </w:tcBorders>
          </w:tcPr>
          <w:p w:rsidR="00234376" w:rsidRPr="007A3B60" w:rsidRDefault="00234376" w:rsidP="008E03A7">
            <w:pPr>
              <w:pStyle w:val="TableTextLessSpaceCharCharCharCharCharCharCharChar"/>
              <w:rPr>
                <w:sz w:val="16"/>
              </w:rPr>
            </w:pPr>
            <w:r w:rsidRPr="007A3B60">
              <w:rPr>
                <w:sz w:val="16"/>
              </w:rPr>
              <w:t>VCCR 25–29 y</w:t>
            </w:r>
          </w:p>
        </w:tc>
        <w:tc>
          <w:tcPr>
            <w:tcW w:w="936" w:type="dxa"/>
            <w:tcBorders>
              <w:top w:val="nil"/>
              <w:bottom w:val="nil"/>
            </w:tcBorders>
          </w:tcPr>
          <w:p w:rsidR="00234376" w:rsidRPr="007A3B60" w:rsidRDefault="00234376" w:rsidP="008E03A7">
            <w:pPr>
              <w:pStyle w:val="TableTextLessSpaceCharCharCharCharCharCharCharChar"/>
              <w:rPr>
                <w:sz w:val="16"/>
              </w:rPr>
            </w:pPr>
            <w:r w:rsidRPr="007A3B60">
              <w:rPr>
                <w:sz w:val="16"/>
              </w:rPr>
              <w:t>Coste; WHINURS</w:t>
            </w:r>
          </w:p>
        </w:tc>
        <w:tc>
          <w:tcPr>
            <w:tcW w:w="996" w:type="dxa"/>
            <w:gridSpan w:val="2"/>
            <w:tcBorders>
              <w:top w:val="nil"/>
              <w:bottom w:val="nil"/>
            </w:tcBorders>
          </w:tcPr>
          <w:p w:rsidR="00234376" w:rsidRPr="007A3B60" w:rsidRDefault="00234376" w:rsidP="008E03A7">
            <w:pPr>
              <w:pStyle w:val="TableTextLessSpaceCharCharCharCharCharCharCharChar"/>
              <w:rPr>
                <w:sz w:val="16"/>
              </w:rPr>
            </w:pPr>
            <w:r w:rsidRPr="007A3B60">
              <w:rPr>
                <w:sz w:val="16"/>
              </w:rPr>
              <w:t>NSW 2006 Q4 25–29 y</w:t>
            </w:r>
          </w:p>
        </w:tc>
        <w:tc>
          <w:tcPr>
            <w:tcW w:w="899" w:type="dxa"/>
            <w:tcBorders>
              <w:top w:val="nil"/>
              <w:bottom w:val="nil"/>
            </w:tcBorders>
          </w:tcPr>
          <w:p w:rsidR="00234376" w:rsidRPr="007A3B60" w:rsidRDefault="00234376" w:rsidP="008E03A7">
            <w:pPr>
              <w:pStyle w:val="TableTextLessSpaceCharCharCharCharCharCharCharChar"/>
              <w:rPr>
                <w:sz w:val="16"/>
              </w:rPr>
            </w:pPr>
            <w:r w:rsidRPr="007A3B60">
              <w:rPr>
                <w:sz w:val="16"/>
              </w:rPr>
              <w:t>Yes</w:t>
            </w:r>
          </w:p>
        </w:tc>
        <w:tc>
          <w:tcPr>
            <w:tcW w:w="1226" w:type="dxa"/>
            <w:tcBorders>
              <w:top w:val="nil"/>
              <w:bottom w:val="nil"/>
            </w:tcBorders>
          </w:tcPr>
          <w:p w:rsidR="00234376" w:rsidRPr="007A3B60" w:rsidRDefault="00234376" w:rsidP="008E03A7">
            <w:pPr>
              <w:pStyle w:val="TableTextLessSpaceCharCharCharCharCharCharCharChar"/>
              <w:rPr>
                <w:sz w:val="16"/>
              </w:rPr>
            </w:pPr>
            <w:r w:rsidRPr="007A3B60">
              <w:rPr>
                <w:sz w:val="16"/>
              </w:rPr>
              <w:t>No—see Supplem</w:t>
            </w:r>
            <w:r w:rsidRPr="007A3B60">
              <w:rPr>
                <w:sz w:val="16"/>
              </w:rPr>
              <w:softHyphen/>
              <w:t>entary Material</w:t>
            </w:r>
          </w:p>
        </w:tc>
      </w:tr>
      <w:tr w:rsidR="00234376" w:rsidRPr="007A3B60">
        <w:trPr>
          <w:trHeight w:val="239"/>
        </w:trPr>
        <w:tc>
          <w:tcPr>
            <w:tcW w:w="968" w:type="dxa"/>
            <w:tcBorders>
              <w:top w:val="nil"/>
              <w:bottom w:val="nil"/>
            </w:tcBorders>
          </w:tcPr>
          <w:p w:rsidR="00234376" w:rsidRPr="007A3B60" w:rsidRDefault="00234376" w:rsidP="008E03A7">
            <w:pPr>
              <w:pStyle w:val="TableTextLessSpaceCharCharCharCharCharCharCharChar"/>
              <w:rPr>
                <w:b/>
                <w:bCs/>
                <w:sz w:val="16"/>
              </w:rPr>
            </w:pPr>
            <w:r w:rsidRPr="007A3B60">
              <w:rPr>
                <w:b/>
                <w:bCs/>
                <w:sz w:val="16"/>
              </w:rPr>
              <w:t>7(a) (CC)</w:t>
            </w:r>
          </w:p>
        </w:tc>
        <w:tc>
          <w:tcPr>
            <w:tcW w:w="1009" w:type="dxa"/>
            <w:gridSpan w:val="2"/>
            <w:tcBorders>
              <w:top w:val="nil"/>
              <w:bottom w:val="nil"/>
            </w:tcBorders>
          </w:tcPr>
          <w:p w:rsidR="00234376" w:rsidRPr="007A3B60" w:rsidRDefault="00234376" w:rsidP="008E03A7">
            <w:pPr>
              <w:pStyle w:val="TableTextLessSpaceCharCharCharCharCharCharCharChar"/>
              <w:rPr>
                <w:sz w:val="16"/>
                <w:szCs w:val="16"/>
              </w:rPr>
            </w:pPr>
            <w:r w:rsidRPr="007A3B60">
              <w:rPr>
                <w:sz w:val="16"/>
                <w:szCs w:val="16"/>
              </w:rPr>
              <w:t>VCCR (all ages)</w:t>
            </w:r>
          </w:p>
        </w:tc>
        <w:tc>
          <w:tcPr>
            <w:tcW w:w="1013" w:type="dxa"/>
            <w:gridSpan w:val="2"/>
            <w:tcBorders>
              <w:top w:val="nil"/>
              <w:bottom w:val="nil"/>
            </w:tcBorders>
          </w:tcPr>
          <w:p w:rsidR="00234376" w:rsidRPr="007A3B60" w:rsidRDefault="00234376" w:rsidP="008E03A7">
            <w:pPr>
              <w:pStyle w:val="TableTextLessSpaceCharCharCharCharCharCharCharChar"/>
              <w:rPr>
                <w:sz w:val="16"/>
                <w:szCs w:val="16"/>
              </w:rPr>
            </w:pPr>
            <w:r w:rsidRPr="007A3B60">
              <w:rPr>
                <w:sz w:val="16"/>
                <w:szCs w:val="16"/>
              </w:rPr>
              <w:t>VCCR (all ages)</w:t>
            </w:r>
          </w:p>
        </w:tc>
        <w:tc>
          <w:tcPr>
            <w:tcW w:w="1012" w:type="dxa"/>
            <w:gridSpan w:val="2"/>
            <w:tcBorders>
              <w:top w:val="nil"/>
              <w:bottom w:val="nil"/>
            </w:tcBorders>
          </w:tcPr>
          <w:p w:rsidR="00234376" w:rsidRPr="007A3B60" w:rsidRDefault="00234376" w:rsidP="008E03A7">
            <w:pPr>
              <w:pStyle w:val="TableTextLessSpaceCharCharCharCharCharCharCharChar"/>
              <w:rPr>
                <w:sz w:val="16"/>
                <w:szCs w:val="16"/>
              </w:rPr>
            </w:pPr>
            <w:r w:rsidRPr="007A3B60">
              <w:rPr>
                <w:sz w:val="16"/>
                <w:szCs w:val="16"/>
              </w:rPr>
              <w:t>VCCR (all ages)</w:t>
            </w:r>
          </w:p>
        </w:tc>
        <w:tc>
          <w:tcPr>
            <w:tcW w:w="1013" w:type="dxa"/>
            <w:gridSpan w:val="2"/>
            <w:tcBorders>
              <w:top w:val="nil"/>
              <w:bottom w:val="nil"/>
            </w:tcBorders>
          </w:tcPr>
          <w:p w:rsidR="00234376" w:rsidRPr="007A3B60" w:rsidRDefault="00234376" w:rsidP="008E03A7">
            <w:pPr>
              <w:pStyle w:val="TableTextLessSpaceCharCharCharCharCharCharCharChar"/>
              <w:rPr>
                <w:sz w:val="16"/>
                <w:szCs w:val="16"/>
              </w:rPr>
            </w:pPr>
            <w:r w:rsidRPr="007A3B60">
              <w:rPr>
                <w:sz w:val="16"/>
                <w:szCs w:val="16"/>
              </w:rPr>
              <w:t>VCCR (all ages)</w:t>
            </w:r>
          </w:p>
        </w:tc>
        <w:tc>
          <w:tcPr>
            <w:tcW w:w="936" w:type="dxa"/>
            <w:tcBorders>
              <w:top w:val="nil"/>
              <w:bottom w:val="nil"/>
            </w:tcBorders>
          </w:tcPr>
          <w:p w:rsidR="00234376" w:rsidRPr="007A3B60" w:rsidRDefault="00234376" w:rsidP="008E03A7">
            <w:pPr>
              <w:pStyle w:val="TableTextLessSpaceCharCharCharCharCharCharCharChar"/>
              <w:rPr>
                <w:sz w:val="16"/>
                <w:szCs w:val="16"/>
              </w:rPr>
            </w:pPr>
            <w:r w:rsidRPr="007A3B60">
              <w:rPr>
                <w:sz w:val="16"/>
                <w:szCs w:val="16"/>
              </w:rPr>
              <w:t>VCCR (all ages)</w:t>
            </w:r>
          </w:p>
        </w:tc>
        <w:tc>
          <w:tcPr>
            <w:tcW w:w="996" w:type="dxa"/>
            <w:gridSpan w:val="2"/>
            <w:tcBorders>
              <w:top w:val="nil"/>
              <w:bottom w:val="nil"/>
            </w:tcBorders>
          </w:tcPr>
          <w:p w:rsidR="00234376" w:rsidRPr="007A3B60" w:rsidRDefault="00234376" w:rsidP="008E03A7">
            <w:pPr>
              <w:pStyle w:val="TableTextLessSpaceCharCharCharCharCharCharCharChar"/>
              <w:rPr>
                <w:sz w:val="16"/>
                <w:szCs w:val="16"/>
              </w:rPr>
            </w:pPr>
            <w:r w:rsidRPr="007A3B60">
              <w:rPr>
                <w:sz w:val="16"/>
                <w:szCs w:val="16"/>
              </w:rPr>
              <w:t>VCCR (all ages)</w:t>
            </w:r>
          </w:p>
        </w:tc>
        <w:tc>
          <w:tcPr>
            <w:tcW w:w="899" w:type="dxa"/>
            <w:tcBorders>
              <w:top w:val="nil"/>
              <w:bottom w:val="nil"/>
            </w:tcBorders>
          </w:tcPr>
          <w:p w:rsidR="00234376" w:rsidRPr="007A3B60" w:rsidRDefault="00234376" w:rsidP="008E03A7">
            <w:pPr>
              <w:pStyle w:val="TableTextLessSpaceCharCharCharCharCharCharCharChar"/>
              <w:rPr>
                <w:sz w:val="16"/>
                <w:szCs w:val="16"/>
              </w:rPr>
            </w:pPr>
            <w:r w:rsidRPr="007A3B60">
              <w:rPr>
                <w:sz w:val="16"/>
                <w:szCs w:val="16"/>
              </w:rPr>
              <w:t>Yes</w:t>
            </w:r>
          </w:p>
        </w:tc>
        <w:tc>
          <w:tcPr>
            <w:tcW w:w="1226" w:type="dxa"/>
            <w:tcBorders>
              <w:top w:val="nil"/>
              <w:bottom w:val="nil"/>
            </w:tcBorders>
          </w:tcPr>
          <w:p w:rsidR="00234376" w:rsidRPr="007A3B60" w:rsidRDefault="00234376" w:rsidP="008E03A7">
            <w:pPr>
              <w:pStyle w:val="TableTextLessSpaceCharCharCharCharCharCharCharChar"/>
              <w:rPr>
                <w:sz w:val="16"/>
                <w:szCs w:val="16"/>
              </w:rPr>
            </w:pPr>
            <w:r w:rsidRPr="007A3B60">
              <w:rPr>
                <w:sz w:val="16"/>
                <w:szCs w:val="16"/>
              </w:rPr>
              <w:t>No—not representative</w:t>
            </w:r>
          </w:p>
        </w:tc>
      </w:tr>
      <w:tr w:rsidR="006D4EFE" w:rsidRPr="007A3B60">
        <w:trPr>
          <w:trHeight w:val="239"/>
        </w:trPr>
        <w:tc>
          <w:tcPr>
            <w:tcW w:w="968" w:type="dxa"/>
            <w:tcBorders>
              <w:top w:val="nil"/>
              <w:bottom w:val="nil"/>
            </w:tcBorders>
          </w:tcPr>
          <w:p w:rsidR="006D4EFE" w:rsidRPr="007A3B60" w:rsidRDefault="006D4EFE" w:rsidP="008E03A7">
            <w:pPr>
              <w:pStyle w:val="TableTextLessSpaceCharCharCharCharCharCharCharChar"/>
              <w:rPr>
                <w:b/>
                <w:bCs/>
                <w:sz w:val="16"/>
              </w:rPr>
            </w:pPr>
            <w:r w:rsidRPr="007A3B60">
              <w:rPr>
                <w:b/>
                <w:bCs/>
                <w:sz w:val="16"/>
              </w:rPr>
              <w:t xml:space="preserve">7(b) (CC) </w:t>
            </w:r>
          </w:p>
        </w:tc>
        <w:tc>
          <w:tcPr>
            <w:tcW w:w="1009" w:type="dxa"/>
            <w:gridSpan w:val="2"/>
            <w:tcBorders>
              <w:top w:val="nil"/>
              <w:bottom w:val="nil"/>
            </w:tcBorders>
          </w:tcPr>
          <w:p w:rsidR="006D4EFE" w:rsidRPr="007A3B60" w:rsidRDefault="006D4EFE" w:rsidP="008E03A7">
            <w:pPr>
              <w:pStyle w:val="TableTextLessSpaceCharCharCharCharCharCharCharChar"/>
              <w:rPr>
                <w:sz w:val="16"/>
                <w:szCs w:val="16"/>
              </w:rPr>
            </w:pPr>
            <w:r w:rsidRPr="007A3B60">
              <w:rPr>
                <w:sz w:val="16"/>
                <w:szCs w:val="16"/>
              </w:rPr>
              <w:t>VCCR (all ages)</w:t>
            </w:r>
          </w:p>
        </w:tc>
        <w:tc>
          <w:tcPr>
            <w:tcW w:w="1013" w:type="dxa"/>
            <w:gridSpan w:val="2"/>
            <w:tcBorders>
              <w:top w:val="nil"/>
              <w:bottom w:val="nil"/>
            </w:tcBorders>
          </w:tcPr>
          <w:p w:rsidR="006D4EFE" w:rsidRPr="007A3B60" w:rsidRDefault="006D4EFE" w:rsidP="008E03A7">
            <w:pPr>
              <w:pStyle w:val="TableTextLessSpaceCharCharCharCharCharCharCharChar"/>
              <w:rPr>
                <w:sz w:val="16"/>
                <w:szCs w:val="16"/>
              </w:rPr>
            </w:pPr>
            <w:r w:rsidRPr="007A3B60">
              <w:rPr>
                <w:sz w:val="16"/>
                <w:szCs w:val="16"/>
              </w:rPr>
              <w:t>VCCR (all ages)</w:t>
            </w:r>
          </w:p>
        </w:tc>
        <w:tc>
          <w:tcPr>
            <w:tcW w:w="1012" w:type="dxa"/>
            <w:gridSpan w:val="2"/>
            <w:tcBorders>
              <w:top w:val="nil"/>
              <w:bottom w:val="nil"/>
            </w:tcBorders>
          </w:tcPr>
          <w:p w:rsidR="006D4EFE" w:rsidRPr="007A3B60" w:rsidRDefault="006D4EFE" w:rsidP="008E03A7">
            <w:pPr>
              <w:pStyle w:val="TableTextLessSpaceCharCharCharCharCharCharCharChar"/>
              <w:rPr>
                <w:sz w:val="16"/>
                <w:szCs w:val="16"/>
              </w:rPr>
            </w:pPr>
            <w:r w:rsidRPr="007A3B60">
              <w:rPr>
                <w:sz w:val="16"/>
                <w:szCs w:val="16"/>
              </w:rPr>
              <w:t>VCCR (all ages)</w:t>
            </w:r>
          </w:p>
        </w:tc>
        <w:tc>
          <w:tcPr>
            <w:tcW w:w="1013" w:type="dxa"/>
            <w:gridSpan w:val="2"/>
            <w:tcBorders>
              <w:top w:val="nil"/>
              <w:bottom w:val="nil"/>
            </w:tcBorders>
          </w:tcPr>
          <w:p w:rsidR="006D4EFE" w:rsidRPr="007A3B60" w:rsidRDefault="006D4EFE" w:rsidP="008E03A7">
            <w:pPr>
              <w:pStyle w:val="TableTextLessSpaceCharCharCharCharCharCharCharChar"/>
              <w:rPr>
                <w:sz w:val="16"/>
                <w:szCs w:val="16"/>
              </w:rPr>
            </w:pPr>
            <w:r w:rsidRPr="007A3B60">
              <w:rPr>
                <w:sz w:val="16"/>
                <w:szCs w:val="16"/>
              </w:rPr>
              <w:t>VCCR (all ages)</w:t>
            </w:r>
          </w:p>
        </w:tc>
        <w:tc>
          <w:tcPr>
            <w:tcW w:w="936" w:type="dxa"/>
            <w:tcBorders>
              <w:top w:val="nil"/>
              <w:bottom w:val="nil"/>
            </w:tcBorders>
          </w:tcPr>
          <w:p w:rsidR="006D4EFE" w:rsidRPr="007A3B60" w:rsidRDefault="006D4EFE" w:rsidP="008E03A7">
            <w:pPr>
              <w:pStyle w:val="TableTextLessSpaceCharCharCharCharCharCharCharChar"/>
              <w:rPr>
                <w:sz w:val="16"/>
              </w:rPr>
            </w:pPr>
            <w:r w:rsidRPr="007A3B60">
              <w:rPr>
                <w:sz w:val="16"/>
              </w:rPr>
              <w:t>Arbyn; Nanda; WHINURS</w:t>
            </w:r>
          </w:p>
        </w:tc>
        <w:tc>
          <w:tcPr>
            <w:tcW w:w="996" w:type="dxa"/>
            <w:gridSpan w:val="2"/>
            <w:tcBorders>
              <w:top w:val="nil"/>
              <w:bottom w:val="nil"/>
            </w:tcBorders>
          </w:tcPr>
          <w:p w:rsidR="006D4EFE" w:rsidRPr="007A3B60" w:rsidRDefault="006D4EFE" w:rsidP="008E03A7">
            <w:pPr>
              <w:pStyle w:val="TableTextLessSpaceCharCharCharCharCharCharCharChar"/>
              <w:rPr>
                <w:sz w:val="16"/>
                <w:szCs w:val="16"/>
              </w:rPr>
            </w:pPr>
            <w:r w:rsidRPr="007A3B60">
              <w:rPr>
                <w:sz w:val="16"/>
                <w:szCs w:val="16"/>
              </w:rPr>
              <w:t>VCCR (all ages)</w:t>
            </w:r>
          </w:p>
        </w:tc>
        <w:tc>
          <w:tcPr>
            <w:tcW w:w="899" w:type="dxa"/>
            <w:tcBorders>
              <w:top w:val="nil"/>
              <w:bottom w:val="nil"/>
            </w:tcBorders>
          </w:tcPr>
          <w:p w:rsidR="006D4EFE" w:rsidRPr="007A3B60" w:rsidRDefault="006D4EFE" w:rsidP="003068CA">
            <w:pPr>
              <w:pStyle w:val="TableTextLessSpaceCharCharCharCharCharCharCharChar"/>
              <w:rPr>
                <w:sz w:val="16"/>
              </w:rPr>
            </w:pPr>
            <w:r w:rsidRPr="007A3B60">
              <w:rPr>
                <w:sz w:val="16"/>
              </w:rPr>
              <w:t>No; no with Arbyn lower estimate</w:t>
            </w:r>
          </w:p>
        </w:tc>
        <w:tc>
          <w:tcPr>
            <w:tcW w:w="1226" w:type="dxa"/>
            <w:tcBorders>
              <w:top w:val="nil"/>
              <w:bottom w:val="nil"/>
            </w:tcBorders>
          </w:tcPr>
          <w:p w:rsidR="006D4EFE" w:rsidRPr="007A3B60" w:rsidRDefault="006D4EFE" w:rsidP="008E03A7">
            <w:pPr>
              <w:pStyle w:val="TableTextLessSpaceCharCharCharCharCharCharCharChar"/>
              <w:rPr>
                <w:sz w:val="16"/>
                <w:szCs w:val="16"/>
              </w:rPr>
            </w:pPr>
            <w:r w:rsidRPr="007A3B60">
              <w:rPr>
                <w:sz w:val="16"/>
                <w:szCs w:val="16"/>
              </w:rPr>
              <w:t>-</w:t>
            </w:r>
          </w:p>
        </w:tc>
      </w:tr>
      <w:tr w:rsidR="006D4EFE" w:rsidRPr="007A3B60">
        <w:trPr>
          <w:trHeight w:val="239"/>
        </w:trPr>
        <w:tc>
          <w:tcPr>
            <w:tcW w:w="968" w:type="dxa"/>
            <w:tcBorders>
              <w:top w:val="nil"/>
            </w:tcBorders>
          </w:tcPr>
          <w:p w:rsidR="006D4EFE" w:rsidRPr="007A3B60" w:rsidRDefault="006D4EFE" w:rsidP="008E03A7">
            <w:pPr>
              <w:pStyle w:val="TableTextLessSpaceCharCharCharCharCharCharCharChar"/>
              <w:rPr>
                <w:b/>
                <w:bCs/>
                <w:sz w:val="16"/>
              </w:rPr>
            </w:pPr>
            <w:r w:rsidRPr="007A3B60">
              <w:rPr>
                <w:b/>
                <w:bCs/>
                <w:sz w:val="16"/>
              </w:rPr>
              <w:t>8 (CC)</w:t>
            </w:r>
          </w:p>
        </w:tc>
        <w:tc>
          <w:tcPr>
            <w:tcW w:w="1009" w:type="dxa"/>
            <w:gridSpan w:val="2"/>
            <w:tcBorders>
              <w:top w:val="nil"/>
            </w:tcBorders>
          </w:tcPr>
          <w:p w:rsidR="006D4EFE" w:rsidRPr="007A3B60" w:rsidRDefault="006D4EFE" w:rsidP="008E03A7">
            <w:pPr>
              <w:pStyle w:val="TableTextLessSpaceCharCharCharCharCharCharCharChar"/>
              <w:rPr>
                <w:sz w:val="16"/>
                <w:szCs w:val="16"/>
              </w:rPr>
            </w:pPr>
            <w:r w:rsidRPr="007A3B60">
              <w:rPr>
                <w:sz w:val="16"/>
                <w:szCs w:val="16"/>
              </w:rPr>
              <w:t>Cytyc</w:t>
            </w:r>
          </w:p>
        </w:tc>
        <w:tc>
          <w:tcPr>
            <w:tcW w:w="993" w:type="dxa"/>
            <w:tcBorders>
              <w:top w:val="nil"/>
            </w:tcBorders>
          </w:tcPr>
          <w:p w:rsidR="006D4EFE" w:rsidRPr="007A3B60" w:rsidRDefault="006D4EFE" w:rsidP="008E03A7">
            <w:pPr>
              <w:pStyle w:val="TableTextLessSpaceCharCharCharCharCharCharCharChar"/>
              <w:rPr>
                <w:sz w:val="16"/>
                <w:szCs w:val="16"/>
              </w:rPr>
            </w:pPr>
            <w:r w:rsidRPr="007A3B60">
              <w:rPr>
                <w:sz w:val="16"/>
                <w:szCs w:val="16"/>
              </w:rPr>
              <w:t>Cytyc</w:t>
            </w:r>
          </w:p>
        </w:tc>
        <w:tc>
          <w:tcPr>
            <w:tcW w:w="994" w:type="dxa"/>
            <w:gridSpan w:val="2"/>
            <w:tcBorders>
              <w:top w:val="nil"/>
            </w:tcBorders>
          </w:tcPr>
          <w:p w:rsidR="006D4EFE" w:rsidRPr="007A3B60" w:rsidRDefault="006D4EFE" w:rsidP="008E03A7">
            <w:pPr>
              <w:pStyle w:val="TableTextLessSpaceCharCharCharCharCharCharCharChar"/>
              <w:rPr>
                <w:sz w:val="16"/>
                <w:szCs w:val="16"/>
              </w:rPr>
            </w:pPr>
            <w:r w:rsidRPr="007A3B60">
              <w:rPr>
                <w:sz w:val="16"/>
                <w:szCs w:val="16"/>
              </w:rPr>
              <w:t>Cytyc</w:t>
            </w:r>
          </w:p>
        </w:tc>
        <w:tc>
          <w:tcPr>
            <w:tcW w:w="1042" w:type="dxa"/>
            <w:gridSpan w:val="2"/>
            <w:tcBorders>
              <w:top w:val="nil"/>
            </w:tcBorders>
          </w:tcPr>
          <w:p w:rsidR="006D4EFE" w:rsidRPr="007A3B60" w:rsidRDefault="006D4EFE" w:rsidP="008E03A7">
            <w:pPr>
              <w:pStyle w:val="TableTextLessSpaceCharCharCharCharCharCharCharChar"/>
              <w:rPr>
                <w:sz w:val="16"/>
                <w:szCs w:val="16"/>
              </w:rPr>
            </w:pPr>
            <w:r w:rsidRPr="007A3B60">
              <w:rPr>
                <w:sz w:val="16"/>
                <w:szCs w:val="16"/>
              </w:rPr>
              <w:t>Cytyc</w:t>
            </w:r>
          </w:p>
        </w:tc>
        <w:tc>
          <w:tcPr>
            <w:tcW w:w="945" w:type="dxa"/>
            <w:gridSpan w:val="2"/>
            <w:tcBorders>
              <w:top w:val="nil"/>
            </w:tcBorders>
          </w:tcPr>
          <w:p w:rsidR="006D4EFE" w:rsidRPr="007A3B60" w:rsidRDefault="006D4EFE" w:rsidP="008E03A7">
            <w:pPr>
              <w:pStyle w:val="TableTextLessSpaceCharCharCharCharCharCharCharChar"/>
              <w:rPr>
                <w:sz w:val="16"/>
                <w:szCs w:val="16"/>
              </w:rPr>
            </w:pPr>
            <w:r w:rsidRPr="007A3B60">
              <w:rPr>
                <w:sz w:val="16"/>
                <w:szCs w:val="16"/>
              </w:rPr>
              <w:t>Cytyc</w:t>
            </w:r>
          </w:p>
        </w:tc>
        <w:tc>
          <w:tcPr>
            <w:tcW w:w="996" w:type="dxa"/>
            <w:gridSpan w:val="2"/>
            <w:tcBorders>
              <w:top w:val="nil"/>
            </w:tcBorders>
          </w:tcPr>
          <w:p w:rsidR="006D4EFE" w:rsidRPr="007A3B60" w:rsidRDefault="006D4EFE" w:rsidP="008E03A7">
            <w:pPr>
              <w:pStyle w:val="TableTextLessSpaceCharCharCharCharCharCharCharChar"/>
              <w:rPr>
                <w:sz w:val="16"/>
                <w:szCs w:val="16"/>
              </w:rPr>
            </w:pPr>
            <w:r w:rsidRPr="007A3B60">
              <w:rPr>
                <w:sz w:val="16"/>
                <w:szCs w:val="16"/>
              </w:rPr>
              <w:t>–</w:t>
            </w:r>
          </w:p>
        </w:tc>
        <w:tc>
          <w:tcPr>
            <w:tcW w:w="899" w:type="dxa"/>
            <w:tcBorders>
              <w:top w:val="nil"/>
            </w:tcBorders>
          </w:tcPr>
          <w:p w:rsidR="006D4EFE" w:rsidRPr="007A3B60" w:rsidRDefault="006D4EFE" w:rsidP="008E03A7">
            <w:pPr>
              <w:pStyle w:val="TableTextLessSpaceCharCharCharCharCharCharCharChar"/>
              <w:rPr>
                <w:sz w:val="16"/>
                <w:szCs w:val="16"/>
              </w:rPr>
            </w:pPr>
            <w:r w:rsidRPr="007A3B60">
              <w:rPr>
                <w:sz w:val="16"/>
                <w:szCs w:val="16"/>
              </w:rPr>
              <w:t>Yes</w:t>
            </w:r>
          </w:p>
        </w:tc>
        <w:tc>
          <w:tcPr>
            <w:tcW w:w="1226" w:type="dxa"/>
            <w:tcBorders>
              <w:top w:val="nil"/>
            </w:tcBorders>
          </w:tcPr>
          <w:p w:rsidR="006D4EFE" w:rsidRPr="007A3B60" w:rsidRDefault="006D4EFE" w:rsidP="008E03A7">
            <w:pPr>
              <w:pStyle w:val="TableTextLessSpaceCharCharCharCharCharCharCharChar"/>
              <w:rPr>
                <w:sz w:val="16"/>
                <w:szCs w:val="16"/>
              </w:rPr>
            </w:pPr>
            <w:r w:rsidRPr="007A3B60">
              <w:rPr>
                <w:sz w:val="16"/>
                <w:szCs w:val="16"/>
              </w:rPr>
              <w:t>Yes</w:t>
            </w:r>
          </w:p>
        </w:tc>
      </w:tr>
      <w:tr w:rsidR="006D4EFE" w:rsidRPr="00537C3C">
        <w:trPr>
          <w:trHeight w:val="239"/>
        </w:trPr>
        <w:tc>
          <w:tcPr>
            <w:tcW w:w="987" w:type="dxa"/>
            <w:gridSpan w:val="2"/>
            <w:tcBorders>
              <w:top w:val="nil"/>
              <w:bottom w:val="single" w:sz="4" w:space="0" w:color="auto"/>
            </w:tcBorders>
          </w:tcPr>
          <w:p w:rsidR="006D4EFE" w:rsidRPr="007A3B60" w:rsidRDefault="006D4EFE" w:rsidP="008E03A7">
            <w:pPr>
              <w:pStyle w:val="TableTextLessSpaceCharCharCharCharCharCharCharChar"/>
              <w:rPr>
                <w:sz w:val="16"/>
                <w:szCs w:val="16"/>
              </w:rPr>
            </w:pPr>
            <w:r w:rsidRPr="007A3B60">
              <w:rPr>
                <w:b/>
                <w:bCs/>
                <w:sz w:val="16"/>
              </w:rPr>
              <w:t>8 (auto LBC)</w:t>
            </w:r>
          </w:p>
        </w:tc>
        <w:tc>
          <w:tcPr>
            <w:tcW w:w="990" w:type="dxa"/>
            <w:tcBorders>
              <w:top w:val="nil"/>
              <w:bottom w:val="single" w:sz="4" w:space="0" w:color="auto"/>
            </w:tcBorders>
          </w:tcPr>
          <w:p w:rsidR="006D4EFE" w:rsidRPr="007A3B60" w:rsidRDefault="006D4EFE" w:rsidP="008E03A7">
            <w:pPr>
              <w:pStyle w:val="TableTextLessSpaceCharCharCharCharCharCharCharChar"/>
              <w:rPr>
                <w:sz w:val="16"/>
                <w:szCs w:val="16"/>
              </w:rPr>
            </w:pPr>
            <w:r w:rsidRPr="007A3B60">
              <w:rPr>
                <w:sz w:val="16"/>
                <w:szCs w:val="16"/>
              </w:rPr>
              <w:t>Cytyc</w:t>
            </w:r>
          </w:p>
        </w:tc>
        <w:tc>
          <w:tcPr>
            <w:tcW w:w="993" w:type="dxa"/>
            <w:tcBorders>
              <w:top w:val="nil"/>
              <w:bottom w:val="single" w:sz="4" w:space="0" w:color="auto"/>
            </w:tcBorders>
          </w:tcPr>
          <w:p w:rsidR="006D4EFE" w:rsidRPr="007A3B60" w:rsidRDefault="006D4EFE" w:rsidP="008E03A7">
            <w:pPr>
              <w:pStyle w:val="TableTextLessSpaceCharCharCharCharCharCharCharChar"/>
              <w:rPr>
                <w:sz w:val="16"/>
                <w:szCs w:val="16"/>
              </w:rPr>
            </w:pPr>
            <w:r w:rsidRPr="007A3B60">
              <w:rPr>
                <w:sz w:val="16"/>
                <w:szCs w:val="16"/>
              </w:rPr>
              <w:t>Cytyc</w:t>
            </w:r>
          </w:p>
        </w:tc>
        <w:tc>
          <w:tcPr>
            <w:tcW w:w="994" w:type="dxa"/>
            <w:gridSpan w:val="2"/>
            <w:tcBorders>
              <w:top w:val="nil"/>
              <w:bottom w:val="single" w:sz="4" w:space="0" w:color="auto"/>
            </w:tcBorders>
          </w:tcPr>
          <w:p w:rsidR="006D4EFE" w:rsidRPr="007A3B60" w:rsidRDefault="006D4EFE" w:rsidP="008E03A7">
            <w:pPr>
              <w:pStyle w:val="TableTextLessSpaceCharCharCharCharCharCharCharChar"/>
              <w:rPr>
                <w:sz w:val="16"/>
                <w:szCs w:val="16"/>
              </w:rPr>
            </w:pPr>
            <w:r w:rsidRPr="007A3B60">
              <w:rPr>
                <w:sz w:val="16"/>
                <w:szCs w:val="16"/>
              </w:rPr>
              <w:t>Cytyc</w:t>
            </w:r>
          </w:p>
        </w:tc>
        <w:tc>
          <w:tcPr>
            <w:tcW w:w="1042" w:type="dxa"/>
            <w:gridSpan w:val="2"/>
            <w:tcBorders>
              <w:top w:val="nil"/>
              <w:bottom w:val="single" w:sz="4" w:space="0" w:color="auto"/>
            </w:tcBorders>
          </w:tcPr>
          <w:p w:rsidR="006D4EFE" w:rsidRPr="007A3B60" w:rsidRDefault="006D4EFE" w:rsidP="008E03A7">
            <w:pPr>
              <w:pStyle w:val="TableTextLessSpaceCharCharCharCharCharCharCharChar"/>
              <w:rPr>
                <w:sz w:val="16"/>
                <w:szCs w:val="16"/>
              </w:rPr>
            </w:pPr>
            <w:r w:rsidRPr="007A3B60">
              <w:rPr>
                <w:sz w:val="16"/>
                <w:szCs w:val="16"/>
              </w:rPr>
              <w:t>Cytyc</w:t>
            </w:r>
          </w:p>
        </w:tc>
        <w:tc>
          <w:tcPr>
            <w:tcW w:w="945" w:type="dxa"/>
            <w:gridSpan w:val="2"/>
            <w:tcBorders>
              <w:top w:val="nil"/>
              <w:bottom w:val="single" w:sz="4" w:space="0" w:color="auto"/>
            </w:tcBorders>
          </w:tcPr>
          <w:p w:rsidR="006D4EFE" w:rsidRPr="007A3B60" w:rsidRDefault="006D4EFE" w:rsidP="008E03A7">
            <w:pPr>
              <w:pStyle w:val="TableTextLessSpaceCharCharCharCharCharCharCharChar"/>
              <w:rPr>
                <w:sz w:val="16"/>
                <w:szCs w:val="16"/>
              </w:rPr>
            </w:pPr>
            <w:r w:rsidRPr="007A3B60">
              <w:rPr>
                <w:sz w:val="16"/>
                <w:szCs w:val="16"/>
              </w:rPr>
              <w:t>Cytyc</w:t>
            </w:r>
          </w:p>
        </w:tc>
        <w:tc>
          <w:tcPr>
            <w:tcW w:w="996" w:type="dxa"/>
            <w:gridSpan w:val="2"/>
            <w:tcBorders>
              <w:top w:val="nil"/>
              <w:bottom w:val="single" w:sz="4" w:space="0" w:color="auto"/>
            </w:tcBorders>
          </w:tcPr>
          <w:p w:rsidR="006D4EFE" w:rsidRPr="007A3B60" w:rsidRDefault="006D4EFE" w:rsidP="008E03A7">
            <w:pPr>
              <w:pStyle w:val="TableTextLessSpaceCharCharCharCharCharCharCharChar"/>
              <w:rPr>
                <w:sz w:val="16"/>
                <w:szCs w:val="16"/>
              </w:rPr>
            </w:pPr>
            <w:r w:rsidRPr="007A3B60">
              <w:rPr>
                <w:sz w:val="16"/>
                <w:szCs w:val="16"/>
              </w:rPr>
              <w:t>–</w:t>
            </w:r>
          </w:p>
        </w:tc>
        <w:tc>
          <w:tcPr>
            <w:tcW w:w="899" w:type="dxa"/>
            <w:tcBorders>
              <w:top w:val="nil"/>
              <w:bottom w:val="single" w:sz="4" w:space="0" w:color="auto"/>
            </w:tcBorders>
          </w:tcPr>
          <w:p w:rsidR="006D4EFE" w:rsidRPr="007A3B60" w:rsidRDefault="006D4EFE" w:rsidP="008E03A7">
            <w:pPr>
              <w:pStyle w:val="TableTextLessSpaceCharCharCharCharCharCharCharChar"/>
              <w:rPr>
                <w:sz w:val="16"/>
                <w:szCs w:val="16"/>
              </w:rPr>
            </w:pPr>
            <w:r w:rsidRPr="007A3B60">
              <w:rPr>
                <w:sz w:val="16"/>
                <w:szCs w:val="16"/>
              </w:rPr>
              <w:t>Yes</w:t>
            </w:r>
          </w:p>
        </w:tc>
        <w:tc>
          <w:tcPr>
            <w:tcW w:w="1226" w:type="dxa"/>
            <w:tcBorders>
              <w:top w:val="nil"/>
              <w:bottom w:val="single" w:sz="4" w:space="0" w:color="auto"/>
            </w:tcBorders>
          </w:tcPr>
          <w:p w:rsidR="006D4EFE" w:rsidRPr="00537C3C" w:rsidRDefault="006D4EFE" w:rsidP="008E03A7">
            <w:pPr>
              <w:pStyle w:val="TableTextLessSpaceCharCharCharCharCharCharCharChar"/>
              <w:rPr>
                <w:sz w:val="16"/>
                <w:szCs w:val="16"/>
              </w:rPr>
            </w:pPr>
            <w:r w:rsidRPr="007A3B60">
              <w:rPr>
                <w:sz w:val="16"/>
                <w:szCs w:val="16"/>
              </w:rPr>
              <w:t>Yes</w:t>
            </w:r>
          </w:p>
        </w:tc>
      </w:tr>
    </w:tbl>
    <w:p w:rsidR="00234376" w:rsidRPr="00537C3C" w:rsidRDefault="00234376" w:rsidP="008E03A7">
      <w:pPr>
        <w:ind w:left="0"/>
      </w:pPr>
    </w:p>
    <w:p w:rsidR="00234376" w:rsidRPr="00537C3C" w:rsidRDefault="00234376" w:rsidP="008E03A7">
      <w:pPr>
        <w:pStyle w:val="Heading2"/>
        <w:ind w:left="0"/>
        <w:rPr>
          <w:bCs/>
        </w:rPr>
      </w:pPr>
      <w:bookmarkStart w:id="1148" w:name="_Toc216169884"/>
      <w:bookmarkStart w:id="1149" w:name="_Toc216170257"/>
      <w:bookmarkStart w:id="1150" w:name="_Toc219865832"/>
      <w:bookmarkStart w:id="1151" w:name="_Toc219866040"/>
      <w:bookmarkStart w:id="1152" w:name="_Toc219880680"/>
      <w:bookmarkStart w:id="1153" w:name="_Toc220144594"/>
      <w:bookmarkStart w:id="1154" w:name="_Toc95971125"/>
      <w:bookmarkStart w:id="1155" w:name="_Toc231895833"/>
      <w:bookmarkStart w:id="1156" w:name="_Toc241658223"/>
      <w:bookmarkStart w:id="1157" w:name="OLE_LINK33"/>
      <w:r w:rsidRPr="00537C3C">
        <w:rPr>
          <w:bCs/>
        </w:rPr>
        <w:t>Calibration of baseline matrix for conventional cytology</w:t>
      </w:r>
      <w:bookmarkEnd w:id="1148"/>
      <w:bookmarkEnd w:id="1149"/>
      <w:bookmarkEnd w:id="1150"/>
      <w:bookmarkEnd w:id="1151"/>
      <w:bookmarkEnd w:id="1152"/>
      <w:bookmarkEnd w:id="1153"/>
      <w:bookmarkEnd w:id="1154"/>
      <w:bookmarkEnd w:id="1155"/>
      <w:bookmarkEnd w:id="1156"/>
    </w:p>
    <w:p w:rsidR="00234376" w:rsidRPr="00537C3C" w:rsidRDefault="00234376" w:rsidP="008E03A7">
      <w:r w:rsidRPr="00537C3C">
        <w:t xml:space="preserve">The matrix of test characteristics for conventional cytology obtained via Method 6(b) was calibrated for </w:t>
      </w:r>
      <w:r w:rsidRPr="00BB76D8">
        <w:t>HPV</w:t>
      </w:r>
      <w:r w:rsidRPr="00537C3C">
        <w:t xml:space="preserve"> triage of </w:t>
      </w:r>
      <w:r w:rsidRPr="00BB76D8">
        <w:t>pLSIL</w:t>
      </w:r>
      <w:r w:rsidRPr="00537C3C">
        <w:t xml:space="preserve"> and d</w:t>
      </w:r>
      <w:r w:rsidRPr="00BB76D8">
        <w:t>LSIL</w:t>
      </w:r>
      <w:r w:rsidRPr="00537C3C">
        <w:t xml:space="preserve"> cytology. Calibration targets were the </w:t>
      </w:r>
      <w:r w:rsidRPr="00537C3C">
        <w:lastRenderedPageBreak/>
        <w:t xml:space="preserve">sensitivity and specificity for detection of </w:t>
      </w:r>
      <w:r w:rsidRPr="00BB76D8">
        <w:t>CIN</w:t>
      </w:r>
      <w:r w:rsidRPr="00537C3C">
        <w:t xml:space="preserve"> 2+ of triage of </w:t>
      </w:r>
      <w:r w:rsidRPr="00BB76D8">
        <w:t>pLSIL</w:t>
      </w:r>
      <w:r w:rsidRPr="00537C3C">
        <w:t xml:space="preserve"> and d</w:t>
      </w:r>
      <w:r w:rsidRPr="00BB76D8">
        <w:t>LSIL</w:t>
      </w:r>
      <w:r w:rsidRPr="00537C3C">
        <w:t xml:space="preserve"> cytology by </w:t>
      </w:r>
      <w:r w:rsidRPr="00BB76D8">
        <w:t>HPV</w:t>
      </w:r>
      <w:r w:rsidRPr="00537C3C">
        <w:t xml:space="preserve"> testing, and age-specific </w:t>
      </w:r>
      <w:r w:rsidRPr="00BB76D8">
        <w:t>HPV</w:t>
      </w:r>
      <w:r w:rsidRPr="00537C3C">
        <w:t xml:space="preserve"> test positivity rates in women with </w:t>
      </w:r>
      <w:r w:rsidRPr="00BB76D8">
        <w:t>pLSIL</w:t>
      </w:r>
      <w:r w:rsidRPr="00537C3C">
        <w:t xml:space="preserve"> and d</w:t>
      </w:r>
      <w:r w:rsidRPr="00BB76D8">
        <w:t>LSIL</w:t>
      </w:r>
      <w:r w:rsidRPr="00537C3C">
        <w:t xml:space="preserve"> cytology </w:t>
      </w:r>
      <w:r w:rsidRPr="00537C3C">
        <w:fldChar w:fldCharType="begin"/>
      </w:r>
      <w:r w:rsidRPr="00537C3C">
        <w:instrText xml:space="preserve"> ADDIN REFMGR.CITE &lt;Refman&gt;&lt;Cite&gt;&lt;Author&gt;Ronco&lt;/Author&gt;&lt;Year&gt;2007&lt;/Year&gt;&lt;RecNum&gt;4983&lt;/RecNum&gt;&lt;IDText&gt;HPV triage for low-grade (L-SIL) cytology is appropriate for women over 35 in mass cervical cancer screening using liquid based cytology&lt;/IDText&gt;&lt;MDL Ref_Type="Journal"&gt;&lt;Ref_Type&gt;Journal&lt;/Ref_Type&gt;&lt;Ref_ID&gt;4983&lt;/Ref_ID&gt;&lt;Title_Primary&gt;HPV triage for low-grade (L-SIL) cytology is appropriate for women over 35 in mass cervical cancer screening using liquid based cytology&lt;/Title_Primary&gt;&lt;Authors_Primary&gt;Ronco,G.&lt;/Authors_Primary&gt;&lt;Authors_Primary&gt;Cuzick,J.&lt;/Authors_Primary&gt;&lt;Authors_Primary&gt;Segnan,N.&lt;/Authors_Primary&gt;&lt;Authors_Primary&gt;Brezzi,S.&lt;/Authors_Primary&gt;&lt;Authors_Primary&gt;Carozzi,F.M.&lt;/Authors_Primary&gt;&lt;Authors_Primary&gt;Folicaldi,S.&lt;/Authors_Primary&gt;&lt;Authors_Primary&gt;Dalla,Palma P.&lt;/Authors_Primary&gt;&lt;Authors_Primary&gt;Del Mistro,A.&lt;/Authors_Primary&gt;&lt;Authors_Primary&gt;Gillio-Tos,A.&lt;/Authors_Primary&gt;&lt;Authors_Primary&gt;Giubilato,P.&lt;/Authors_Primary&gt;&lt;Authors_Primary&gt;Naldoni,C.&lt;/Authors_Primary&gt;&lt;Authors_Primary&gt;Polla,E.&lt;/Authors_Primary&gt;&lt;Authors_Primary&gt;Iossa,A.&lt;/Authors_Primary&gt;&lt;Authors_Primary&gt;Zorzi,M.&lt;/Authors_Primary&gt;&lt;Authors_Primary&gt;Confortini,M.&lt;/Authors_Primary&gt;&lt;Authors_Primary&gt;Giorgi-Rossi,P.&lt;/Authors_Primary&gt;&lt;Authors_Primary&gt;NTCC working group&lt;/Authors_Primary&gt;&lt;Date_Primary&gt;2007&lt;/Date_Primary&gt;&lt;Keywords&gt;HPV&lt;/Keywords&gt;&lt;Keywords&gt;Triage&lt;/Keywords&gt;&lt;Keywords&gt;cytology&lt;/Keywords&gt;&lt;Keywords&gt;Women&lt;/Keywords&gt;&lt;Keywords&gt;Cancer&lt;/Keywords&gt;&lt;Keywords&gt;screening&lt;/Keywords&gt;&lt;Reprint&gt;Not in File&lt;/Reprint&gt;&lt;Start_Page&gt;476&lt;/Start_Page&gt;&lt;End_Page&gt;480&lt;/End_Page&gt;&lt;Periodical&gt;EJC&lt;/Periodical&gt;&lt;Volume&gt;43&lt;/Volume&gt;&lt;ZZ_JournalFull&gt;&lt;f name="System"&gt;EJC&lt;/f&gt;&lt;/ZZ_JournalFull&gt;&lt;ZZ_WorkformID&gt;1&lt;/ZZ_WorkformID&gt;&lt;/MDL&gt;&lt;/Cite&gt;&lt;Cite&gt;&lt;Author&gt;Arbyn&lt;/Author&gt;&lt;Year&gt;2006&lt;/Year&gt;&lt;RecNum&gt;16&lt;/RecNum&gt;&lt;IDText&gt;Chapter 9: Clinical applications of HPV testing: A summary of meta-analyses&lt;/IDText&gt;&lt;MDL Ref_Type="Journal"&gt;&lt;Ref_Type&gt;Journal&lt;/Ref_Type&gt;&lt;Ref_ID&gt;16&lt;/Ref_ID&gt;&lt;Title_Primary&gt;Chapter 9: Clinical applications of HPV testing: A summary of meta-analyses&lt;/Title_Primary&gt;&lt;Authors_Primary&gt;Arbyn,M.&lt;/Authors_Primary&gt;&lt;Authors_Primary&gt;Sasieni,P.&lt;/Authors_Primary&gt;&lt;Authors_Primary&gt;Meijer,C.J.&lt;/Authors_Primary&gt;&lt;Authors_Primary&gt;Clavel,C.&lt;/Authors_Primary&gt;&lt;Authors_Primary&gt;Koliopoulos,G.&lt;/Authors_Primary&gt;&lt;Authors_Primary&gt;Dillner,J.&lt;/Authors_Primary&gt;&lt;Date_Primary&gt;2006&lt;/Date_Primary&gt;&lt;Reprint&gt;In File&lt;/Reprint&gt;&lt;Start_Page&gt;78&lt;/Start_Page&gt;&lt;End_Page&gt;89&lt;/End_Page&gt;&lt;Periodical&gt;Vaccine&lt;/Periodical&gt;&lt;Volume&gt;24&lt;/Volume&gt;&lt;Issue&gt;S3&lt;/Issue&gt;&lt;ZZ_JournalFull&gt;&lt;f name="System"&gt;Vaccine&lt;/f&gt;&lt;/ZZ_JournalFull&gt;&lt;ZZ_WorkformID&gt;1&lt;/ZZ_WorkformID&gt;&lt;/MDL&gt;&lt;/Cite&gt;&lt;Cite&gt;&lt;Author&gt;Sherman&lt;/Author&gt;&lt;Year&gt;2002&lt;/Year&gt;&lt;RecNum&gt;1389&lt;/RecNum&gt;&lt;IDText&gt;Effects of age and human papilloma viral load on colposcopy triage: data from the randomized Atypical Squamous Cells of Undetermined Significance/Low-Grade Squamous Intraepithelial Lesion Triage Study (ALTS)&lt;/IDText&gt;&lt;MDL Ref_Type="Journal"&gt;&lt;Ref_Type&gt;Journal&lt;/Ref_Type&gt;&lt;Ref_ID&gt;1389&lt;/Ref_ID&gt;&lt;Title_Primary&gt;Effects of age and human papilloma viral load on colposcopy triage: data from the randomized Atypical Squamous Cells of Undetermined Significance/Low-Grade Squamous Intraepithelial Lesion Triage Study (ALTS)&lt;/Title_Primary&gt;&lt;Authors_Primary&gt;Sherman,M.E.&lt;/Authors_Primary&gt;&lt;Authors_Primary&gt;Schiffman,M.&lt;/Authors_Primary&gt;&lt;Authors_Primary&gt;Cox,J.T.&lt;/Authors_Primary&gt;&lt;Date_Primary&gt;2002&lt;/Date_Primary&gt;&lt;Keywords&gt;Adult&lt;/Keywords&gt;&lt;Keywords&gt;Age Factors&lt;/Keywords&gt;&lt;Keywords&gt;Aged&lt;/Keywords&gt;&lt;Keywords&gt;ALTS&lt;/Keywords&gt;&lt;Keywords&gt;Cancer&lt;/Keywords&gt;&lt;Keywords&gt;Carcinoma&lt;/Keywords&gt;&lt;Keywords&gt;Cells&lt;/Keywords&gt;&lt;Keywords&gt;Cervical Intraepithelial&lt;/Keywords&gt;&lt;Keywords&gt;Cervical Intraepithelial Neoplasia&lt;/Keywords&gt;&lt;Keywords&gt;Cervix Neoplasms&lt;/Keywords&gt;&lt;Keywords&gt;Colposcopy&lt;/Keywords&gt;&lt;Keywords&gt;diagnosis&lt;/Keywords&gt;&lt;Keywords&gt;Dna&lt;/Keywords&gt;&lt;Keywords&gt;Female&lt;/Keywords&gt;&lt;Keywords&gt;HPV&lt;/Keywords&gt;&lt;Keywords&gt;HPV testing&lt;/Keywords&gt;&lt;Keywords&gt;Human&lt;/Keywords&gt;&lt;Keywords&gt;isolation &amp;amp; purification&lt;/Keywords&gt;&lt;Keywords&gt;methods&lt;/Keywords&gt;&lt;Keywords&gt;Neoplasia&lt;/Keywords&gt;&lt;Keywords&gt;P.H.S.&lt;/Keywords&gt;&lt;Keywords&gt;Papilloma&lt;/Keywords&gt;&lt;Keywords&gt;Papillomavirus&lt;/Keywords&gt;&lt;Keywords&gt;Papillomavirus Infections&lt;/Keywords&gt;&lt;Keywords&gt;pathology&lt;/Keywords&gt;&lt;Keywords&gt;Referral and Consultation&lt;/Keywords&gt;&lt;Keywords&gt;Sensitivity and Specificity&lt;/Keywords&gt;&lt;Keywords&gt;Squamous Cell&lt;/Keywords&gt;&lt;Keywords&gt;Support&lt;/Keywords&gt;&lt;Keywords&gt;Triage&lt;/Keywords&gt;&lt;Keywords&gt;Tumor Virus Infections&lt;/Keywords&gt;&lt;Keywords&gt;U.S.Gov&amp;apos;t&lt;/Keywords&gt;&lt;Keywords&gt;Viral&lt;/Keywords&gt;&lt;Keywords&gt;Viral Load&lt;/Keywords&gt;&lt;Keywords&gt;virology&lt;/Keywords&gt;&lt;Keywords&gt;Women&lt;/Keywords&gt;&lt;Reprint&gt;In File&lt;/Reprint&gt;&lt;Start_Page&gt;102&lt;/Start_Page&gt;&lt;End_Page&gt;7&lt;/End_Page&gt;&lt;Periodical&gt;J Natl Cancer Inst&lt;/Periodical&gt;&lt;Volume&gt;94&lt;/Volume&gt;&lt;Issue&gt;2&lt;/Issue&gt;&lt;ZZ_JournalFull&gt;&lt;f name="System"&gt;J Natl Cancer Inst&lt;/f&gt;&lt;/ZZ_JournalFull&gt;&lt;ZZ_WorkformID&gt;1&lt;/ZZ_WorkformID&gt;&lt;/MDL&gt;&lt;/Cite&gt;&lt;/Refman&gt;</w:instrText>
      </w:r>
      <w:r w:rsidRPr="00537C3C">
        <w:fldChar w:fldCharType="separate"/>
      </w:r>
      <w:r w:rsidRPr="00537C3C">
        <w:t>(Arbyn et al. 2006; Ronco et al. 2007b; Sherman et al. 2002)</w:t>
      </w:r>
      <w:r w:rsidRPr="00537C3C">
        <w:fldChar w:fldCharType="end"/>
      </w:r>
      <w:r w:rsidRPr="00537C3C">
        <w:t xml:space="preserve">. Each target varied depending on whether conventional </w:t>
      </w:r>
      <w:r w:rsidR="00F97C27">
        <w:t xml:space="preserve">cytology </w:t>
      </w:r>
      <w:r w:rsidRPr="00537C3C">
        <w:t xml:space="preserve">or LBC was used. There were no sources of information on </w:t>
      </w:r>
      <w:r w:rsidRPr="00BB76D8">
        <w:t>HPV</w:t>
      </w:r>
      <w:r w:rsidRPr="00537C3C">
        <w:t xml:space="preserve"> triage of automated cytology from which to obtain calibration targets.</w:t>
      </w:r>
    </w:p>
    <w:p w:rsidR="00234376" w:rsidRPr="00537C3C" w:rsidRDefault="00234376" w:rsidP="008E03A7">
      <w:r w:rsidRPr="00537C3C">
        <w:t xml:space="preserve">Differences in the test characteristics of conventional </w:t>
      </w:r>
      <w:r w:rsidR="00F97C27">
        <w:t xml:space="preserve">cytology </w:t>
      </w:r>
      <w:r w:rsidRPr="00537C3C">
        <w:t xml:space="preserve">and LBC produce differences in the test accuracy of </w:t>
      </w:r>
      <w:r w:rsidRPr="00BB76D8">
        <w:t>HPV</w:t>
      </w:r>
      <w:r w:rsidRPr="00537C3C">
        <w:t xml:space="preserve"> triage depending on whether conventional</w:t>
      </w:r>
      <w:r w:rsidR="00F97C27">
        <w:t xml:space="preserve"> cytology</w:t>
      </w:r>
      <w:r w:rsidRPr="00537C3C">
        <w:t xml:space="preserve"> or LBC is used, and whether triage is of </w:t>
      </w:r>
      <w:r w:rsidRPr="00BB76D8">
        <w:t>pLSIL</w:t>
      </w:r>
      <w:r w:rsidRPr="00537C3C">
        <w:t xml:space="preserve"> or d</w:t>
      </w:r>
      <w:r w:rsidRPr="00BB76D8">
        <w:t>LSIL</w:t>
      </w:r>
      <w:r w:rsidRPr="00537C3C">
        <w:t xml:space="preserve"> cytology. Accordingly, calibration of the model took into account reported values in each of these categories. Graphs comparing these calibration targets and model predictions using calibrated matrices are presented in </w:t>
      </w:r>
      <w:r w:rsidR="00185EF4">
        <w:fldChar w:fldCharType="begin"/>
      </w:r>
      <w:r w:rsidR="00185EF4">
        <w:instrText xml:space="preserve"> REF _Ref222738684 \h </w:instrText>
      </w:r>
      <w:r w:rsidR="00185EF4">
        <w:fldChar w:fldCharType="separate"/>
      </w:r>
      <w:r w:rsidR="007D3DFF">
        <w:t xml:space="preserve">Figure </w:t>
      </w:r>
      <w:r w:rsidR="007D3DFF">
        <w:rPr>
          <w:noProof/>
        </w:rPr>
        <w:t>20</w:t>
      </w:r>
      <w:r w:rsidR="00185EF4">
        <w:fldChar w:fldCharType="end"/>
      </w:r>
      <w:r w:rsidR="00185EF4">
        <w:t xml:space="preserve"> </w:t>
      </w:r>
      <w:r w:rsidRPr="00537C3C">
        <w:t xml:space="preserve">and </w:t>
      </w:r>
      <w:r w:rsidR="00185EF4">
        <w:fldChar w:fldCharType="begin"/>
      </w:r>
      <w:r w:rsidR="00185EF4">
        <w:instrText xml:space="preserve"> REF _Ref222738687 \h </w:instrText>
      </w:r>
      <w:r w:rsidR="00185EF4">
        <w:fldChar w:fldCharType="separate"/>
      </w:r>
      <w:r w:rsidR="007D3DFF">
        <w:t xml:space="preserve">Figure </w:t>
      </w:r>
      <w:r w:rsidR="007D3DFF">
        <w:rPr>
          <w:noProof/>
        </w:rPr>
        <w:t>21</w:t>
      </w:r>
      <w:r w:rsidR="00185EF4">
        <w:fldChar w:fldCharType="end"/>
      </w:r>
      <w:r w:rsidRPr="00537C3C">
        <w:t xml:space="preserve">. It was not necessary to calibrate the test probability matrix for </w:t>
      </w:r>
      <w:r w:rsidRPr="00BB76D8">
        <w:t>LBC</w:t>
      </w:r>
      <w:r w:rsidRPr="00537C3C">
        <w:t xml:space="preserve"> once conventional cytology was calibrated: the method described below for derivation of the LBC matrices generated results in close agreement with reported values.</w:t>
      </w:r>
    </w:p>
    <w:p w:rsidR="00234376" w:rsidRPr="00537C3C" w:rsidRDefault="0006068E" w:rsidP="0006068E">
      <w:pPr>
        <w:pStyle w:val="Caption"/>
        <w:rPr>
          <w:noProof/>
        </w:rPr>
      </w:pPr>
      <w:bookmarkStart w:id="1158" w:name="_Ref222738684"/>
      <w:bookmarkStart w:id="1159" w:name="_Toc231895861"/>
      <w:bookmarkStart w:id="1160" w:name="_Toc222823915"/>
      <w:bookmarkStart w:id="1161" w:name="_Toc216169986"/>
      <w:r>
        <w:t xml:space="preserve">Figure </w:t>
      </w:r>
      <w:fldSimple w:instr=" SEQ Figure \* ARABIC ">
        <w:r w:rsidR="007D3DFF">
          <w:rPr>
            <w:noProof/>
          </w:rPr>
          <w:t>20</w:t>
        </w:r>
      </w:fldSimple>
      <w:bookmarkEnd w:id="1158"/>
      <w:r>
        <w:t xml:space="preserve">  </w:t>
      </w:r>
      <w:r w:rsidRPr="00537C3C">
        <w:t xml:space="preserve">Age-specific test accuracy (sensitivity and specificity) of </w:t>
      </w:r>
      <w:r w:rsidRPr="00BB76D8">
        <w:t>HPV</w:t>
      </w:r>
      <w:r w:rsidRPr="00537C3C">
        <w:t xml:space="preserve"> triage</w:t>
      </w:r>
      <w:r w:rsidRPr="00537C3C">
        <w:rPr>
          <w:noProof/>
        </w:rPr>
        <w:t xml:space="preserve"> for detection of </w:t>
      </w:r>
      <w:r w:rsidRPr="00BB76D8">
        <w:rPr>
          <w:noProof/>
        </w:rPr>
        <w:t>CIN</w:t>
      </w:r>
      <w:r w:rsidRPr="00537C3C">
        <w:rPr>
          <w:noProof/>
        </w:rPr>
        <w:t xml:space="preserve"> 2+ in women with </w:t>
      </w:r>
      <w:r w:rsidRPr="00BB76D8">
        <w:rPr>
          <w:noProof/>
        </w:rPr>
        <w:t>pLSIL</w:t>
      </w:r>
      <w:r w:rsidRPr="00537C3C">
        <w:rPr>
          <w:noProof/>
        </w:rPr>
        <w:t xml:space="preserve"> or d</w:t>
      </w:r>
      <w:r w:rsidRPr="00BB76D8">
        <w:rPr>
          <w:noProof/>
        </w:rPr>
        <w:t>LSIL</w:t>
      </w:r>
      <w:r w:rsidRPr="00537C3C">
        <w:rPr>
          <w:noProof/>
        </w:rPr>
        <w:t xml:space="preserve"> cytology.</w:t>
      </w:r>
      <w:bookmarkEnd w:id="1159"/>
      <w:bookmarkEnd w:id="1160"/>
      <w:r w:rsidR="00F5257D">
        <w:tab/>
      </w:r>
      <w:r w:rsidR="00F5257D">
        <w:tab/>
      </w:r>
      <w:bookmarkEnd w:id="1161"/>
    </w:p>
    <w:p w:rsidR="00234376" w:rsidRPr="00537C3C" w:rsidRDefault="00C97E47" w:rsidP="008E03A7">
      <w:pPr>
        <w:pStyle w:val="FigureBodyTextLeft0cm"/>
        <w:ind w:right="-567"/>
      </w:pPr>
      <w:r>
        <w:fldChar w:fldCharType="begin" w:fldLock="1"/>
      </w:r>
      <w:r>
        <w:instrText xml:space="preserve">ref  SHAPE  \* MERGEFORMAT </w:instrText>
      </w:r>
      <w:r>
        <w:fldChar w:fldCharType="end"/>
      </w:r>
      <w:r w:rsidR="008361E8">
        <w:rPr>
          <w:noProof/>
        </w:rPr>
        <w:drawing>
          <wp:inline distT="0" distB="0" distL="0" distR="0">
            <wp:extent cx="5731510" cy="3490595"/>
            <wp:effectExtent l="0" t="0" r="2540" b="0"/>
            <wp:docPr id="138" name="Picture 138" title="Age-specific test accuracy (sensitivity and specificity) of HPV triage for detection of CIN 2+ in women with pLSIL or dLSIL cy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1.tif"/>
                    <pic:cNvPicPr/>
                  </pic:nvPicPr>
                  <pic:blipFill>
                    <a:blip r:embed="rId113">
                      <a:extLst>
                        <a:ext uri="{28A0092B-C50C-407E-A947-70E740481C1C}">
                          <a14:useLocalDpi xmlns:a14="http://schemas.microsoft.com/office/drawing/2010/main" val="0"/>
                        </a:ext>
                      </a:extLst>
                    </a:blip>
                    <a:stretch>
                      <a:fillRect/>
                    </a:stretch>
                  </pic:blipFill>
                  <pic:spPr>
                    <a:xfrm>
                      <a:off x="0" y="0"/>
                      <a:ext cx="5731510" cy="3490595"/>
                    </a:xfrm>
                    <a:prstGeom prst="rect">
                      <a:avLst/>
                    </a:prstGeom>
                  </pic:spPr>
                </pic:pic>
              </a:graphicData>
            </a:graphic>
          </wp:inline>
        </w:drawing>
      </w:r>
      <w:r>
        <w:fldChar w:fldCharType="begin" w:fldLock="1"/>
      </w:r>
      <w:r>
        <w:instrText xml:space="preserve">ref  SHAPE  \* MERGEFORMAT </w:instrText>
      </w:r>
      <w:r>
        <w:fldChar w:fldCharType="end"/>
      </w:r>
    </w:p>
    <w:p w:rsidR="00234376" w:rsidRPr="00537C3C" w:rsidRDefault="00234376" w:rsidP="008E03A7">
      <w:pPr>
        <w:pStyle w:val="TableNotes"/>
      </w:pPr>
      <w:r w:rsidRPr="00537C3C">
        <w:t xml:space="preserve">(a) Triage of </w:t>
      </w:r>
      <w:r w:rsidRPr="00BB76D8">
        <w:t>pLSIL</w:t>
      </w:r>
      <w:r w:rsidRPr="00537C3C">
        <w:t xml:space="preserve"> as determined by conventional cytology; (b) triage of d</w:t>
      </w:r>
      <w:r w:rsidRPr="00BB76D8">
        <w:t>LSIL</w:t>
      </w:r>
      <w:r w:rsidRPr="00537C3C">
        <w:t xml:space="preserve"> as determined by conventional cytology; (c) triage of </w:t>
      </w:r>
      <w:r w:rsidRPr="00BB76D8">
        <w:t>pLSIL</w:t>
      </w:r>
      <w:r w:rsidRPr="00537C3C">
        <w:t xml:space="preserve"> as determined by LBC; (d) triage of d</w:t>
      </w:r>
      <w:r w:rsidRPr="00BB76D8">
        <w:t>LSIL</w:t>
      </w:r>
      <w:r w:rsidRPr="00537C3C">
        <w:t xml:space="preserve"> as determined by LBC. Note that data from Arbyn et al. </w:t>
      </w:r>
      <w:r w:rsidRPr="00537C3C" w:rsidDel="00C27CD6">
        <w:t>are</w:t>
      </w:r>
      <w:r w:rsidRPr="00537C3C">
        <w:t xml:space="preserve"> not age-specific; data from Ronco et al. </w:t>
      </w:r>
      <w:r w:rsidRPr="00537C3C" w:rsidDel="00C27CD6">
        <w:t>are</w:t>
      </w:r>
      <w:r w:rsidRPr="00537C3C">
        <w:t xml:space="preserve"> limited to two age groups. </w:t>
      </w:r>
      <w:r w:rsidRPr="00BB76D8">
        <w:t>CI</w:t>
      </w:r>
      <w:r w:rsidRPr="00537C3C">
        <w:t>s for sensitivity are not shown for clarity.</w:t>
      </w:r>
    </w:p>
    <w:p w:rsidR="00234376" w:rsidRPr="00537C3C" w:rsidRDefault="00234376" w:rsidP="008E03A7">
      <w:pPr>
        <w:pStyle w:val="BodyText"/>
      </w:pPr>
    </w:p>
    <w:p w:rsidR="00234376" w:rsidRPr="00537C3C" w:rsidRDefault="00234376" w:rsidP="008E03A7">
      <w:r w:rsidRPr="00537C3C">
        <w:t xml:space="preserve">Model outputs for the sensitivity of </w:t>
      </w:r>
      <w:r w:rsidRPr="00BB76D8">
        <w:t>HPV</w:t>
      </w:r>
      <w:r w:rsidRPr="00537C3C">
        <w:t xml:space="preserve"> triage agree closely with reported values in the literature </w:t>
      </w:r>
      <w:r w:rsidRPr="00537C3C">
        <w:fldChar w:fldCharType="begin"/>
      </w:r>
      <w:r w:rsidRPr="00537C3C">
        <w:instrText xml:space="preserve"> ADDIN REFMGR.CITE &lt;Refman&gt;&lt;Cite&gt;&lt;Author&gt;Arbyn&lt;/Author&gt;&lt;Year&gt;2006&lt;/Year&gt;&lt;RecNum&gt;16&lt;/RecNum&gt;&lt;IDText&gt;Chapter 9: Clinical applications of HPV testing: A summary of meta-analyses&lt;/IDText&gt;&lt;MDL Ref_Type="Journal"&gt;&lt;Ref_Type&gt;Journal&lt;/Ref_Type&gt;&lt;Ref_ID&gt;16&lt;/Ref_ID&gt;&lt;Title_Primary&gt;Chapter 9: Clinical applications of HPV testing: A summary of meta-analyses&lt;/Title_Primary&gt;&lt;Authors_Primary&gt;Arbyn,M.&lt;/Authors_Primary&gt;&lt;Authors_Primary&gt;Sasieni,P.&lt;/Authors_Primary&gt;&lt;Authors_Primary&gt;Meijer,C.J.&lt;/Authors_Primary&gt;&lt;Authors_Primary&gt;Clavel,C.&lt;/Authors_Primary&gt;&lt;Authors_Primary&gt;Koliopoulos,G.&lt;/Authors_Primary&gt;&lt;Authors_Primary&gt;Dillner,J.&lt;/Authors_Primary&gt;&lt;Date_Primary&gt;2006&lt;/Date_Primary&gt;&lt;Reprint&gt;In File&lt;/Reprint&gt;&lt;Start_Page&gt;78&lt;/Start_Page&gt;&lt;End_Page&gt;89&lt;/End_Page&gt;&lt;Periodical&gt;Vaccine&lt;/Periodical&gt;&lt;Volume&gt;24&lt;/Volume&gt;&lt;Issue&gt;S3&lt;/Issue&gt;&lt;ZZ_JournalFull&gt;&lt;f name="System"&gt;Vaccine&lt;/f&gt;&lt;/ZZ_JournalFull&gt;&lt;ZZ_WorkformID&gt;1&lt;/ZZ_WorkformID&gt;&lt;/MDL&gt;&lt;/Cite&gt;&lt;/Refman&gt;</w:instrText>
      </w:r>
      <w:r w:rsidRPr="00537C3C">
        <w:fldChar w:fldCharType="separate"/>
      </w:r>
      <w:r w:rsidRPr="00537C3C">
        <w:t>(Arbyn et al. 2006)</w:t>
      </w:r>
      <w:r w:rsidRPr="00537C3C">
        <w:fldChar w:fldCharType="end"/>
      </w:r>
      <w:r w:rsidRPr="00537C3C">
        <w:t xml:space="preserve">, in both </w:t>
      </w:r>
      <w:r w:rsidRPr="00BB76D8">
        <w:t>pLSIL</w:t>
      </w:r>
      <w:r w:rsidRPr="00537C3C">
        <w:t xml:space="preserve"> smears (</w:t>
      </w:r>
      <w:r w:rsidR="00185EF4">
        <w:fldChar w:fldCharType="begin"/>
      </w:r>
      <w:r w:rsidR="00185EF4">
        <w:instrText xml:space="preserve"> REF _Ref222738684 \h </w:instrText>
      </w:r>
      <w:r w:rsidR="00185EF4">
        <w:fldChar w:fldCharType="separate"/>
      </w:r>
      <w:r w:rsidR="007D3DFF">
        <w:t xml:space="preserve">Figure </w:t>
      </w:r>
      <w:r w:rsidR="007D3DFF">
        <w:rPr>
          <w:noProof/>
        </w:rPr>
        <w:t>20</w:t>
      </w:r>
      <w:r w:rsidR="00185EF4">
        <w:fldChar w:fldCharType="end"/>
      </w:r>
      <w:r w:rsidR="00185EF4">
        <w:t xml:space="preserve"> </w:t>
      </w:r>
      <w:r w:rsidRPr="00537C3C">
        <w:t>a) and d</w:t>
      </w:r>
      <w:r w:rsidRPr="00BB76D8">
        <w:t>LSIL</w:t>
      </w:r>
      <w:r w:rsidRPr="00537C3C">
        <w:t xml:space="preserve"> smears (</w:t>
      </w:r>
      <w:r w:rsidR="00185EF4">
        <w:fldChar w:fldCharType="begin"/>
      </w:r>
      <w:r w:rsidR="00185EF4">
        <w:instrText xml:space="preserve"> REF _Ref222738684 \h </w:instrText>
      </w:r>
      <w:r w:rsidR="00185EF4">
        <w:fldChar w:fldCharType="separate"/>
      </w:r>
      <w:r w:rsidR="007D3DFF">
        <w:t xml:space="preserve">Figure </w:t>
      </w:r>
      <w:r w:rsidR="007D3DFF">
        <w:rPr>
          <w:noProof/>
        </w:rPr>
        <w:t>20</w:t>
      </w:r>
      <w:r w:rsidR="00185EF4">
        <w:fldChar w:fldCharType="end"/>
      </w:r>
      <w:r w:rsidR="00185EF4" w:rsidDel="00185EF4">
        <w:t xml:space="preserve"> </w:t>
      </w:r>
      <w:r w:rsidRPr="00537C3C">
        <w:t xml:space="preserve">b) as determined by conventional cytology. The corresponding model outputs for </w:t>
      </w:r>
      <w:r w:rsidRPr="00BB76D8">
        <w:t>pLSIL</w:t>
      </w:r>
      <w:r w:rsidRPr="00537C3C">
        <w:t xml:space="preserve"> (</w:t>
      </w:r>
      <w:r w:rsidR="00185EF4">
        <w:fldChar w:fldCharType="begin"/>
      </w:r>
      <w:r w:rsidR="00185EF4">
        <w:instrText xml:space="preserve"> REF _Ref222738684 \h </w:instrText>
      </w:r>
      <w:r w:rsidR="00185EF4">
        <w:fldChar w:fldCharType="separate"/>
      </w:r>
      <w:r w:rsidR="007D3DFF">
        <w:t xml:space="preserve">Figure </w:t>
      </w:r>
      <w:r w:rsidR="007D3DFF">
        <w:rPr>
          <w:noProof/>
        </w:rPr>
        <w:t>20</w:t>
      </w:r>
      <w:r w:rsidR="00185EF4">
        <w:fldChar w:fldCharType="end"/>
      </w:r>
      <w:r w:rsidR="00185EF4" w:rsidDel="00185EF4">
        <w:t xml:space="preserve"> </w:t>
      </w:r>
      <w:r w:rsidRPr="00537C3C">
        <w:t>c) and d</w:t>
      </w:r>
      <w:r w:rsidRPr="00BB76D8">
        <w:t>LSIL</w:t>
      </w:r>
      <w:r w:rsidRPr="00537C3C">
        <w:t xml:space="preserve"> (</w:t>
      </w:r>
      <w:r w:rsidR="00185EF4">
        <w:fldChar w:fldCharType="begin"/>
      </w:r>
      <w:r w:rsidR="00185EF4">
        <w:instrText xml:space="preserve"> REF _Ref222738684 \h </w:instrText>
      </w:r>
      <w:r w:rsidR="00185EF4">
        <w:fldChar w:fldCharType="separate"/>
      </w:r>
      <w:r w:rsidR="007D3DFF">
        <w:t xml:space="preserve">Figure </w:t>
      </w:r>
      <w:r w:rsidR="007D3DFF">
        <w:rPr>
          <w:noProof/>
        </w:rPr>
        <w:t>20</w:t>
      </w:r>
      <w:r w:rsidR="00185EF4">
        <w:fldChar w:fldCharType="end"/>
      </w:r>
      <w:r w:rsidR="00185EF4">
        <w:t xml:space="preserve"> </w:t>
      </w:r>
      <w:r w:rsidRPr="00537C3C">
        <w:t xml:space="preserve">d) as determined by LBC are consistent with reported values </w:t>
      </w:r>
      <w:r w:rsidRPr="00537C3C">
        <w:fldChar w:fldCharType="begin"/>
      </w:r>
      <w:r w:rsidRPr="00537C3C">
        <w:instrText xml:space="preserve"> ADDIN REFMGR.CITE &lt;Refman&gt;&lt;Cite&gt;&lt;Author&gt;Ronco&lt;/Author&gt;&lt;Year&gt;2007&lt;/Year&gt;&lt;RecNum&gt;4983&lt;/RecNum&gt;&lt;IDText&gt;HPV triage for low-grade (L-SIL) cytology is appropriate for women over 35 in mass cervical cancer screening using liquid based cytology&lt;/IDText&gt;&lt;MDL Ref_Type="Journal"&gt;&lt;Ref_Type&gt;Journal&lt;/Ref_Type&gt;&lt;Ref_ID&gt;4983&lt;/Ref_ID&gt;&lt;Title_Primary&gt;HPV triage for low-grade (L-SIL) cytology is appropriate for women over 35 in mass cervical cancer screening using liquid based cytology&lt;/Title_Primary&gt;&lt;Authors_Primary&gt;Ronco,G.&lt;/Authors_Primary&gt;&lt;Authors_Primary&gt;Cuzick,J.&lt;/Authors_Primary&gt;&lt;Authors_Primary&gt;Segnan,N.&lt;/Authors_Primary&gt;&lt;Authors_Primary&gt;Brezzi,S.&lt;/Authors_Primary&gt;&lt;Authors_Primary&gt;Carozzi,F.M.&lt;/Authors_Primary&gt;&lt;Authors_Primary&gt;Folicaldi,S.&lt;/Authors_Primary&gt;&lt;Authors_Primary&gt;Dalla,Palma P.&lt;/Authors_Primary&gt;&lt;Authors_Primary&gt;Del Mistro,A.&lt;/Authors_Primary&gt;&lt;Authors_Primary&gt;Gillio-Tos,A.&lt;/Authors_Primary&gt;&lt;Authors_Primary&gt;Giubilato,P.&lt;/Authors_Primary&gt;&lt;Authors_Primary&gt;Naldoni,C.&lt;/Authors_Primary&gt;&lt;Authors_Primary&gt;Polla,E.&lt;/Authors_Primary&gt;&lt;Authors_Primary&gt;Iossa,A.&lt;/Authors_Primary&gt;&lt;Authors_Primary&gt;Zorzi,M.&lt;/Authors_Primary&gt;&lt;Authors_Primary&gt;Confortini,M.&lt;/Authors_Primary&gt;&lt;Authors_Primary&gt;Giorgi-Rossi,P.&lt;/Authors_Primary&gt;&lt;Authors_Primary&gt;NTCC working group&lt;/Authors_Primary&gt;&lt;Date_Primary&gt;2007&lt;/Date_Primary&gt;&lt;Keywords&gt;HPV&lt;/Keywords&gt;&lt;Keywords&gt;Triage&lt;/Keywords&gt;&lt;Keywords&gt;cytology&lt;/Keywords&gt;&lt;Keywords&gt;Women&lt;/Keywords&gt;&lt;Keywords&gt;Cancer&lt;/Keywords&gt;&lt;Keywords&gt;screening&lt;/Keywords&gt;&lt;Reprint&gt;Not in File&lt;/Reprint&gt;&lt;Start_Page&gt;476&lt;/Start_Page&gt;&lt;End_Page&gt;480&lt;/End_Page&gt;&lt;Periodical&gt;EJC&lt;/Periodical&gt;&lt;Volume&gt;43&lt;/Volume&gt;&lt;ZZ_JournalFull&gt;&lt;f name="System"&gt;EJC&lt;/f&gt;&lt;/ZZ_JournalFull&gt;&lt;ZZ_WorkformID&gt;1&lt;/ZZ_WorkformID&gt;&lt;/MDL&gt;&lt;/Cite&gt;&lt;/Refman&gt;</w:instrText>
      </w:r>
      <w:r w:rsidRPr="00537C3C">
        <w:fldChar w:fldCharType="separate"/>
      </w:r>
      <w:r w:rsidRPr="00537C3C">
        <w:t>(Ronco et al. 2007b)</w:t>
      </w:r>
      <w:r w:rsidRPr="00537C3C">
        <w:fldChar w:fldCharType="end"/>
      </w:r>
      <w:r w:rsidRPr="00537C3C">
        <w:t xml:space="preserve">, although the extremely wide </w:t>
      </w:r>
      <w:r w:rsidRPr="00BB76D8">
        <w:t>CI</w:t>
      </w:r>
      <w:r w:rsidRPr="00537C3C">
        <w:t xml:space="preserve">s (not shown on graph) diminish the worth of these values as calibration targets. There is very little age dependence in the sensitivity of </w:t>
      </w:r>
      <w:r w:rsidRPr="00BB76D8">
        <w:t>HPV</w:t>
      </w:r>
      <w:r w:rsidRPr="00537C3C">
        <w:t xml:space="preserve"> triage in the model.</w:t>
      </w:r>
    </w:p>
    <w:p w:rsidR="00234376" w:rsidRPr="00537C3C" w:rsidRDefault="00234376" w:rsidP="008E03A7">
      <w:r w:rsidRPr="00537C3C">
        <w:lastRenderedPageBreak/>
        <w:t xml:space="preserve">On the other hand, the specificity of </w:t>
      </w:r>
      <w:r w:rsidRPr="00BB76D8">
        <w:t>HPV</w:t>
      </w:r>
      <w:r w:rsidRPr="00537C3C">
        <w:t xml:space="preserve"> triage varies highly with age in the model. Unfortunately, age-specific targets in the literature were limited. We aimed for consistency with the available information as far as was possible.</w:t>
      </w:r>
    </w:p>
    <w:p w:rsidR="00234376" w:rsidRPr="00537C3C" w:rsidRDefault="00F5257D" w:rsidP="00F5257D">
      <w:pPr>
        <w:pStyle w:val="Caption"/>
      </w:pPr>
      <w:bookmarkStart w:id="1162" w:name="_Ref222738687"/>
      <w:bookmarkStart w:id="1163" w:name="_Toc216169987"/>
      <w:bookmarkStart w:id="1164" w:name="_Toc231895862"/>
      <w:bookmarkStart w:id="1165" w:name="_Toc222823916"/>
      <w:r>
        <w:t xml:space="preserve">Figure </w:t>
      </w:r>
      <w:fldSimple w:instr=" SEQ Figure \* ARABIC ">
        <w:r w:rsidR="007D3DFF">
          <w:rPr>
            <w:noProof/>
          </w:rPr>
          <w:t>21</w:t>
        </w:r>
      </w:fldSimple>
      <w:bookmarkEnd w:id="1162"/>
      <w:r>
        <w:tab/>
      </w:r>
      <w:r w:rsidR="00234376" w:rsidRPr="00537C3C">
        <w:tab/>
        <w:t xml:space="preserve">Age-specific percentages of women testing positive in </w:t>
      </w:r>
      <w:r w:rsidR="00234376" w:rsidRPr="00BB76D8">
        <w:t>HPV</w:t>
      </w:r>
      <w:r w:rsidR="00234376" w:rsidRPr="00537C3C">
        <w:t xml:space="preserve"> triage for </w:t>
      </w:r>
      <w:r w:rsidR="00234376" w:rsidRPr="00BB76D8">
        <w:t>pLSIL</w:t>
      </w:r>
      <w:r w:rsidR="00234376" w:rsidRPr="00537C3C">
        <w:t xml:space="preserve"> and d</w:t>
      </w:r>
      <w:r w:rsidR="00234376" w:rsidRPr="00BB76D8">
        <w:t>LSIL</w:t>
      </w:r>
      <w:r w:rsidR="00234376" w:rsidRPr="00537C3C">
        <w:t xml:space="preserve"> cytology</w:t>
      </w:r>
      <w:bookmarkEnd w:id="1163"/>
      <w:r w:rsidR="00234376" w:rsidRPr="00537C3C">
        <w:t>.</w:t>
      </w:r>
      <w:bookmarkEnd w:id="1164"/>
      <w:bookmarkEnd w:id="1165"/>
    </w:p>
    <w:p w:rsidR="00234376" w:rsidRPr="00537C3C" w:rsidRDefault="00C97E47" w:rsidP="008E03A7">
      <w:pPr>
        <w:pStyle w:val="FigureBodyTextLeft0cm"/>
        <w:ind w:right="-567"/>
      </w:pPr>
      <w:r>
        <w:fldChar w:fldCharType="begin" w:fldLock="1"/>
      </w:r>
      <w:r>
        <w:instrText xml:space="preserve">ref  SHAPE  \* MERGEFORMAT </w:instrText>
      </w:r>
      <w:r>
        <w:fldChar w:fldCharType="end"/>
      </w:r>
      <w:r>
        <w:fldChar w:fldCharType="begin" w:fldLock="1"/>
      </w:r>
      <w:r>
        <w:instrText xml:space="preserve">ref  SHAPE  \* MERGEFORMAT </w:instrText>
      </w:r>
      <w:r>
        <w:fldChar w:fldCharType="end"/>
      </w:r>
      <w:r>
        <w:fldChar w:fldCharType="begin" w:fldLock="1"/>
      </w:r>
      <w:r>
        <w:instrText xml:space="preserve">ref  SHAPE  \* MERGEFORMAT </w:instrText>
      </w:r>
      <w:r>
        <w:fldChar w:fldCharType="end"/>
      </w:r>
      <w:r w:rsidR="008361E8">
        <w:rPr>
          <w:noProof/>
        </w:rPr>
        <w:drawing>
          <wp:inline distT="0" distB="0" distL="0" distR="0">
            <wp:extent cx="5731510" cy="3506470"/>
            <wp:effectExtent l="0" t="0" r="2540" b="0"/>
            <wp:docPr id="139" name="Picture 139" title="Age-specific percentages of women testing positive in HPV triage for pLSIL and dLSIL cy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1.tif"/>
                    <pic:cNvPicPr/>
                  </pic:nvPicPr>
                  <pic:blipFill>
                    <a:blip r:embed="rId114">
                      <a:extLst>
                        <a:ext uri="{28A0092B-C50C-407E-A947-70E740481C1C}">
                          <a14:useLocalDpi xmlns:a14="http://schemas.microsoft.com/office/drawing/2010/main" val="0"/>
                        </a:ext>
                      </a:extLst>
                    </a:blip>
                    <a:stretch>
                      <a:fillRect/>
                    </a:stretch>
                  </pic:blipFill>
                  <pic:spPr>
                    <a:xfrm>
                      <a:off x="0" y="0"/>
                      <a:ext cx="5731510" cy="3506470"/>
                    </a:xfrm>
                    <a:prstGeom prst="rect">
                      <a:avLst/>
                    </a:prstGeom>
                  </pic:spPr>
                </pic:pic>
              </a:graphicData>
            </a:graphic>
          </wp:inline>
        </w:drawing>
      </w:r>
      <w:r>
        <w:fldChar w:fldCharType="begin" w:fldLock="1"/>
      </w:r>
      <w:r>
        <w:instrText xml:space="preserve">ref  SHAPE  \* MERGEFORMAT </w:instrText>
      </w:r>
      <w:r>
        <w:fldChar w:fldCharType="end"/>
      </w:r>
    </w:p>
    <w:p w:rsidR="00234376" w:rsidRPr="00537C3C" w:rsidRDefault="00234376" w:rsidP="008E03A7">
      <w:pPr>
        <w:pStyle w:val="TableNotes"/>
      </w:pPr>
      <w:r w:rsidRPr="00537C3C">
        <w:t xml:space="preserve">(a) Triage of </w:t>
      </w:r>
      <w:r w:rsidRPr="00BB76D8">
        <w:t>pLSIL</w:t>
      </w:r>
      <w:r w:rsidRPr="00537C3C">
        <w:t xml:space="preserve"> as determined by </w:t>
      </w:r>
      <w:r w:rsidRPr="00537C3C">
        <w:rPr>
          <w:rFonts w:cs="Arial"/>
        </w:rPr>
        <w:t>CC</w:t>
      </w:r>
      <w:r w:rsidRPr="00537C3C">
        <w:t>; (b) triage of d</w:t>
      </w:r>
      <w:r w:rsidRPr="00BB76D8">
        <w:t>LSIL</w:t>
      </w:r>
      <w:r w:rsidRPr="00537C3C">
        <w:t xml:space="preserve"> as determined by </w:t>
      </w:r>
      <w:r w:rsidRPr="00537C3C">
        <w:rPr>
          <w:rFonts w:cs="Arial"/>
        </w:rPr>
        <w:t>CC</w:t>
      </w:r>
      <w:r w:rsidRPr="00537C3C">
        <w:t xml:space="preserve">; (c) triage of </w:t>
      </w:r>
      <w:r w:rsidRPr="00BB76D8">
        <w:t>pLSIL</w:t>
      </w:r>
      <w:r w:rsidRPr="00537C3C">
        <w:t xml:space="preserve"> as determined by LBC; (d) triage of d</w:t>
      </w:r>
      <w:r w:rsidRPr="00BB76D8">
        <w:t>LSIL</w:t>
      </w:r>
      <w:r w:rsidRPr="00537C3C">
        <w:t xml:space="preserve"> as determined by LBC. Note that in (a) and (b), the age-specific calibration target derived from </w:t>
      </w:r>
      <w:r w:rsidRPr="00BB76D8">
        <w:t>ALTS</w:t>
      </w:r>
      <w:r w:rsidRPr="00537C3C">
        <w:t xml:space="preserve"> is approximate owing to the difference in age groupings. The calibration target from Arbyn et al. is not age-specific. The calibration target from Ronco et al. is limited to two age groups.</w:t>
      </w:r>
    </w:p>
    <w:p w:rsidR="00234376" w:rsidRDefault="00234376" w:rsidP="008E03A7">
      <w:r w:rsidRPr="00537C3C">
        <w:t xml:space="preserve">Model outputs for the percentage of women who test positive at </w:t>
      </w:r>
      <w:r w:rsidRPr="00BB76D8">
        <w:t>HPV</w:t>
      </w:r>
      <w:r w:rsidRPr="00537C3C">
        <w:t xml:space="preserve"> triage are highly age-specific. Again, age-specific targets in the literature were limited, making complete calibration impossible. Model outputs reflect the distribution of reported values in the literature, in both </w:t>
      </w:r>
      <w:r w:rsidRPr="00BB76D8">
        <w:t>pLSIL</w:t>
      </w:r>
      <w:r w:rsidRPr="00537C3C">
        <w:t xml:space="preserve"> (</w:t>
      </w:r>
      <w:r w:rsidR="00185EF4">
        <w:fldChar w:fldCharType="begin"/>
      </w:r>
      <w:r w:rsidR="00185EF4">
        <w:instrText xml:space="preserve"> REF _Ref222738687 \h </w:instrText>
      </w:r>
      <w:r w:rsidR="00185EF4">
        <w:fldChar w:fldCharType="separate"/>
      </w:r>
      <w:r w:rsidR="007D3DFF">
        <w:t xml:space="preserve">Figure </w:t>
      </w:r>
      <w:r w:rsidR="007D3DFF">
        <w:rPr>
          <w:noProof/>
        </w:rPr>
        <w:t>21</w:t>
      </w:r>
      <w:r w:rsidR="00185EF4">
        <w:fldChar w:fldCharType="end"/>
      </w:r>
      <w:r w:rsidR="00185EF4">
        <w:t xml:space="preserve"> </w:t>
      </w:r>
      <w:r w:rsidRPr="00537C3C">
        <w:t>a) and d</w:t>
      </w:r>
      <w:r w:rsidRPr="00BB76D8">
        <w:t>LSIL</w:t>
      </w:r>
      <w:r w:rsidRPr="00537C3C">
        <w:t xml:space="preserve"> (</w:t>
      </w:r>
      <w:r w:rsidR="00185EF4">
        <w:fldChar w:fldCharType="begin"/>
      </w:r>
      <w:r w:rsidR="00185EF4">
        <w:instrText xml:space="preserve"> REF _Ref222738687 \h </w:instrText>
      </w:r>
      <w:r w:rsidR="00185EF4">
        <w:fldChar w:fldCharType="separate"/>
      </w:r>
      <w:r w:rsidR="007D3DFF">
        <w:t xml:space="preserve">Figure </w:t>
      </w:r>
      <w:r w:rsidR="007D3DFF">
        <w:rPr>
          <w:noProof/>
        </w:rPr>
        <w:t>21</w:t>
      </w:r>
      <w:r w:rsidR="00185EF4">
        <w:fldChar w:fldCharType="end"/>
      </w:r>
      <w:r w:rsidR="00185EF4">
        <w:t xml:space="preserve"> </w:t>
      </w:r>
      <w:r w:rsidRPr="00537C3C">
        <w:t xml:space="preserve">b) as determined by </w:t>
      </w:r>
      <w:r w:rsidRPr="00537C3C">
        <w:rPr>
          <w:rFonts w:cs="Arial"/>
        </w:rPr>
        <w:t>CC</w:t>
      </w:r>
      <w:r w:rsidRPr="00537C3C">
        <w:t xml:space="preserve">, and in both </w:t>
      </w:r>
      <w:r w:rsidRPr="00BB76D8">
        <w:t>pLSIL</w:t>
      </w:r>
      <w:r w:rsidRPr="00537C3C">
        <w:t xml:space="preserve"> (</w:t>
      </w:r>
      <w:r w:rsidR="00185EF4">
        <w:fldChar w:fldCharType="begin"/>
      </w:r>
      <w:r w:rsidR="00185EF4">
        <w:instrText xml:space="preserve"> REF _Ref222738687 \h </w:instrText>
      </w:r>
      <w:r w:rsidR="00185EF4">
        <w:fldChar w:fldCharType="separate"/>
      </w:r>
      <w:r w:rsidR="007D3DFF">
        <w:t xml:space="preserve">Figure </w:t>
      </w:r>
      <w:r w:rsidR="007D3DFF">
        <w:rPr>
          <w:noProof/>
        </w:rPr>
        <w:t>21</w:t>
      </w:r>
      <w:r w:rsidR="00185EF4">
        <w:fldChar w:fldCharType="end"/>
      </w:r>
      <w:r w:rsidR="00185EF4">
        <w:t xml:space="preserve"> </w:t>
      </w:r>
      <w:r w:rsidRPr="00537C3C">
        <w:t>c) and d</w:t>
      </w:r>
      <w:r w:rsidRPr="00BB76D8">
        <w:t>LSIL</w:t>
      </w:r>
      <w:r w:rsidRPr="00537C3C">
        <w:t xml:space="preserve"> (</w:t>
      </w:r>
      <w:r w:rsidR="00185EF4">
        <w:fldChar w:fldCharType="begin"/>
      </w:r>
      <w:r w:rsidR="00185EF4">
        <w:instrText xml:space="preserve"> REF _Ref222738687 \h </w:instrText>
      </w:r>
      <w:r w:rsidR="00185EF4">
        <w:fldChar w:fldCharType="separate"/>
      </w:r>
      <w:r w:rsidR="007D3DFF">
        <w:t xml:space="preserve">Figure </w:t>
      </w:r>
      <w:r w:rsidR="007D3DFF">
        <w:rPr>
          <w:noProof/>
        </w:rPr>
        <w:t>21</w:t>
      </w:r>
      <w:r w:rsidR="00185EF4">
        <w:fldChar w:fldCharType="end"/>
      </w:r>
      <w:r w:rsidR="00185EF4">
        <w:t xml:space="preserve"> </w:t>
      </w:r>
      <w:r w:rsidRPr="00537C3C">
        <w:t>d) as determined by LBC.</w:t>
      </w:r>
    </w:p>
    <w:p w:rsidR="00234376" w:rsidRPr="00537C3C" w:rsidRDefault="00234376" w:rsidP="008E03A7">
      <w:pPr>
        <w:pStyle w:val="Heading2"/>
        <w:ind w:left="0"/>
        <w:rPr>
          <w:bCs/>
        </w:rPr>
      </w:pPr>
      <w:bookmarkStart w:id="1166" w:name="_Toc216169885"/>
      <w:bookmarkStart w:id="1167" w:name="_Toc216170258"/>
      <w:bookmarkStart w:id="1168" w:name="_Toc219865833"/>
      <w:bookmarkStart w:id="1169" w:name="_Toc219866041"/>
      <w:bookmarkStart w:id="1170" w:name="_Toc219880681"/>
      <w:bookmarkStart w:id="1171" w:name="_Toc220144595"/>
      <w:bookmarkStart w:id="1172" w:name="_Toc95971126"/>
      <w:bookmarkStart w:id="1173" w:name="_Toc231895834"/>
      <w:bookmarkStart w:id="1174" w:name="_Toc241658224"/>
      <w:bookmarkEnd w:id="1157"/>
      <w:r w:rsidRPr="00537C3C">
        <w:rPr>
          <w:bCs/>
        </w:rPr>
        <w:t xml:space="preserve">Derivation of </w:t>
      </w:r>
      <w:r w:rsidRPr="00BB76D8">
        <w:rPr>
          <w:bCs/>
        </w:rPr>
        <w:t>LBC</w:t>
      </w:r>
      <w:r w:rsidRPr="00537C3C">
        <w:rPr>
          <w:bCs/>
        </w:rPr>
        <w:t xml:space="preserve"> and automated </w:t>
      </w:r>
      <w:r w:rsidRPr="00BB76D8">
        <w:rPr>
          <w:bCs/>
        </w:rPr>
        <w:t>LBC</w:t>
      </w:r>
      <w:r w:rsidRPr="00537C3C">
        <w:rPr>
          <w:bCs/>
        </w:rPr>
        <w:t xml:space="preserve"> matrices</w:t>
      </w:r>
      <w:bookmarkEnd w:id="1166"/>
      <w:bookmarkEnd w:id="1167"/>
      <w:bookmarkEnd w:id="1168"/>
      <w:bookmarkEnd w:id="1169"/>
      <w:bookmarkEnd w:id="1170"/>
      <w:bookmarkEnd w:id="1171"/>
      <w:bookmarkEnd w:id="1172"/>
      <w:bookmarkEnd w:id="1173"/>
      <w:bookmarkEnd w:id="1174"/>
    </w:p>
    <w:p w:rsidR="00234376" w:rsidRPr="00537C3C" w:rsidRDefault="00234376" w:rsidP="008E03A7">
      <w:r w:rsidRPr="00537C3C">
        <w:t xml:space="preserve">The baseline matrix for </w:t>
      </w:r>
      <w:r w:rsidRPr="00537C3C">
        <w:rPr>
          <w:rFonts w:cs="Arial"/>
        </w:rPr>
        <w:t>CC</w:t>
      </w:r>
      <w:r w:rsidRPr="00537C3C">
        <w:t xml:space="preserve">, </w:t>
      </w:r>
      <w:r w:rsidRPr="00D0290F">
        <w:t>calibrated for HPV triage, was adapted to be appropriate for LBC and automated LBC by adjusting the cytology test yields while keeping constant the prevalence of disease implied by the matrix. We adjusted the matrix at the stage of derivation where age-specific data were used, and therefore needed to estimate</w:t>
      </w:r>
      <w:r w:rsidRPr="00537C3C">
        <w:t xml:space="preserve"> call rates in the age group 25–29 years. Registry data were not a reliable source for estimating </w:t>
      </w:r>
      <w:r w:rsidRPr="00BB76D8">
        <w:t>LBC</w:t>
      </w:r>
      <w:r w:rsidRPr="00537C3C">
        <w:t xml:space="preserve"> test yields, as type of test is not systematically recorded, most </w:t>
      </w:r>
      <w:r w:rsidRPr="00BB76D8">
        <w:t>LBC</w:t>
      </w:r>
      <w:r w:rsidRPr="00537C3C">
        <w:t xml:space="preserve"> tests are split samples, and the test result is given as the worst of both tests, without recording which test was used for the result.</w:t>
      </w:r>
    </w:p>
    <w:p w:rsidR="00234376" w:rsidRPr="00537C3C" w:rsidRDefault="00234376" w:rsidP="008E03A7">
      <w:r w:rsidRPr="00537C3C">
        <w:t xml:space="preserve">We estimated call rates for automated </w:t>
      </w:r>
      <w:r w:rsidRPr="00BB76D8">
        <w:t>LBC</w:t>
      </w:r>
      <w:r w:rsidRPr="00537C3C">
        <w:t xml:space="preserve"> relative to </w:t>
      </w:r>
      <w:r w:rsidRPr="00BB76D8">
        <w:t>CC</w:t>
      </w:r>
      <w:r w:rsidRPr="00537C3C">
        <w:t xml:space="preserve"> using data from Table </w:t>
      </w:r>
      <w:smartTag w:uri="urn:schemas-microsoft-com:office:smarttags" w:element="metricconverter">
        <w:smartTagPr>
          <w:attr w:name="ProductID" w:val="2 in"/>
        </w:smartTagPr>
        <w:r w:rsidRPr="00537C3C">
          <w:t>2 in</w:t>
        </w:r>
      </w:smartTag>
      <w:r w:rsidRPr="00537C3C">
        <w:t xml:space="preserve"> Davey et al. 2007</w:t>
      </w:r>
      <w:r w:rsidR="00092068">
        <w:t>a</w:t>
      </w:r>
      <w:r w:rsidRPr="00537C3C">
        <w:t xml:space="preserve"> (see also </w:t>
      </w:r>
      <w:r>
        <w:fldChar w:fldCharType="begin"/>
      </w:r>
      <w:r>
        <w:instrText xml:space="preserve"> REF _Ref200952762 \h  \* MERGEFORMAT </w:instrText>
      </w:r>
      <w:r>
        <w:fldChar w:fldCharType="separate"/>
      </w:r>
      <w:r w:rsidR="007D3DFF" w:rsidRPr="00537C3C">
        <w:t xml:space="preserve">Table </w:t>
      </w:r>
      <w:r w:rsidR="007D3DFF">
        <w:rPr>
          <w:noProof/>
        </w:rPr>
        <w:t>19</w:t>
      </w:r>
      <w:r>
        <w:fldChar w:fldCharType="end"/>
      </w:r>
      <w:r w:rsidRPr="00537C3C">
        <w:t>), and then we applied these ratios to the age-specific call rates for conventional cytology.</w:t>
      </w:r>
    </w:p>
    <w:p w:rsidR="00234376" w:rsidRPr="00537C3C" w:rsidRDefault="00234376" w:rsidP="008E03A7">
      <w:r w:rsidRPr="00537C3C">
        <w:lastRenderedPageBreak/>
        <w:t xml:space="preserve">We estimated call rates for </w:t>
      </w:r>
      <w:r w:rsidRPr="00BB76D8">
        <w:t>LBC</w:t>
      </w:r>
      <w:r w:rsidRPr="00537C3C">
        <w:t xml:space="preserve"> relative to </w:t>
      </w:r>
      <w:r w:rsidRPr="00BB76D8">
        <w:t>CC</w:t>
      </w:r>
      <w:r w:rsidRPr="00537C3C">
        <w:t xml:space="preserve"> similarly, based on the difference in total slide classifications as reported in the earlier </w:t>
      </w:r>
      <w:r w:rsidRPr="00BB76D8">
        <w:t>LBC</w:t>
      </w:r>
      <w:r w:rsidRPr="00537C3C">
        <w:t xml:space="preserve"> review </w:t>
      </w:r>
      <w:bookmarkStart w:id="1175" w:name="OLE_LINK37"/>
      <w:bookmarkStart w:id="1176" w:name="OLE_LINK38"/>
      <w:r w:rsidRPr="00537C3C">
        <w:t>section ‘</w:t>
      </w:r>
      <w:r w:rsidR="00092068">
        <w:fldChar w:fldCharType="begin"/>
      </w:r>
      <w:r w:rsidR="00092068">
        <w:instrText xml:space="preserve"> REF _Ref219700563 \h </w:instrText>
      </w:r>
      <w:r w:rsidR="00092068">
        <w:fldChar w:fldCharType="separate"/>
      </w:r>
      <w:r w:rsidR="007D3DFF" w:rsidRPr="00537C3C">
        <w:t>Test yield</w:t>
      </w:r>
      <w:r w:rsidR="00092068">
        <w:fldChar w:fldCharType="end"/>
      </w:r>
      <w:r w:rsidRPr="00537C3C">
        <w:t xml:space="preserve">’, on page </w:t>
      </w:r>
      <w:r w:rsidRPr="00537C3C">
        <w:fldChar w:fldCharType="begin"/>
      </w:r>
      <w:r w:rsidRPr="00537C3C">
        <w:instrText xml:space="preserve"> PAGEREF _Ref219700563 \h </w:instrText>
      </w:r>
      <w:r w:rsidRPr="00537C3C">
        <w:fldChar w:fldCharType="separate"/>
      </w:r>
      <w:r w:rsidR="007D3DFF">
        <w:rPr>
          <w:noProof/>
        </w:rPr>
        <w:t>33</w:t>
      </w:r>
      <w:r w:rsidRPr="00537C3C">
        <w:fldChar w:fldCharType="end"/>
      </w:r>
      <w:bookmarkEnd w:id="1175"/>
      <w:bookmarkEnd w:id="1176"/>
      <w:r w:rsidRPr="00537C3C">
        <w:t xml:space="preserve">. There was no evidence of an increase in </w:t>
      </w:r>
      <w:r w:rsidRPr="00BB76D8">
        <w:t>HSIL</w:t>
      </w:r>
      <w:r w:rsidRPr="00537C3C">
        <w:t xml:space="preserve">+, so the ratios for </w:t>
      </w:r>
      <w:r w:rsidRPr="00BB76D8">
        <w:t>pHSIL</w:t>
      </w:r>
      <w:r w:rsidRPr="00537C3C">
        <w:t xml:space="preserve"> and d</w:t>
      </w:r>
      <w:r w:rsidRPr="00BB76D8">
        <w:t>HSIL</w:t>
      </w:r>
      <w:r w:rsidRPr="00537C3C">
        <w:t xml:space="preserve"> were set to 1. The increase in </w:t>
      </w:r>
      <w:r w:rsidRPr="00BB76D8">
        <w:t>LSIL</w:t>
      </w:r>
      <w:r w:rsidRPr="00537C3C">
        <w:t xml:space="preserve">+ ranged from 0.66 to 1.3 per cent. As there was no evidence of an increase in </w:t>
      </w:r>
      <w:r w:rsidRPr="00BB76D8">
        <w:t>HSIL</w:t>
      </w:r>
      <w:r w:rsidRPr="00537C3C">
        <w:t>+, this increase was assumed to be entirely due to an increase in d</w:t>
      </w:r>
      <w:r w:rsidRPr="00BB76D8">
        <w:t>LSIL</w:t>
      </w:r>
      <w:r w:rsidRPr="00537C3C">
        <w:t xml:space="preserve"> test yield. The absolute increase in d</w:t>
      </w:r>
      <w:r w:rsidRPr="00BB76D8">
        <w:t>LSIL</w:t>
      </w:r>
      <w:r w:rsidRPr="00537C3C">
        <w:t xml:space="preserve"> rates was estimated as 1 per cent (mid-range), which was then applied to the </w:t>
      </w:r>
      <w:r w:rsidRPr="00BB76D8">
        <w:t>NSW</w:t>
      </w:r>
      <w:r w:rsidRPr="00537C3C">
        <w:t xml:space="preserve"> PTR rates in 2006 for women of all ages (</w:t>
      </w:r>
      <w:r>
        <w:fldChar w:fldCharType="begin"/>
      </w:r>
      <w:r>
        <w:instrText xml:space="preserve"> REF _Ref219701425 \h  \* MERGEFORMAT </w:instrText>
      </w:r>
      <w:r>
        <w:fldChar w:fldCharType="separate"/>
      </w:r>
      <w:r w:rsidR="007D3DFF" w:rsidRPr="00537C3C">
        <w:t xml:space="preserve">Table </w:t>
      </w:r>
      <w:r w:rsidR="007D3DFF">
        <w:rPr>
          <w:noProof/>
        </w:rPr>
        <w:t>74</w:t>
      </w:r>
      <w:r>
        <w:fldChar w:fldCharType="end"/>
      </w:r>
      <w:r w:rsidRPr="00537C3C">
        <w:t>) to calculate the relative d</w:t>
      </w:r>
      <w:r w:rsidRPr="00BB76D8">
        <w:t>LSIL</w:t>
      </w:r>
      <w:r w:rsidRPr="00537C3C">
        <w:t xml:space="preserve"> yield in </w:t>
      </w:r>
      <w:r>
        <w:fldChar w:fldCharType="begin"/>
      </w:r>
      <w:r>
        <w:instrText xml:space="preserve"> REF _Ref216169543 \h  \* MERGEFORMAT </w:instrText>
      </w:r>
      <w:r>
        <w:fldChar w:fldCharType="separate"/>
      </w:r>
      <w:r w:rsidR="007D3DFF" w:rsidRPr="00537C3C">
        <w:t xml:space="preserve">Table </w:t>
      </w:r>
      <w:r w:rsidR="007D3DFF">
        <w:rPr>
          <w:noProof/>
        </w:rPr>
        <w:t>78</w:t>
      </w:r>
      <w:r>
        <w:fldChar w:fldCharType="end"/>
      </w:r>
      <w:r w:rsidRPr="00537C3C">
        <w:t>. The absolute increase in d</w:t>
      </w:r>
      <w:r w:rsidRPr="00BB76D8">
        <w:t>LSIL</w:t>
      </w:r>
      <w:r w:rsidRPr="00537C3C">
        <w:t xml:space="preserve"> results predicted by the model was 0.87 per cent, as the predicted d</w:t>
      </w:r>
      <w:r w:rsidRPr="00BB76D8">
        <w:t>LSIL</w:t>
      </w:r>
      <w:r w:rsidRPr="00537C3C">
        <w:t xml:space="preserve"> yield by </w:t>
      </w:r>
      <w:r w:rsidRPr="00BB76D8">
        <w:t>CC</w:t>
      </w:r>
      <w:r w:rsidRPr="00537C3C">
        <w:t xml:space="preserve"> was lower than the </w:t>
      </w:r>
      <w:r w:rsidRPr="00BB76D8">
        <w:t>NSW</w:t>
      </w:r>
      <w:r w:rsidRPr="00537C3C">
        <w:t xml:space="preserve"> value of 2.2 per cent. This value is still within the range discussed on page </w:t>
      </w:r>
      <w:r w:rsidRPr="00537C3C">
        <w:fldChar w:fldCharType="begin"/>
      </w:r>
      <w:r w:rsidRPr="00537C3C">
        <w:instrText xml:space="preserve"> PAGEREF _Ref219700563 \h </w:instrText>
      </w:r>
      <w:r w:rsidRPr="00537C3C">
        <w:fldChar w:fldCharType="separate"/>
      </w:r>
      <w:r w:rsidR="007D3DFF">
        <w:rPr>
          <w:noProof/>
        </w:rPr>
        <w:t>33</w:t>
      </w:r>
      <w:r w:rsidRPr="00537C3C">
        <w:fldChar w:fldCharType="end"/>
      </w:r>
      <w:r w:rsidRPr="00537C3C">
        <w:t xml:space="preserve">. We assumed no increased test yield of </w:t>
      </w:r>
      <w:r w:rsidRPr="00BB76D8">
        <w:t>pLSIL</w:t>
      </w:r>
      <w:r w:rsidRPr="00537C3C">
        <w:t>, on the bas</w:t>
      </w:r>
      <w:r w:rsidRPr="00537C3C" w:rsidDel="00C27CD6">
        <w:t>is</w:t>
      </w:r>
      <w:r w:rsidRPr="00537C3C">
        <w:t xml:space="preserve"> o</w:t>
      </w:r>
      <w:r w:rsidRPr="00537C3C" w:rsidDel="00C27CD6">
        <w:t>f</w:t>
      </w:r>
      <w:r w:rsidRPr="00537C3C">
        <w:t xml:space="preserve"> the mixed evidence presented in Davey et al. 2006. This is a favourable assumption.</w:t>
      </w:r>
    </w:p>
    <w:p w:rsidR="00234376" w:rsidRPr="00537C3C" w:rsidRDefault="00234376" w:rsidP="008E03A7">
      <w:pPr>
        <w:pStyle w:val="Caption"/>
      </w:pPr>
      <w:bookmarkStart w:id="1177" w:name="_Ref216169543"/>
      <w:bookmarkStart w:id="1178" w:name="_Toc216169966"/>
      <w:bookmarkStart w:id="1179" w:name="_Toc95971314"/>
      <w:r w:rsidRPr="00537C3C">
        <w:t xml:space="preserve">Table </w:t>
      </w:r>
      <w:fldSimple w:instr=" SEQ Table \* ARABIC ">
        <w:r w:rsidR="007D3DFF">
          <w:rPr>
            <w:noProof/>
          </w:rPr>
          <w:t>78</w:t>
        </w:r>
      </w:fldSimple>
      <w:bookmarkEnd w:id="1177"/>
      <w:r w:rsidRPr="00537C3C">
        <w:tab/>
        <w:t>Relative cytology test yields for automated LBC and LBC compared with conventional cytology</w:t>
      </w:r>
      <w:bookmarkEnd w:id="1178"/>
      <w:r w:rsidRPr="00537C3C">
        <w:t>.</w:t>
      </w:r>
      <w:bookmarkEnd w:id="1179"/>
    </w:p>
    <w:tbl>
      <w:tblPr>
        <w:tblW w:w="7426" w:type="dxa"/>
        <w:tblInd w:w="801" w:type="dxa"/>
        <w:tblLook w:val="0000" w:firstRow="0" w:lastRow="0" w:firstColumn="0" w:lastColumn="0" w:noHBand="0" w:noVBand="0"/>
      </w:tblPr>
      <w:tblGrid>
        <w:gridCol w:w="1670"/>
        <w:gridCol w:w="1156"/>
        <w:gridCol w:w="1156"/>
        <w:gridCol w:w="1156"/>
        <w:gridCol w:w="1145"/>
        <w:gridCol w:w="1143"/>
      </w:tblGrid>
      <w:tr w:rsidR="00234376" w:rsidRPr="00537C3C" w:rsidTr="00C54979">
        <w:trPr>
          <w:trHeight w:val="340"/>
        </w:trPr>
        <w:tc>
          <w:tcPr>
            <w:tcW w:w="1670" w:type="dxa"/>
            <w:tcBorders>
              <w:top w:val="single" w:sz="4" w:space="0" w:color="auto"/>
              <w:bottom w:val="single" w:sz="4" w:space="0" w:color="auto"/>
            </w:tcBorders>
            <w:noWrap/>
          </w:tcPr>
          <w:p w:rsidR="00234376" w:rsidRPr="00537C3C" w:rsidRDefault="00234376" w:rsidP="008E03A7">
            <w:pPr>
              <w:pStyle w:val="TableHeading"/>
              <w:jc w:val="center"/>
              <w:rPr>
                <w:rStyle w:val="TableTextLessSpaceCharCharCharCharCharCharCharCharChar"/>
                <w:bCs/>
                <w:i/>
                <w:iCs/>
              </w:rPr>
            </w:pPr>
            <w:r w:rsidRPr="00537C3C">
              <w:rPr>
                <w:rStyle w:val="TableTextLessSpaceCharCharCharCharCharCharCharCharChar"/>
                <w:bCs/>
              </w:rPr>
              <w:t>Relative test yields</w:t>
            </w:r>
          </w:p>
        </w:tc>
        <w:tc>
          <w:tcPr>
            <w:tcW w:w="1156" w:type="dxa"/>
            <w:tcBorders>
              <w:top w:val="single" w:sz="4" w:space="0" w:color="auto"/>
              <w:bottom w:val="single" w:sz="4" w:space="0" w:color="auto"/>
            </w:tcBorders>
            <w:noWrap/>
          </w:tcPr>
          <w:p w:rsidR="00234376" w:rsidRPr="00537C3C" w:rsidRDefault="00234376" w:rsidP="008E03A7">
            <w:pPr>
              <w:pStyle w:val="TableHeading"/>
              <w:jc w:val="center"/>
              <w:rPr>
                <w:rStyle w:val="TableTextLessSpaceCharCharCharCharCharCharCharCharChar"/>
                <w:bCs/>
              </w:rPr>
            </w:pPr>
            <w:r w:rsidRPr="00537C3C">
              <w:rPr>
                <w:rStyle w:val="TableTextLessSpaceCharCharCharCharCharCharCharCharChar"/>
                <w:bCs/>
              </w:rPr>
              <w:t>Negative</w:t>
            </w:r>
          </w:p>
        </w:tc>
        <w:tc>
          <w:tcPr>
            <w:tcW w:w="1156" w:type="dxa"/>
            <w:tcBorders>
              <w:top w:val="single" w:sz="4" w:space="0" w:color="auto"/>
              <w:bottom w:val="single" w:sz="4" w:space="0" w:color="auto"/>
            </w:tcBorders>
            <w:noWrap/>
          </w:tcPr>
          <w:p w:rsidR="00234376" w:rsidRPr="00537C3C" w:rsidRDefault="00234376" w:rsidP="008E03A7">
            <w:pPr>
              <w:pStyle w:val="TableHeading"/>
              <w:jc w:val="center"/>
              <w:rPr>
                <w:rStyle w:val="TableTextLessSpaceCharCharCharCharCharCharCharCharChar"/>
                <w:bCs/>
              </w:rPr>
            </w:pPr>
            <w:r w:rsidRPr="00BB76D8">
              <w:rPr>
                <w:rStyle w:val="TableTextLessSpaceCharCharCharCharCharCharCharCharChar"/>
                <w:bCs/>
              </w:rPr>
              <w:t>pLSIL</w:t>
            </w:r>
          </w:p>
        </w:tc>
        <w:tc>
          <w:tcPr>
            <w:tcW w:w="1156" w:type="dxa"/>
            <w:tcBorders>
              <w:top w:val="single" w:sz="4" w:space="0" w:color="auto"/>
              <w:bottom w:val="single" w:sz="4" w:space="0" w:color="auto"/>
            </w:tcBorders>
            <w:noWrap/>
          </w:tcPr>
          <w:p w:rsidR="00234376" w:rsidRPr="00537C3C" w:rsidRDefault="00234376" w:rsidP="008E03A7">
            <w:pPr>
              <w:pStyle w:val="TableHeading"/>
              <w:jc w:val="center"/>
              <w:rPr>
                <w:rStyle w:val="TableTextLessSpaceCharCharCharCharCharCharCharCharChar"/>
                <w:bCs/>
              </w:rPr>
            </w:pPr>
            <w:r w:rsidRPr="00537C3C">
              <w:rPr>
                <w:rStyle w:val="TableTextLessSpaceCharCharCharCharCharCharCharCharChar"/>
                <w:bCs/>
              </w:rPr>
              <w:t>d</w:t>
            </w:r>
            <w:r w:rsidRPr="00BB76D8">
              <w:rPr>
                <w:rStyle w:val="TableTextLessSpaceCharCharCharCharCharCharCharCharChar"/>
                <w:bCs/>
              </w:rPr>
              <w:t>LSIL</w:t>
            </w:r>
          </w:p>
        </w:tc>
        <w:tc>
          <w:tcPr>
            <w:tcW w:w="1145" w:type="dxa"/>
            <w:tcBorders>
              <w:top w:val="single" w:sz="4" w:space="0" w:color="auto"/>
              <w:bottom w:val="single" w:sz="4" w:space="0" w:color="auto"/>
            </w:tcBorders>
          </w:tcPr>
          <w:p w:rsidR="00234376" w:rsidRPr="00537C3C" w:rsidRDefault="00234376" w:rsidP="008E03A7">
            <w:pPr>
              <w:pStyle w:val="TableHeading"/>
              <w:jc w:val="center"/>
              <w:rPr>
                <w:rStyle w:val="TableTextLessSpaceCharCharCharCharCharCharCharCharChar"/>
                <w:bCs/>
              </w:rPr>
            </w:pPr>
            <w:r w:rsidRPr="00BB76D8">
              <w:rPr>
                <w:rStyle w:val="TableTextLessSpaceCharCharCharCharCharCharCharCharChar"/>
                <w:bCs/>
              </w:rPr>
              <w:t>pHSIL</w:t>
            </w:r>
            <w:r w:rsidRPr="00537C3C">
              <w:rPr>
                <w:rStyle w:val="TableTextLessSpaceCharCharCharCharCharCharCharCharChar"/>
                <w:bCs/>
              </w:rPr>
              <w:t xml:space="preserve"> </w:t>
            </w:r>
          </w:p>
        </w:tc>
        <w:tc>
          <w:tcPr>
            <w:tcW w:w="1143" w:type="dxa"/>
            <w:tcBorders>
              <w:top w:val="single" w:sz="4" w:space="0" w:color="auto"/>
              <w:bottom w:val="single" w:sz="4" w:space="0" w:color="auto"/>
            </w:tcBorders>
          </w:tcPr>
          <w:p w:rsidR="00234376" w:rsidRPr="00537C3C" w:rsidRDefault="00234376" w:rsidP="008E03A7">
            <w:pPr>
              <w:pStyle w:val="TableHeading"/>
              <w:jc w:val="center"/>
              <w:rPr>
                <w:rStyle w:val="TableTextLessSpaceCharCharCharCharCharCharCharCharChar"/>
                <w:bCs/>
              </w:rPr>
            </w:pPr>
            <w:r w:rsidRPr="00537C3C">
              <w:rPr>
                <w:rStyle w:val="TableTextLessSpaceCharCharCharCharCharCharCharCharChar"/>
                <w:bCs/>
              </w:rPr>
              <w:t>d</w:t>
            </w:r>
            <w:r w:rsidRPr="00BB76D8">
              <w:rPr>
                <w:rStyle w:val="TableTextLessSpaceCharCharCharCharCharCharCharCharChar"/>
                <w:bCs/>
              </w:rPr>
              <w:t>HSIL</w:t>
            </w:r>
          </w:p>
        </w:tc>
      </w:tr>
      <w:tr w:rsidR="00234376" w:rsidRPr="00537C3C" w:rsidTr="00C54979">
        <w:trPr>
          <w:trHeight w:val="340"/>
        </w:trPr>
        <w:tc>
          <w:tcPr>
            <w:tcW w:w="1670" w:type="dxa"/>
            <w:tcBorders>
              <w:top w:val="single" w:sz="4" w:space="0" w:color="auto"/>
            </w:tcBorders>
            <w:noWrap/>
          </w:tcPr>
          <w:p w:rsidR="00234376" w:rsidRPr="00537C3C" w:rsidRDefault="00234376" w:rsidP="008E03A7">
            <w:pPr>
              <w:pStyle w:val="TableHeading"/>
              <w:jc w:val="center"/>
              <w:rPr>
                <w:rStyle w:val="TableTextLessSpaceCharCharCharCharCharCharCharCharChar"/>
                <w:bCs/>
                <w:iCs/>
              </w:rPr>
            </w:pPr>
            <w:r w:rsidRPr="00537C3C">
              <w:rPr>
                <w:rStyle w:val="TableTextLessSpaceCharCharCharCharCharCharCharCharChar"/>
                <w:bCs/>
                <w:iCs/>
              </w:rPr>
              <w:t xml:space="preserve">Automated </w:t>
            </w:r>
            <w:r w:rsidRPr="00BB76D8">
              <w:rPr>
                <w:rStyle w:val="TableTextLessSpaceCharCharCharCharCharCharCharCharChar"/>
                <w:bCs/>
                <w:iCs/>
              </w:rPr>
              <w:t>LBC</w:t>
            </w:r>
            <w:r w:rsidRPr="00537C3C">
              <w:rPr>
                <w:rStyle w:val="TableTextLessSpaceCharCharCharCharCharCharCharCharChar"/>
                <w:bCs/>
                <w:iCs/>
              </w:rPr>
              <w:t xml:space="preserve"> : </w:t>
            </w:r>
            <w:r w:rsidRPr="00BB76D8">
              <w:rPr>
                <w:rStyle w:val="TableTextLessSpaceCharCharCharCharCharCharCharCharChar"/>
                <w:bCs/>
                <w:iCs/>
              </w:rPr>
              <w:t>CC</w:t>
            </w:r>
          </w:p>
        </w:tc>
        <w:tc>
          <w:tcPr>
            <w:tcW w:w="1156" w:type="dxa"/>
            <w:tcBorders>
              <w:top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0.99</w:t>
            </w:r>
          </w:p>
        </w:tc>
        <w:tc>
          <w:tcPr>
            <w:tcW w:w="1156" w:type="dxa"/>
            <w:tcBorders>
              <w:top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1.08</w:t>
            </w:r>
          </w:p>
        </w:tc>
        <w:tc>
          <w:tcPr>
            <w:tcW w:w="1156" w:type="dxa"/>
            <w:tcBorders>
              <w:top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1.56</w:t>
            </w:r>
          </w:p>
        </w:tc>
        <w:tc>
          <w:tcPr>
            <w:tcW w:w="1145" w:type="dxa"/>
            <w:tcBorders>
              <w:top w:val="single" w:sz="4" w:space="0" w:color="auto"/>
            </w:tcBorders>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0.78</w:t>
            </w:r>
          </w:p>
        </w:tc>
        <w:tc>
          <w:tcPr>
            <w:tcW w:w="1143" w:type="dxa"/>
            <w:tcBorders>
              <w:top w:val="single" w:sz="4" w:space="0" w:color="auto"/>
            </w:tcBorders>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1.27</w:t>
            </w:r>
          </w:p>
        </w:tc>
      </w:tr>
      <w:tr w:rsidR="00234376" w:rsidRPr="00537C3C" w:rsidTr="00C54979">
        <w:trPr>
          <w:trHeight w:val="340"/>
        </w:trPr>
        <w:tc>
          <w:tcPr>
            <w:tcW w:w="1670" w:type="dxa"/>
            <w:tcBorders>
              <w:bottom w:val="single" w:sz="4" w:space="0" w:color="auto"/>
            </w:tcBorders>
            <w:noWrap/>
          </w:tcPr>
          <w:p w:rsidR="00234376" w:rsidRPr="00537C3C" w:rsidRDefault="00234376" w:rsidP="008E03A7">
            <w:pPr>
              <w:pStyle w:val="TableHeading"/>
              <w:jc w:val="center"/>
              <w:rPr>
                <w:rStyle w:val="TableTextLessSpaceCharCharCharCharCharCharCharCharChar"/>
                <w:bCs/>
                <w:iCs/>
              </w:rPr>
            </w:pPr>
            <w:r w:rsidRPr="00BB76D8">
              <w:rPr>
                <w:rStyle w:val="TableTextLessSpaceCharCharCharCharCharCharCharCharChar"/>
                <w:bCs/>
                <w:iCs/>
              </w:rPr>
              <w:t>LBC</w:t>
            </w:r>
            <w:r w:rsidRPr="00537C3C">
              <w:rPr>
                <w:rStyle w:val="TableTextLessSpaceCharCharCharCharCharCharCharCharChar"/>
                <w:bCs/>
                <w:iCs/>
              </w:rPr>
              <w:t xml:space="preserve"> : </w:t>
            </w:r>
            <w:r w:rsidRPr="00BB76D8">
              <w:rPr>
                <w:rStyle w:val="TableTextLessSpaceCharCharCharCharCharCharCharCharChar"/>
                <w:bCs/>
                <w:iCs/>
              </w:rPr>
              <w:t>CC</w:t>
            </w:r>
          </w:p>
        </w:tc>
        <w:tc>
          <w:tcPr>
            <w:tcW w:w="1156" w:type="dxa"/>
            <w:tcBorders>
              <w:bottom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0.99</w:t>
            </w:r>
          </w:p>
        </w:tc>
        <w:tc>
          <w:tcPr>
            <w:tcW w:w="1156" w:type="dxa"/>
            <w:tcBorders>
              <w:bottom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1.00</w:t>
            </w:r>
            <w:r w:rsidRPr="00234376">
              <w:rPr>
                <w:rStyle w:val="TableTextLessSpaceCharCharCharCharCharCharCharCharChar"/>
                <w:vertAlign w:val="superscript"/>
              </w:rPr>
              <w:t>a</w:t>
            </w:r>
          </w:p>
        </w:tc>
        <w:tc>
          <w:tcPr>
            <w:tcW w:w="1156" w:type="dxa"/>
            <w:tcBorders>
              <w:bottom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1.45</w:t>
            </w:r>
          </w:p>
        </w:tc>
        <w:tc>
          <w:tcPr>
            <w:tcW w:w="1145" w:type="dxa"/>
            <w:tcBorders>
              <w:bottom w:val="single" w:sz="4" w:space="0" w:color="auto"/>
            </w:tcBorders>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1.00</w:t>
            </w:r>
            <w:r w:rsidRPr="00234376">
              <w:rPr>
                <w:rStyle w:val="TableTextLessSpaceCharCharCharCharCharCharCharCharChar"/>
                <w:vertAlign w:val="superscript"/>
              </w:rPr>
              <w:t>b</w:t>
            </w:r>
          </w:p>
        </w:tc>
        <w:tc>
          <w:tcPr>
            <w:tcW w:w="1143" w:type="dxa"/>
            <w:tcBorders>
              <w:bottom w:val="single" w:sz="4" w:space="0" w:color="auto"/>
            </w:tcBorders>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1.00</w:t>
            </w:r>
            <w:r w:rsidRPr="00234376">
              <w:rPr>
                <w:rStyle w:val="TableTextLessSpaceCharCharCharCharCharCharCharCharChar"/>
                <w:vertAlign w:val="superscript"/>
              </w:rPr>
              <w:t>b</w:t>
            </w:r>
          </w:p>
        </w:tc>
      </w:tr>
    </w:tbl>
    <w:p w:rsidR="00234376" w:rsidRPr="00537C3C" w:rsidRDefault="00234376" w:rsidP="008E03A7">
      <w:pPr>
        <w:pStyle w:val="TableNotes"/>
        <w:spacing w:after="0"/>
      </w:pPr>
      <w:r w:rsidRPr="00537C3C">
        <w:rPr>
          <w:rStyle w:val="TableTextLessSpaceCharCharCharCharCharCharCharCharChar"/>
          <w:vertAlign w:val="superscript"/>
        </w:rPr>
        <w:t xml:space="preserve">a </w:t>
      </w:r>
      <w:r w:rsidRPr="00537C3C">
        <w:t xml:space="preserve">Assumption—favourable to </w:t>
      </w:r>
      <w:r w:rsidRPr="00BB76D8">
        <w:t>LBC</w:t>
      </w:r>
      <w:r w:rsidRPr="00537C3C">
        <w:t>, made in light of mixed evidence. Consistent with Davey et al. 2006.</w:t>
      </w:r>
    </w:p>
    <w:p w:rsidR="00234376" w:rsidRPr="00537C3C" w:rsidRDefault="00234376" w:rsidP="008E03A7">
      <w:pPr>
        <w:pStyle w:val="TableNotes"/>
      </w:pPr>
      <w:r w:rsidRPr="00234376">
        <w:rPr>
          <w:rFonts w:eastAsia="Times New Roman"/>
          <w:vertAlign w:val="superscript"/>
        </w:rPr>
        <w:t>b</w:t>
      </w:r>
      <w:r w:rsidRPr="00537C3C">
        <w:t xml:space="preserve"> Assumption, based on review results (see page </w:t>
      </w:r>
      <w:r w:rsidRPr="00537C3C">
        <w:fldChar w:fldCharType="begin"/>
      </w:r>
      <w:r w:rsidRPr="00537C3C">
        <w:instrText xml:space="preserve"> PAGEREF _Ref219700563 \h </w:instrText>
      </w:r>
      <w:r w:rsidRPr="00537C3C">
        <w:fldChar w:fldCharType="separate"/>
      </w:r>
      <w:r w:rsidR="007D3DFF">
        <w:rPr>
          <w:noProof/>
        </w:rPr>
        <w:t>33</w:t>
      </w:r>
      <w:r w:rsidRPr="00537C3C">
        <w:fldChar w:fldCharType="end"/>
      </w:r>
      <w:r w:rsidRPr="00537C3C">
        <w:t>).</w:t>
      </w:r>
    </w:p>
    <w:p w:rsidR="00234376" w:rsidRPr="00537C3C" w:rsidRDefault="00234376" w:rsidP="008E03A7">
      <w:r w:rsidRPr="00537C3C">
        <w:t xml:space="preserve">We adjusted the test yields in the </w:t>
      </w:r>
      <w:r w:rsidRPr="00BB76D8">
        <w:t>CC</w:t>
      </w:r>
      <w:r w:rsidRPr="00537C3C">
        <w:t xml:space="preserve"> model according to these ratios to estimate test yields for automated </w:t>
      </w:r>
      <w:r w:rsidRPr="00BB76D8">
        <w:t>LBC</w:t>
      </w:r>
      <w:r w:rsidRPr="00537C3C">
        <w:t xml:space="preserve"> and </w:t>
      </w:r>
      <w:r w:rsidRPr="00BB76D8">
        <w:t>LBC</w:t>
      </w:r>
      <w:r w:rsidRPr="00537C3C">
        <w:t xml:space="preserve">. Applying ratios to each test result individually and then summing over all test results gives a total percentage of slightly over 100 per cent. We adjusted each call rate proportionally so the total was 100 per cent. Test yields varied with choice of </w:t>
      </w:r>
      <w:r w:rsidRPr="00BB76D8">
        <w:t>CC</w:t>
      </w:r>
      <w:r w:rsidRPr="00537C3C">
        <w:t xml:space="preserve"> test probability matrix in the sensitivity analysis and were recalculated in each scenario where the </w:t>
      </w:r>
      <w:r w:rsidRPr="00BB76D8">
        <w:t>CC</w:t>
      </w:r>
      <w:r w:rsidRPr="00537C3C">
        <w:t xml:space="preserve"> test probability matrix varied from the baseline matrix.</w:t>
      </w:r>
    </w:p>
    <w:p w:rsidR="00234376" w:rsidRPr="00537C3C" w:rsidRDefault="00234376" w:rsidP="008E03A7">
      <w:pPr>
        <w:pStyle w:val="TableNamea"/>
        <w:ind w:left="567" w:firstLine="0"/>
      </w:pPr>
      <w:bookmarkStart w:id="1180" w:name="_Ref95895459"/>
      <w:bookmarkStart w:id="1181" w:name="_Toc216169967"/>
      <w:bookmarkStart w:id="1182" w:name="_Toc95971315"/>
      <w:r w:rsidRPr="00537C3C">
        <w:t xml:space="preserve">Table </w:t>
      </w:r>
      <w:fldSimple w:instr=" SEQ Table \* ARABIC ">
        <w:r w:rsidR="007D3DFF">
          <w:rPr>
            <w:noProof/>
          </w:rPr>
          <w:t>79</w:t>
        </w:r>
      </w:fldSimple>
      <w:bookmarkEnd w:id="1180"/>
      <w:r w:rsidRPr="00537C3C">
        <w:tab/>
        <w:t>Estimated test yields for automated LBC and LBC in women aged 25–29 years, baseline values</w:t>
      </w:r>
      <w:bookmarkEnd w:id="1181"/>
      <w:r w:rsidRPr="00537C3C">
        <w:t>.</w:t>
      </w:r>
      <w:bookmarkEnd w:id="1182"/>
    </w:p>
    <w:tbl>
      <w:tblPr>
        <w:tblW w:w="6998" w:type="dxa"/>
        <w:tblInd w:w="817" w:type="dxa"/>
        <w:tblLayout w:type="fixed"/>
        <w:tblLook w:val="0000" w:firstRow="0" w:lastRow="0" w:firstColumn="0" w:lastColumn="0" w:noHBand="0" w:noVBand="0"/>
      </w:tblPr>
      <w:tblGrid>
        <w:gridCol w:w="1477"/>
        <w:gridCol w:w="1104"/>
        <w:gridCol w:w="1104"/>
        <w:gridCol w:w="1104"/>
        <w:gridCol w:w="1104"/>
        <w:gridCol w:w="1105"/>
      </w:tblGrid>
      <w:tr w:rsidR="00234376" w:rsidRPr="00537C3C" w:rsidTr="00C54979">
        <w:trPr>
          <w:trHeight w:val="340"/>
        </w:trPr>
        <w:tc>
          <w:tcPr>
            <w:tcW w:w="1477" w:type="dxa"/>
            <w:tcBorders>
              <w:top w:val="single" w:sz="4" w:space="0" w:color="auto"/>
              <w:bottom w:val="single" w:sz="4" w:space="0" w:color="auto"/>
            </w:tcBorders>
            <w:noWrap/>
          </w:tcPr>
          <w:p w:rsidR="00234376" w:rsidRPr="00537C3C" w:rsidRDefault="00234376" w:rsidP="008E03A7">
            <w:pPr>
              <w:pStyle w:val="TableHeading"/>
              <w:jc w:val="center"/>
              <w:rPr>
                <w:rStyle w:val="TableTextLessSpaceCharCharCharCharCharCharCharCharChar"/>
                <w:bCs/>
                <w:i/>
                <w:iCs/>
              </w:rPr>
            </w:pPr>
            <w:r w:rsidRPr="00537C3C">
              <w:rPr>
                <w:rStyle w:val="TableTextLessSpaceCharCharCharCharCharCharCharCharChar"/>
                <w:bCs/>
              </w:rPr>
              <w:t>Estimated test yields</w:t>
            </w:r>
          </w:p>
        </w:tc>
        <w:tc>
          <w:tcPr>
            <w:tcW w:w="1104" w:type="dxa"/>
            <w:tcBorders>
              <w:top w:val="single" w:sz="4" w:space="0" w:color="auto"/>
              <w:bottom w:val="single" w:sz="4" w:space="0" w:color="auto"/>
            </w:tcBorders>
            <w:noWrap/>
          </w:tcPr>
          <w:p w:rsidR="00234376" w:rsidRPr="00537C3C" w:rsidRDefault="00234376" w:rsidP="008E03A7">
            <w:pPr>
              <w:pStyle w:val="TableHeading"/>
              <w:jc w:val="center"/>
              <w:rPr>
                <w:rStyle w:val="TableTextLessSpaceCharCharCharCharCharCharCharCharChar"/>
                <w:bCs/>
              </w:rPr>
            </w:pPr>
            <w:r w:rsidRPr="00537C3C">
              <w:rPr>
                <w:rStyle w:val="TableTextLessSpaceCharCharCharCharCharCharCharCharChar"/>
                <w:bCs/>
              </w:rPr>
              <w:t>Negative</w:t>
            </w:r>
          </w:p>
        </w:tc>
        <w:tc>
          <w:tcPr>
            <w:tcW w:w="1104" w:type="dxa"/>
            <w:tcBorders>
              <w:top w:val="single" w:sz="4" w:space="0" w:color="auto"/>
              <w:bottom w:val="single" w:sz="4" w:space="0" w:color="auto"/>
            </w:tcBorders>
            <w:noWrap/>
          </w:tcPr>
          <w:p w:rsidR="00234376" w:rsidRPr="00537C3C" w:rsidRDefault="00234376" w:rsidP="008E03A7">
            <w:pPr>
              <w:pStyle w:val="TableHeading"/>
              <w:jc w:val="center"/>
              <w:rPr>
                <w:rStyle w:val="TableTextLessSpaceCharCharCharCharCharCharCharCharChar"/>
                <w:bCs/>
              </w:rPr>
            </w:pPr>
            <w:r w:rsidRPr="00BB76D8">
              <w:rPr>
                <w:rStyle w:val="TableTextLessSpaceCharCharCharCharCharCharCharCharChar"/>
                <w:bCs/>
              </w:rPr>
              <w:t>pLSIL</w:t>
            </w:r>
          </w:p>
        </w:tc>
        <w:tc>
          <w:tcPr>
            <w:tcW w:w="1104" w:type="dxa"/>
            <w:tcBorders>
              <w:top w:val="single" w:sz="4" w:space="0" w:color="auto"/>
              <w:bottom w:val="single" w:sz="4" w:space="0" w:color="auto"/>
            </w:tcBorders>
            <w:noWrap/>
          </w:tcPr>
          <w:p w:rsidR="00234376" w:rsidRPr="00537C3C" w:rsidRDefault="00234376" w:rsidP="008E03A7">
            <w:pPr>
              <w:pStyle w:val="TableHeading"/>
              <w:jc w:val="center"/>
              <w:rPr>
                <w:rStyle w:val="TableTextLessSpaceCharCharCharCharCharCharCharCharChar"/>
                <w:bCs/>
              </w:rPr>
            </w:pPr>
            <w:r w:rsidRPr="00537C3C">
              <w:rPr>
                <w:rStyle w:val="TableTextLessSpaceCharCharCharCharCharCharCharCharChar"/>
                <w:bCs/>
              </w:rPr>
              <w:t>d</w:t>
            </w:r>
            <w:r w:rsidRPr="00BB76D8">
              <w:rPr>
                <w:rStyle w:val="TableTextLessSpaceCharCharCharCharCharCharCharCharChar"/>
                <w:bCs/>
              </w:rPr>
              <w:t>LSIL</w:t>
            </w:r>
          </w:p>
        </w:tc>
        <w:tc>
          <w:tcPr>
            <w:tcW w:w="1104" w:type="dxa"/>
            <w:tcBorders>
              <w:top w:val="single" w:sz="4" w:space="0" w:color="auto"/>
              <w:bottom w:val="single" w:sz="4" w:space="0" w:color="auto"/>
            </w:tcBorders>
          </w:tcPr>
          <w:p w:rsidR="00234376" w:rsidRPr="00537C3C" w:rsidRDefault="00234376" w:rsidP="008E03A7">
            <w:pPr>
              <w:pStyle w:val="TableHeading"/>
              <w:jc w:val="center"/>
              <w:rPr>
                <w:rStyle w:val="TableTextLessSpaceCharCharCharCharCharCharCharCharChar"/>
                <w:bCs/>
              </w:rPr>
            </w:pPr>
            <w:r w:rsidRPr="00BB76D8">
              <w:rPr>
                <w:rStyle w:val="TableTextLessSpaceCharCharCharCharCharCharCharCharChar"/>
                <w:bCs/>
              </w:rPr>
              <w:t>pHSIL</w:t>
            </w:r>
            <w:r w:rsidRPr="00537C3C">
              <w:rPr>
                <w:rStyle w:val="TableTextLessSpaceCharCharCharCharCharCharCharCharChar"/>
                <w:bCs/>
              </w:rPr>
              <w:t xml:space="preserve"> </w:t>
            </w:r>
          </w:p>
        </w:tc>
        <w:tc>
          <w:tcPr>
            <w:tcW w:w="1105" w:type="dxa"/>
            <w:tcBorders>
              <w:top w:val="single" w:sz="4" w:space="0" w:color="auto"/>
              <w:bottom w:val="single" w:sz="4" w:space="0" w:color="auto"/>
            </w:tcBorders>
          </w:tcPr>
          <w:p w:rsidR="00234376" w:rsidRPr="00537C3C" w:rsidRDefault="00234376" w:rsidP="008E03A7">
            <w:pPr>
              <w:pStyle w:val="TableHeading"/>
              <w:jc w:val="center"/>
              <w:rPr>
                <w:rStyle w:val="TableTextLessSpaceCharCharCharCharCharCharCharCharChar"/>
                <w:bCs/>
              </w:rPr>
            </w:pPr>
            <w:r w:rsidRPr="00537C3C">
              <w:rPr>
                <w:rStyle w:val="TableTextLessSpaceCharCharCharCharCharCharCharCharChar"/>
                <w:bCs/>
              </w:rPr>
              <w:t>d</w:t>
            </w:r>
            <w:r w:rsidRPr="00BB76D8">
              <w:rPr>
                <w:rStyle w:val="TableTextLessSpaceCharCharCharCharCharCharCharCharChar"/>
                <w:bCs/>
              </w:rPr>
              <w:t>HSIL</w:t>
            </w:r>
          </w:p>
        </w:tc>
      </w:tr>
      <w:tr w:rsidR="00234376" w:rsidRPr="00537C3C" w:rsidTr="00C54979">
        <w:trPr>
          <w:trHeight w:val="340"/>
        </w:trPr>
        <w:tc>
          <w:tcPr>
            <w:tcW w:w="1477" w:type="dxa"/>
            <w:tcBorders>
              <w:top w:val="single" w:sz="4" w:space="0" w:color="auto"/>
            </w:tcBorders>
            <w:noWrap/>
          </w:tcPr>
          <w:p w:rsidR="00234376" w:rsidRPr="00537C3C" w:rsidRDefault="00234376" w:rsidP="008E03A7">
            <w:pPr>
              <w:pStyle w:val="TableHeading"/>
              <w:jc w:val="center"/>
              <w:rPr>
                <w:rStyle w:val="TableTextLessSpaceCharCharCharCharCharCharCharCharChar"/>
                <w:bCs/>
                <w:iCs/>
              </w:rPr>
            </w:pPr>
            <w:r w:rsidRPr="00537C3C">
              <w:rPr>
                <w:rStyle w:val="TableTextLessSpaceCharCharCharCharCharCharCharCharChar"/>
                <w:bCs/>
                <w:iCs/>
              </w:rPr>
              <w:t xml:space="preserve">Automated </w:t>
            </w:r>
            <w:r w:rsidRPr="00BB76D8">
              <w:rPr>
                <w:rStyle w:val="TableTextLessSpaceCharCharCharCharCharCharCharCharChar"/>
                <w:bCs/>
                <w:iCs/>
              </w:rPr>
              <w:t>LBC</w:t>
            </w:r>
          </w:p>
        </w:tc>
        <w:tc>
          <w:tcPr>
            <w:tcW w:w="1104" w:type="dxa"/>
            <w:tcBorders>
              <w:top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89.9%</w:t>
            </w:r>
          </w:p>
        </w:tc>
        <w:tc>
          <w:tcPr>
            <w:tcW w:w="1104" w:type="dxa"/>
            <w:tcBorders>
              <w:top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3.0%</w:t>
            </w:r>
          </w:p>
        </w:tc>
        <w:tc>
          <w:tcPr>
            <w:tcW w:w="1104" w:type="dxa"/>
            <w:tcBorders>
              <w:top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4.5%</w:t>
            </w:r>
          </w:p>
        </w:tc>
        <w:tc>
          <w:tcPr>
            <w:tcW w:w="1104" w:type="dxa"/>
            <w:tcBorders>
              <w:top w:val="single" w:sz="4" w:space="0" w:color="auto"/>
            </w:tcBorders>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0.6%</w:t>
            </w:r>
          </w:p>
        </w:tc>
        <w:tc>
          <w:tcPr>
            <w:tcW w:w="1105" w:type="dxa"/>
            <w:tcBorders>
              <w:top w:val="single" w:sz="4" w:space="0" w:color="auto"/>
            </w:tcBorders>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1.9%</w:t>
            </w:r>
          </w:p>
        </w:tc>
      </w:tr>
      <w:tr w:rsidR="00234376" w:rsidRPr="00537C3C" w:rsidTr="00C54979">
        <w:trPr>
          <w:trHeight w:val="340"/>
        </w:trPr>
        <w:tc>
          <w:tcPr>
            <w:tcW w:w="1477" w:type="dxa"/>
            <w:tcBorders>
              <w:bottom w:val="single" w:sz="4" w:space="0" w:color="auto"/>
            </w:tcBorders>
            <w:noWrap/>
          </w:tcPr>
          <w:p w:rsidR="00234376" w:rsidRPr="00537C3C" w:rsidRDefault="00234376" w:rsidP="008E03A7">
            <w:pPr>
              <w:pStyle w:val="TableHeading"/>
              <w:jc w:val="center"/>
              <w:rPr>
                <w:rStyle w:val="TableTextLessSpaceCharCharCharCharCharCharCharCharChar"/>
                <w:bCs/>
                <w:iCs/>
              </w:rPr>
            </w:pPr>
            <w:r w:rsidRPr="00BB76D8">
              <w:rPr>
                <w:rStyle w:val="TableTextLessSpaceCharCharCharCharCharCharCharCharChar"/>
                <w:bCs/>
                <w:iCs/>
              </w:rPr>
              <w:t>LBC</w:t>
            </w:r>
          </w:p>
        </w:tc>
        <w:tc>
          <w:tcPr>
            <w:tcW w:w="1104" w:type="dxa"/>
            <w:tcBorders>
              <w:bottom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90.5%</w:t>
            </w:r>
          </w:p>
        </w:tc>
        <w:tc>
          <w:tcPr>
            <w:tcW w:w="1104" w:type="dxa"/>
            <w:tcBorders>
              <w:bottom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3.1%</w:t>
            </w:r>
          </w:p>
        </w:tc>
        <w:tc>
          <w:tcPr>
            <w:tcW w:w="1104" w:type="dxa"/>
            <w:tcBorders>
              <w:bottom w:val="single" w:sz="4" w:space="0" w:color="auto"/>
            </w:tcBorders>
            <w:noWrap/>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4.1%</w:t>
            </w:r>
          </w:p>
        </w:tc>
        <w:tc>
          <w:tcPr>
            <w:tcW w:w="1104" w:type="dxa"/>
            <w:tcBorders>
              <w:bottom w:val="single" w:sz="4" w:space="0" w:color="auto"/>
            </w:tcBorders>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0.8%</w:t>
            </w:r>
          </w:p>
        </w:tc>
        <w:tc>
          <w:tcPr>
            <w:tcW w:w="1105" w:type="dxa"/>
            <w:tcBorders>
              <w:bottom w:val="single" w:sz="4" w:space="0" w:color="auto"/>
            </w:tcBorders>
          </w:tcPr>
          <w:p w:rsidR="00234376" w:rsidRPr="00537C3C" w:rsidRDefault="00234376" w:rsidP="008E03A7">
            <w:pPr>
              <w:pStyle w:val="TableTextLessSpaceCharCharCharCharCharCharCharChar"/>
              <w:jc w:val="center"/>
              <w:rPr>
                <w:rStyle w:val="TableTextLessSpaceCharCharCharCharCharCharCharCharChar"/>
              </w:rPr>
            </w:pPr>
            <w:r w:rsidRPr="00537C3C">
              <w:rPr>
                <w:rStyle w:val="TableTextLessSpaceCharCharCharCharCharCharCharCharChar"/>
              </w:rPr>
              <w:t>1.5%</w:t>
            </w:r>
          </w:p>
        </w:tc>
      </w:tr>
    </w:tbl>
    <w:p w:rsidR="00C54979" w:rsidRDefault="00C54979" w:rsidP="008E03A7"/>
    <w:p w:rsidR="00234376" w:rsidRPr="00537C3C" w:rsidRDefault="00234376" w:rsidP="008E03A7">
      <w:r w:rsidRPr="00537C3C">
        <w:t>The estimates for test yields in the age group 25–29 years for each cytology type were calibrated in order to predict correctly the relative test yields over all ages (</w:t>
      </w:r>
      <w:r w:rsidRPr="00537C3C">
        <w:fldChar w:fldCharType="begin"/>
      </w:r>
      <w:r w:rsidRPr="00537C3C">
        <w:instrText xml:space="preserve"> REF _Ref95895459 \h </w:instrText>
      </w:r>
      <w:r w:rsidRPr="00537C3C">
        <w:fldChar w:fldCharType="separate"/>
      </w:r>
      <w:r w:rsidR="007D3DFF" w:rsidRPr="00537C3C">
        <w:t xml:space="preserve">Table </w:t>
      </w:r>
      <w:r w:rsidR="007D3DFF">
        <w:rPr>
          <w:noProof/>
        </w:rPr>
        <w:t>79</w:t>
      </w:r>
      <w:r w:rsidRPr="00537C3C">
        <w:fldChar w:fldCharType="end"/>
      </w:r>
      <w:r w:rsidRPr="00537C3C">
        <w:t>).</w:t>
      </w:r>
    </w:p>
    <w:p w:rsidR="00234376" w:rsidRPr="00537C3C" w:rsidRDefault="00234376" w:rsidP="008E03A7">
      <w:r w:rsidRPr="00537C3C">
        <w:t xml:space="preserve">For automated </w:t>
      </w:r>
      <w:r w:rsidRPr="00BB76D8">
        <w:t>LBC</w:t>
      </w:r>
      <w:r w:rsidRPr="00537C3C">
        <w:t xml:space="preserve">, we adjusted the intermediate matrix for </w:t>
      </w:r>
      <w:r w:rsidRPr="00BB76D8">
        <w:t>CC</w:t>
      </w:r>
      <w:r w:rsidRPr="00537C3C">
        <w:t xml:space="preserve"> by applying these test yields and adjusted the values of the cells proportionally to keep the disease distribution constant. We firstly adjusted the values in cells for high-grade cytology results in </w:t>
      </w:r>
      <w:r w:rsidRPr="00BB76D8">
        <w:t>CIN</w:t>
      </w:r>
      <w:r w:rsidRPr="00537C3C">
        <w:t xml:space="preserve"> 2+ women so that the relative true and false positive rates for automation-assisted slide reading, compared to</w:t>
      </w:r>
      <w:r w:rsidR="00DD6388">
        <w:t>to</w:t>
      </w:r>
      <w:r w:rsidRPr="00537C3C">
        <w:t xml:space="preserve"> those for manual reading of conventional </w:t>
      </w:r>
      <w:r w:rsidR="00F97C27">
        <w:t xml:space="preserve">cytology </w:t>
      </w:r>
      <w:r w:rsidRPr="00537C3C">
        <w:t xml:space="preserve">and LBC, would be consistent with the estimates in </w:t>
      </w:r>
      <w:r>
        <w:fldChar w:fldCharType="begin"/>
      </w:r>
      <w:r>
        <w:instrText xml:space="preserve"> REF _Ref190167406 \h  \* MERGEFORMAT </w:instrText>
      </w:r>
      <w:r>
        <w:fldChar w:fldCharType="separate"/>
      </w:r>
      <w:r w:rsidR="007D3DFF" w:rsidRPr="00537C3C">
        <w:t xml:space="preserve">Table </w:t>
      </w:r>
      <w:r w:rsidR="007D3DFF">
        <w:rPr>
          <w:noProof/>
        </w:rPr>
        <w:t>14</w:t>
      </w:r>
      <w:r>
        <w:fldChar w:fldCharType="end"/>
      </w:r>
      <w:r w:rsidRPr="00537C3C">
        <w:t xml:space="preserve"> and </w:t>
      </w:r>
      <w:r>
        <w:fldChar w:fldCharType="begin"/>
      </w:r>
      <w:r>
        <w:instrText xml:space="preserve"> REF _Ref190499190 \h  \* MERGEFORMAT </w:instrText>
      </w:r>
      <w:r>
        <w:fldChar w:fldCharType="separate"/>
      </w:r>
      <w:r w:rsidR="007D3DFF" w:rsidRPr="00537C3C">
        <w:t xml:space="preserve">Table </w:t>
      </w:r>
      <w:r w:rsidR="007D3DFF">
        <w:rPr>
          <w:noProof/>
        </w:rPr>
        <w:t>17</w:t>
      </w:r>
      <w:r>
        <w:fldChar w:fldCharType="end"/>
      </w:r>
      <w:r w:rsidRPr="00537C3C">
        <w:t>. Following this adjustment, we:</w:t>
      </w:r>
    </w:p>
    <w:p w:rsidR="00234376" w:rsidRPr="00537C3C" w:rsidRDefault="00234376" w:rsidP="008E03A7">
      <w:pPr>
        <w:numPr>
          <w:ilvl w:val="0"/>
          <w:numId w:val="29"/>
        </w:numPr>
      </w:pPr>
      <w:r w:rsidRPr="00537C3C">
        <w:t xml:space="preserve">split the excess or deficient disease distribution for health state </w:t>
      </w:r>
      <w:r w:rsidRPr="00BB76D8">
        <w:t>CIN</w:t>
      </w:r>
      <w:r w:rsidRPr="00537C3C">
        <w:t xml:space="preserve"> 2+ between all remaining cytology test results; and proportionally increased or decreased the </w:t>
      </w:r>
      <w:r w:rsidRPr="00BB76D8">
        <w:lastRenderedPageBreak/>
        <w:t>pHSIL</w:t>
      </w:r>
      <w:r w:rsidRPr="00537C3C">
        <w:t xml:space="preserve"> and d</w:t>
      </w:r>
      <w:r w:rsidRPr="00BB76D8">
        <w:t>HSIL</w:t>
      </w:r>
      <w:r w:rsidRPr="00537C3C">
        <w:t xml:space="preserve"> parameters for health states Normal, </w:t>
      </w:r>
      <w:r w:rsidRPr="00BB76D8">
        <w:t>HPV</w:t>
      </w:r>
      <w:r w:rsidRPr="00537C3C">
        <w:t xml:space="preserve"> and </w:t>
      </w:r>
      <w:r w:rsidRPr="00BB76D8">
        <w:t>CIN</w:t>
      </w:r>
      <w:r w:rsidRPr="00537C3C">
        <w:t xml:space="preserve"> 1 so that test yields for </w:t>
      </w:r>
      <w:r w:rsidRPr="00BB76D8">
        <w:t>pHSIL</w:t>
      </w:r>
      <w:r w:rsidRPr="00537C3C">
        <w:t xml:space="preserve"> and d</w:t>
      </w:r>
      <w:r w:rsidRPr="00BB76D8">
        <w:t>HSIL</w:t>
      </w:r>
      <w:r w:rsidRPr="00537C3C">
        <w:t xml:space="preserve"> were met</w:t>
      </w:r>
    </w:p>
    <w:p w:rsidR="00234376" w:rsidRPr="00537C3C" w:rsidRDefault="00234376" w:rsidP="008E03A7">
      <w:pPr>
        <w:numPr>
          <w:ilvl w:val="0"/>
          <w:numId w:val="29"/>
        </w:numPr>
      </w:pPr>
      <w:r w:rsidRPr="00537C3C">
        <w:t xml:space="preserve">split the excess or deficient disease distribution for health state </w:t>
      </w:r>
      <w:r w:rsidRPr="00BB76D8">
        <w:t>CIN</w:t>
      </w:r>
      <w:r w:rsidRPr="00537C3C">
        <w:t xml:space="preserve"> 1 between cytology test results Negative, </w:t>
      </w:r>
      <w:r w:rsidRPr="00BB76D8">
        <w:t>pLSIL</w:t>
      </w:r>
      <w:r w:rsidRPr="00537C3C">
        <w:t xml:space="preserve"> and d</w:t>
      </w:r>
      <w:r w:rsidRPr="00BB76D8">
        <w:t>LSIL</w:t>
      </w:r>
      <w:r w:rsidRPr="00537C3C">
        <w:t xml:space="preserve">; and proportionally increased or decreased the </w:t>
      </w:r>
      <w:r w:rsidRPr="00BB76D8">
        <w:t>pLSIL</w:t>
      </w:r>
      <w:r w:rsidRPr="00537C3C">
        <w:t xml:space="preserve"> and d</w:t>
      </w:r>
      <w:r w:rsidRPr="00BB76D8">
        <w:t>LSIL</w:t>
      </w:r>
      <w:r w:rsidRPr="00537C3C">
        <w:t xml:space="preserve"> parameters for health states </w:t>
      </w:r>
      <w:smartTag w:uri="urn:schemas-microsoft-com:office:smarttags" w:element="place">
        <w:smartTag w:uri="urn:schemas-microsoft-com:office:smarttags" w:element="City">
          <w:r w:rsidRPr="00537C3C">
            <w:t>Normal</w:t>
          </w:r>
        </w:smartTag>
      </w:smartTag>
      <w:r w:rsidRPr="00537C3C">
        <w:t xml:space="preserve"> and </w:t>
      </w:r>
      <w:r w:rsidRPr="00BB76D8">
        <w:t>HPV</w:t>
      </w:r>
      <w:r w:rsidRPr="00537C3C">
        <w:t xml:space="preserve"> so that test yields for </w:t>
      </w:r>
      <w:r w:rsidRPr="00BB76D8">
        <w:t>pLSIL</w:t>
      </w:r>
      <w:r w:rsidRPr="00537C3C">
        <w:t xml:space="preserve"> and d</w:t>
      </w:r>
      <w:r w:rsidRPr="00BB76D8">
        <w:t>LSIL</w:t>
      </w:r>
      <w:r w:rsidRPr="00537C3C">
        <w:t xml:space="preserve"> were met</w:t>
      </w:r>
    </w:p>
    <w:p w:rsidR="00234376" w:rsidRPr="00537C3C" w:rsidRDefault="00234376" w:rsidP="008E03A7">
      <w:pPr>
        <w:numPr>
          <w:ilvl w:val="0"/>
          <w:numId w:val="29"/>
        </w:numPr>
      </w:pPr>
      <w:r w:rsidRPr="00537C3C">
        <w:t xml:space="preserve">increased or decreased negative cytology parameters for health state </w:t>
      </w:r>
      <w:smartTag w:uri="urn:schemas-microsoft-com:office:smarttags" w:element="place">
        <w:smartTag w:uri="urn:schemas-microsoft-com:office:smarttags" w:element="City">
          <w:r w:rsidRPr="00537C3C">
            <w:t>Normal</w:t>
          </w:r>
        </w:smartTag>
      </w:smartTag>
      <w:r w:rsidRPr="00537C3C">
        <w:t xml:space="preserve"> so as to preserve the disease distribution in th</w:t>
      </w:r>
      <w:r w:rsidRPr="00537C3C" w:rsidDel="00C27CD6">
        <w:t>i</w:t>
      </w:r>
      <w:r w:rsidRPr="00537C3C">
        <w:t>s health state.</w:t>
      </w:r>
    </w:p>
    <w:p w:rsidR="00234376" w:rsidRPr="00537C3C" w:rsidRDefault="00234376" w:rsidP="008E03A7">
      <w:r w:rsidRPr="00537C3C">
        <w:t xml:space="preserve">For </w:t>
      </w:r>
      <w:r w:rsidRPr="00BB76D8">
        <w:t>LBC</w:t>
      </w:r>
      <w:r w:rsidRPr="00537C3C">
        <w:t xml:space="preserve">, we adjusted cytology results for women with </w:t>
      </w:r>
      <w:r w:rsidRPr="00BB76D8">
        <w:t>CIN</w:t>
      </w:r>
      <w:r w:rsidRPr="00537C3C">
        <w:t xml:space="preserve"> 2+ health state so that relative sensitivity between </w:t>
      </w:r>
      <w:r w:rsidRPr="00537C3C">
        <w:rPr>
          <w:rFonts w:cs="Arial"/>
        </w:rPr>
        <w:t>CC</w:t>
      </w:r>
      <w:r w:rsidRPr="00537C3C">
        <w:t xml:space="preserve"> and </w:t>
      </w:r>
      <w:r w:rsidRPr="00BB76D8">
        <w:t>LBC</w:t>
      </w:r>
      <w:r w:rsidRPr="00537C3C">
        <w:t xml:space="preserve"> as reported in Arbyn et al. </w:t>
      </w:r>
      <w:r w:rsidR="00CC265E">
        <w:t>{Arbyn, 2008 4899 /id}</w:t>
      </w:r>
      <w:r w:rsidRPr="00537C3C">
        <w:t xml:space="preserve"> was conserved. We then followed steps 1 to 3 as for automated cytology. When running sensitivity analyses of test characteristics, we recalculated matrices for automated </w:t>
      </w:r>
      <w:r w:rsidRPr="00BB76D8">
        <w:t>LBC</w:t>
      </w:r>
      <w:r w:rsidRPr="00537C3C">
        <w:t xml:space="preserve"> and </w:t>
      </w:r>
      <w:r w:rsidRPr="00BB76D8">
        <w:t>LBC</w:t>
      </w:r>
      <w:r w:rsidRPr="00537C3C">
        <w:t xml:space="preserve"> for each </w:t>
      </w:r>
      <w:r w:rsidRPr="00BB76D8">
        <w:t>CC</w:t>
      </w:r>
      <w:r w:rsidRPr="00537C3C">
        <w:t xml:space="preserve"> matrix, with the exception of the Applicant’s test probabilities, for which both were provided.</w:t>
      </w:r>
    </w:p>
    <w:p w:rsidR="00234376" w:rsidRPr="00537C3C" w:rsidRDefault="00234376" w:rsidP="008E03A7">
      <w:pPr>
        <w:pStyle w:val="Heading2"/>
        <w:ind w:left="0"/>
        <w:rPr>
          <w:bCs/>
        </w:rPr>
      </w:pPr>
      <w:bookmarkStart w:id="1183" w:name="_Toc216169886"/>
      <w:bookmarkStart w:id="1184" w:name="_Toc216170259"/>
      <w:bookmarkStart w:id="1185" w:name="_Toc219865834"/>
      <w:bookmarkStart w:id="1186" w:name="_Toc219866042"/>
      <w:bookmarkStart w:id="1187" w:name="_Toc219880682"/>
      <w:bookmarkStart w:id="1188" w:name="_Toc220144596"/>
      <w:bookmarkStart w:id="1189" w:name="_Ref95895620"/>
      <w:bookmarkStart w:id="1190" w:name="_Toc95971127"/>
      <w:bookmarkStart w:id="1191" w:name="_Toc231895835"/>
      <w:bookmarkStart w:id="1192" w:name="_Toc241658225"/>
      <w:r w:rsidRPr="00537C3C">
        <w:rPr>
          <w:bCs/>
        </w:rPr>
        <w:t>Supplementary material</w:t>
      </w:r>
      <w:bookmarkEnd w:id="1183"/>
      <w:bookmarkEnd w:id="1184"/>
      <w:bookmarkEnd w:id="1185"/>
      <w:bookmarkEnd w:id="1186"/>
      <w:bookmarkEnd w:id="1187"/>
      <w:bookmarkEnd w:id="1188"/>
      <w:bookmarkEnd w:id="1189"/>
      <w:bookmarkEnd w:id="1190"/>
      <w:bookmarkEnd w:id="1191"/>
      <w:bookmarkEnd w:id="1192"/>
    </w:p>
    <w:p w:rsidR="00234376" w:rsidRPr="00537C3C" w:rsidRDefault="00234376" w:rsidP="008E03A7">
      <w:r w:rsidRPr="00537C3C">
        <w:t xml:space="preserve">This supplementary material elaborates on the methods used to derive test probability matrices for conventional cytology as summarised in </w:t>
      </w:r>
      <w:r>
        <w:fldChar w:fldCharType="begin"/>
      </w:r>
      <w:r>
        <w:instrText xml:space="preserve"> REF _Ref216169548 \h  \* MERGEFORMAT </w:instrText>
      </w:r>
      <w:r>
        <w:fldChar w:fldCharType="separate"/>
      </w:r>
      <w:r w:rsidR="007D3DFF" w:rsidRPr="00537C3C">
        <w:t xml:space="preserve">Table </w:t>
      </w:r>
      <w:r w:rsidR="007D3DFF">
        <w:rPr>
          <w:noProof/>
        </w:rPr>
        <w:t>77</w:t>
      </w:r>
      <w:r>
        <w:fldChar w:fldCharType="end"/>
      </w:r>
      <w:r w:rsidRPr="00537C3C">
        <w:t>.</w:t>
      </w:r>
    </w:p>
    <w:p w:rsidR="00234376" w:rsidRDefault="00234376" w:rsidP="00234376">
      <w:pPr>
        <w:pStyle w:val="Heading3"/>
      </w:pPr>
      <w:r w:rsidRPr="00537C3C">
        <w:t>Method 1</w:t>
      </w:r>
    </w:p>
    <w:p w:rsidR="00234376" w:rsidRPr="00537C3C" w:rsidRDefault="00234376" w:rsidP="008E03A7">
      <w:r w:rsidRPr="00537C3C">
        <w:t xml:space="preserve">The first method attempted to derive a test probability matrix from estimates of sensitivity and specificity at different thresholds. The sensitivities and specificities reported by Arbyn </w:t>
      </w:r>
      <w:r w:rsidRPr="0030078D">
        <w:t>et al.</w:t>
      </w:r>
      <w:r w:rsidRPr="00537C3C">
        <w:t xml:space="preserve"> at cytological thresholds of </w:t>
      </w:r>
      <w:r w:rsidRPr="00BB76D8">
        <w:t>ASCUS</w:t>
      </w:r>
      <w:r w:rsidRPr="00537C3C">
        <w:t xml:space="preserve">, </w:t>
      </w:r>
      <w:r w:rsidRPr="00BB76D8">
        <w:t>LSIL</w:t>
      </w:r>
      <w:r w:rsidRPr="00537C3C">
        <w:t xml:space="preserve"> and </w:t>
      </w:r>
      <w:r w:rsidRPr="00BB76D8">
        <w:t>HSIL</w:t>
      </w:r>
      <w:r w:rsidRPr="00537C3C">
        <w:t xml:space="preserve"> were expanded into a matrix of test probabilities with two health state sets: </w:t>
      </w:r>
      <w:r w:rsidRPr="00BB76D8">
        <w:t>CIN</w:t>
      </w:r>
      <w:r w:rsidRPr="00537C3C">
        <w:t xml:space="preserve"> 2 or worse (which included </w:t>
      </w:r>
      <w:r w:rsidRPr="00BB76D8">
        <w:t>CIN</w:t>
      </w:r>
      <w:r w:rsidRPr="00537C3C">
        <w:t xml:space="preserve"> 2 and </w:t>
      </w:r>
      <w:r w:rsidRPr="00BB76D8">
        <w:t>CIN</w:t>
      </w:r>
      <w:r w:rsidRPr="00537C3C">
        <w:t xml:space="preserve"> 3+) and </w:t>
      </w:r>
      <w:r w:rsidRPr="00BB76D8">
        <w:t>CIN</w:t>
      </w:r>
      <w:r w:rsidRPr="00537C3C">
        <w:t xml:space="preserve"> 1 or less (which included Normal, </w:t>
      </w:r>
      <w:r w:rsidRPr="00BB76D8">
        <w:t>HPV</w:t>
      </w:r>
      <w:r w:rsidRPr="00537C3C">
        <w:t xml:space="preserve"> and </w:t>
      </w:r>
      <w:r w:rsidRPr="00BB76D8">
        <w:t>CIN</w:t>
      </w:r>
      <w:r w:rsidRPr="00537C3C">
        <w:t xml:space="preserve"> 1). The breakdown followed the proportions from the French trial </w:t>
      </w:r>
      <w:r w:rsidRPr="00537C3C">
        <w:fldChar w:fldCharType="begin"/>
      </w:r>
      <w:r w:rsidRPr="00537C3C">
        <w:instrText xml:space="preserve"> ADDIN REFMGR.CITE &lt;Refman&gt;&lt;Cite&gt;&lt;Author&gt;Coste J.&lt;/Author&gt;&lt;Year&gt;2003&lt;/Year&gt;&lt;RecNum&gt;4974&lt;/RecNum&gt;&lt;IDText&gt;Cross sectional study of conventional cervical smear, monolayer cytology, and human papillomavirus DNA testing for cervical cancer screening&lt;/IDText&gt;&lt;MDL Ref_Type="Journal"&gt;&lt;Ref_Type&gt;Journal&lt;/Ref_Type&gt;&lt;Ref_ID&gt;4974&lt;/Ref_ID&gt;&lt;Title_Primary&gt;Cross sectional study of conventional cervical smear, monolayer cytology, and human papillomavirus DNA testing for cervical cancer screening&lt;/Title_Primary&gt;&lt;Authors_Primary&gt;Coste J.&lt;/Authors_Primary&gt;&lt;Date_Primary&gt;2003&lt;/Date_Primary&gt;&lt;Keywords&gt;Cancer&lt;/Keywords&gt;&lt;Keywords&gt;cytology&lt;/Keywords&gt;&lt;Keywords&gt;Dna&lt;/Keywords&gt;&lt;Keywords&gt;Human&lt;/Keywords&gt;&lt;Keywords&gt;Papillomavirus&lt;/Keywords&gt;&lt;Keywords&gt;screening&lt;/Keywords&gt;&lt;Reprint&gt;Not in File&lt;/Reprint&gt;&lt;Periodical&gt;BMJ.&lt;/Periodical&gt;&lt;Volume&gt;326(7392)&lt;/Volume&gt;&lt;Authors_Secondary&gt;Cochand-Priollet B.de Cremoux P.Le Gales C.Cartier I.Molinie V.Labbe S.Vacher-Lavenu MC.Vielh P.French Society of Clinical Cytology Study Group.&lt;/Authors_Secondary&gt;&lt;Issue&gt;733&lt;/Issue&gt;&lt;ZZ_JournalStdAbbrev&gt;&lt;f name="System"&gt;BMJ.&lt;/f&gt;&lt;/ZZ_JournalStdAbbrev&gt;&lt;ZZ_WorkformID&gt;1&lt;/ZZ_WorkformID&gt;&lt;/MDL&gt;&lt;/Cite&gt;&lt;/Refman&gt;</w:instrText>
      </w:r>
      <w:r w:rsidRPr="00537C3C">
        <w:fldChar w:fldCharType="separate"/>
      </w:r>
      <w:r w:rsidRPr="00537C3C">
        <w:t>(Coste 2003)</w:t>
      </w:r>
      <w:r w:rsidRPr="00537C3C">
        <w:fldChar w:fldCharType="end"/>
      </w:r>
      <w:r w:rsidRPr="00537C3C">
        <w:t xml:space="preserve">. The breakdown of likely cytology results for </w:t>
      </w:r>
      <w:r w:rsidRPr="00BB76D8">
        <w:t>HPV</w:t>
      </w:r>
      <w:r w:rsidRPr="00537C3C">
        <w:t xml:space="preserve"> health state is based on results for </w:t>
      </w:r>
      <w:r w:rsidRPr="00BB76D8">
        <w:t>CIN</w:t>
      </w:r>
      <w:r w:rsidRPr="00537C3C">
        <w:t xml:space="preserve"> 1 with proportions according to the Australian histology/cytology correlation data </w:t>
      </w:r>
      <w:r w:rsidRPr="00537C3C">
        <w:fldChar w:fldCharType="begin"/>
      </w:r>
      <w:r w:rsidRPr="00537C3C">
        <w:instrText xml:space="preserve"> ADDIN REFMGR.CITE &lt;Refman&gt;&lt;Cite&gt;&lt;Author&gt;Medical Services Advisory Committee&lt;/Author&gt;&lt;Year&gt;2002&lt;/Year&gt;&lt;RecNum&gt;3364&lt;/RecNum&gt;&lt;IDText&gt;Human papillomavirus testing in women with cytological prediction of low-grade abnormality&lt;/IDText&gt;&lt;MDL Ref_Type="Report"&gt;&lt;Ref_Type&gt;Report&lt;/Ref_Type&gt;&lt;Ref_ID&gt;3364&lt;/Ref_ID&gt;&lt;Title_Primary&gt;Human papillomavirus testing in women with cytological prediction of low-grade abnormality&lt;/Title_Primary&gt;&lt;Authors_Primary&gt;Medical Services Advisory Committee&lt;/Authors_Primary&gt;&lt;Date_Primary&gt;2002&lt;/Date_Primary&gt;&lt;Reprint&gt;In File&lt;/Reprint&gt;&lt;Volume&gt;Reference 12b&lt;/Volume&gt;&lt;Pub_Place&gt;Canberra&lt;/Pub_Place&gt;&lt;Publisher&gt;Commonwealth of Australia&lt;/Publisher&gt;&lt;Web_URL&gt;&lt;u&gt;www.msac.gov.au&lt;/u&gt;&lt;/Web_URL&gt;&lt;ZZ_WorkformID&gt;24&lt;/ZZ_WorkformID&gt;&lt;/MDL&gt;&lt;/Cite&gt;&lt;/Refman&gt;</w:instrText>
      </w:r>
      <w:r w:rsidRPr="00537C3C">
        <w:fldChar w:fldCharType="separate"/>
      </w:r>
      <w:r w:rsidRPr="00537C3C">
        <w:t>(MSAC 2002a)</w:t>
      </w:r>
      <w:r w:rsidRPr="00537C3C">
        <w:fldChar w:fldCharType="end"/>
      </w:r>
      <w:r w:rsidRPr="00537C3C">
        <w:t>.</w:t>
      </w:r>
    </w:p>
    <w:p w:rsidR="00234376" w:rsidRPr="00537C3C" w:rsidRDefault="00234376" w:rsidP="008E03A7">
      <w:r w:rsidRPr="00537C3C">
        <w:t xml:space="preserve">Both Arbyn et al. and Coste use TBS1991 terminology, and additional assumptions would need to be made regarding the breakdown into </w:t>
      </w:r>
      <w:r w:rsidRPr="00BB76D8">
        <w:t>pLSIL</w:t>
      </w:r>
      <w:r w:rsidRPr="00537C3C">
        <w:t xml:space="preserve"> and </w:t>
      </w:r>
      <w:r w:rsidRPr="00BB76D8">
        <w:t>pHSIL</w:t>
      </w:r>
      <w:r w:rsidRPr="00537C3C">
        <w:t xml:space="preserve"> from TBS1991 </w:t>
      </w:r>
      <w:r w:rsidRPr="00BB76D8">
        <w:t>ASCUS</w:t>
      </w:r>
      <w:r w:rsidRPr="00537C3C">
        <w:t xml:space="preserve"> reported results. Before making any further assumptions, we derived the test probability matrix shown in </w:t>
      </w:r>
      <w:r>
        <w:fldChar w:fldCharType="begin"/>
      </w:r>
      <w:r>
        <w:instrText xml:space="preserve"> REF _Ref219608602 \h  \* MERGEFORMAT </w:instrText>
      </w:r>
      <w:r>
        <w:fldChar w:fldCharType="separate"/>
      </w:r>
      <w:r w:rsidR="007D3DFF" w:rsidRPr="00537C3C">
        <w:t xml:space="preserve">Table </w:t>
      </w:r>
      <w:r w:rsidR="007D3DFF">
        <w:rPr>
          <w:noProof/>
        </w:rPr>
        <w:t>80</w:t>
      </w:r>
      <w:r>
        <w:fldChar w:fldCharType="end"/>
      </w:r>
      <w:r w:rsidRPr="00537C3C">
        <w:t>.</w:t>
      </w:r>
    </w:p>
    <w:p w:rsidR="00234376" w:rsidRPr="0098213C" w:rsidRDefault="00234376" w:rsidP="008E03A7">
      <w:pPr>
        <w:pStyle w:val="Caption"/>
      </w:pPr>
      <w:bookmarkStart w:id="1193" w:name="_Ref219608602"/>
      <w:bookmarkStart w:id="1194" w:name="_Toc216169968"/>
      <w:bookmarkStart w:id="1195" w:name="_Toc95971316"/>
      <w:r w:rsidRPr="00537C3C">
        <w:t xml:space="preserve">Table </w:t>
      </w:r>
      <w:fldSimple w:instr=" SEQ Table \* ARABIC ">
        <w:r w:rsidR="007D3DFF">
          <w:rPr>
            <w:noProof/>
          </w:rPr>
          <w:t>80</w:t>
        </w:r>
      </w:fldSimple>
      <w:bookmarkEnd w:id="1193"/>
      <w:r w:rsidRPr="00537C3C">
        <w:tab/>
      </w:r>
      <w:r w:rsidRPr="0098213C">
        <w:t>Partial test probability matrix derived from Arbyn et al.’s meta-analysis and additional assumptions (%).</w:t>
      </w:r>
      <w:bookmarkEnd w:id="1194"/>
      <w:bookmarkEnd w:id="1195"/>
    </w:p>
    <w:tbl>
      <w:tblPr>
        <w:tblW w:w="7194" w:type="dxa"/>
        <w:tblInd w:w="801" w:type="dxa"/>
        <w:tblLook w:val="0000" w:firstRow="0" w:lastRow="0" w:firstColumn="0" w:lastColumn="0" w:noHBand="0" w:noVBand="0"/>
      </w:tblPr>
      <w:tblGrid>
        <w:gridCol w:w="1438"/>
        <w:gridCol w:w="1156"/>
        <w:gridCol w:w="1156"/>
        <w:gridCol w:w="1156"/>
        <w:gridCol w:w="1145"/>
        <w:gridCol w:w="1143"/>
      </w:tblGrid>
      <w:tr w:rsidR="00234376" w:rsidRPr="0098213C">
        <w:trPr>
          <w:trHeight w:val="340"/>
        </w:trPr>
        <w:tc>
          <w:tcPr>
            <w:tcW w:w="1438" w:type="dxa"/>
            <w:tcBorders>
              <w:top w:val="single" w:sz="4" w:space="0" w:color="auto"/>
              <w:bottom w:val="single" w:sz="4" w:space="0" w:color="auto"/>
            </w:tcBorders>
            <w:noWrap/>
          </w:tcPr>
          <w:p w:rsidR="00234376" w:rsidRPr="0098213C" w:rsidRDefault="00234376" w:rsidP="00234376">
            <w:pPr>
              <w:pStyle w:val="TableHeading"/>
              <w:rPr>
                <w:rStyle w:val="TableTextLessSpaceCharCharCharCharCharCharCharCharChar"/>
                <w:bCs/>
              </w:rPr>
            </w:pPr>
            <w:r w:rsidRPr="0098213C">
              <w:rPr>
                <w:rStyle w:val="TableTextLessSpaceCharCharCharCharCharCharCharCharChar"/>
                <w:bCs/>
              </w:rPr>
              <w:t>Test result/</w:t>
            </w:r>
          </w:p>
          <w:p w:rsidR="00234376" w:rsidRPr="0098213C" w:rsidRDefault="00234376" w:rsidP="00234376">
            <w:pPr>
              <w:pStyle w:val="TableHeading"/>
              <w:rPr>
                <w:rStyle w:val="TableTextLessSpaceCharCharCharCharCharCharCharCharChar"/>
                <w:bCs/>
                <w:iCs/>
              </w:rPr>
            </w:pPr>
            <w:r w:rsidRPr="0098213C">
              <w:rPr>
                <w:rStyle w:val="TableTextLessSpaceCharCharCharCharCharCharCharCharChar"/>
                <w:bCs/>
                <w:iCs/>
              </w:rPr>
              <w:t>health state</w:t>
            </w:r>
          </w:p>
        </w:tc>
        <w:tc>
          <w:tcPr>
            <w:tcW w:w="1156" w:type="dxa"/>
            <w:tcBorders>
              <w:top w:val="single" w:sz="4" w:space="0" w:color="auto"/>
              <w:bottom w:val="single" w:sz="4" w:space="0" w:color="auto"/>
            </w:tcBorders>
            <w:noWrap/>
          </w:tcPr>
          <w:p w:rsidR="00234376" w:rsidRPr="0098213C" w:rsidRDefault="00234376" w:rsidP="008E03A7">
            <w:pPr>
              <w:pStyle w:val="TableHeading"/>
              <w:jc w:val="center"/>
              <w:rPr>
                <w:rStyle w:val="TableTextLessSpaceCharCharCharCharCharCharCharCharChar"/>
                <w:bCs/>
              </w:rPr>
            </w:pPr>
            <w:r w:rsidRPr="0098213C">
              <w:rPr>
                <w:rStyle w:val="TableTextLessSpaceCharCharCharCharCharCharCharCharChar"/>
                <w:bCs/>
              </w:rPr>
              <w:t>Negative</w:t>
            </w:r>
          </w:p>
        </w:tc>
        <w:tc>
          <w:tcPr>
            <w:tcW w:w="1156" w:type="dxa"/>
            <w:tcBorders>
              <w:top w:val="single" w:sz="4" w:space="0" w:color="auto"/>
              <w:bottom w:val="single" w:sz="4" w:space="0" w:color="auto"/>
            </w:tcBorders>
            <w:noWrap/>
          </w:tcPr>
          <w:p w:rsidR="00234376" w:rsidRPr="0098213C" w:rsidRDefault="00234376" w:rsidP="008E03A7">
            <w:pPr>
              <w:pStyle w:val="TableHeading"/>
              <w:jc w:val="center"/>
              <w:rPr>
                <w:rStyle w:val="TableTextLessSpaceCharCharCharCharCharCharCharCharChar"/>
                <w:bCs/>
              </w:rPr>
            </w:pPr>
            <w:r w:rsidRPr="0098213C">
              <w:rPr>
                <w:rStyle w:val="TableTextLessSpaceCharCharCharCharCharCharCharCharChar"/>
                <w:bCs/>
              </w:rPr>
              <w:t xml:space="preserve">pLSIL &amp; pHSIL </w:t>
            </w:r>
            <w:r w:rsidRPr="0098213C">
              <w:rPr>
                <w:rStyle w:val="TableTextLessSpaceCharCharCharCharCharCharCharCharChar"/>
                <w:bCs/>
                <w:vertAlign w:val="superscript"/>
              </w:rPr>
              <w:t>a</w:t>
            </w:r>
          </w:p>
        </w:tc>
        <w:tc>
          <w:tcPr>
            <w:tcW w:w="1156" w:type="dxa"/>
            <w:tcBorders>
              <w:top w:val="single" w:sz="4" w:space="0" w:color="auto"/>
              <w:bottom w:val="single" w:sz="4" w:space="0" w:color="auto"/>
            </w:tcBorders>
            <w:noWrap/>
          </w:tcPr>
          <w:p w:rsidR="00234376" w:rsidRPr="0098213C" w:rsidRDefault="00234376" w:rsidP="008E03A7">
            <w:pPr>
              <w:pStyle w:val="TableHeading"/>
              <w:jc w:val="center"/>
              <w:rPr>
                <w:rStyle w:val="TableTextLessSpaceCharCharCharCharCharCharCharCharChar"/>
                <w:bCs/>
              </w:rPr>
            </w:pPr>
            <w:r w:rsidRPr="0098213C">
              <w:rPr>
                <w:rStyle w:val="TableTextLessSpaceCharCharCharCharCharCharCharCharChar"/>
                <w:bCs/>
              </w:rPr>
              <w:t>dLSIL</w:t>
            </w:r>
          </w:p>
        </w:tc>
        <w:tc>
          <w:tcPr>
            <w:tcW w:w="1145" w:type="dxa"/>
            <w:tcBorders>
              <w:top w:val="single" w:sz="4" w:space="0" w:color="auto"/>
              <w:bottom w:val="single" w:sz="4" w:space="0" w:color="auto"/>
            </w:tcBorders>
          </w:tcPr>
          <w:p w:rsidR="00234376" w:rsidRPr="0098213C" w:rsidRDefault="00234376" w:rsidP="008E03A7">
            <w:pPr>
              <w:pStyle w:val="TableHeading"/>
              <w:jc w:val="center"/>
              <w:rPr>
                <w:rStyle w:val="TableTextLessSpaceCharCharCharCharCharCharCharCharChar"/>
                <w:bCs/>
              </w:rPr>
            </w:pPr>
            <w:r w:rsidRPr="0098213C">
              <w:rPr>
                <w:rStyle w:val="TableTextLessSpaceCharCharCharCharCharCharCharCharChar"/>
                <w:bCs/>
              </w:rPr>
              <w:t>dHSIL</w:t>
            </w:r>
          </w:p>
        </w:tc>
        <w:tc>
          <w:tcPr>
            <w:tcW w:w="1143" w:type="dxa"/>
            <w:tcBorders>
              <w:top w:val="single" w:sz="4" w:space="0" w:color="auto"/>
              <w:bottom w:val="single" w:sz="4" w:space="0" w:color="auto"/>
            </w:tcBorders>
          </w:tcPr>
          <w:p w:rsidR="00234376" w:rsidRPr="0098213C" w:rsidRDefault="00234376" w:rsidP="008E03A7">
            <w:pPr>
              <w:pStyle w:val="TableHeading"/>
              <w:jc w:val="center"/>
              <w:rPr>
                <w:rStyle w:val="TableTextLessSpaceCharCharCharCharCharCharCharCharChar"/>
                <w:bCs/>
                <w:i/>
              </w:rPr>
            </w:pPr>
            <w:r w:rsidRPr="0098213C">
              <w:rPr>
                <w:rStyle w:val="TableTextLessSpaceCharCharCharCharCharCharCharCharChar"/>
                <w:bCs/>
                <w:i/>
              </w:rPr>
              <w:t>Total</w:t>
            </w:r>
          </w:p>
        </w:tc>
      </w:tr>
      <w:tr w:rsidR="00234376" w:rsidRPr="0098213C">
        <w:trPr>
          <w:trHeight w:val="340"/>
        </w:trPr>
        <w:tc>
          <w:tcPr>
            <w:tcW w:w="1438" w:type="dxa"/>
            <w:tcBorders>
              <w:top w:val="single" w:sz="4" w:space="0" w:color="auto"/>
              <w:bottom w:val="single" w:sz="4" w:space="0" w:color="auto"/>
            </w:tcBorders>
            <w:noWrap/>
          </w:tcPr>
          <w:p w:rsidR="00234376" w:rsidRPr="0098213C" w:rsidRDefault="00234376" w:rsidP="00234376">
            <w:pPr>
              <w:pStyle w:val="TableHeading"/>
              <w:rPr>
                <w:rStyle w:val="TableTextLessSpaceCharCharCharCharCharCharCharCharChar"/>
                <w:bCs/>
                <w:iCs/>
              </w:rPr>
            </w:pPr>
            <w:smartTag w:uri="urn:schemas-microsoft-com:office:smarttags" w:element="place">
              <w:smartTag w:uri="urn:schemas-microsoft-com:office:smarttags" w:element="City">
                <w:r w:rsidRPr="0098213C">
                  <w:rPr>
                    <w:rStyle w:val="TableTextLessSpaceCharCharCharCharCharCharCharCharChar"/>
                    <w:bCs/>
                    <w:iCs/>
                  </w:rPr>
                  <w:t>Normal</w:t>
                </w:r>
              </w:smartTag>
            </w:smartTag>
          </w:p>
        </w:tc>
        <w:tc>
          <w:tcPr>
            <w:tcW w:w="1156" w:type="dxa"/>
            <w:tcBorders>
              <w:top w:val="single" w:sz="4" w:space="0" w:color="auto"/>
              <w:bottom w:val="single" w:sz="4" w:space="0" w:color="auto"/>
            </w:tcBorders>
            <w:noWrap/>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77.24</w:t>
            </w:r>
          </w:p>
        </w:tc>
        <w:tc>
          <w:tcPr>
            <w:tcW w:w="1156" w:type="dxa"/>
            <w:tcBorders>
              <w:top w:val="single" w:sz="4" w:space="0" w:color="auto"/>
              <w:bottom w:val="single" w:sz="4" w:space="0" w:color="auto"/>
            </w:tcBorders>
            <w:noWrap/>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10.09</w:t>
            </w:r>
          </w:p>
        </w:tc>
        <w:tc>
          <w:tcPr>
            <w:tcW w:w="1156" w:type="dxa"/>
            <w:tcBorders>
              <w:top w:val="single" w:sz="4" w:space="0" w:color="auto"/>
              <w:bottom w:val="single" w:sz="4" w:space="0" w:color="auto"/>
            </w:tcBorders>
            <w:noWrap/>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10.49</w:t>
            </w:r>
          </w:p>
        </w:tc>
        <w:tc>
          <w:tcPr>
            <w:tcW w:w="1145" w:type="dxa"/>
            <w:tcBorders>
              <w:top w:val="single" w:sz="4" w:space="0" w:color="auto"/>
              <w:bottom w:val="single" w:sz="4" w:space="0" w:color="auto"/>
            </w:tcBorders>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2.18</w:t>
            </w:r>
          </w:p>
        </w:tc>
        <w:tc>
          <w:tcPr>
            <w:tcW w:w="1143" w:type="dxa"/>
            <w:tcBorders>
              <w:top w:val="single" w:sz="4" w:space="0" w:color="auto"/>
              <w:bottom w:val="single" w:sz="4" w:space="0" w:color="auto"/>
            </w:tcBorders>
          </w:tcPr>
          <w:p w:rsidR="00234376" w:rsidRPr="0098213C" w:rsidRDefault="00234376" w:rsidP="008E03A7">
            <w:pPr>
              <w:pStyle w:val="TableTextLessSpaceCharCharCharCharCharCharCharChar"/>
              <w:jc w:val="center"/>
              <w:rPr>
                <w:rStyle w:val="TableTextLessSpaceCharCharCharCharCharCharCharCharChar"/>
                <w:i/>
              </w:rPr>
            </w:pPr>
            <w:r w:rsidRPr="0098213C">
              <w:rPr>
                <w:rStyle w:val="TableTextLessSpaceCharCharCharCharCharCharCharCharChar"/>
                <w:i/>
              </w:rPr>
              <w:t>100</w:t>
            </w:r>
          </w:p>
        </w:tc>
      </w:tr>
      <w:tr w:rsidR="00234376" w:rsidRPr="0098213C">
        <w:trPr>
          <w:trHeight w:val="340"/>
        </w:trPr>
        <w:tc>
          <w:tcPr>
            <w:tcW w:w="1438" w:type="dxa"/>
            <w:tcBorders>
              <w:top w:val="single" w:sz="4" w:space="0" w:color="auto"/>
              <w:bottom w:val="single" w:sz="4" w:space="0" w:color="auto"/>
            </w:tcBorders>
            <w:noWrap/>
          </w:tcPr>
          <w:p w:rsidR="00234376" w:rsidRPr="0098213C" w:rsidRDefault="00234376" w:rsidP="00234376">
            <w:pPr>
              <w:pStyle w:val="TableHeading"/>
              <w:rPr>
                <w:rStyle w:val="TableTextLessSpaceCharCharCharCharCharCharCharCharChar"/>
                <w:bCs/>
                <w:iCs/>
              </w:rPr>
            </w:pPr>
            <w:r w:rsidRPr="0098213C">
              <w:rPr>
                <w:rStyle w:val="TableTextLessSpaceCharCharCharCharCharCharCharCharChar"/>
                <w:bCs/>
                <w:iCs/>
              </w:rPr>
              <w:t>HPV</w:t>
            </w:r>
          </w:p>
        </w:tc>
        <w:tc>
          <w:tcPr>
            <w:tcW w:w="1156" w:type="dxa"/>
            <w:tcBorders>
              <w:top w:val="single" w:sz="4" w:space="0" w:color="auto"/>
              <w:bottom w:val="single" w:sz="4" w:space="0" w:color="auto"/>
            </w:tcBorders>
            <w:noWrap/>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71.84</w:t>
            </w:r>
          </w:p>
        </w:tc>
        <w:tc>
          <w:tcPr>
            <w:tcW w:w="1156" w:type="dxa"/>
            <w:tcBorders>
              <w:top w:val="single" w:sz="4" w:space="0" w:color="auto"/>
              <w:bottom w:val="single" w:sz="4" w:space="0" w:color="auto"/>
            </w:tcBorders>
            <w:noWrap/>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6.1</w:t>
            </w:r>
            <w:r w:rsidR="00234376" w:rsidRPr="0098213C">
              <w:rPr>
                <w:rStyle w:val="TableTextLessSpaceCharCharCharCharCharCharCharCharChar"/>
              </w:rPr>
              <w:t>2</w:t>
            </w:r>
          </w:p>
        </w:tc>
        <w:tc>
          <w:tcPr>
            <w:tcW w:w="1156" w:type="dxa"/>
            <w:tcBorders>
              <w:top w:val="single" w:sz="4" w:space="0" w:color="auto"/>
              <w:bottom w:val="single" w:sz="4" w:space="0" w:color="auto"/>
            </w:tcBorders>
            <w:noWrap/>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19.06</w:t>
            </w:r>
          </w:p>
        </w:tc>
        <w:tc>
          <w:tcPr>
            <w:tcW w:w="1145" w:type="dxa"/>
            <w:tcBorders>
              <w:top w:val="single" w:sz="4" w:space="0" w:color="auto"/>
              <w:bottom w:val="single" w:sz="4" w:space="0" w:color="auto"/>
            </w:tcBorders>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2.99</w:t>
            </w:r>
          </w:p>
        </w:tc>
        <w:tc>
          <w:tcPr>
            <w:tcW w:w="1143" w:type="dxa"/>
            <w:tcBorders>
              <w:top w:val="single" w:sz="4" w:space="0" w:color="auto"/>
              <w:bottom w:val="single" w:sz="4" w:space="0" w:color="auto"/>
            </w:tcBorders>
          </w:tcPr>
          <w:p w:rsidR="00234376" w:rsidRPr="0098213C" w:rsidRDefault="00234376" w:rsidP="008E03A7">
            <w:pPr>
              <w:pStyle w:val="TableTextLessSpaceCharCharCharCharCharCharCharChar"/>
              <w:jc w:val="center"/>
              <w:rPr>
                <w:rStyle w:val="TableTextLessSpaceCharCharCharCharCharCharCharCharChar"/>
                <w:i/>
              </w:rPr>
            </w:pPr>
            <w:r w:rsidRPr="0098213C">
              <w:rPr>
                <w:rStyle w:val="TableTextLessSpaceCharCharCharCharCharCharCharCharChar"/>
                <w:i/>
              </w:rPr>
              <w:t>100</w:t>
            </w:r>
          </w:p>
        </w:tc>
      </w:tr>
      <w:tr w:rsidR="00234376" w:rsidRPr="0098213C">
        <w:trPr>
          <w:trHeight w:val="340"/>
        </w:trPr>
        <w:tc>
          <w:tcPr>
            <w:tcW w:w="1438" w:type="dxa"/>
            <w:tcBorders>
              <w:top w:val="single" w:sz="4" w:space="0" w:color="auto"/>
              <w:bottom w:val="single" w:sz="4" w:space="0" w:color="auto"/>
            </w:tcBorders>
            <w:noWrap/>
          </w:tcPr>
          <w:p w:rsidR="00234376" w:rsidRPr="0098213C" w:rsidRDefault="00234376" w:rsidP="00234376">
            <w:pPr>
              <w:pStyle w:val="TableHeading"/>
              <w:rPr>
                <w:rStyle w:val="TableTextLessSpaceCharCharCharCharCharCharCharCharChar"/>
                <w:bCs/>
                <w:iCs/>
              </w:rPr>
            </w:pPr>
            <w:r w:rsidRPr="0098213C">
              <w:rPr>
                <w:rStyle w:val="TableTextLessSpaceCharCharCharCharCharCharCharCharChar"/>
                <w:bCs/>
                <w:iCs/>
              </w:rPr>
              <w:t>CIN 1</w:t>
            </w:r>
          </w:p>
        </w:tc>
        <w:tc>
          <w:tcPr>
            <w:tcW w:w="1156" w:type="dxa"/>
            <w:tcBorders>
              <w:top w:val="single" w:sz="4" w:space="0" w:color="auto"/>
              <w:bottom w:val="single" w:sz="4" w:space="0" w:color="auto"/>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12.94</w:t>
            </w:r>
          </w:p>
        </w:tc>
        <w:tc>
          <w:tcPr>
            <w:tcW w:w="1156" w:type="dxa"/>
            <w:tcBorders>
              <w:top w:val="single" w:sz="4" w:space="0" w:color="auto"/>
              <w:bottom w:val="single" w:sz="4" w:space="0" w:color="auto"/>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15.64</w:t>
            </w:r>
          </w:p>
        </w:tc>
        <w:tc>
          <w:tcPr>
            <w:tcW w:w="1156" w:type="dxa"/>
            <w:tcBorders>
              <w:top w:val="single" w:sz="4" w:space="0" w:color="auto"/>
              <w:bottom w:val="single" w:sz="4" w:space="0" w:color="auto"/>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56.70</w:t>
            </w:r>
          </w:p>
        </w:tc>
        <w:tc>
          <w:tcPr>
            <w:tcW w:w="1145" w:type="dxa"/>
            <w:tcBorders>
              <w:top w:val="single" w:sz="4" w:space="0" w:color="auto"/>
              <w:bottom w:val="single" w:sz="4" w:space="0" w:color="auto"/>
            </w:tcBorders>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14.72</w:t>
            </w:r>
          </w:p>
        </w:tc>
        <w:tc>
          <w:tcPr>
            <w:tcW w:w="1143" w:type="dxa"/>
            <w:tcBorders>
              <w:top w:val="single" w:sz="4" w:space="0" w:color="auto"/>
              <w:bottom w:val="single" w:sz="4" w:space="0" w:color="auto"/>
            </w:tcBorders>
          </w:tcPr>
          <w:p w:rsidR="00234376" w:rsidRPr="0098213C" w:rsidRDefault="00234376" w:rsidP="008E03A7">
            <w:pPr>
              <w:pStyle w:val="TableTextLessSpaceCharCharCharCharCharCharCharChar"/>
              <w:jc w:val="center"/>
              <w:rPr>
                <w:rStyle w:val="TableTextLessSpaceCharCharCharCharCharCharCharCharChar"/>
                <w:i/>
              </w:rPr>
            </w:pPr>
            <w:r w:rsidRPr="0098213C">
              <w:rPr>
                <w:rStyle w:val="TableTextLessSpaceCharCharCharCharCharCharCharCharChar"/>
                <w:i/>
              </w:rPr>
              <w:t>100</w:t>
            </w:r>
          </w:p>
        </w:tc>
      </w:tr>
      <w:tr w:rsidR="00234376" w:rsidRPr="0098213C">
        <w:trPr>
          <w:trHeight w:val="340"/>
        </w:trPr>
        <w:tc>
          <w:tcPr>
            <w:tcW w:w="1438" w:type="dxa"/>
            <w:tcBorders>
              <w:top w:val="single" w:sz="4" w:space="0" w:color="auto"/>
              <w:bottom w:val="single" w:sz="4" w:space="0" w:color="auto"/>
            </w:tcBorders>
            <w:noWrap/>
          </w:tcPr>
          <w:p w:rsidR="00234376" w:rsidRPr="0098213C" w:rsidRDefault="00234376" w:rsidP="00234376">
            <w:pPr>
              <w:pStyle w:val="TableHeading"/>
              <w:rPr>
                <w:rStyle w:val="TableTextLessSpaceCharCharCharCharCharCharCharCharChar"/>
                <w:bCs/>
                <w:iCs/>
              </w:rPr>
            </w:pPr>
            <w:r w:rsidRPr="0098213C">
              <w:rPr>
                <w:rStyle w:val="TableTextLessSpaceCharCharCharCharCharCharCharCharChar"/>
                <w:bCs/>
                <w:iCs/>
              </w:rPr>
              <w:t>CIN 2+</w:t>
            </w:r>
          </w:p>
        </w:tc>
        <w:tc>
          <w:tcPr>
            <w:tcW w:w="1156" w:type="dxa"/>
            <w:tcBorders>
              <w:top w:val="single" w:sz="4" w:space="0" w:color="auto"/>
              <w:bottom w:val="single" w:sz="4" w:space="0" w:color="auto"/>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11.80</w:t>
            </w:r>
          </w:p>
        </w:tc>
        <w:tc>
          <w:tcPr>
            <w:tcW w:w="1156" w:type="dxa"/>
            <w:tcBorders>
              <w:top w:val="single" w:sz="4" w:space="0" w:color="auto"/>
              <w:bottom w:val="single" w:sz="4" w:space="0" w:color="auto"/>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12.60</w:t>
            </w:r>
          </w:p>
        </w:tc>
        <w:tc>
          <w:tcPr>
            <w:tcW w:w="1156" w:type="dxa"/>
            <w:tcBorders>
              <w:top w:val="single" w:sz="4" w:space="0" w:color="auto"/>
              <w:bottom w:val="single" w:sz="4" w:space="0" w:color="auto"/>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20.40</w:t>
            </w:r>
          </w:p>
        </w:tc>
        <w:tc>
          <w:tcPr>
            <w:tcW w:w="1145" w:type="dxa"/>
            <w:tcBorders>
              <w:top w:val="single" w:sz="4" w:space="0" w:color="auto"/>
              <w:bottom w:val="single" w:sz="4" w:space="0" w:color="auto"/>
            </w:tcBorders>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55.20</w:t>
            </w:r>
          </w:p>
        </w:tc>
        <w:tc>
          <w:tcPr>
            <w:tcW w:w="1143" w:type="dxa"/>
            <w:tcBorders>
              <w:top w:val="single" w:sz="4" w:space="0" w:color="auto"/>
              <w:bottom w:val="single" w:sz="4" w:space="0" w:color="auto"/>
            </w:tcBorders>
          </w:tcPr>
          <w:p w:rsidR="00234376" w:rsidRPr="0098213C" w:rsidRDefault="00234376" w:rsidP="008E03A7">
            <w:pPr>
              <w:pStyle w:val="TableTextLessSpaceCharCharCharCharCharCharCharChar"/>
              <w:jc w:val="center"/>
              <w:rPr>
                <w:rStyle w:val="TableTextLessSpaceCharCharCharCharCharCharCharCharChar"/>
                <w:i/>
              </w:rPr>
            </w:pPr>
            <w:r w:rsidRPr="0098213C">
              <w:rPr>
                <w:rStyle w:val="TableTextLessSpaceCharCharCharCharCharCharCharCharChar"/>
                <w:i/>
              </w:rPr>
              <w:t>100</w:t>
            </w:r>
          </w:p>
        </w:tc>
      </w:tr>
    </w:tbl>
    <w:p w:rsidR="00234376" w:rsidRPr="0098213C" w:rsidRDefault="00234376" w:rsidP="008E03A7">
      <w:pPr>
        <w:pStyle w:val="TableNotes"/>
      </w:pPr>
      <w:r w:rsidRPr="0098213C">
        <w:rPr>
          <w:rFonts w:eastAsia="Times New Roman"/>
          <w:vertAlign w:val="superscript"/>
        </w:rPr>
        <w:t>a</w:t>
      </w:r>
      <w:r w:rsidRPr="0098213C">
        <w:t xml:space="preserve"> Both reported as ASCUS in TBS1991.</w:t>
      </w:r>
    </w:p>
    <w:p w:rsidR="00234376" w:rsidRPr="0098213C" w:rsidRDefault="00234376" w:rsidP="008E03A7">
      <w:r w:rsidRPr="0098213C">
        <w:lastRenderedPageBreak/>
        <w:t>For a test with these characteristics there is a unique underlying disease distribution which will produce a target cytology distribution: multiplying the inverse of this test probability matrix by the target distribution gives the underlying disease distribution. If we set the target test yield distribution as either the NSW PTR 2006 Q4 all ages distribution (as in Method 2(c)) or the VCCR data all ages distribution (as in Method 2(b)), then an impossible disease distribution is implied, involving negative ‘proportions’ of the population, or ‘proportions’ greater than 1 (</w:t>
      </w:r>
      <w:r w:rsidRPr="0098213C">
        <w:fldChar w:fldCharType="begin"/>
      </w:r>
      <w:r w:rsidRPr="0098213C">
        <w:instrText xml:space="preserve"> REF _Ref214423582 \h  \* MERGEFORMAT </w:instrText>
      </w:r>
      <w:r w:rsidRPr="0098213C">
        <w:fldChar w:fldCharType="separate"/>
      </w:r>
      <w:r w:rsidR="007D3DFF" w:rsidRPr="0098213C">
        <w:t xml:space="preserve">Table </w:t>
      </w:r>
      <w:r w:rsidR="007D3DFF">
        <w:rPr>
          <w:noProof/>
        </w:rPr>
        <w:t>81</w:t>
      </w:r>
      <w:r w:rsidRPr="0098213C">
        <w:fldChar w:fldCharType="end"/>
      </w:r>
      <w:r w:rsidRPr="0098213C">
        <w:t>).</w:t>
      </w:r>
    </w:p>
    <w:p w:rsidR="00234376" w:rsidRPr="0098213C" w:rsidRDefault="00234376" w:rsidP="008E03A7">
      <w:pPr>
        <w:pStyle w:val="Caption"/>
      </w:pPr>
      <w:bookmarkStart w:id="1196" w:name="_Ref214423582"/>
      <w:bookmarkStart w:id="1197" w:name="_Toc216169969"/>
      <w:bookmarkStart w:id="1198" w:name="_Toc95971317"/>
      <w:r w:rsidRPr="0098213C">
        <w:t xml:space="preserve">Table </w:t>
      </w:r>
      <w:fldSimple w:instr=" SEQ Table \* ARABIC ">
        <w:r w:rsidR="007D3DFF">
          <w:rPr>
            <w:noProof/>
          </w:rPr>
          <w:t>81</w:t>
        </w:r>
      </w:fldSimple>
      <w:bookmarkEnd w:id="1196"/>
      <w:r w:rsidRPr="0098213C">
        <w:tab/>
        <w:t>Implied underlying disease distribution by various derivation methods</w:t>
      </w:r>
      <w:bookmarkEnd w:id="1197"/>
      <w:r w:rsidRPr="0098213C">
        <w:t>.</w:t>
      </w:r>
      <w:bookmarkEnd w:id="1198"/>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2"/>
        <w:gridCol w:w="1004"/>
        <w:gridCol w:w="1004"/>
        <w:gridCol w:w="1004"/>
        <w:gridCol w:w="1004"/>
      </w:tblGrid>
      <w:tr w:rsidR="00234376" w:rsidRPr="0098213C">
        <w:trPr>
          <w:trHeight w:val="353"/>
        </w:trPr>
        <w:tc>
          <w:tcPr>
            <w:tcW w:w="4212" w:type="dxa"/>
            <w:tcBorders>
              <w:top w:val="single" w:sz="4" w:space="0" w:color="auto"/>
              <w:left w:val="nil"/>
              <w:bottom w:val="single" w:sz="4" w:space="0" w:color="auto"/>
            </w:tcBorders>
            <w:noWrap/>
          </w:tcPr>
          <w:p w:rsidR="00234376" w:rsidRPr="0098213C" w:rsidRDefault="00234376" w:rsidP="00234376">
            <w:pPr>
              <w:pStyle w:val="TableHeading"/>
              <w:rPr>
                <w:rStyle w:val="TableTextLessSpaceCharCharCharCharCharCharCharCharChar"/>
                <w:bCs/>
                <w:iCs/>
              </w:rPr>
            </w:pPr>
            <w:r w:rsidRPr="0098213C">
              <w:rPr>
                <w:rStyle w:val="TableTextLessSpaceCharCharCharCharCharCharCharCharChar"/>
                <w:bCs/>
              </w:rPr>
              <w:t>Distribution of disease/histology in the screening population</w:t>
            </w:r>
          </w:p>
        </w:tc>
        <w:tc>
          <w:tcPr>
            <w:tcW w:w="1004" w:type="dxa"/>
            <w:tcBorders>
              <w:bottom w:val="single" w:sz="4" w:space="0" w:color="auto"/>
            </w:tcBorders>
            <w:noWrap/>
          </w:tcPr>
          <w:p w:rsidR="00234376" w:rsidRPr="0098213C" w:rsidRDefault="00234376" w:rsidP="008E03A7">
            <w:pPr>
              <w:pStyle w:val="TableHeading"/>
              <w:jc w:val="center"/>
              <w:rPr>
                <w:rStyle w:val="TableTextLessSpaceCharCharCharCharCharCharCharCharChar"/>
                <w:bCs/>
              </w:rPr>
            </w:pPr>
            <w:r w:rsidRPr="0098213C">
              <w:rPr>
                <w:rStyle w:val="TableTextLessSpaceCharCharCharCharCharCharCharCharChar"/>
                <w:bCs/>
              </w:rPr>
              <w:t>Negative</w:t>
            </w:r>
          </w:p>
        </w:tc>
        <w:tc>
          <w:tcPr>
            <w:tcW w:w="1004" w:type="dxa"/>
            <w:tcBorders>
              <w:bottom w:val="single" w:sz="4" w:space="0" w:color="auto"/>
            </w:tcBorders>
            <w:noWrap/>
          </w:tcPr>
          <w:p w:rsidR="00234376" w:rsidRPr="0098213C" w:rsidRDefault="00234376" w:rsidP="008E03A7">
            <w:pPr>
              <w:pStyle w:val="TableHeading"/>
              <w:jc w:val="center"/>
              <w:rPr>
                <w:rStyle w:val="TableTextLessSpaceCharCharCharCharCharCharCharCharChar"/>
                <w:bCs/>
              </w:rPr>
            </w:pPr>
            <w:r w:rsidRPr="0098213C">
              <w:rPr>
                <w:rStyle w:val="TableTextLessSpaceCharCharCharCharCharCharCharCharChar"/>
                <w:bCs/>
              </w:rPr>
              <w:t>HPV</w:t>
            </w:r>
          </w:p>
        </w:tc>
        <w:tc>
          <w:tcPr>
            <w:tcW w:w="1004" w:type="dxa"/>
            <w:tcBorders>
              <w:bottom w:val="single" w:sz="4" w:space="0" w:color="auto"/>
            </w:tcBorders>
            <w:noWrap/>
          </w:tcPr>
          <w:p w:rsidR="00234376" w:rsidRPr="0098213C" w:rsidRDefault="00234376" w:rsidP="008E03A7">
            <w:pPr>
              <w:pStyle w:val="TableHeading"/>
              <w:jc w:val="center"/>
              <w:rPr>
                <w:rStyle w:val="TableTextLessSpaceCharCharCharCharCharCharCharCharChar"/>
                <w:bCs/>
              </w:rPr>
            </w:pPr>
            <w:r w:rsidRPr="0098213C">
              <w:rPr>
                <w:rStyle w:val="TableTextLessSpaceCharCharCharCharCharCharCharCharChar"/>
                <w:bCs/>
              </w:rPr>
              <w:t>CIN 1</w:t>
            </w:r>
          </w:p>
        </w:tc>
        <w:tc>
          <w:tcPr>
            <w:tcW w:w="1004" w:type="dxa"/>
            <w:tcBorders>
              <w:top w:val="single" w:sz="4" w:space="0" w:color="auto"/>
              <w:bottom w:val="single" w:sz="4" w:space="0" w:color="auto"/>
              <w:right w:val="nil"/>
            </w:tcBorders>
            <w:noWrap/>
          </w:tcPr>
          <w:p w:rsidR="00234376" w:rsidRPr="0098213C" w:rsidRDefault="00234376" w:rsidP="008E03A7">
            <w:pPr>
              <w:pStyle w:val="TableHeading"/>
              <w:jc w:val="center"/>
              <w:rPr>
                <w:rStyle w:val="TableTextLessSpaceCharCharCharCharCharCharCharCharChar"/>
                <w:bCs/>
              </w:rPr>
            </w:pPr>
            <w:r w:rsidRPr="0098213C">
              <w:rPr>
                <w:rStyle w:val="TableTextLessSpaceCharCharCharCharCharCharCharCharChar"/>
                <w:bCs/>
              </w:rPr>
              <w:t>CIN 2+</w:t>
            </w:r>
          </w:p>
        </w:tc>
      </w:tr>
      <w:tr w:rsidR="00234376" w:rsidRPr="0098213C">
        <w:trPr>
          <w:trHeight w:val="353"/>
        </w:trPr>
        <w:tc>
          <w:tcPr>
            <w:tcW w:w="4212" w:type="dxa"/>
            <w:tcBorders>
              <w:top w:val="single" w:sz="4" w:space="0" w:color="auto"/>
              <w:left w:val="nil"/>
              <w:bottom w:val="single" w:sz="4" w:space="0" w:color="auto"/>
            </w:tcBorders>
            <w:noWrap/>
          </w:tcPr>
          <w:p w:rsidR="00234376" w:rsidRPr="0098213C" w:rsidRDefault="00234376" w:rsidP="00234376">
            <w:pPr>
              <w:pStyle w:val="TableHeading"/>
              <w:rPr>
                <w:rStyle w:val="TableTextLessSpaceCharCharCharCharCharCharCharCharChar"/>
                <w:bCs/>
                <w:iCs/>
              </w:rPr>
            </w:pPr>
            <w:r w:rsidRPr="0098213C">
              <w:rPr>
                <w:rStyle w:val="TableTextLessSpaceCharCharCharCharCharCharCharCharChar"/>
                <w:bCs/>
                <w:iCs/>
              </w:rPr>
              <w:t>Proportion of screening population; derived from test yields applied in Method 2(c)</w:t>
            </w:r>
          </w:p>
        </w:tc>
        <w:tc>
          <w:tcPr>
            <w:tcW w:w="1004" w:type="dxa"/>
            <w:tcBorders>
              <w:top w:val="single" w:sz="4" w:space="0" w:color="auto"/>
              <w:bottom w:val="single" w:sz="4" w:space="0" w:color="auto"/>
            </w:tcBorders>
            <w:noWrap/>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0.05</w:t>
            </w:r>
          </w:p>
        </w:tc>
        <w:tc>
          <w:tcPr>
            <w:tcW w:w="1004" w:type="dxa"/>
            <w:tcBorders>
              <w:top w:val="single" w:sz="4" w:space="0" w:color="auto"/>
              <w:bottom w:val="single" w:sz="4" w:space="0" w:color="auto"/>
            </w:tcBorders>
            <w:noWrap/>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1.32</w:t>
            </w:r>
          </w:p>
        </w:tc>
        <w:tc>
          <w:tcPr>
            <w:tcW w:w="1004" w:type="dxa"/>
            <w:tcBorders>
              <w:top w:val="single" w:sz="4" w:space="0" w:color="auto"/>
              <w:bottom w:val="single" w:sz="4" w:space="0" w:color="auto"/>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w:t>
            </w:r>
            <w:r w:rsidR="007B06DF" w:rsidRPr="0098213C">
              <w:rPr>
                <w:rStyle w:val="TableTextLessSpaceCharCharCharCharCharCharCharCharChar"/>
              </w:rPr>
              <w:t>0.42</w:t>
            </w:r>
          </w:p>
        </w:tc>
        <w:tc>
          <w:tcPr>
            <w:tcW w:w="1004" w:type="dxa"/>
            <w:tcBorders>
              <w:top w:val="single" w:sz="4" w:space="0" w:color="auto"/>
              <w:bottom w:val="single" w:sz="4" w:space="0" w:color="auto"/>
              <w:right w:val="nil"/>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0.</w:t>
            </w:r>
            <w:r w:rsidR="007B06DF" w:rsidRPr="0098213C">
              <w:rPr>
                <w:rStyle w:val="TableTextLessSpaceCharCharCharCharCharCharCharCharChar"/>
              </w:rPr>
              <w:t>05</w:t>
            </w:r>
          </w:p>
        </w:tc>
      </w:tr>
      <w:tr w:rsidR="00234376" w:rsidRPr="0098213C">
        <w:trPr>
          <w:trHeight w:val="353"/>
        </w:trPr>
        <w:tc>
          <w:tcPr>
            <w:tcW w:w="4212" w:type="dxa"/>
            <w:tcBorders>
              <w:top w:val="single" w:sz="4" w:space="0" w:color="auto"/>
              <w:left w:val="nil"/>
              <w:bottom w:val="single" w:sz="4" w:space="0" w:color="auto"/>
            </w:tcBorders>
            <w:noWrap/>
          </w:tcPr>
          <w:p w:rsidR="00234376" w:rsidRPr="0098213C" w:rsidRDefault="00234376" w:rsidP="00234376">
            <w:pPr>
              <w:pStyle w:val="TableHeading"/>
              <w:rPr>
                <w:rStyle w:val="TableTextLessSpaceCharCharCharCharCharCharCharCharChar"/>
                <w:bCs/>
                <w:iCs/>
              </w:rPr>
            </w:pPr>
            <w:r w:rsidRPr="0098213C">
              <w:rPr>
                <w:rStyle w:val="TableTextLessSpaceCharCharCharCharCharCharCharCharChar"/>
                <w:bCs/>
                <w:iCs/>
              </w:rPr>
              <w:t>Proportion of screening population; derived from test yields applied in Method 2(b)</w:t>
            </w:r>
          </w:p>
        </w:tc>
        <w:tc>
          <w:tcPr>
            <w:tcW w:w="1004" w:type="dxa"/>
            <w:tcBorders>
              <w:top w:val="single" w:sz="4" w:space="0" w:color="auto"/>
              <w:bottom w:val="single" w:sz="4" w:space="0" w:color="auto"/>
            </w:tcBorders>
            <w:noWrap/>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0.16</w:t>
            </w:r>
          </w:p>
        </w:tc>
        <w:tc>
          <w:tcPr>
            <w:tcW w:w="1004" w:type="dxa"/>
            <w:tcBorders>
              <w:top w:val="single" w:sz="4" w:space="0" w:color="auto"/>
              <w:bottom w:val="single" w:sz="4" w:space="0" w:color="auto"/>
            </w:tcBorders>
            <w:noWrap/>
          </w:tcPr>
          <w:p w:rsidR="00234376" w:rsidRPr="0098213C" w:rsidRDefault="007B06DF"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1.19</w:t>
            </w:r>
          </w:p>
        </w:tc>
        <w:tc>
          <w:tcPr>
            <w:tcW w:w="1004" w:type="dxa"/>
            <w:tcBorders>
              <w:top w:val="single" w:sz="4" w:space="0" w:color="auto"/>
              <w:bottom w:val="single" w:sz="4" w:space="0" w:color="auto"/>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w:t>
            </w:r>
            <w:r w:rsidR="007B06DF" w:rsidRPr="0098213C">
              <w:rPr>
                <w:rStyle w:val="TableTextLessSpaceCharCharCharCharCharCharCharCharChar"/>
              </w:rPr>
              <w:t>0.41</w:t>
            </w:r>
          </w:p>
        </w:tc>
        <w:tc>
          <w:tcPr>
            <w:tcW w:w="1004" w:type="dxa"/>
            <w:tcBorders>
              <w:top w:val="single" w:sz="4" w:space="0" w:color="auto"/>
              <w:bottom w:val="single" w:sz="4" w:space="0" w:color="auto"/>
              <w:right w:val="nil"/>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0.</w:t>
            </w:r>
            <w:r w:rsidR="007B06DF" w:rsidRPr="0098213C">
              <w:rPr>
                <w:rStyle w:val="TableTextLessSpaceCharCharCharCharCharCharCharCharChar"/>
              </w:rPr>
              <w:t>06</w:t>
            </w:r>
          </w:p>
        </w:tc>
      </w:tr>
      <w:tr w:rsidR="00234376" w:rsidRPr="00537C3C">
        <w:trPr>
          <w:trHeight w:val="353"/>
        </w:trPr>
        <w:tc>
          <w:tcPr>
            <w:tcW w:w="4212" w:type="dxa"/>
            <w:tcBorders>
              <w:top w:val="single" w:sz="4" w:space="0" w:color="auto"/>
              <w:left w:val="nil"/>
              <w:bottom w:val="single" w:sz="4" w:space="0" w:color="auto"/>
            </w:tcBorders>
            <w:noWrap/>
          </w:tcPr>
          <w:p w:rsidR="00234376" w:rsidRPr="0098213C" w:rsidRDefault="00234376" w:rsidP="00234376">
            <w:pPr>
              <w:pStyle w:val="TableHeading"/>
              <w:rPr>
                <w:rStyle w:val="TableTextLessSpaceCharCharCharCharCharCharCharCharChar"/>
                <w:bCs/>
                <w:iCs/>
              </w:rPr>
            </w:pPr>
            <w:r w:rsidRPr="0098213C">
              <w:rPr>
                <w:rStyle w:val="TableTextLessSpaceCharCharCharCharCharCharCharCharChar"/>
                <w:bCs/>
                <w:iCs/>
              </w:rPr>
              <w:t>Proportion of screening population; derived from Method 2(a) prevalence estimates (all ages)</w:t>
            </w:r>
          </w:p>
        </w:tc>
        <w:tc>
          <w:tcPr>
            <w:tcW w:w="1004" w:type="dxa"/>
            <w:tcBorders>
              <w:top w:val="single" w:sz="4" w:space="0" w:color="auto"/>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0.795</w:t>
            </w:r>
          </w:p>
        </w:tc>
        <w:tc>
          <w:tcPr>
            <w:tcW w:w="1004" w:type="dxa"/>
            <w:tcBorders>
              <w:top w:val="single" w:sz="4" w:space="0" w:color="auto"/>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0.147</w:t>
            </w:r>
          </w:p>
        </w:tc>
        <w:tc>
          <w:tcPr>
            <w:tcW w:w="1004" w:type="dxa"/>
            <w:tcBorders>
              <w:top w:val="single" w:sz="4" w:space="0" w:color="auto"/>
            </w:tcBorders>
            <w:noWrap/>
          </w:tcPr>
          <w:p w:rsidR="00234376" w:rsidRPr="009821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0.035</w:t>
            </w:r>
          </w:p>
        </w:tc>
        <w:tc>
          <w:tcPr>
            <w:tcW w:w="1004" w:type="dxa"/>
            <w:tcBorders>
              <w:top w:val="single" w:sz="4" w:space="0" w:color="auto"/>
              <w:bottom w:val="single" w:sz="4" w:space="0" w:color="auto"/>
              <w:right w:val="nil"/>
            </w:tcBorders>
            <w:noWrap/>
          </w:tcPr>
          <w:p w:rsidR="00234376" w:rsidRPr="00537C3C" w:rsidRDefault="00234376" w:rsidP="008E03A7">
            <w:pPr>
              <w:pStyle w:val="TableTextLessSpaceCharCharCharCharCharCharCharChar"/>
              <w:jc w:val="center"/>
              <w:rPr>
                <w:rStyle w:val="TableTextLessSpaceCharCharCharCharCharCharCharCharChar"/>
              </w:rPr>
            </w:pPr>
            <w:r w:rsidRPr="0098213C">
              <w:rPr>
                <w:rStyle w:val="TableTextLessSpaceCharCharCharCharCharCharCharCharChar"/>
              </w:rPr>
              <w:t>0.023</w:t>
            </w:r>
          </w:p>
        </w:tc>
      </w:tr>
    </w:tbl>
    <w:p w:rsidR="00234376" w:rsidRPr="00537C3C" w:rsidRDefault="00234376" w:rsidP="008E03A7">
      <w:pPr>
        <w:ind w:left="567"/>
      </w:pPr>
    </w:p>
    <w:p w:rsidR="00185EF4" w:rsidRPr="00537C3C" w:rsidRDefault="00234376" w:rsidP="00185EF4">
      <w:r w:rsidRPr="00537C3C">
        <w:t xml:space="preserve">These ‘proportions’ indicate that it is difficult to reconcile the sensitivities and specificities estimated by Arbyn </w:t>
      </w:r>
      <w:r w:rsidRPr="0030078D">
        <w:t>et al.</w:t>
      </w:r>
      <w:r w:rsidRPr="00537C3C">
        <w:t xml:space="preserve"> with the operating characteristics of screening population-based cytology. This may be because of differences in the populations included in the meta-analysis. </w:t>
      </w:r>
      <w:bookmarkStart w:id="1199" w:name="OLE_LINK458"/>
      <w:bookmarkStart w:id="1200" w:name="OLE_LINK459"/>
      <w:r w:rsidRPr="00C27CD6">
        <w:t>SROCs</w:t>
      </w:r>
      <w:r w:rsidRPr="00537C3C">
        <w:t xml:space="preserve"> </w:t>
      </w:r>
      <w:bookmarkEnd w:id="1199"/>
      <w:bookmarkEnd w:id="1200"/>
      <w:r w:rsidRPr="00537C3C">
        <w:t>of optimised interpretation data in Coste 2003 and our transformation of these data indicate that screening population studies operate in a consistently different region from studies o</w:t>
      </w:r>
      <w:r w:rsidRPr="00537C3C" w:rsidDel="00C27CD6">
        <w:t>f</w:t>
      </w:r>
      <w:r w:rsidRPr="00537C3C">
        <w:t xml:space="preserve"> participants referred for investigation (usually colposcopy), as shown in</w:t>
      </w:r>
      <w:r w:rsidR="00CC265E">
        <w:t xml:space="preserve"> </w:t>
      </w:r>
      <w:r w:rsidR="00185EF4">
        <w:fldChar w:fldCharType="begin"/>
      </w:r>
      <w:r w:rsidR="00185EF4">
        <w:instrText xml:space="preserve"> REF _Ref222738689 \h </w:instrText>
      </w:r>
      <w:r w:rsidR="00185EF4">
        <w:fldChar w:fldCharType="separate"/>
      </w:r>
      <w:r w:rsidR="007D3DFF">
        <w:t xml:space="preserve">Figure </w:t>
      </w:r>
      <w:r w:rsidR="007D3DFF">
        <w:rPr>
          <w:noProof/>
        </w:rPr>
        <w:t>22</w:t>
      </w:r>
      <w:r w:rsidR="00185EF4">
        <w:fldChar w:fldCharType="end"/>
      </w:r>
    </w:p>
    <w:p w:rsidR="00234376" w:rsidRPr="00537C3C" w:rsidRDefault="00CC265E" w:rsidP="008E03A7">
      <w:r>
        <w:t>Figure 22</w:t>
      </w:r>
      <w:r w:rsidR="00234376" w:rsidRPr="00537C3C">
        <w:t xml:space="preserve">. A recent review </w:t>
      </w:r>
      <w:r w:rsidR="00234376" w:rsidRPr="00537C3C">
        <w:fldChar w:fldCharType="begin"/>
      </w:r>
      <w:r w:rsidR="00234376" w:rsidRPr="00537C3C">
        <w:instrText xml:space="preserve"> ADDIN REFMGR.CITE &lt;Refman&gt;&lt;Cite&gt;&lt;Author&gt;Davey&lt;/Author&gt;&lt;Year&gt;2006&lt;/Year&gt;&lt;RecNum&gt;268&lt;/RecNum&gt;&lt;IDText&gt;Effect of study design and quality on unsatisfactory rates, cytology classifications, and accuracy in liquid-based versus conventional cervical cytology: A systematic review&lt;/IDText&gt;&lt;MDL Ref_Type="Journal"&gt;&lt;Ref_Type&gt;Journal&lt;/Ref_Type&gt;&lt;Ref_ID&gt;268&lt;/Ref_ID&gt;&lt;Title_Primary&gt;Effect of study design and quality on unsatisfactory rates, cytology classifications, and accuracy in liquid-based versus conventional cervical cytology: A systematic review&lt;/Title_Primary&gt;&lt;Authors_Primary&gt;Davey,E.&lt;/Authors_Primary&gt;&lt;Authors_Primary&gt;Barratt,A.&lt;/Authors_Primary&gt;&lt;Authors_Primary&gt;Irwig,L.&lt;/Authors_Primary&gt;&lt;Authors_Primary&gt;Chan,S.F.&lt;/Authors_Primary&gt;&lt;Authors_Primary&gt;Macaskill,P.&lt;/Authors_Primary&gt;&lt;Authors_Primary&gt;Mannes,P.&lt;/Authors_Primary&gt;&lt;Authors_Primary&gt;Saville,A.M.&lt;/Authors_Primary&gt;&lt;Date_Primary&gt;2006&lt;/Date_Primary&gt;&lt;Keywords&gt;cancer screening&lt;/Keywords&gt;&lt;Keywords&gt;comparative study&lt;/Keywords&gt;&lt;Keywords&gt;cytodiagnosis&lt;/Keywords&gt;&lt;Keywords&gt;cytology&lt;/Keywords&gt;&lt;Keywords&gt;cytopathology&lt;/Keywords&gt;&lt;Keywords&gt;diagnostic accuracy&lt;/Keywords&gt;&lt;Keywords&gt;human&lt;/Keywords&gt;&lt;Keywords&gt;liquid based cytology&lt;/Keywords&gt;&lt;Keywords&gt;methodology&lt;/Keywords&gt;&lt;Keywords&gt;Papanicolaou test&lt;/Keywords&gt;&lt;Keywords&gt;priority journal&lt;/Keywords&gt;&lt;Keywords&gt;review&lt;/Keywords&gt;&lt;Keywords&gt;sensitivity and specificity&lt;/Keywords&gt;&lt;Keywords&gt;squamous epithelium&lt;/Keywords&gt;&lt;Keywords&gt;systematic review&lt;/Keywords&gt;&lt;Keywords&gt;uterine cervix cytology&lt;/Keywords&gt;&lt;Reprint&gt;Not in File&lt;/Reprint&gt;&lt;Start_Page&gt;122&lt;/Start_Page&gt;&lt;End_Page&gt;132&lt;/End_Page&gt;&lt;Periodical&gt;Lancet&lt;/Periodical&gt;&lt;Volume&gt;367&lt;/Volume&gt;&lt;Issue&gt;9505&lt;/Issue&gt;&lt;ISSN_ISBN&gt;0140-6736&lt;/ISSN_ISBN&gt;&lt;Address&gt;Davey, E., Screening and Test Evaluation Program, School of Public Health, University of Sydney, NSW 2006, Australia&lt;/Address&gt;&lt;ZZ_JournalFull&gt;&lt;f name="System"&gt;Lancet&lt;/f&gt;&lt;/ZZ_JournalFull&gt;&lt;ZZ_WorkformID&gt;1&lt;/ZZ_WorkformID&gt;&lt;/MDL&gt;&lt;/Cite&gt;&lt;/Refman&gt;</w:instrText>
      </w:r>
      <w:r w:rsidR="00234376" w:rsidRPr="00537C3C">
        <w:fldChar w:fldCharType="separate"/>
      </w:r>
      <w:r w:rsidR="00234376" w:rsidRPr="00537C3C">
        <w:t>(Davey et al. 2006)</w:t>
      </w:r>
      <w:r w:rsidR="00234376" w:rsidRPr="00537C3C">
        <w:fldChar w:fldCharType="end"/>
      </w:r>
      <w:r w:rsidR="00234376" w:rsidRPr="00537C3C">
        <w:t xml:space="preserve"> presents information consistent with this observed difference in cytology test performance.</w:t>
      </w:r>
    </w:p>
    <w:p w:rsidR="00234376" w:rsidRPr="00537C3C" w:rsidRDefault="00F5257D" w:rsidP="00F5257D">
      <w:pPr>
        <w:pStyle w:val="Caption"/>
      </w:pPr>
      <w:bookmarkStart w:id="1201" w:name="_Ref222738689"/>
      <w:bookmarkStart w:id="1202" w:name="_Toc216169988"/>
      <w:bookmarkStart w:id="1203" w:name="_Toc231895863"/>
      <w:bookmarkStart w:id="1204" w:name="_Toc222823917"/>
      <w:r>
        <w:lastRenderedPageBreak/>
        <w:t xml:space="preserve">Figure </w:t>
      </w:r>
      <w:fldSimple w:instr=" SEQ Figure \* ARABIC ">
        <w:r w:rsidR="007D3DFF">
          <w:rPr>
            <w:noProof/>
          </w:rPr>
          <w:t>22</w:t>
        </w:r>
      </w:fldSimple>
      <w:bookmarkEnd w:id="1201"/>
      <w:r>
        <w:tab/>
      </w:r>
      <w:r>
        <w:tab/>
      </w:r>
      <w:r w:rsidR="00234376" w:rsidRPr="00537C3C">
        <w:t>Test characteristics associated with cytology in different populations (screening and colposcopy-referred populations)</w:t>
      </w:r>
      <w:bookmarkEnd w:id="1202"/>
      <w:r w:rsidR="00234376" w:rsidRPr="00537C3C">
        <w:t>.</w:t>
      </w:r>
      <w:bookmarkEnd w:id="1203"/>
      <w:bookmarkEnd w:id="1204"/>
    </w:p>
    <w:p w:rsidR="00234376" w:rsidRPr="00537C3C" w:rsidRDefault="006F242B" w:rsidP="008E03A7">
      <w:pPr>
        <w:keepNext/>
      </w:pPr>
      <w:r>
        <w:rPr>
          <w:noProof/>
          <w:lang w:eastAsia="en-AU"/>
        </w:rPr>
        <w:drawing>
          <wp:inline distT="0" distB="0" distL="0" distR="0">
            <wp:extent cx="4435475" cy="3523615"/>
            <wp:effectExtent l="0" t="0" r="3175" b="635"/>
            <wp:docPr id="20" name="Picture 20" title="Test characteristics associated with cytology in different populations (screening and colposcopy-referre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35475" cy="3523615"/>
                    </a:xfrm>
                    <a:prstGeom prst="rect">
                      <a:avLst/>
                    </a:prstGeom>
                    <a:noFill/>
                  </pic:spPr>
                </pic:pic>
              </a:graphicData>
            </a:graphic>
          </wp:inline>
        </w:drawing>
      </w:r>
      <w:fldSimple w:instr="ref  SHAPE  \* MERGEFORMAT " w:fldLock="1">
        <w:r w:rsidR="00DD6388">
          <w:t>v</w:t>
        </w:r>
      </w:fldSimple>
    </w:p>
    <w:p w:rsidR="00234376" w:rsidRPr="00537C3C" w:rsidRDefault="00234376" w:rsidP="008E03A7">
      <w:pPr>
        <w:pStyle w:val="TableNotes"/>
      </w:pPr>
      <w:r w:rsidRPr="00537C3C">
        <w:t>Source: Coste; results of optimised interpretation.</w:t>
      </w:r>
    </w:p>
    <w:p w:rsidR="00234376" w:rsidRPr="0098213C" w:rsidRDefault="00234376" w:rsidP="008E03A7">
      <w:r w:rsidRPr="00537C3C">
        <w:t xml:space="preserve">When we used the </w:t>
      </w:r>
      <w:r w:rsidRPr="0098213C">
        <w:t xml:space="preserve">disease distribution in the screening population implied by Coste 2003 (Method 2(a)) with HPV prevalence in histologically normal women in the same study </w:t>
      </w:r>
      <w:r w:rsidRPr="0098213C">
        <w:fldChar w:fldCharType="begin"/>
      </w:r>
      <w:r w:rsidRPr="0098213C">
        <w:instrText xml:space="preserve"> ADDIN REFMGR.CITE &lt;Refman&gt;&lt;Cite&gt;&lt;Author&gt;de Cremoux&lt;/Author&gt;&lt;Year&gt;2003&lt;/Year&gt;&lt;RecNum&gt;2&lt;/RecNum&gt;&lt;IDText&gt;Efficiency of the hybrid capture 2 HPV DNA test in cervical cancer screening. A study by the French Society of Clinical Cytology&lt;/IDText&gt;&lt;MDL Ref_Type="Journal"&gt;&lt;Ref_Type&gt;Journal&lt;/Ref_Type&gt;&lt;Ref_ID&gt;2&lt;/Ref_ID&gt;&lt;Title_Primary&gt;Efficiency of the hybrid capture 2 HPV DNA test in cervical cancer screening. A study by the French Society of Clinical Cytology&lt;/Title_Primary&gt;&lt;Authors_Primary&gt;de Cremoux,P.&lt;/Authors_Primary&gt;&lt;Authors_Primary&gt;Coste,J.&lt;/Authors_Primary&gt;&lt;Authors_Primary&gt;Sastre-Garau,X.&lt;/Authors_Primary&gt;&lt;Authors_Primary&gt;Thioux,M.&lt;/Authors_Primary&gt;&lt;Authors_Primary&gt;Bouillac,C.&lt;/Authors_Primary&gt;&lt;Authors_Primary&gt;Labbe,S.&lt;/Authors_Primary&gt;&lt;Authors_Primary&gt;Cartier,I.&lt;/Authors_Primary&gt;&lt;Authors_Primary&gt;Ziol,M.&lt;/Authors_Primary&gt;&lt;Authors_Primary&gt;Dosda,A.&lt;/Authors_Primary&gt;&lt;Authors_Primary&gt;Le,Gales C.&lt;/Authors_Primary&gt;&lt;Authors_Primary&gt;Molinie,V.&lt;/Authors_Primary&gt;&lt;Authors_Primary&gt;Vacher-Lavenu,M.C.&lt;/Authors_Primary&gt;&lt;Authors_Primary&gt;Cochand-Priollet,B.&lt;/Authors_Primary&gt;&lt;Authors_Primary&gt;Vielh,P.&lt;/Authors_Primary&gt;&lt;Authors_Primary&gt;Magdelenat,H.&lt;/Authors_Primary&gt;&lt;Date_Primary&gt;2003/10&lt;/Date_Primary&gt;&lt;Keywords&gt;abnormalities&lt;/Keywords&gt;&lt;Keywords&gt;Adult&lt;/Keywords&gt;&lt;Keywords&gt;Aged&lt;/Keywords&gt;&lt;Keywords&gt;analysis&lt;/Keywords&gt;&lt;Keywords&gt;Cancer&lt;/Keywords&gt;&lt;Keywords&gt;Clinical&lt;/Keywords&gt;&lt;Keywords&gt;Colposcopy&lt;/Keywords&gt;&lt;Keywords&gt;cytology&lt;/Keywords&gt;&lt;Keywords&gt;diagnosis&lt;/Keywords&gt;&lt;Keywords&gt;Diagnostic Errors&lt;/Keywords&gt;&lt;Keywords&gt;Dna&lt;/Keywords&gt;&lt;Keywords&gt;Dna,Viral&lt;/Keywords&gt;&lt;Keywords&gt;economics&lt;/Keywords&gt;&lt;Keywords&gt;Evaluation Studies&lt;/Keywords&gt;&lt;Keywords&gt;Female&lt;/Keywords&gt;&lt;Keywords&gt;France&lt;/Keywords&gt;&lt;Keywords&gt;genetics&lt;/Keywords&gt;&lt;Keywords&gt;HPV&lt;/Keywords&gt;&lt;Keywords&gt;Human&lt;/Keywords&gt;&lt;Keywords&gt;Humans&lt;/Keywords&gt;&lt;Keywords&gt;isolation &amp;amp; purification&lt;/Keywords&gt;&lt;Keywords&gt;Light&lt;/Keywords&gt;&lt;Keywords&gt;Mass Screening&lt;/Keywords&gt;&lt;Keywords&gt;methods&lt;/Keywords&gt;&lt;Keywords&gt;Middle Aged&lt;/Keywords&gt;&lt;Keywords&gt;Multicenter Studies&lt;/Keywords&gt;&lt;Keywords&gt;Neoplasia&lt;/Keywords&gt;&lt;Keywords&gt;Nucleic Acid Hybridization&lt;/Keywords&gt;&lt;Keywords&gt;Papillomaviridae&lt;/Keywords&gt;&lt;Keywords&gt;Papillomavirus&lt;/Keywords&gt;&lt;Keywords&gt;Papillomavirus Infections&lt;/Keywords&gt;&lt;Keywords&gt;Patients&lt;/Keywords&gt;&lt;Keywords&gt;prevention &amp;amp; control&lt;/Keywords&gt;&lt;Keywords&gt;Prospective Studies&lt;/Keywords&gt;&lt;Keywords&gt;Research&lt;/Keywords&gt;&lt;Keywords&gt;screening&lt;/Keywords&gt;&lt;Keywords&gt;Sensitivity and Specificity&lt;/Keywords&gt;&lt;Keywords&gt;Societies&lt;/Keywords&gt;&lt;Keywords&gt;Societies,Scientific&lt;/Keywords&gt;&lt;Keywords&gt;Support&lt;/Keywords&gt;&lt;Keywords&gt;Tumor Virus Infections&lt;/Keywords&gt;&lt;Keywords&gt;Uterine Cervical Neoplasms&lt;/Keywords&gt;&lt;Keywords&gt;Vaginal Smears&lt;/Keywords&gt;&lt;Keywords&gt;Viral&lt;/Keywords&gt;&lt;Reprint&gt;Not in File&lt;/Reprint&gt;&lt;Start_Page&gt;492&lt;/Start_Page&gt;&lt;End_Page&gt;499&lt;/End_Page&gt;&lt;Periodical&gt;Am J Clin Pathol&lt;/Periodical&gt;&lt;Volume&gt;120&lt;/Volume&gt;&lt;Issue&gt;4&lt;/Issue&gt;&lt;Address&gt;Department of Tumor Biology, Institut Curie, Paris, France&lt;/Address&gt;&lt;Web_URL&gt;&lt;u&gt;PM:14560561&lt;/u&gt;&lt;/Web_URL&gt;&lt;ZZ_JournalStdAbbrev&gt;&lt;f name="System"&gt;Am J Clin Pathol&lt;/f&gt;&lt;/ZZ_JournalStdAbbrev&gt;&lt;ZZ_WorkformID&gt;1&lt;/ZZ_WorkformID&gt;&lt;/MDL&gt;&lt;/Cite&gt;&lt;/Refman&gt;</w:instrText>
      </w:r>
      <w:r w:rsidRPr="0098213C">
        <w:fldChar w:fldCharType="separate"/>
      </w:r>
      <w:r w:rsidRPr="0098213C">
        <w:t>(de Cremoux et al. 2003)</w:t>
      </w:r>
      <w:r w:rsidRPr="0098213C">
        <w:fldChar w:fldCharType="end"/>
      </w:r>
      <w:r w:rsidRPr="0098213C">
        <w:t>, the proportion of abnormal cytology resu</w:t>
      </w:r>
      <w:r w:rsidR="007B06DF" w:rsidRPr="0098213C">
        <w:t>lts was unrealistically high (27</w:t>
      </w:r>
      <w:r w:rsidRPr="0098213C">
        <w:t xml:space="preserve">% </w:t>
      </w:r>
      <w:r w:rsidR="007B06DF" w:rsidRPr="0098213C">
        <w:t>across all ages</w:t>
      </w:r>
      <w:r w:rsidRPr="0098213C">
        <w:t>).</w:t>
      </w:r>
    </w:p>
    <w:p w:rsidR="00234376" w:rsidRPr="0098213C" w:rsidRDefault="00234376" w:rsidP="008E03A7">
      <w:r w:rsidRPr="0098213C">
        <w:t>Matrices derived via Method 1 were not used in sensitivity analyses.</w:t>
      </w:r>
    </w:p>
    <w:p w:rsidR="00234376" w:rsidRDefault="00234376" w:rsidP="00234376">
      <w:pPr>
        <w:pStyle w:val="Heading3"/>
      </w:pPr>
      <w:r w:rsidRPr="0098213C">
        <w:t>Method 2</w:t>
      </w:r>
    </w:p>
    <w:p w:rsidR="00234376" w:rsidRPr="00537C3C" w:rsidRDefault="00234376" w:rsidP="008E03A7">
      <w:r w:rsidRPr="00537C3C">
        <w:t xml:space="preserve">Method 2 uses data from Coste where a reference standard of colposcopy and </w:t>
      </w:r>
      <w:bookmarkStart w:id="1205" w:name="OLE_LINK53"/>
      <w:bookmarkStart w:id="1206" w:name="OLE_LINK74"/>
      <w:r w:rsidRPr="00537C3C">
        <w:t>colposcopically</w:t>
      </w:r>
      <w:bookmarkEnd w:id="1205"/>
      <w:bookmarkEnd w:id="1206"/>
      <w:r w:rsidRPr="00537C3C">
        <w:t xml:space="preserve"> directed histology is available for all cytology results. Applying Australian cytology reporting rates to the Coste data according to Methods 2(b) and 2(c) results in lower sensitivity than the Coste data alone (Method 2(a)) (</w:t>
      </w:r>
      <w:r w:rsidR="00185EF4">
        <w:fldChar w:fldCharType="begin"/>
      </w:r>
      <w:r w:rsidR="00185EF4">
        <w:instrText xml:space="preserve"> REF _Ref222738691 \h </w:instrText>
      </w:r>
      <w:r w:rsidR="00185EF4">
        <w:fldChar w:fldCharType="separate"/>
      </w:r>
      <w:r w:rsidR="007D3DFF">
        <w:t xml:space="preserve">Figure </w:t>
      </w:r>
      <w:r w:rsidR="007D3DFF">
        <w:rPr>
          <w:noProof/>
        </w:rPr>
        <w:t>23</w:t>
      </w:r>
      <w:r w:rsidR="00185EF4">
        <w:fldChar w:fldCharType="end"/>
      </w:r>
      <w:r w:rsidR="00185EF4">
        <w:t>)</w:t>
      </w:r>
      <w:r w:rsidRPr="00537C3C">
        <w:t xml:space="preserve">. This indicates that the lower estimate of </w:t>
      </w:r>
      <w:r w:rsidRPr="00BB76D8">
        <w:t>CI</w:t>
      </w:r>
      <w:r w:rsidRPr="00537C3C">
        <w:t xml:space="preserve"> in Arbyn et al. for the sensitivity of </w:t>
      </w:r>
      <w:r w:rsidRPr="00BB76D8">
        <w:t>CC</w:t>
      </w:r>
      <w:r w:rsidRPr="00537C3C">
        <w:t xml:space="preserve"> for detection of </w:t>
      </w:r>
      <w:r w:rsidRPr="00BB76D8">
        <w:t>CIN</w:t>
      </w:r>
      <w:r w:rsidRPr="00537C3C">
        <w:t xml:space="preserve"> 2+ at </w:t>
      </w:r>
      <w:r w:rsidRPr="00BB76D8">
        <w:t>HSIL</w:t>
      </w:r>
      <w:r w:rsidRPr="00537C3C">
        <w:t xml:space="preserve"> threshold may be more appropriate as an estimate of cytology sensitivity in </w:t>
      </w:r>
      <w:smartTag w:uri="urn:schemas-microsoft-com:office:smarttags" w:element="place">
        <w:smartTag w:uri="urn:schemas-microsoft-com:office:smarttags" w:element="country-region">
          <w:r w:rsidRPr="00537C3C">
            <w:t>Australia</w:t>
          </w:r>
        </w:smartTag>
      </w:smartTag>
      <w:r w:rsidRPr="00537C3C">
        <w:t>.</w:t>
      </w:r>
    </w:p>
    <w:p w:rsidR="00234376" w:rsidRPr="00537C3C" w:rsidRDefault="00F5257D" w:rsidP="00F5257D">
      <w:pPr>
        <w:pStyle w:val="Caption"/>
      </w:pPr>
      <w:bookmarkStart w:id="1207" w:name="_Ref222738691"/>
      <w:bookmarkStart w:id="1208" w:name="_Toc216169989"/>
      <w:bookmarkStart w:id="1209" w:name="_Toc231895864"/>
      <w:bookmarkStart w:id="1210" w:name="_Toc222823918"/>
      <w:r>
        <w:lastRenderedPageBreak/>
        <w:t xml:space="preserve">Figure </w:t>
      </w:r>
      <w:fldSimple w:instr=" SEQ Figure \* ARABIC ">
        <w:r w:rsidR="007D3DFF">
          <w:rPr>
            <w:noProof/>
          </w:rPr>
          <w:t>23</w:t>
        </w:r>
      </w:fldSimple>
      <w:bookmarkEnd w:id="1207"/>
      <w:r>
        <w:tab/>
      </w:r>
      <w:r>
        <w:tab/>
      </w:r>
      <w:r w:rsidR="00C54979">
        <w:t xml:space="preserve"> </w:t>
      </w:r>
      <w:r w:rsidR="00234376" w:rsidRPr="006C24DD">
        <w:t xml:space="preserve">Summary ROCs </w:t>
      </w:r>
      <w:r w:rsidR="00234376" w:rsidRPr="00537C3C">
        <w:t xml:space="preserve">obtained via Method 2, compared </w:t>
      </w:r>
      <w:r w:rsidR="00DD6388">
        <w:t>to</w:t>
      </w:r>
      <w:r w:rsidR="00234376" w:rsidRPr="00537C3C">
        <w:t xml:space="preserve"> that described in Arbyn</w:t>
      </w:r>
      <w:bookmarkEnd w:id="1208"/>
      <w:r w:rsidR="00234376" w:rsidRPr="00537C3C">
        <w:t xml:space="preserve"> et al.</w:t>
      </w:r>
      <w:bookmarkEnd w:id="1209"/>
      <w:bookmarkEnd w:id="1210"/>
    </w:p>
    <w:p w:rsidR="00234376" w:rsidRPr="00537C3C" w:rsidRDefault="006F242B" w:rsidP="008E03A7">
      <w:pPr>
        <w:keepNext/>
      </w:pPr>
      <w:r>
        <w:rPr>
          <w:noProof/>
          <w:lang w:eastAsia="en-AU"/>
        </w:rPr>
        <w:drawing>
          <wp:inline distT="0" distB="0" distL="0" distR="0">
            <wp:extent cx="4341495" cy="3662680"/>
            <wp:effectExtent l="0" t="0" r="1905" b="0"/>
            <wp:docPr id="21" name="Picture 21" title="Summary ROCs obtained via Method 2, compared to that described in Arbyn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41495" cy="3662680"/>
                    </a:xfrm>
                    <a:prstGeom prst="rect">
                      <a:avLst/>
                    </a:prstGeom>
                    <a:noFill/>
                  </pic:spPr>
                </pic:pic>
              </a:graphicData>
            </a:graphic>
          </wp:inline>
        </w:drawing>
      </w:r>
      <w:r w:rsidR="00C97E47">
        <w:fldChar w:fldCharType="begin" w:fldLock="1"/>
      </w:r>
      <w:r w:rsidR="00C97E47">
        <w:instrText xml:space="preserve">ref  SHAPE  \* MERGEFORMAT </w:instrText>
      </w:r>
      <w:r w:rsidR="00C97E47">
        <w:fldChar w:fldCharType="end"/>
      </w:r>
    </w:p>
    <w:p w:rsidR="00234376" w:rsidRDefault="00234376" w:rsidP="00234376">
      <w:pPr>
        <w:pStyle w:val="Heading3"/>
      </w:pPr>
      <w:r w:rsidRPr="00537C3C">
        <w:t>Method 3</w:t>
      </w:r>
    </w:p>
    <w:p w:rsidR="00234376" w:rsidRPr="00537C3C" w:rsidRDefault="00234376" w:rsidP="008E03A7">
      <w:r w:rsidRPr="00537C3C">
        <w:t xml:space="preserve">Method 3 is based on </w:t>
      </w:r>
      <w:r w:rsidRPr="00BB76D8">
        <w:t>ALTS</w:t>
      </w:r>
      <w:r w:rsidRPr="00537C3C">
        <w:t xml:space="preserve"> data, and was an attempt to derive a test probability matrix for </w:t>
      </w:r>
      <w:r w:rsidRPr="00BB76D8">
        <w:t>LBC</w:t>
      </w:r>
      <w:r w:rsidRPr="00537C3C">
        <w:t xml:space="preserve"> directly. Health state breakdown for women with negative cytology is approximated via published sensitivity estimates for </w:t>
      </w:r>
      <w:r w:rsidRPr="00BB76D8">
        <w:t>LBC</w:t>
      </w:r>
      <w:r w:rsidRPr="00537C3C">
        <w:t xml:space="preserve"> </w:t>
      </w:r>
      <w:r w:rsidRPr="00537C3C">
        <w:fldChar w:fldCharType="begin"/>
      </w:r>
      <w:r w:rsidRPr="00537C3C">
        <w:instrText xml:space="preserve"> ADDIN REFMGR.CITE &lt;Refman&gt;&lt;Cite&gt;&lt;Author&gt;Krahn&lt;/Author&gt;&lt;Year&gt;2008&lt;/Year&gt;&lt;RecNum&gt;93&lt;/RecNum&gt;&lt;IDText&gt;Liquid-based techniques for cervical cancer screening: systematic review and cost-effectiveness analysis&lt;/IDText&gt;&lt;MDL Ref_Type="Report"&gt;&lt;Ref_Type&gt;Report&lt;/Ref_Type&gt;&lt;Ref_ID&gt;93&lt;/Ref_ID&gt;&lt;Title_Primary&gt;Liquid-based techniques for cervical cancer screening: systematic review and cost-effectiveness analysis&lt;/Title_Primary&gt;&lt;Authors_Primary&gt;Krahn,M.&lt;/Authors_Primary&gt;&lt;Authors_Primary&gt;McLachlin,M.&lt;/Authors_Primary&gt;&lt;Authors_Primary&gt;Oham,B.&lt;/Authors_Primary&gt;&lt;Authors_Primary&gt;Rosen,B.&lt;/Authors_Primary&gt;&lt;Authors_Primary&gt;Sander,B.&lt;/Authors_Primary&gt;&lt;Authors_Primary&gt;Grootendorst,P.&lt;/Authors_Primary&gt;&lt;Authors_Primary&gt;Tomlinson,G.&lt;/Authors_Primary&gt;&lt;Authors_Primary&gt;John-Baptiste,A.&lt;/Authors_Primary&gt;&lt;Authors_Primary&gt;Frikemerid,M.&lt;/Authors_Primary&gt;&lt;Authors_Primary&gt;Hong Chen,M.&lt;/Authors_Primary&gt;&lt;Authors_Primary&gt;Woo,G.&lt;/Authors_Primary&gt;&lt;Authors_Primary&gt;Ananychuk,A.&lt;/Authors_Primary&gt;&lt;Authors_Primary&gt;Carcone,S.&lt;/Authors_Primary&gt;&lt;Authors_Primary&gt;Witteman,H.&lt;/Authors_Primary&gt;&lt;Authors_Primary&gt;Chen,W.&lt;/Authors_Primary&gt;&lt;Authors_Primary&gt;Liu,K.&lt;/Authors_Primary&gt;&lt;Authors_Primary&gt;Sampson,M.&lt;/Authors_Primary&gt;&lt;Authors_Primary&gt;Tricco,A.&lt;/Authors_Primary&gt;&lt;Date_Primary&gt;2008&lt;/Date_Primary&gt;&lt;Reprint&gt;Not in File&lt;/Reprint&gt;&lt;Volume&gt;Technology report number 103&lt;/Volume&gt;&lt;Pub_Place&gt;Ottawa&lt;/Pub_Place&gt;&lt;Publisher&gt;Canadian Agency for Drugs and Technologies in Health&lt;/Publisher&gt;&lt;ZZ_WorkformID&gt;24&lt;/ZZ_WorkformID&gt;&lt;/MDL&gt;&lt;/Cite&gt;&lt;/Refman&gt;</w:instrText>
      </w:r>
      <w:r w:rsidRPr="00537C3C">
        <w:fldChar w:fldCharType="separate"/>
      </w:r>
      <w:r w:rsidRPr="00537C3C">
        <w:t>(Krahn et al. 2008)</w:t>
      </w:r>
      <w:r w:rsidRPr="00537C3C">
        <w:fldChar w:fldCharType="end"/>
      </w:r>
      <w:r w:rsidRPr="00537C3C">
        <w:t>.</w:t>
      </w:r>
    </w:p>
    <w:p w:rsidR="00234376" w:rsidRPr="00537C3C" w:rsidRDefault="00234376" w:rsidP="008E03A7">
      <w:r w:rsidRPr="00537C3C">
        <w:t xml:space="preserve">These estimates for </w:t>
      </w:r>
      <w:r w:rsidRPr="00BB76D8">
        <w:t>LBC</w:t>
      </w:r>
      <w:r w:rsidRPr="00537C3C">
        <w:t xml:space="preserve"> weighted by the distribution of cytology reports in </w:t>
      </w:r>
      <w:r w:rsidRPr="00BB76D8">
        <w:t>NSW</w:t>
      </w:r>
      <w:r w:rsidRPr="00537C3C">
        <w:t xml:space="preserve"> (PTR, fourth quarter of 2006, women aged 25–29 years) imply an estimate of the distribution of disease in the population and provide a method for deriving the test probability matrix for </w:t>
      </w:r>
      <w:r w:rsidRPr="00BB76D8">
        <w:t>CC</w:t>
      </w:r>
      <w:r w:rsidRPr="00537C3C">
        <w:t xml:space="preserve"> by assuming the same disease distribution and deriving false negative results secondarily. Note that these data on distribution of cytology reports are for all cytology, but are dominated by conventional. Using this estimate for </w:t>
      </w:r>
      <w:r w:rsidRPr="00BB76D8">
        <w:t>LBC</w:t>
      </w:r>
      <w:r w:rsidRPr="00537C3C">
        <w:t xml:space="preserve"> is inaccurate since </w:t>
      </w:r>
      <w:r w:rsidRPr="00BB76D8">
        <w:t>LBC</w:t>
      </w:r>
      <w:r w:rsidRPr="00537C3C">
        <w:t xml:space="preserve"> is known to increase low-grade cytology reports relative to conventional cytology.</w:t>
      </w:r>
    </w:p>
    <w:p w:rsidR="00234376" w:rsidRPr="00537C3C" w:rsidRDefault="00234376" w:rsidP="008E03A7">
      <w:pPr>
        <w:rPr>
          <w:lang w:eastAsia="zh-CN"/>
        </w:rPr>
      </w:pPr>
      <w:r w:rsidRPr="00537C3C">
        <w:rPr>
          <w:lang w:eastAsia="zh-CN"/>
        </w:rPr>
        <w:t xml:space="preserve">We calculated sensitivity and specificity at various thresholds for </w:t>
      </w:r>
      <w:r w:rsidRPr="00BB76D8">
        <w:rPr>
          <w:lang w:eastAsia="zh-CN"/>
        </w:rPr>
        <w:t>CC</w:t>
      </w:r>
      <w:r w:rsidRPr="00537C3C">
        <w:rPr>
          <w:lang w:eastAsia="zh-CN"/>
        </w:rPr>
        <w:t xml:space="preserve"> and </w:t>
      </w:r>
      <w:r w:rsidRPr="00BB76D8">
        <w:rPr>
          <w:lang w:eastAsia="zh-CN"/>
        </w:rPr>
        <w:t>LBC</w:t>
      </w:r>
      <w:r w:rsidRPr="00537C3C">
        <w:rPr>
          <w:lang w:eastAsia="zh-CN"/>
        </w:rPr>
        <w:t xml:space="preserve">, and then compared these with published estimates </w:t>
      </w:r>
      <w:r w:rsidRPr="00537C3C">
        <w:rPr>
          <w:lang w:eastAsia="zh-CN"/>
        </w:rPr>
        <w:fldChar w:fldCharType="begin"/>
      </w:r>
      <w:r w:rsidRPr="00537C3C">
        <w:rPr>
          <w:lang w:eastAsia="zh-CN"/>
        </w:rPr>
        <w:instrText xml:space="preserve"> ADDIN REFMGR.CITE &lt;Refman&gt;&lt;Cite&gt;&lt;Author&gt;Arbyn&lt;/Author&gt;&lt;Year&gt;2008&lt;/Year&gt;&lt;RecNum&gt;5&lt;/RecNum&gt;&lt;IDText&gt;Liquid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537C3C">
        <w:rPr>
          <w:lang w:eastAsia="zh-CN"/>
        </w:rPr>
        <w:fldChar w:fldCharType="separate"/>
      </w:r>
      <w:r w:rsidRPr="00537C3C">
        <w:rPr>
          <w:lang w:eastAsia="zh-CN"/>
        </w:rPr>
        <w:t>(Arbyn et al. 2008)</w:t>
      </w:r>
      <w:r w:rsidRPr="00537C3C">
        <w:rPr>
          <w:lang w:eastAsia="zh-CN"/>
        </w:rPr>
        <w:fldChar w:fldCharType="end"/>
      </w:r>
      <w:r w:rsidRPr="00537C3C">
        <w:rPr>
          <w:lang w:eastAsia="zh-CN"/>
        </w:rPr>
        <w:t xml:space="preserve"> at corresponding thresholds.</w:t>
      </w:r>
    </w:p>
    <w:p w:rsidR="00234376" w:rsidRPr="00537C3C" w:rsidRDefault="00234376" w:rsidP="008E03A7">
      <w:pPr>
        <w:pStyle w:val="Caption"/>
      </w:pPr>
      <w:bookmarkStart w:id="1211" w:name="_Ref95895728"/>
      <w:bookmarkStart w:id="1212" w:name="_Toc216169970"/>
      <w:bookmarkStart w:id="1213" w:name="_Toc95971318"/>
      <w:r w:rsidRPr="00537C3C">
        <w:t xml:space="preserve">Table </w:t>
      </w:r>
      <w:fldSimple w:instr=" SEQ Table \* ARABIC ">
        <w:r w:rsidR="007D3DFF">
          <w:rPr>
            <w:noProof/>
          </w:rPr>
          <w:t>82</w:t>
        </w:r>
      </w:fldSimple>
      <w:bookmarkEnd w:id="1211"/>
      <w:r w:rsidRPr="00537C3C">
        <w:tab/>
        <w:t xml:space="preserve">Absolute and relative sensitivity and specificity for detection of </w:t>
      </w:r>
      <w:r w:rsidRPr="00BB76D8">
        <w:t>CIN</w:t>
      </w:r>
      <w:r w:rsidRPr="00537C3C">
        <w:t xml:space="preserve"> 2+ for cytology test characteristics based on Method 3</w:t>
      </w:r>
      <w:bookmarkEnd w:id="1212"/>
      <w:r w:rsidRPr="00537C3C">
        <w:t>.</w:t>
      </w:r>
      <w:bookmarkEnd w:id="1213"/>
    </w:p>
    <w:tbl>
      <w:tblPr>
        <w:tblW w:w="4418"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
        <w:gridCol w:w="62"/>
        <w:gridCol w:w="877"/>
        <w:gridCol w:w="100"/>
        <w:gridCol w:w="776"/>
        <w:gridCol w:w="85"/>
        <w:gridCol w:w="790"/>
        <w:gridCol w:w="70"/>
        <w:gridCol w:w="807"/>
        <w:gridCol w:w="54"/>
        <w:gridCol w:w="821"/>
        <w:gridCol w:w="39"/>
        <w:gridCol w:w="836"/>
        <w:gridCol w:w="24"/>
        <w:gridCol w:w="854"/>
        <w:gridCol w:w="10"/>
        <w:gridCol w:w="853"/>
      </w:tblGrid>
      <w:tr w:rsidR="00234376" w:rsidRPr="00537C3C">
        <w:trPr>
          <w:cantSplit/>
          <w:tblHeader/>
        </w:trPr>
        <w:tc>
          <w:tcPr>
            <w:tcW w:w="678" w:type="pct"/>
            <w:vMerge w:val="restart"/>
            <w:tcBorders>
              <w:left w:val="nil"/>
              <w:right w:val="nil"/>
            </w:tcBorders>
            <w:vAlign w:val="bottom"/>
          </w:tcPr>
          <w:p w:rsidR="00234376" w:rsidRPr="00537C3C" w:rsidRDefault="00234376" w:rsidP="008E03A7">
            <w:pPr>
              <w:pStyle w:val="TableHeading"/>
            </w:pPr>
          </w:p>
        </w:tc>
        <w:tc>
          <w:tcPr>
            <w:tcW w:w="2216" w:type="pct"/>
            <w:gridSpan w:val="9"/>
            <w:tcBorders>
              <w:left w:val="nil"/>
              <w:right w:val="nil"/>
            </w:tcBorders>
          </w:tcPr>
          <w:p w:rsidR="00234376" w:rsidRPr="00537C3C" w:rsidRDefault="00234376" w:rsidP="008E03A7">
            <w:pPr>
              <w:pStyle w:val="TableHeading"/>
              <w:jc w:val="center"/>
            </w:pPr>
            <w:r w:rsidRPr="00537C3C">
              <w:t>Sensitivity</w:t>
            </w:r>
          </w:p>
        </w:tc>
        <w:tc>
          <w:tcPr>
            <w:tcW w:w="2106" w:type="pct"/>
            <w:gridSpan w:val="7"/>
            <w:tcBorders>
              <w:left w:val="nil"/>
              <w:right w:val="nil"/>
            </w:tcBorders>
          </w:tcPr>
          <w:p w:rsidR="00234376" w:rsidRPr="00537C3C" w:rsidRDefault="00234376" w:rsidP="008E03A7">
            <w:pPr>
              <w:pStyle w:val="TableHeading"/>
              <w:jc w:val="center"/>
            </w:pPr>
            <w:r w:rsidRPr="00537C3C">
              <w:t>Specificity</w:t>
            </w:r>
          </w:p>
        </w:tc>
      </w:tr>
      <w:tr w:rsidR="00234376" w:rsidRPr="00537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678" w:type="pct"/>
            <w:vMerge/>
          </w:tcPr>
          <w:p w:rsidR="00234376" w:rsidRPr="00537C3C" w:rsidRDefault="00234376" w:rsidP="008E03A7">
            <w:pPr>
              <w:pStyle w:val="TableHeading"/>
            </w:pPr>
          </w:p>
        </w:tc>
        <w:tc>
          <w:tcPr>
            <w:tcW w:w="636" w:type="pct"/>
            <w:gridSpan w:val="3"/>
          </w:tcPr>
          <w:p w:rsidR="00234376" w:rsidRPr="00537C3C" w:rsidRDefault="00234376" w:rsidP="008E03A7">
            <w:pPr>
              <w:pStyle w:val="TableHeading"/>
            </w:pPr>
            <w:r w:rsidRPr="00537C3C">
              <w:t>d</w:t>
            </w:r>
            <w:r w:rsidRPr="00BB76D8">
              <w:t>HSIL</w:t>
            </w:r>
            <w:r w:rsidRPr="00537C3C">
              <w:t>+</w:t>
            </w:r>
          </w:p>
        </w:tc>
        <w:tc>
          <w:tcPr>
            <w:tcW w:w="527" w:type="pct"/>
            <w:gridSpan w:val="2"/>
          </w:tcPr>
          <w:p w:rsidR="00234376" w:rsidRPr="00537C3C" w:rsidRDefault="00234376" w:rsidP="008E03A7">
            <w:pPr>
              <w:pStyle w:val="TableHeading"/>
            </w:pPr>
            <w:r w:rsidRPr="00BB76D8">
              <w:t>pHSIL</w:t>
            </w:r>
            <w:r w:rsidRPr="00537C3C">
              <w:t>+</w:t>
            </w:r>
          </w:p>
        </w:tc>
        <w:tc>
          <w:tcPr>
            <w:tcW w:w="527" w:type="pct"/>
            <w:gridSpan w:val="2"/>
          </w:tcPr>
          <w:p w:rsidR="00234376" w:rsidRPr="00537C3C" w:rsidRDefault="00234376" w:rsidP="008E03A7">
            <w:pPr>
              <w:pStyle w:val="TableHeading"/>
            </w:pPr>
            <w:r w:rsidRPr="00537C3C">
              <w:t>d</w:t>
            </w:r>
            <w:r w:rsidRPr="00BB76D8">
              <w:t>LSIL</w:t>
            </w:r>
            <w:r w:rsidRPr="00537C3C">
              <w:t>+</w:t>
            </w:r>
          </w:p>
        </w:tc>
        <w:tc>
          <w:tcPr>
            <w:tcW w:w="527" w:type="pct"/>
            <w:gridSpan w:val="2"/>
          </w:tcPr>
          <w:p w:rsidR="00234376" w:rsidRPr="00537C3C" w:rsidRDefault="00234376" w:rsidP="008E03A7">
            <w:pPr>
              <w:pStyle w:val="TableHeading"/>
            </w:pPr>
            <w:r w:rsidRPr="00BB76D8">
              <w:t>pLSIL</w:t>
            </w:r>
            <w:r w:rsidRPr="00537C3C">
              <w:t>+</w:t>
            </w:r>
          </w:p>
        </w:tc>
        <w:tc>
          <w:tcPr>
            <w:tcW w:w="527" w:type="pct"/>
            <w:gridSpan w:val="2"/>
          </w:tcPr>
          <w:p w:rsidR="00234376" w:rsidRPr="00537C3C" w:rsidRDefault="00234376" w:rsidP="008E03A7">
            <w:pPr>
              <w:pStyle w:val="TableHeading"/>
            </w:pPr>
            <w:r w:rsidRPr="00537C3C">
              <w:t>d</w:t>
            </w:r>
            <w:r w:rsidRPr="00BB76D8">
              <w:t>HSIL</w:t>
            </w:r>
            <w:r w:rsidRPr="00537C3C">
              <w:t>+</w:t>
            </w:r>
          </w:p>
        </w:tc>
        <w:tc>
          <w:tcPr>
            <w:tcW w:w="527" w:type="pct"/>
            <w:gridSpan w:val="2"/>
          </w:tcPr>
          <w:p w:rsidR="00234376" w:rsidRPr="00537C3C" w:rsidRDefault="00234376" w:rsidP="008E03A7">
            <w:pPr>
              <w:pStyle w:val="TableHeading"/>
            </w:pPr>
            <w:r w:rsidRPr="00BB76D8">
              <w:t>pHSIL</w:t>
            </w:r>
            <w:r w:rsidRPr="00537C3C">
              <w:t>+</w:t>
            </w:r>
          </w:p>
        </w:tc>
        <w:tc>
          <w:tcPr>
            <w:tcW w:w="529" w:type="pct"/>
            <w:gridSpan w:val="2"/>
          </w:tcPr>
          <w:p w:rsidR="00234376" w:rsidRPr="00537C3C" w:rsidRDefault="00234376" w:rsidP="008E03A7">
            <w:pPr>
              <w:pStyle w:val="TableHeading"/>
            </w:pPr>
            <w:r w:rsidRPr="00537C3C">
              <w:t>d</w:t>
            </w:r>
            <w:r w:rsidRPr="00BB76D8">
              <w:t>LSIL</w:t>
            </w:r>
            <w:r w:rsidRPr="00537C3C">
              <w:t>+</w:t>
            </w:r>
          </w:p>
        </w:tc>
        <w:tc>
          <w:tcPr>
            <w:tcW w:w="523" w:type="pct"/>
          </w:tcPr>
          <w:p w:rsidR="00234376" w:rsidRPr="00537C3C" w:rsidRDefault="00234376" w:rsidP="008E03A7">
            <w:pPr>
              <w:pStyle w:val="TableHeading"/>
            </w:pPr>
            <w:r w:rsidRPr="00BB76D8">
              <w:t>pLSIL</w:t>
            </w:r>
            <w:r w:rsidRPr="00537C3C">
              <w:t>+</w:t>
            </w:r>
          </w:p>
        </w:tc>
      </w:tr>
      <w:tr w:rsidR="00234376" w:rsidRPr="00537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trPr>
        <w:tc>
          <w:tcPr>
            <w:tcW w:w="716" w:type="pct"/>
            <w:gridSpan w:val="2"/>
            <w:tcBorders>
              <w:bottom w:val="nil"/>
            </w:tcBorders>
          </w:tcPr>
          <w:p w:rsidR="00234376" w:rsidRPr="00537C3C" w:rsidRDefault="00234376" w:rsidP="008E03A7">
            <w:pPr>
              <w:pStyle w:val="TableHeading"/>
            </w:pPr>
            <w:r w:rsidRPr="00BB76D8">
              <w:t>CC</w:t>
            </w:r>
          </w:p>
        </w:tc>
        <w:tc>
          <w:tcPr>
            <w:tcW w:w="537" w:type="pct"/>
            <w:tcBorders>
              <w:bottom w:val="nil"/>
            </w:tcBorders>
          </w:tcPr>
          <w:p w:rsidR="00234376" w:rsidRDefault="00234376" w:rsidP="00234376">
            <w:pPr>
              <w:pStyle w:val="TableTextLessSpaceCharCharCharCharCharCharCharChar"/>
              <w:jc w:val="center"/>
              <w:rPr>
                <w:sz w:val="16"/>
              </w:rPr>
            </w:pPr>
            <w:r w:rsidRPr="00537C3C">
              <w:rPr>
                <w:sz w:val="16"/>
              </w:rPr>
              <w:t>0.26</w:t>
            </w:r>
          </w:p>
        </w:tc>
        <w:tc>
          <w:tcPr>
            <w:tcW w:w="536" w:type="pct"/>
            <w:gridSpan w:val="2"/>
            <w:tcBorders>
              <w:bottom w:val="nil"/>
            </w:tcBorders>
          </w:tcPr>
          <w:p w:rsidR="00234376" w:rsidRDefault="00234376" w:rsidP="00234376">
            <w:pPr>
              <w:pStyle w:val="TableTextLessSpaceCharCharCharCharCharCharCharChar"/>
              <w:jc w:val="center"/>
              <w:rPr>
                <w:sz w:val="16"/>
              </w:rPr>
            </w:pPr>
            <w:r w:rsidRPr="00537C3C">
              <w:rPr>
                <w:sz w:val="16"/>
              </w:rPr>
              <w:t>0.34</w:t>
            </w:r>
          </w:p>
        </w:tc>
        <w:tc>
          <w:tcPr>
            <w:tcW w:w="536" w:type="pct"/>
            <w:gridSpan w:val="2"/>
            <w:tcBorders>
              <w:bottom w:val="nil"/>
            </w:tcBorders>
          </w:tcPr>
          <w:p w:rsidR="00234376" w:rsidRDefault="00234376" w:rsidP="00234376">
            <w:pPr>
              <w:pStyle w:val="TableTextLessSpaceCharCharCharCharCharCharCharChar"/>
              <w:jc w:val="center"/>
              <w:rPr>
                <w:sz w:val="16"/>
              </w:rPr>
            </w:pPr>
            <w:r w:rsidRPr="00537C3C">
              <w:rPr>
                <w:sz w:val="16"/>
              </w:rPr>
              <w:t>0.66</w:t>
            </w:r>
          </w:p>
        </w:tc>
        <w:tc>
          <w:tcPr>
            <w:tcW w:w="537" w:type="pct"/>
            <w:gridSpan w:val="2"/>
            <w:tcBorders>
              <w:bottom w:val="nil"/>
            </w:tcBorders>
          </w:tcPr>
          <w:p w:rsidR="00234376" w:rsidRDefault="00234376" w:rsidP="00234376">
            <w:pPr>
              <w:pStyle w:val="TableTextLessSpaceCharCharCharCharCharCharCharChar"/>
              <w:jc w:val="center"/>
              <w:rPr>
                <w:sz w:val="16"/>
              </w:rPr>
            </w:pPr>
            <w:r w:rsidRPr="00537C3C">
              <w:rPr>
                <w:sz w:val="16"/>
              </w:rPr>
              <w:t>0.79</w:t>
            </w:r>
          </w:p>
        </w:tc>
        <w:tc>
          <w:tcPr>
            <w:tcW w:w="536" w:type="pct"/>
            <w:gridSpan w:val="2"/>
            <w:tcBorders>
              <w:bottom w:val="nil"/>
            </w:tcBorders>
          </w:tcPr>
          <w:p w:rsidR="00234376" w:rsidRDefault="00234376" w:rsidP="00234376">
            <w:pPr>
              <w:pStyle w:val="TableTextLessSpaceCharCharCharCharCharCharCharChar"/>
              <w:jc w:val="center"/>
              <w:rPr>
                <w:sz w:val="16"/>
              </w:rPr>
            </w:pPr>
            <w:r w:rsidRPr="00537C3C">
              <w:rPr>
                <w:sz w:val="16"/>
              </w:rPr>
              <w:t>0.99</w:t>
            </w:r>
          </w:p>
        </w:tc>
        <w:tc>
          <w:tcPr>
            <w:tcW w:w="536" w:type="pct"/>
            <w:gridSpan w:val="2"/>
            <w:tcBorders>
              <w:bottom w:val="nil"/>
            </w:tcBorders>
          </w:tcPr>
          <w:p w:rsidR="00234376" w:rsidRDefault="00234376" w:rsidP="00234376">
            <w:pPr>
              <w:pStyle w:val="TableTextLessSpaceCharCharCharCharCharCharCharChar"/>
              <w:jc w:val="center"/>
              <w:rPr>
                <w:sz w:val="16"/>
              </w:rPr>
            </w:pPr>
            <w:r w:rsidRPr="00537C3C">
              <w:rPr>
                <w:sz w:val="16"/>
              </w:rPr>
              <w:t>0.98</w:t>
            </w:r>
          </w:p>
        </w:tc>
        <w:tc>
          <w:tcPr>
            <w:tcW w:w="538" w:type="pct"/>
            <w:gridSpan w:val="2"/>
            <w:tcBorders>
              <w:bottom w:val="nil"/>
            </w:tcBorders>
          </w:tcPr>
          <w:p w:rsidR="00234376" w:rsidRDefault="00234376" w:rsidP="00234376">
            <w:pPr>
              <w:pStyle w:val="TableTextLessSpaceCharCharCharCharCharCharCharChar"/>
              <w:jc w:val="center"/>
              <w:rPr>
                <w:sz w:val="16"/>
              </w:rPr>
            </w:pPr>
            <w:r w:rsidRPr="00537C3C">
              <w:rPr>
                <w:sz w:val="16"/>
              </w:rPr>
              <w:t>0.95</w:t>
            </w:r>
          </w:p>
        </w:tc>
        <w:tc>
          <w:tcPr>
            <w:tcW w:w="528" w:type="pct"/>
            <w:gridSpan w:val="2"/>
            <w:tcBorders>
              <w:bottom w:val="nil"/>
            </w:tcBorders>
          </w:tcPr>
          <w:p w:rsidR="00234376" w:rsidRDefault="00234376" w:rsidP="00234376">
            <w:pPr>
              <w:pStyle w:val="TableTextLessSpaceCharCharCharCharCharCharCharChar"/>
              <w:jc w:val="center"/>
              <w:rPr>
                <w:sz w:val="16"/>
              </w:rPr>
            </w:pPr>
            <w:r w:rsidRPr="00537C3C">
              <w:rPr>
                <w:sz w:val="16"/>
              </w:rPr>
              <w:t>0.92</w:t>
            </w:r>
          </w:p>
        </w:tc>
      </w:tr>
      <w:tr w:rsidR="00234376" w:rsidRPr="00537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16" w:type="pct"/>
            <w:gridSpan w:val="2"/>
            <w:tcBorders>
              <w:top w:val="nil"/>
            </w:tcBorders>
          </w:tcPr>
          <w:p w:rsidR="00234376" w:rsidRPr="00537C3C" w:rsidRDefault="00234376" w:rsidP="008E03A7">
            <w:pPr>
              <w:pStyle w:val="TableHeading"/>
            </w:pPr>
            <w:r w:rsidRPr="00BB76D8">
              <w:t>LBC</w:t>
            </w:r>
          </w:p>
        </w:tc>
        <w:tc>
          <w:tcPr>
            <w:tcW w:w="537" w:type="pct"/>
            <w:tcBorders>
              <w:top w:val="nil"/>
            </w:tcBorders>
          </w:tcPr>
          <w:p w:rsidR="00234376" w:rsidRDefault="00234376" w:rsidP="00234376">
            <w:pPr>
              <w:pStyle w:val="TableTextLessSpaceCharCharCharCharCharCharCharChar"/>
              <w:jc w:val="center"/>
              <w:rPr>
                <w:sz w:val="16"/>
              </w:rPr>
            </w:pPr>
            <w:r w:rsidRPr="00537C3C">
              <w:rPr>
                <w:sz w:val="16"/>
              </w:rPr>
              <w:t>0.31</w:t>
            </w:r>
          </w:p>
        </w:tc>
        <w:tc>
          <w:tcPr>
            <w:tcW w:w="536" w:type="pct"/>
            <w:gridSpan w:val="2"/>
            <w:tcBorders>
              <w:top w:val="nil"/>
            </w:tcBorders>
          </w:tcPr>
          <w:p w:rsidR="00234376" w:rsidRDefault="00234376" w:rsidP="00234376">
            <w:pPr>
              <w:pStyle w:val="TableTextLessSpaceCharCharCharCharCharCharCharChar"/>
              <w:jc w:val="center"/>
              <w:rPr>
                <w:sz w:val="16"/>
              </w:rPr>
            </w:pPr>
            <w:r w:rsidRPr="00537C3C">
              <w:rPr>
                <w:sz w:val="16"/>
              </w:rPr>
              <w:t>0.43</w:t>
            </w:r>
          </w:p>
        </w:tc>
        <w:tc>
          <w:tcPr>
            <w:tcW w:w="536" w:type="pct"/>
            <w:gridSpan w:val="2"/>
            <w:tcBorders>
              <w:top w:val="nil"/>
            </w:tcBorders>
          </w:tcPr>
          <w:p w:rsidR="00234376" w:rsidRDefault="00234376" w:rsidP="00234376">
            <w:pPr>
              <w:pStyle w:val="TableTextLessSpaceCharCharCharCharCharCharCharChar"/>
              <w:jc w:val="center"/>
              <w:rPr>
                <w:sz w:val="16"/>
              </w:rPr>
            </w:pPr>
            <w:r w:rsidRPr="00537C3C">
              <w:rPr>
                <w:sz w:val="16"/>
              </w:rPr>
              <w:t>0.73</w:t>
            </w:r>
          </w:p>
        </w:tc>
        <w:tc>
          <w:tcPr>
            <w:tcW w:w="537" w:type="pct"/>
            <w:gridSpan w:val="2"/>
            <w:tcBorders>
              <w:top w:val="nil"/>
            </w:tcBorders>
          </w:tcPr>
          <w:p w:rsidR="00234376" w:rsidRDefault="00234376" w:rsidP="00234376">
            <w:pPr>
              <w:pStyle w:val="TableTextLessSpaceCharCharCharCharCharCharCharChar"/>
              <w:jc w:val="center"/>
              <w:rPr>
                <w:sz w:val="16"/>
              </w:rPr>
            </w:pPr>
            <w:r w:rsidRPr="00537C3C">
              <w:rPr>
                <w:sz w:val="16"/>
              </w:rPr>
              <w:t>0.89</w:t>
            </w:r>
          </w:p>
        </w:tc>
        <w:tc>
          <w:tcPr>
            <w:tcW w:w="536" w:type="pct"/>
            <w:gridSpan w:val="2"/>
            <w:tcBorders>
              <w:top w:val="nil"/>
            </w:tcBorders>
          </w:tcPr>
          <w:p w:rsidR="00234376" w:rsidRDefault="00234376" w:rsidP="00234376">
            <w:pPr>
              <w:pStyle w:val="TableTextLessSpaceCharCharCharCharCharCharCharChar"/>
              <w:jc w:val="center"/>
              <w:rPr>
                <w:sz w:val="16"/>
              </w:rPr>
            </w:pPr>
            <w:r w:rsidRPr="00537C3C">
              <w:rPr>
                <w:sz w:val="16"/>
              </w:rPr>
              <w:t>0.99</w:t>
            </w:r>
          </w:p>
        </w:tc>
        <w:tc>
          <w:tcPr>
            <w:tcW w:w="536" w:type="pct"/>
            <w:gridSpan w:val="2"/>
            <w:tcBorders>
              <w:top w:val="nil"/>
            </w:tcBorders>
          </w:tcPr>
          <w:p w:rsidR="00234376" w:rsidRDefault="00234376" w:rsidP="00234376">
            <w:pPr>
              <w:pStyle w:val="TableTextLessSpaceCharCharCharCharCharCharCharChar"/>
              <w:jc w:val="center"/>
              <w:rPr>
                <w:sz w:val="16"/>
              </w:rPr>
            </w:pPr>
            <w:r w:rsidRPr="00537C3C">
              <w:rPr>
                <w:sz w:val="16"/>
              </w:rPr>
              <w:t>0.99</w:t>
            </w:r>
          </w:p>
        </w:tc>
        <w:tc>
          <w:tcPr>
            <w:tcW w:w="538" w:type="pct"/>
            <w:gridSpan w:val="2"/>
            <w:tcBorders>
              <w:top w:val="nil"/>
            </w:tcBorders>
          </w:tcPr>
          <w:p w:rsidR="00234376" w:rsidRDefault="00234376" w:rsidP="00234376">
            <w:pPr>
              <w:pStyle w:val="TableTextLessSpaceCharCharCharCharCharCharCharChar"/>
              <w:jc w:val="center"/>
              <w:rPr>
                <w:sz w:val="16"/>
              </w:rPr>
            </w:pPr>
            <w:r w:rsidRPr="00537C3C">
              <w:rPr>
                <w:sz w:val="16"/>
              </w:rPr>
              <w:t>0.96</w:t>
            </w:r>
          </w:p>
        </w:tc>
        <w:tc>
          <w:tcPr>
            <w:tcW w:w="528" w:type="pct"/>
            <w:gridSpan w:val="2"/>
            <w:tcBorders>
              <w:top w:val="nil"/>
            </w:tcBorders>
          </w:tcPr>
          <w:p w:rsidR="00234376" w:rsidRDefault="00234376" w:rsidP="00234376">
            <w:pPr>
              <w:pStyle w:val="TableTextLessSpaceCharCharCharCharCharCharCharChar"/>
              <w:jc w:val="center"/>
              <w:rPr>
                <w:sz w:val="16"/>
              </w:rPr>
            </w:pPr>
            <w:r w:rsidRPr="00537C3C">
              <w:rPr>
                <w:sz w:val="16"/>
              </w:rPr>
              <w:t>0.92</w:t>
            </w:r>
          </w:p>
        </w:tc>
      </w:tr>
      <w:tr w:rsidR="00234376" w:rsidRPr="00537C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trPr>
        <w:tc>
          <w:tcPr>
            <w:tcW w:w="716" w:type="pct"/>
            <w:gridSpan w:val="2"/>
            <w:tcBorders>
              <w:top w:val="nil"/>
              <w:bottom w:val="single" w:sz="4" w:space="0" w:color="auto"/>
            </w:tcBorders>
          </w:tcPr>
          <w:p w:rsidR="00234376" w:rsidRPr="00537C3C" w:rsidRDefault="00234376" w:rsidP="008E03A7">
            <w:pPr>
              <w:pStyle w:val="TableHeading"/>
            </w:pPr>
            <w:r w:rsidRPr="00BB76D8">
              <w:t>LBC</w:t>
            </w:r>
            <w:r w:rsidRPr="00537C3C">
              <w:t>/</w:t>
            </w:r>
            <w:r w:rsidRPr="00BB76D8">
              <w:t>CC</w:t>
            </w:r>
          </w:p>
        </w:tc>
        <w:tc>
          <w:tcPr>
            <w:tcW w:w="537" w:type="pct"/>
            <w:tcBorders>
              <w:top w:val="nil"/>
              <w:bottom w:val="single" w:sz="4" w:space="0" w:color="auto"/>
            </w:tcBorders>
          </w:tcPr>
          <w:p w:rsidR="00234376" w:rsidRDefault="00234376" w:rsidP="00234376">
            <w:pPr>
              <w:pStyle w:val="TableTextLessSpaceCharCharCharCharCharCharCharChar"/>
              <w:jc w:val="center"/>
              <w:rPr>
                <w:sz w:val="16"/>
                <w:szCs w:val="16"/>
              </w:rPr>
            </w:pPr>
            <w:r w:rsidRPr="00537C3C">
              <w:rPr>
                <w:sz w:val="16"/>
                <w:szCs w:val="16"/>
              </w:rPr>
              <w:t>1.21</w:t>
            </w:r>
          </w:p>
        </w:tc>
        <w:tc>
          <w:tcPr>
            <w:tcW w:w="536" w:type="pct"/>
            <w:gridSpan w:val="2"/>
            <w:tcBorders>
              <w:top w:val="nil"/>
              <w:bottom w:val="single" w:sz="4" w:space="0" w:color="auto"/>
            </w:tcBorders>
          </w:tcPr>
          <w:p w:rsidR="00234376" w:rsidRDefault="00234376" w:rsidP="00234376">
            <w:pPr>
              <w:pStyle w:val="TableTextLessSpaceCharCharCharCharCharCharCharChar"/>
              <w:jc w:val="center"/>
              <w:rPr>
                <w:sz w:val="16"/>
                <w:szCs w:val="16"/>
              </w:rPr>
            </w:pPr>
            <w:r w:rsidRPr="00537C3C">
              <w:rPr>
                <w:sz w:val="16"/>
                <w:szCs w:val="16"/>
              </w:rPr>
              <w:t>1.29</w:t>
            </w:r>
          </w:p>
        </w:tc>
        <w:tc>
          <w:tcPr>
            <w:tcW w:w="536" w:type="pct"/>
            <w:gridSpan w:val="2"/>
            <w:tcBorders>
              <w:top w:val="nil"/>
              <w:bottom w:val="single" w:sz="4" w:space="0" w:color="auto"/>
            </w:tcBorders>
          </w:tcPr>
          <w:p w:rsidR="00234376" w:rsidRDefault="00234376" w:rsidP="00234376">
            <w:pPr>
              <w:pStyle w:val="TableTextLessSpaceCharCharCharCharCharCharCharChar"/>
              <w:jc w:val="center"/>
              <w:rPr>
                <w:sz w:val="16"/>
                <w:szCs w:val="16"/>
              </w:rPr>
            </w:pPr>
            <w:r w:rsidRPr="00537C3C">
              <w:rPr>
                <w:sz w:val="16"/>
                <w:szCs w:val="16"/>
              </w:rPr>
              <w:t>1.10</w:t>
            </w:r>
          </w:p>
        </w:tc>
        <w:tc>
          <w:tcPr>
            <w:tcW w:w="537" w:type="pct"/>
            <w:gridSpan w:val="2"/>
            <w:tcBorders>
              <w:top w:val="nil"/>
              <w:bottom w:val="single" w:sz="4" w:space="0" w:color="auto"/>
            </w:tcBorders>
          </w:tcPr>
          <w:p w:rsidR="00234376" w:rsidRDefault="00234376" w:rsidP="00234376">
            <w:pPr>
              <w:pStyle w:val="TableTextLessSpaceCharCharCharCharCharCharCharChar"/>
              <w:jc w:val="center"/>
              <w:rPr>
                <w:sz w:val="16"/>
                <w:szCs w:val="16"/>
              </w:rPr>
            </w:pPr>
            <w:r w:rsidRPr="00537C3C">
              <w:rPr>
                <w:sz w:val="16"/>
                <w:szCs w:val="16"/>
              </w:rPr>
              <w:t>1.12</w:t>
            </w:r>
          </w:p>
        </w:tc>
        <w:tc>
          <w:tcPr>
            <w:tcW w:w="536" w:type="pct"/>
            <w:gridSpan w:val="2"/>
            <w:tcBorders>
              <w:top w:val="nil"/>
              <w:bottom w:val="single" w:sz="4" w:space="0" w:color="auto"/>
            </w:tcBorders>
          </w:tcPr>
          <w:p w:rsidR="00234376" w:rsidRDefault="00234376" w:rsidP="00234376">
            <w:pPr>
              <w:pStyle w:val="TableTextLessSpaceCharCharCharCharCharCharCharChar"/>
              <w:jc w:val="center"/>
              <w:rPr>
                <w:sz w:val="16"/>
                <w:szCs w:val="16"/>
              </w:rPr>
            </w:pPr>
            <w:r w:rsidRPr="00537C3C">
              <w:rPr>
                <w:sz w:val="16"/>
                <w:szCs w:val="16"/>
              </w:rPr>
              <w:t>1.002</w:t>
            </w:r>
          </w:p>
        </w:tc>
        <w:tc>
          <w:tcPr>
            <w:tcW w:w="536" w:type="pct"/>
            <w:gridSpan w:val="2"/>
            <w:tcBorders>
              <w:top w:val="nil"/>
              <w:bottom w:val="single" w:sz="4" w:space="0" w:color="auto"/>
            </w:tcBorders>
          </w:tcPr>
          <w:p w:rsidR="00234376" w:rsidRDefault="00234376" w:rsidP="00234376">
            <w:pPr>
              <w:pStyle w:val="TableTextLessSpaceCharCharCharCharCharCharCharChar"/>
              <w:jc w:val="center"/>
              <w:rPr>
                <w:sz w:val="16"/>
                <w:szCs w:val="16"/>
              </w:rPr>
            </w:pPr>
            <w:r w:rsidRPr="00537C3C">
              <w:rPr>
                <w:sz w:val="16"/>
                <w:szCs w:val="16"/>
              </w:rPr>
              <w:t>1.004</w:t>
            </w:r>
          </w:p>
        </w:tc>
        <w:tc>
          <w:tcPr>
            <w:tcW w:w="538" w:type="pct"/>
            <w:gridSpan w:val="2"/>
            <w:tcBorders>
              <w:top w:val="nil"/>
              <w:bottom w:val="single" w:sz="4" w:space="0" w:color="auto"/>
            </w:tcBorders>
          </w:tcPr>
          <w:p w:rsidR="00234376" w:rsidRDefault="00234376" w:rsidP="00234376">
            <w:pPr>
              <w:pStyle w:val="TableTextLessSpaceCharCharCharCharCharCharCharChar"/>
              <w:jc w:val="center"/>
              <w:rPr>
                <w:sz w:val="16"/>
                <w:szCs w:val="16"/>
              </w:rPr>
            </w:pPr>
            <w:r w:rsidRPr="00537C3C">
              <w:rPr>
                <w:sz w:val="16"/>
                <w:szCs w:val="16"/>
              </w:rPr>
              <w:t>1.004</w:t>
            </w:r>
          </w:p>
        </w:tc>
        <w:tc>
          <w:tcPr>
            <w:tcW w:w="528" w:type="pct"/>
            <w:gridSpan w:val="2"/>
            <w:tcBorders>
              <w:top w:val="nil"/>
              <w:bottom w:val="single" w:sz="4" w:space="0" w:color="auto"/>
            </w:tcBorders>
          </w:tcPr>
          <w:p w:rsidR="00234376" w:rsidRDefault="00234376" w:rsidP="00234376">
            <w:pPr>
              <w:pStyle w:val="TableTextLessSpaceCharCharCharCharCharCharCharChar"/>
              <w:jc w:val="center"/>
              <w:rPr>
                <w:sz w:val="16"/>
                <w:szCs w:val="16"/>
              </w:rPr>
            </w:pPr>
            <w:r w:rsidRPr="00537C3C">
              <w:rPr>
                <w:sz w:val="16"/>
                <w:szCs w:val="16"/>
              </w:rPr>
              <w:t>1.004</w:t>
            </w:r>
          </w:p>
        </w:tc>
      </w:tr>
    </w:tbl>
    <w:p w:rsidR="00234376" w:rsidRPr="00537C3C" w:rsidRDefault="00234376" w:rsidP="008E03A7"/>
    <w:p w:rsidR="00234376" w:rsidRPr="00537C3C" w:rsidRDefault="00234376" w:rsidP="008E03A7">
      <w:r w:rsidRPr="00537C3C">
        <w:lastRenderedPageBreak/>
        <w:t xml:space="preserve">Even allowing for differences in nomenclature systems, these estimates for relative sensitivity are outside the range of </w:t>
      </w:r>
      <w:r w:rsidRPr="00BB76D8">
        <w:t>CI</w:t>
      </w:r>
      <w:r w:rsidRPr="00537C3C">
        <w:t>s given in estimates by Arbyn et al. These results in relation to Arbyn et al.’s meta-analysis are presented on an SROC curve (</w:t>
      </w:r>
      <w:r w:rsidR="00185EF4">
        <w:fldChar w:fldCharType="begin"/>
      </w:r>
      <w:r w:rsidR="00185EF4">
        <w:instrText xml:space="preserve"> REF _Ref222738698 \h </w:instrText>
      </w:r>
      <w:r w:rsidR="00185EF4">
        <w:fldChar w:fldCharType="separate"/>
      </w:r>
      <w:r w:rsidR="007D3DFF">
        <w:t xml:space="preserve">Figure </w:t>
      </w:r>
      <w:r w:rsidR="007D3DFF">
        <w:rPr>
          <w:noProof/>
        </w:rPr>
        <w:t>24</w:t>
      </w:r>
      <w:r w:rsidR="00185EF4">
        <w:fldChar w:fldCharType="end"/>
      </w:r>
      <w:r w:rsidR="00185EF4">
        <w:t>)</w:t>
      </w:r>
      <w:r w:rsidRPr="00537C3C">
        <w:t>.</w:t>
      </w:r>
    </w:p>
    <w:p w:rsidR="00234376" w:rsidRDefault="00F5257D" w:rsidP="00F5257D">
      <w:pPr>
        <w:pStyle w:val="Caption"/>
      </w:pPr>
      <w:bookmarkStart w:id="1214" w:name="_Ref222738698"/>
      <w:bookmarkStart w:id="1215" w:name="_Toc216169990"/>
      <w:bookmarkStart w:id="1216" w:name="_Toc231895865"/>
      <w:bookmarkStart w:id="1217" w:name="_Toc222823919"/>
      <w:r>
        <w:t xml:space="preserve">Figure </w:t>
      </w:r>
      <w:fldSimple w:instr=" SEQ Figure \* ARABIC ">
        <w:r w:rsidR="007D3DFF">
          <w:rPr>
            <w:noProof/>
          </w:rPr>
          <w:t>24</w:t>
        </w:r>
      </w:fldSimple>
      <w:bookmarkEnd w:id="1214"/>
      <w:r>
        <w:tab/>
      </w:r>
      <w:r>
        <w:tab/>
      </w:r>
      <w:r w:rsidR="00C54979">
        <w:t xml:space="preserve"> </w:t>
      </w:r>
      <w:r w:rsidR="00234376" w:rsidRPr="00537C3C">
        <w:t xml:space="preserve">SROC obtained via Method 3, compared </w:t>
      </w:r>
      <w:r w:rsidR="00DD6388">
        <w:t xml:space="preserve">to </w:t>
      </w:r>
      <w:r w:rsidR="00234376" w:rsidRPr="00537C3C">
        <w:t>that described in Arbyn</w:t>
      </w:r>
      <w:bookmarkEnd w:id="1215"/>
      <w:r w:rsidR="00234376" w:rsidRPr="00537C3C">
        <w:t xml:space="preserve"> et al.</w:t>
      </w:r>
      <w:bookmarkEnd w:id="1216"/>
      <w:bookmarkEnd w:id="1217"/>
    </w:p>
    <w:p w:rsidR="00F5257D" w:rsidRPr="00F5257D" w:rsidRDefault="001D1ECE" w:rsidP="00185EF4">
      <w:pPr>
        <w:rPr>
          <w:lang w:eastAsia="en-AU"/>
        </w:rPr>
      </w:pPr>
      <w:r>
        <w:rPr>
          <w:noProof/>
          <w:lang w:eastAsia="en-AU"/>
        </w:rPr>
        <w:drawing>
          <wp:inline distT="0" distB="0" distL="0" distR="0">
            <wp:extent cx="5731510" cy="2814320"/>
            <wp:effectExtent l="0" t="0" r="2540" b="5080"/>
            <wp:docPr id="140" name="Picture 140" title="SROC obtained via Method 3, compared to that described in Arbyn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1.tif"/>
                    <pic:cNvPicPr/>
                  </pic:nvPicPr>
                  <pic:blipFill>
                    <a:blip r:embed="rId117">
                      <a:extLst>
                        <a:ext uri="{28A0092B-C50C-407E-A947-70E740481C1C}">
                          <a14:useLocalDpi xmlns:a14="http://schemas.microsoft.com/office/drawing/2010/main" val="0"/>
                        </a:ext>
                      </a:extLst>
                    </a:blip>
                    <a:stretch>
                      <a:fillRect/>
                    </a:stretch>
                  </pic:blipFill>
                  <pic:spPr>
                    <a:xfrm>
                      <a:off x="0" y="0"/>
                      <a:ext cx="5731510" cy="2814320"/>
                    </a:xfrm>
                    <a:prstGeom prst="rect">
                      <a:avLst/>
                    </a:prstGeom>
                  </pic:spPr>
                </pic:pic>
              </a:graphicData>
            </a:graphic>
          </wp:inline>
        </w:drawing>
      </w:r>
    </w:p>
    <w:p w:rsidR="00234376" w:rsidRPr="00537C3C" w:rsidRDefault="00C97E47" w:rsidP="008E03A7">
      <w:r>
        <w:fldChar w:fldCharType="begin" w:fldLock="1"/>
      </w:r>
      <w:r>
        <w:instrText xml:space="preserve">ref  SHAPE  \* MERGEFORMAT </w:instrText>
      </w:r>
      <w:r>
        <w:fldChar w:fldCharType="end"/>
      </w:r>
      <w:r w:rsidR="00234376" w:rsidRPr="00537C3C">
        <w:t xml:space="preserve"> </w:t>
      </w:r>
      <w:r>
        <w:fldChar w:fldCharType="begin" w:fldLock="1"/>
      </w:r>
      <w:r>
        <w:instrText xml:space="preserve">ref  SHAPE  \* MERGEFORMAT </w:instrText>
      </w:r>
      <w:r>
        <w:fldChar w:fldCharType="end"/>
      </w:r>
      <w:r w:rsidR="00234376" w:rsidRPr="00537C3C">
        <w:t xml:space="preserve">Moreover, it proved impossible to apply Arbyn et al.’s sensitivity estimates in place of </w:t>
      </w:r>
      <w:r w:rsidR="00234376" w:rsidRPr="00BB76D8">
        <w:t>CADTH</w:t>
      </w:r>
      <w:r w:rsidR="00234376" w:rsidRPr="00537C3C">
        <w:t xml:space="preserve"> estimates with these data.</w:t>
      </w:r>
    </w:p>
    <w:p w:rsidR="00234376" w:rsidRPr="00537C3C" w:rsidRDefault="00014112" w:rsidP="008E03A7">
      <w:r>
        <w:t>Due</w:t>
      </w:r>
      <w:r w:rsidR="00234376" w:rsidRPr="00537C3C">
        <w:t xml:space="preserve"> to the difficulty involved in deriving test probability matrices for </w:t>
      </w:r>
      <w:r w:rsidR="00234376" w:rsidRPr="00BB76D8">
        <w:t>CC</w:t>
      </w:r>
      <w:r w:rsidR="00234376" w:rsidRPr="00537C3C">
        <w:t xml:space="preserve"> and </w:t>
      </w:r>
      <w:r w:rsidR="00234376" w:rsidRPr="00BB76D8">
        <w:t>LBC</w:t>
      </w:r>
      <w:r w:rsidR="00234376" w:rsidRPr="00537C3C">
        <w:t xml:space="preserve"> with accurate absolute sensitivity and specificity, we derived matrices for </w:t>
      </w:r>
      <w:r w:rsidR="00234376" w:rsidRPr="00BB76D8">
        <w:t>LBC</w:t>
      </w:r>
      <w:r w:rsidR="00234376" w:rsidRPr="00537C3C">
        <w:t xml:space="preserve"> based on published relative differences once a matrix for </w:t>
      </w:r>
      <w:r w:rsidR="00234376" w:rsidRPr="00BB76D8">
        <w:t>CC</w:t>
      </w:r>
      <w:r w:rsidR="00234376" w:rsidRPr="00537C3C">
        <w:t xml:space="preserve"> had been chosen. This general method ensured that relative differences as published in Arbyn et al. were preserved.</w:t>
      </w:r>
    </w:p>
    <w:p w:rsidR="00234376" w:rsidRDefault="00234376" w:rsidP="00234376">
      <w:pPr>
        <w:pStyle w:val="Heading3"/>
      </w:pPr>
      <w:r w:rsidRPr="00537C3C">
        <w:t>Methods 4–6</w:t>
      </w:r>
    </w:p>
    <w:p w:rsidR="00234376" w:rsidRPr="0098213C" w:rsidRDefault="00234376" w:rsidP="008E03A7">
      <w:r w:rsidRPr="00537C3C">
        <w:t xml:space="preserve">Method 4 used </w:t>
      </w:r>
      <w:r w:rsidRPr="00BB76D8">
        <w:t>ALTS</w:t>
      </w:r>
      <w:r w:rsidRPr="00537C3C">
        <w:t xml:space="preserve"> data as per Method 3(b), with the exception that the disease distribution in women with </w:t>
      </w:r>
      <w:r w:rsidRPr="0098213C">
        <w:t>negative cytology was parameterised via published sensitivity estimates (</w:t>
      </w:r>
      <w:r w:rsidR="00185EF4" w:rsidRPr="0098213C">
        <w:fldChar w:fldCharType="begin"/>
      </w:r>
      <w:r w:rsidR="00185EF4" w:rsidRPr="0098213C">
        <w:instrText xml:space="preserve"> REF _Ref222738701 \h </w:instrText>
      </w:r>
      <w:r w:rsidR="0098213C">
        <w:instrText xml:space="preserve"> \* MERGEFORMAT </w:instrText>
      </w:r>
      <w:r w:rsidR="00185EF4" w:rsidRPr="0098213C">
        <w:fldChar w:fldCharType="separate"/>
      </w:r>
      <w:r w:rsidR="007D3DFF">
        <w:t xml:space="preserve">Figure </w:t>
      </w:r>
      <w:r w:rsidR="007D3DFF">
        <w:rPr>
          <w:noProof/>
        </w:rPr>
        <w:t>25</w:t>
      </w:r>
      <w:r w:rsidR="00185EF4" w:rsidRPr="0098213C">
        <w:fldChar w:fldCharType="end"/>
      </w:r>
      <w:r w:rsidR="00185EF4" w:rsidRPr="0098213C">
        <w:t>)</w:t>
      </w:r>
      <w:r w:rsidRPr="0098213C">
        <w:t xml:space="preserve">. Methods 5 and 6 used ALTS data only for low-grade cytology, and used routinely collected Victorian data on histology of high-grade cytology </w:t>
      </w:r>
      <w:r w:rsidR="00250190" w:rsidRPr="0098213C">
        <w:t>{Victorian Cervical Cytology Registry, 2006 4976 /id}</w:t>
      </w:r>
      <w:r w:rsidRPr="0098213C">
        <w:t xml:space="preserve"> (</w:t>
      </w:r>
      <w:r w:rsidRPr="0098213C">
        <w:fldChar w:fldCharType="begin"/>
      </w:r>
      <w:r w:rsidRPr="0098213C">
        <w:instrText xml:space="preserve"> REF _Ref95899953 \h </w:instrText>
      </w:r>
      <w:r w:rsidR="0098213C">
        <w:instrText xml:space="preserve"> \* MERGEFORMAT </w:instrText>
      </w:r>
      <w:r w:rsidRPr="0098213C">
        <w:fldChar w:fldCharType="separate"/>
      </w:r>
      <w:r w:rsidR="007D3DFF">
        <w:t xml:space="preserve">Figure </w:t>
      </w:r>
      <w:r w:rsidR="007D3DFF">
        <w:rPr>
          <w:noProof/>
        </w:rPr>
        <w:t>26</w:t>
      </w:r>
      <w:r w:rsidRPr="0098213C">
        <w:fldChar w:fldCharType="end"/>
      </w:r>
      <w:r w:rsidRPr="0098213C">
        <w:t>).</w:t>
      </w:r>
    </w:p>
    <w:p w:rsidR="00234376" w:rsidRPr="0098213C" w:rsidRDefault="00234376" w:rsidP="008E03A7">
      <w:r w:rsidRPr="0098213C">
        <w:t xml:space="preserve">Methods 4 and 5 proved impractical unless lower estimates of the ALTS data </w:t>
      </w:r>
      <w:r w:rsidRPr="0098213C">
        <w:fldChar w:fldCharType="begin"/>
      </w:r>
      <w:r w:rsidRPr="0098213C">
        <w:instrText xml:space="preserve"> ADDIN REFMGR.CITE &lt;Refman&gt;&lt;Cite&gt;&lt;Author&gt;Sherman&lt;/Author&gt;&lt;Year&gt;2006&lt;/Year&gt;&lt;RecNum&gt;3580&lt;/RecNum&gt;&lt;IDText&gt;Cervical cytology of atypical squamous cells-cannot exclude high-grade squamous intraepithelial lesion (ASC-H): characteristics and histologic outcomes&lt;/IDText&gt;&lt;MDL Ref_Type="Journal"&gt;&lt;Ref_Type&gt;Journal&lt;/Ref_Type&gt;&lt;Ref_ID&gt;3580&lt;/Ref_ID&gt;&lt;Title_Primary&gt;Cervical cytology of atypical squamous cells-cannot exclude high-grade squamous intraepithelial lesion (ASC-H): characteristics and histologic outcomes&lt;/Title_Primary&gt;&lt;Authors_Primary&gt;Sherman,M.E.&lt;/Authors_Primary&gt;&lt;Authors_Primary&gt;Castle,P.E.&lt;/Authors_Primary&gt;&lt;Authors_Primary&gt;Solomon,D.&lt;/Authors_Primary&gt;&lt;Date_Primary&gt;2006&lt;/Date_Primary&gt;&lt;Keywords&gt;ALTS&lt;/Keywords&gt;&lt;Keywords&gt;Cancer&lt;/Keywords&gt;&lt;Keywords&gt;Cells&lt;/Keywords&gt;&lt;Keywords&gt;Cervical Intraepithelial&lt;/Keywords&gt;&lt;Keywords&gt;Cervical Intraepithelial Neoplasia&lt;/Keywords&gt;&lt;Keywords&gt;Colposcopy&lt;/Keywords&gt;&lt;Keywords&gt;Comparative Study&lt;/Keywords&gt;&lt;Keywords&gt;complications&lt;/Keywords&gt;&lt;Keywords&gt;cytology&lt;/Keywords&gt;&lt;Keywords&gt;Epidemiology&lt;/Keywords&gt;&lt;Keywords&gt;Female&lt;/Keywords&gt;&lt;Keywords&gt;Follow-Up Studies&lt;/Keywords&gt;&lt;Keywords&gt;Genetic&lt;/Keywords&gt;&lt;Keywords&gt;genetics&lt;/Keywords&gt;&lt;Keywords&gt;Hormonal&lt;/Keywords&gt;&lt;Keywords&gt;HPV&lt;/Keywords&gt;&lt;Keywords&gt;HPV testing&lt;/Keywords&gt;&lt;Keywords&gt;Human&lt;/Keywords&gt;&lt;Keywords&gt;Humans&lt;/Keywords&gt;&lt;Keywords&gt;isolation &amp;amp; purification&lt;/Keywords&gt;&lt;Keywords&gt;Maryland&lt;/Keywords&gt;&lt;Keywords&gt;methods&lt;/Keywords&gt;&lt;Keywords&gt;Neoplasia&lt;/Keywords&gt;&lt;Keywords&gt;Neoplasms,Squamous Cell&lt;/Keywords&gt;&lt;Keywords&gt;Papillomaviridae&lt;/Keywords&gt;&lt;Keywords&gt;Papillomavirus&lt;/Keywords&gt;&lt;Keywords&gt;Papillomavirus Infections&lt;/Keywords&gt;&lt;Keywords&gt;pathology&lt;/Keywords&gt;&lt;Keywords&gt;Precancerous Conditions&lt;/Keywords&gt;&lt;Keywords&gt;Risk&lt;/Keywords&gt;&lt;Keywords&gt;Risk Factors&lt;/Keywords&gt;&lt;Keywords&gt;Squamous Cell&lt;/Keywords&gt;&lt;Keywords&gt;Triage&lt;/Keywords&gt;&lt;Keywords&gt;Uterine Cervical Neoplasms&lt;/Keywords&gt;&lt;Keywords&gt;Vaginal Smears&lt;/Keywords&gt;&lt;Keywords&gt;virology&lt;/Keywords&gt;&lt;Keywords&gt;Women&lt;/Keywords&gt;&lt;Reprint&gt;Not in File&lt;/Reprint&gt;&lt;Start_Page&gt;298&lt;/Start_Page&gt;&lt;End_Page&gt;305&lt;/End_Page&gt;&lt;Periodical&gt;Cancer&lt;/Periodical&gt;&lt;Volume&gt;108&lt;/Volume&gt;&lt;Issue&gt;5&lt;/Issue&gt;&lt;Address&gt;Division of Cancer Epidemiology and Genetics, Hormonal and Reproductive Epidemiology Branch, National Cancer Institute, Bethesda, Maryland, USA. shermanm@mail.nih.gov&lt;/Address&gt;&lt;Web_URL&gt;PM:16544318&lt;/Web_URL&gt;&lt;ZZ_JournalFull&gt;&lt;f name="System"&gt;Cancer&lt;/f&gt;&lt;/ZZ_JournalFull&gt;&lt;ZZ_WorkformID&gt;1&lt;/ZZ_WorkformID&gt;&lt;/MDL&gt;&lt;/Cite&gt;&lt;/Refman&gt;</w:instrText>
      </w:r>
      <w:r w:rsidRPr="0098213C">
        <w:fldChar w:fldCharType="separate"/>
      </w:r>
      <w:r w:rsidRPr="0098213C">
        <w:t>(Sherman et al. 2006)</w:t>
      </w:r>
      <w:r w:rsidRPr="0098213C">
        <w:fldChar w:fldCharType="end"/>
      </w:r>
      <w:r w:rsidRPr="0098213C">
        <w:t xml:space="preserve"> or of Arbyn et al.’s sensitivity data </w:t>
      </w:r>
      <w:r w:rsidRPr="0098213C">
        <w:fldChar w:fldCharType="begin"/>
      </w:r>
      <w:r w:rsidRPr="0098213C">
        <w:instrText xml:space="preserve"> ADDIN REFMGR.CITE &lt;Refman&gt;&lt;Cite&gt;&lt;Author&gt;Arbyn&lt;/Author&gt;&lt;Year&gt;2008&lt;/Year&gt;&lt;RecNum&gt;5&lt;/RecNum&gt;&lt;IDText&gt;Liquid compared with conventional cervical cytology: A systematic review and meta-analysis&lt;/IDText&gt;&lt;MDL Ref_Type="Journal"&gt;&lt;Ref_Type&gt;Journal&lt;/Ref_Type&gt;&lt;Ref_ID&gt;5&lt;/Ref_ID&gt;&lt;Title_Primary&gt;Liquid compared with conventional cervical cytology: A systematic review and meta-analysis&lt;/Title_Primary&gt;&lt;Authors_Primary&gt;Arbyn,M.&lt;/Authors_Primary&gt;&lt;Authors_Primary&gt;Bergeron,C.&lt;/Authors_Primary&gt;&lt;Authors_Primary&gt;Klinkhamer,P.&lt;/Authors_Primary&gt;&lt;Authors_Primary&gt;Martin-Hirsch,P.&lt;/Authors_Primary&gt;&lt;Authors_Primary&gt;Siebers,A.G.&lt;/Authors_Primary&gt;&lt;Authors_Primary&gt;Bulten,J.&lt;/Authors_Primary&gt;&lt;Date_Primary&gt;2008&lt;/Date_Primary&gt;&lt;Keywords&gt;AutoCyte&lt;/Keywords&gt;&lt;Keywords&gt;cancer grading&lt;/Keywords&gt;&lt;Keywords&gt;CellSlide&lt;/Keywords&gt;&lt;Keywords&gt;clinical study&lt;/Keywords&gt;&lt;Keywords&gt;clinical trial&lt;/Keywords&gt;&lt;Keywords&gt;colposcopy&lt;/Keywords&gt;&lt;Keywords&gt;comparative study&lt;/Keywords&gt;&lt;Keywords&gt;CytoRich&lt;/Keywords&gt;&lt;Keywords&gt;diagnostic accuracy&lt;/Keywords&gt;&lt;Keywords&gt;DNA-Citoliq&lt;/Keywords&gt;&lt;Keywords&gt;female&lt;/Keywords&gt;&lt;Keywords&gt;gold standard&lt;/Keywords&gt;&lt;Keywords&gt;human&lt;/Keywords&gt;&lt;Keywords&gt;intermethod comparison&lt;/Keywords&gt;&lt;Keywords&gt;liquid&lt;/Keywords&gt;&lt;Keywords&gt;liquid based cytology&lt;/Keywords&gt;&lt;Keywords&gt;meta analysis&lt;/Keywords&gt;&lt;Keywords&gt;Papanicolaou test&lt;/Keywords&gt;&lt;Keywords&gt;priority journal&lt;/Keywords&gt;&lt;Keywords&gt;review&lt;/Keywords&gt;&lt;Keywords&gt;sensitivity and specificity&lt;/Keywords&gt;&lt;Keywords&gt;SurePath&lt;/Keywords&gt;&lt;Keywords&gt;systematic review&lt;/Keywords&gt;&lt;Keywords&gt;ThinPrep&lt;/Keywords&gt;&lt;Keywords&gt;TP-beta&lt;/Keywords&gt;&lt;Keywords&gt;TP2000&lt;/Keywords&gt;&lt;Keywords&gt;uterine cervix carcinoma in situ&lt;/Keywords&gt;&lt;Keywords&gt;uterine cervix cytology&lt;/Keywords&gt;&lt;Keywords&gt;validity&lt;/Keywords&gt;&lt;Reprint&gt;Not in File&lt;/Reprint&gt;&lt;Start_Page&gt;167&lt;/Start_Page&gt;&lt;End_Page&gt;177&lt;/End_Page&gt;&lt;Periodical&gt;Obstetrics and Gynecology&lt;/Periodical&gt;&lt;Volume&gt;111&lt;/Volume&gt;&lt;Issue&gt;1&lt;/Issue&gt;&lt;ISSN_ISBN&gt;0029-7844&lt;/ISSN_ISBN&gt;&lt;Address&gt;Arbyn, M., Unit of Cancer Epidemiology, Scientific Institute of Public Health, B150 Brussels, Belgium&lt;/Address&gt;&lt;ZZ_JournalFull&gt;&lt;f name="System"&gt;Obstetrics and Gynecology&lt;/f&gt;&lt;/ZZ_JournalFull&gt;&lt;ZZ_JournalStdAbbrev&gt;&lt;f name="System"&gt;Obstet.Gynecol.&lt;/f&gt;&lt;/ZZ_JournalStdAbbrev&gt;&lt;ZZ_WorkformID&gt;1&lt;/ZZ_WorkformID&gt;&lt;/MDL&gt;&lt;/Cite&gt;&lt;/Refman&gt;</w:instrText>
      </w:r>
      <w:r w:rsidRPr="0098213C">
        <w:fldChar w:fldCharType="separate"/>
      </w:r>
      <w:r w:rsidRPr="0098213C">
        <w:t>(Arbyn et al. 2008)</w:t>
      </w:r>
      <w:r w:rsidRPr="0098213C">
        <w:fldChar w:fldCharType="end"/>
      </w:r>
      <w:r w:rsidRPr="0098213C">
        <w:t xml:space="preserve"> were applied. The results from Methods 1–4 suggest that it is reasonable to lower the estimates from Arbyn et al. rather than </w:t>
      </w:r>
      <w:r w:rsidR="00250190" w:rsidRPr="0098213C">
        <w:t xml:space="preserve">those from </w:t>
      </w:r>
      <w:r w:rsidRPr="0098213C">
        <w:t>ALTS. Only those</w:t>
      </w:r>
      <w:r w:rsidR="00250190" w:rsidRPr="0098213C">
        <w:t xml:space="preserve"> methods</w:t>
      </w:r>
      <w:r w:rsidRPr="0098213C">
        <w:t xml:space="preserve"> using unaltered ALTS data were considered as candidates for sensitivity analysis.</w:t>
      </w:r>
    </w:p>
    <w:p w:rsidR="00234376" w:rsidRPr="00537C3C" w:rsidRDefault="00234376" w:rsidP="008E03A7">
      <w:r w:rsidRPr="0098213C">
        <w:t xml:space="preserve">Method 6 uses estimates for negative cytology results derived from Coste </w:t>
      </w:r>
      <w:r w:rsidRPr="0098213C">
        <w:fldChar w:fldCharType="begin"/>
      </w:r>
      <w:r w:rsidRPr="0098213C">
        <w:instrText xml:space="preserve"> ADDIN REFMGR.CITE &lt;Refman&gt;&lt;Cite&gt;&lt;Author&gt;Coste J.&lt;/Author&gt;&lt;Year&gt;2003&lt;/Year&gt;&lt;RecNum&gt;4974&lt;/RecNum&gt;&lt;IDText&gt;Cross sectional study of conventional cervical smear, monolayer cytology, and human papillomavirus DNA testing for cervical cancer screening&lt;/IDText&gt;&lt;MDL Ref_Type="Journal"&gt;&lt;Ref_Type&gt;Journal&lt;/Ref_Type&gt;&lt;Ref_ID&gt;4974&lt;/Ref_ID&gt;&lt;Title_Primary&gt;Cross sectional study of conventional cervical smear, monolayer cytology, and human papillomavirus DNA testing for cervical cancer screening&lt;/Title_Primary&gt;&lt;Authors_Primary&gt;Coste J.&lt;/Authors_Primary&gt;&lt;Date_Primary&gt;2003&lt;/Date_Primary&gt;&lt;Keywords&gt;Cancer&lt;/Keywords&gt;&lt;Keywords&gt;cytology&lt;/Keywords&gt;&lt;Keywords&gt;Dna&lt;/Keywords&gt;&lt;Keywords&gt;Human&lt;/Keywords&gt;&lt;Keywords&gt;Papillomavirus&lt;/Keywords&gt;&lt;Keywords&gt;screening&lt;/Keywords&gt;&lt;Reprint&gt;Not in File&lt;/Reprint&gt;&lt;Periodical&gt;BMJ.&lt;/Periodical&gt;&lt;Volume&gt;326(7392)&lt;/Volume&gt;&lt;Authors_Secondary&gt;Cochand-Priollet B.de Cremoux P.Le Gales C.Cartier I.Molinie V.Labbe S.Vacher-Lavenu MC.Vielh P.French Society of Clinical Cytology Study Group.&lt;/Authors_Secondary&gt;&lt;Issue&gt;733&lt;/Issue&gt;&lt;ZZ_JournalStdAbbrev&gt;&lt;f name="System"&gt;BMJ.&lt;/f&gt;&lt;/ZZ_JournalStdAbbrev&gt;&lt;ZZ_WorkformID&gt;1&lt;/ZZ_WorkformID&gt;&lt;/MDL&gt;&lt;/Cite&gt;&lt;/Refman&gt;</w:instrText>
      </w:r>
      <w:r w:rsidRPr="0098213C">
        <w:fldChar w:fldCharType="separate"/>
      </w:r>
      <w:r w:rsidRPr="0098213C">
        <w:t>(2003)</w:t>
      </w:r>
      <w:r w:rsidRPr="0098213C">
        <w:fldChar w:fldCharType="end"/>
      </w:r>
      <w:r w:rsidRPr="00537C3C">
        <w:t xml:space="preserve"> for histologically defined health states and </w:t>
      </w:r>
      <w:r w:rsidRPr="00BB76D8">
        <w:t>WHINURS</w:t>
      </w:r>
      <w:r w:rsidRPr="00537C3C">
        <w:t xml:space="preserve"> for the </w:t>
      </w:r>
      <w:r w:rsidRPr="00BB76D8">
        <w:t>HPV</w:t>
      </w:r>
      <w:r w:rsidRPr="00537C3C">
        <w:t xml:space="preserve"> health state. No assumptions are made about the sensitivity of cytology; this avoids applying sensitivity estimates that are not based on screening populations to the test probability matrix, and avoids making assumptions about the applicability of the lower estimates of sensitivity in Arbyn et al. The points on the SROC graph from Method 6 are consistent with the ROC curves for cytology based on a screening population implied by Davey </w:t>
      </w:r>
      <w:r w:rsidRPr="0030078D">
        <w:t>et al.</w:t>
      </w:r>
      <w:r w:rsidRPr="00537C3C">
        <w:rPr>
          <w:i/>
        </w:rPr>
        <w:t xml:space="preserve"> </w:t>
      </w:r>
      <w:r w:rsidRPr="00537C3C">
        <w:fldChar w:fldCharType="begin"/>
      </w:r>
      <w:r w:rsidRPr="00537C3C">
        <w:instrText xml:space="preserve"> ADDIN REFMGR.CITE &lt;Refman&gt;&lt;Cite ExcludeAuth="1"&gt;&lt;Author&gt;Davey&lt;/Author&gt;&lt;Year&gt;2006&lt;/Year&gt;&lt;RecNum&gt;268&lt;/RecNum&gt;&lt;IDText&gt;Effect of study design and quality on unsatisfactory rates, cytology classifications, and accuracy in liquid-based versus conventional cervical cytology: A systematic review&lt;/IDText&gt;&lt;MDL Ref_Type="Journal"&gt;&lt;Ref_Type&gt;Journal&lt;/Ref_Type&gt;&lt;Ref_ID&gt;268&lt;/Ref_ID&gt;&lt;Title_Primary&gt;Effect of study design and quality on unsatisfactory rates, cytology classifications, and accuracy in liquid-based versus conventional cervical cytology: A systematic review&lt;/Title_Primary&gt;&lt;Authors_Primary&gt;Davey,E.&lt;/Authors_Primary&gt;&lt;Authors_Primary&gt;Barratt,A.&lt;/Authors_Primary&gt;&lt;Authors_Primary&gt;Irwig,L.&lt;/Authors_Primary&gt;&lt;Authors_Primary&gt;Chan,S.F.&lt;/Authors_Primary&gt;&lt;Authors_Primary&gt;Macaskill,P.&lt;/Authors_Primary&gt;&lt;Authors_Primary&gt;Mannes,P.&lt;/Authors_Primary&gt;&lt;Authors_Primary&gt;Saville,A.M.&lt;/Authors_Primary&gt;&lt;Date_Primary&gt;2006&lt;/Date_Primary&gt;&lt;Keywords&gt;cancer screening&lt;/Keywords&gt;&lt;Keywords&gt;comparative study&lt;/Keywords&gt;&lt;Keywords&gt;cytodiagnosis&lt;/Keywords&gt;&lt;Keywords&gt;cytology&lt;/Keywords&gt;&lt;Keywords&gt;cytopathology&lt;/Keywords&gt;&lt;Keywords&gt;diagnostic accuracy&lt;/Keywords&gt;&lt;Keywords&gt;human&lt;/Keywords&gt;&lt;Keywords&gt;liquid based cytology&lt;/Keywords&gt;&lt;Keywords&gt;methodology&lt;/Keywords&gt;&lt;Keywords&gt;Papanicolaou test&lt;/Keywords&gt;&lt;Keywords&gt;priority journal&lt;/Keywords&gt;&lt;Keywords&gt;review&lt;/Keywords&gt;&lt;Keywords&gt;sensitivity and specificity&lt;/Keywords&gt;&lt;Keywords&gt;squamous epithelium&lt;/Keywords&gt;&lt;Keywords&gt;systematic review&lt;/Keywords&gt;&lt;Keywords&gt;uterine cervix cytology&lt;/Keywords&gt;&lt;Reprint&gt;Not in File&lt;/Reprint&gt;&lt;Start_Page&gt;122&lt;/Start_Page&gt;&lt;End_Page&gt;132&lt;/End_Page&gt;&lt;Periodical&gt;Lancet&lt;/Periodical&gt;&lt;Volume&gt;367&lt;/Volume&gt;&lt;Issue&gt;9505&lt;/Issue&gt;&lt;ISSN_ISBN&gt;0140-6736&lt;/ISSN_ISBN&gt;&lt;Address&gt;Davey, E., Screening and Test Evaluation Program, School of Public Health, University of Sydney, NSW 2006, Australia&lt;/Address&gt;&lt;ZZ_JournalFull&gt;&lt;f name="System"&gt;Lancet&lt;/f&gt;&lt;/ZZ_JournalFull&gt;&lt;ZZ_WorkformID&gt;1&lt;/ZZ_WorkformID&gt;&lt;/MDL&gt;&lt;/Cite&gt;&lt;/Refman&gt;</w:instrText>
      </w:r>
      <w:r w:rsidRPr="00537C3C">
        <w:fldChar w:fldCharType="separate"/>
      </w:r>
      <w:r w:rsidRPr="00537C3C">
        <w:t>(2006)</w:t>
      </w:r>
      <w:r w:rsidRPr="00537C3C">
        <w:fldChar w:fldCharType="end"/>
      </w:r>
      <w:r w:rsidRPr="00537C3C">
        <w:t>.</w:t>
      </w:r>
    </w:p>
    <w:p w:rsidR="00234376" w:rsidRPr="00537C3C" w:rsidRDefault="00F5257D" w:rsidP="00F5257D">
      <w:pPr>
        <w:pStyle w:val="Caption"/>
      </w:pPr>
      <w:bookmarkStart w:id="1218" w:name="_Ref222738701"/>
      <w:bookmarkStart w:id="1219" w:name="_Toc216169991"/>
      <w:bookmarkStart w:id="1220" w:name="_Toc231895866"/>
      <w:bookmarkStart w:id="1221" w:name="_Toc222823920"/>
      <w:r>
        <w:lastRenderedPageBreak/>
        <w:t xml:space="preserve">Figure </w:t>
      </w:r>
      <w:fldSimple w:instr=" SEQ Figure \* ARABIC ">
        <w:r w:rsidR="007D3DFF">
          <w:rPr>
            <w:noProof/>
          </w:rPr>
          <w:t>25</w:t>
        </w:r>
      </w:fldSimple>
      <w:bookmarkEnd w:id="1218"/>
      <w:r w:rsidR="00234376" w:rsidRPr="00537C3C">
        <w:tab/>
        <w:t xml:space="preserve">SROC for Method 4, compared </w:t>
      </w:r>
      <w:r w:rsidR="006977E8">
        <w:t>to</w:t>
      </w:r>
      <w:r w:rsidR="00234376" w:rsidRPr="00537C3C">
        <w:t xml:space="preserve"> that described in Arbyn</w:t>
      </w:r>
      <w:bookmarkEnd w:id="1219"/>
      <w:r w:rsidR="00234376" w:rsidRPr="00537C3C">
        <w:t xml:space="preserve"> et al.</w:t>
      </w:r>
      <w:bookmarkEnd w:id="1220"/>
      <w:bookmarkEnd w:id="1221"/>
    </w:p>
    <w:p w:rsidR="00234376" w:rsidRDefault="006F242B" w:rsidP="00234376">
      <w:r>
        <w:rPr>
          <w:noProof/>
          <w:lang w:eastAsia="en-AU"/>
        </w:rPr>
        <w:drawing>
          <wp:inline distT="0" distB="0" distL="0" distR="0">
            <wp:extent cx="4291330" cy="3667125"/>
            <wp:effectExtent l="0" t="0" r="0" b="9525"/>
            <wp:docPr id="22" name="Picture 22" title="SROC for Method 4, compared to that described in Arbyn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91330" cy="3667125"/>
                    </a:xfrm>
                    <a:prstGeom prst="rect">
                      <a:avLst/>
                    </a:prstGeom>
                    <a:noFill/>
                  </pic:spPr>
                </pic:pic>
              </a:graphicData>
            </a:graphic>
          </wp:inline>
        </w:drawing>
      </w:r>
      <w:r w:rsidR="00C97E47">
        <w:fldChar w:fldCharType="begin" w:fldLock="1"/>
      </w:r>
      <w:r w:rsidR="00C97E47">
        <w:instrText xml:space="preserve">ref  SHAPE  \* MERGEFORMAT </w:instrText>
      </w:r>
      <w:r w:rsidR="00C97E47">
        <w:fldChar w:fldCharType="end"/>
      </w:r>
    </w:p>
    <w:p w:rsidR="00234376" w:rsidRDefault="00234376" w:rsidP="00234376"/>
    <w:p w:rsidR="00234376" w:rsidRPr="00537C3C" w:rsidRDefault="00185EF4" w:rsidP="00185EF4">
      <w:pPr>
        <w:pStyle w:val="Caption"/>
      </w:pPr>
      <w:bookmarkStart w:id="1222" w:name="_Ref95899953"/>
      <w:bookmarkStart w:id="1223" w:name="_Toc216169992"/>
      <w:bookmarkStart w:id="1224" w:name="_Toc231895867"/>
      <w:bookmarkStart w:id="1225" w:name="_Toc222823921"/>
      <w:r>
        <w:t xml:space="preserve">Figure </w:t>
      </w:r>
      <w:fldSimple w:instr=" SEQ Figure \* ARABIC ">
        <w:r w:rsidR="007D3DFF">
          <w:rPr>
            <w:noProof/>
          </w:rPr>
          <w:t>26</w:t>
        </w:r>
      </w:fldSimple>
      <w:bookmarkEnd w:id="1222"/>
      <w:r w:rsidR="00234376" w:rsidRPr="00537C3C">
        <w:tab/>
        <w:t xml:space="preserve">SROC for Methods 5 &amp; 6 compared </w:t>
      </w:r>
      <w:r w:rsidR="006977E8">
        <w:t>to</w:t>
      </w:r>
      <w:r w:rsidR="00234376" w:rsidRPr="00537C3C">
        <w:t xml:space="preserve"> that described in Arbyn</w:t>
      </w:r>
      <w:bookmarkEnd w:id="1223"/>
      <w:r w:rsidR="00234376" w:rsidRPr="00537C3C">
        <w:t xml:space="preserve"> et al.</w:t>
      </w:r>
      <w:bookmarkEnd w:id="1224"/>
      <w:bookmarkEnd w:id="1225"/>
    </w:p>
    <w:p w:rsidR="001D1ECE" w:rsidRDefault="001D1ECE" w:rsidP="00185EF4">
      <w:pPr>
        <w:rPr>
          <w:noProof/>
          <w:color w:val="000000"/>
          <w:szCs w:val="24"/>
          <w:lang w:eastAsia="en-AU"/>
        </w:rPr>
      </w:pPr>
      <w:r>
        <w:rPr>
          <w:noProof/>
          <w:color w:val="000000"/>
          <w:szCs w:val="24"/>
          <w:lang w:eastAsia="en-AU"/>
        </w:rPr>
        <w:drawing>
          <wp:inline distT="0" distB="0" distL="0" distR="0">
            <wp:extent cx="5731510" cy="2781935"/>
            <wp:effectExtent l="0" t="0" r="2540" b="0"/>
            <wp:docPr id="141" name="Picture 141" title="SROC for Methods 5 &amp; 6 compared to that described in Arbyn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1.tif"/>
                    <pic:cNvPicPr/>
                  </pic:nvPicPr>
                  <pic:blipFill>
                    <a:blip r:embed="rId119">
                      <a:extLst>
                        <a:ext uri="{28A0092B-C50C-407E-A947-70E740481C1C}">
                          <a14:useLocalDpi xmlns:a14="http://schemas.microsoft.com/office/drawing/2010/main" val="0"/>
                        </a:ext>
                      </a:extLst>
                    </a:blip>
                    <a:stretch>
                      <a:fillRect/>
                    </a:stretch>
                  </pic:blipFill>
                  <pic:spPr>
                    <a:xfrm>
                      <a:off x="0" y="0"/>
                      <a:ext cx="5731510" cy="2781935"/>
                    </a:xfrm>
                    <a:prstGeom prst="rect">
                      <a:avLst/>
                    </a:prstGeom>
                  </pic:spPr>
                </pic:pic>
              </a:graphicData>
            </a:graphic>
          </wp:inline>
        </w:drawing>
      </w:r>
    </w:p>
    <w:p w:rsidR="00907149" w:rsidRDefault="00C97E47" w:rsidP="00907149">
      <w:pPr>
        <w:rPr>
          <w:vanish/>
          <w:lang w:eastAsia="en-AU"/>
        </w:rPr>
      </w:pPr>
      <w:r>
        <w:fldChar w:fldCharType="begin" w:fldLock="1"/>
      </w:r>
      <w:r>
        <w:instrText xml:space="preserve">ref  SHAPE  \* MERGEFORMAT </w:instrText>
      </w:r>
      <w:r>
        <w:fldChar w:fldCharType="end"/>
      </w:r>
      <w:r>
        <w:fldChar w:fldCharType="begin" w:fldLock="1"/>
      </w:r>
      <w:r>
        <w:instrText xml:space="preserve">ref  SHAPE  \* MERGEFORMAT </w:instrText>
      </w:r>
      <w:r>
        <w:fldChar w:fldCharType="end"/>
      </w:r>
    </w:p>
    <w:p w:rsidR="00907149" w:rsidRDefault="00907149">
      <w:pPr>
        <w:spacing w:after="0"/>
        <w:ind w:left="0"/>
        <w:rPr>
          <w:vanish/>
          <w:lang w:eastAsia="en-AU"/>
        </w:rPr>
      </w:pPr>
      <w:r>
        <w:rPr>
          <w:vanish/>
          <w:lang w:eastAsia="en-AU"/>
        </w:rPr>
        <w:br w:type="page"/>
      </w:r>
    </w:p>
    <w:p w:rsidR="00234376" w:rsidRDefault="00234376" w:rsidP="00907149">
      <w:r w:rsidRPr="00537C3C">
        <w:t>Method 7</w:t>
      </w:r>
    </w:p>
    <w:p w:rsidR="00234376" w:rsidRPr="00537C3C" w:rsidRDefault="00234376" w:rsidP="008E03A7">
      <w:r w:rsidRPr="00537C3C">
        <w:t xml:space="preserve">Method 7(a) used data entirely from the </w:t>
      </w:r>
      <w:r w:rsidRPr="00BB76D8">
        <w:t>VCCR</w:t>
      </w:r>
      <w:r w:rsidRPr="00537C3C">
        <w:t xml:space="preserve">; Method 7(b) used published sensitivity estimates </w:t>
      </w:r>
      <w:r w:rsidR="00250190">
        <w:t>{Nanda, 2000 933 /id}</w:t>
      </w:r>
      <w:r w:rsidRPr="00537C3C">
        <w:t>to parameterise negative cytology (</w:t>
      </w:r>
      <w:r w:rsidRPr="00537C3C">
        <w:fldChar w:fldCharType="begin"/>
      </w:r>
      <w:r w:rsidRPr="00537C3C">
        <w:instrText xml:space="preserve"> REF _Ref95899999 \h </w:instrText>
      </w:r>
      <w:r w:rsidRPr="00537C3C">
        <w:fldChar w:fldCharType="separate"/>
      </w:r>
      <w:r w:rsidR="007D3DFF" w:rsidRPr="00537C3C">
        <w:t xml:space="preserve">Figure </w:t>
      </w:r>
      <w:r w:rsidRPr="00537C3C">
        <w:fldChar w:fldCharType="end"/>
      </w:r>
      <w:r w:rsidRPr="00537C3C">
        <w:t>).</w:t>
      </w:r>
    </w:p>
    <w:p w:rsidR="00234376" w:rsidRPr="00537C3C" w:rsidRDefault="00234376" w:rsidP="008E03A7">
      <w:r w:rsidRPr="00537C3C">
        <w:t xml:space="preserve">The </w:t>
      </w:r>
      <w:r w:rsidRPr="00BB76D8">
        <w:t>VCCR</w:t>
      </w:r>
      <w:r w:rsidRPr="00537C3C">
        <w:t xml:space="preserve"> data </w:t>
      </w:r>
      <w:r w:rsidRPr="00537C3C">
        <w:fldChar w:fldCharType="begin"/>
      </w:r>
      <w:r w:rsidRPr="00537C3C">
        <w:instrText xml:space="preserve"> ADDIN REFMGR.CITE &lt;Refman&gt;&lt;Cite&gt;&lt;Author&gt;Victorian Cervical Cytology Registry&lt;/Author&gt;&lt;Year&gt;2006&lt;/Year&gt;&lt;RecNum&gt;4976&lt;/RecNum&gt;&lt;IDText&gt;Statistical Report 2006&lt;/IDText&gt;&lt;MDL Ref_Type="Generic"&gt;&lt;Ref_Type&gt;Generic&lt;/Ref_Type&gt;&lt;Ref_ID&gt;4976&lt;/Ref_ID&gt;&lt;Title_Primary&gt;Statistical Report 2006&lt;/Title_Primary&gt;&lt;Authors_Primary&gt;Victorian Cervical Cytology Registry&lt;/Authors_Primary&gt;&lt;Date_Primary&gt;2006=October &lt;/Date_Primary&gt;&lt;Keywords&gt;cytology&lt;/Keywords&gt;&lt;Keywords&gt;Registries&lt;/Keywords&gt;&lt;Keywords&gt;Statistical&lt;/Keywords&gt;&lt;Reprint&gt;Not in File&lt;/Reprint&gt;&lt;Web_URL&gt;www.vccr.org/downloads/VCCRStatisticalReport2006_Final_114224102007.pdf&lt;/Web_URL&gt;&lt;ZZ_WorkformID&gt;33&lt;/ZZ_WorkformID&gt;&lt;/MDL&gt;&lt;/Cite&gt;&lt;/Refman&gt;</w:instrText>
      </w:r>
      <w:r w:rsidRPr="00537C3C">
        <w:fldChar w:fldCharType="separate"/>
      </w:r>
      <w:r w:rsidRPr="00537C3C">
        <w:t>(VCCR 2006)</w:t>
      </w:r>
      <w:r w:rsidRPr="00537C3C">
        <w:fldChar w:fldCharType="end"/>
      </w:r>
      <w:r w:rsidRPr="00537C3C">
        <w:t xml:space="preserve"> give information on histology in women with negative smears, but this is unlikely to reflect women with negative smears generally. We also estimated the histology breakdown for women with negative cytology via sensitivity </w:t>
      </w:r>
      <w:r w:rsidRPr="00537C3C">
        <w:lastRenderedPageBreak/>
        <w:t xml:space="preserve">estimates. </w:t>
      </w:r>
      <w:r w:rsidRPr="00BB76D8">
        <w:t>VCCR</w:t>
      </w:r>
      <w:r w:rsidRPr="00537C3C">
        <w:t xml:space="preserve"> data are available for histology in women with low-grade cytology, but as low-grade cytology is not always routinely followed up by at least colposcopy, these results are unlikely to be generally applicable. Matrices derived via Method 7 were not considered to be representative of cytology accuracy in a screening population and were therefore not considered suitable to use in sensitivity analyses.</w:t>
      </w:r>
    </w:p>
    <w:p w:rsidR="00234376" w:rsidRPr="00537C3C" w:rsidRDefault="00234376" w:rsidP="008E03A7">
      <w:pPr>
        <w:pStyle w:val="Caption"/>
      </w:pPr>
      <w:bookmarkStart w:id="1226" w:name="_Ref95899999"/>
      <w:bookmarkStart w:id="1227" w:name="_Toc216169993"/>
      <w:r w:rsidRPr="00537C3C">
        <w:t xml:space="preserve">Figure </w:t>
      </w:r>
      <w:bookmarkEnd w:id="1226"/>
      <w:r w:rsidR="00B12E00">
        <w:t>25</w:t>
      </w:r>
      <w:r w:rsidRPr="00537C3C">
        <w:tab/>
        <w:t xml:space="preserve">SROC for Method 7 compared </w:t>
      </w:r>
      <w:r w:rsidR="006D41EA">
        <w:t>to</w:t>
      </w:r>
      <w:r w:rsidRPr="00537C3C">
        <w:t xml:space="preserve"> that described in Arbyn</w:t>
      </w:r>
      <w:bookmarkEnd w:id="1227"/>
      <w:r w:rsidRPr="00537C3C">
        <w:t xml:space="preserve"> et al.</w:t>
      </w:r>
    </w:p>
    <w:p w:rsidR="00234376" w:rsidRPr="00537C3C" w:rsidRDefault="006F242B" w:rsidP="008E03A7">
      <w:pPr>
        <w:keepNext/>
      </w:pPr>
      <w:r>
        <w:rPr>
          <w:noProof/>
          <w:lang w:eastAsia="en-AU"/>
        </w:rPr>
        <w:drawing>
          <wp:inline distT="0" distB="0" distL="0" distR="0">
            <wp:extent cx="4326890" cy="3662045"/>
            <wp:effectExtent l="0" t="0" r="0" b="0"/>
            <wp:docPr id="23" name="Picture 23" title="SROC for Method 7 compared to that described in Arbyn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26890" cy="3662045"/>
                    </a:xfrm>
                    <a:prstGeom prst="rect">
                      <a:avLst/>
                    </a:prstGeom>
                    <a:noFill/>
                  </pic:spPr>
                </pic:pic>
              </a:graphicData>
            </a:graphic>
          </wp:inline>
        </w:drawing>
      </w:r>
      <w:r w:rsidR="00C97E47">
        <w:fldChar w:fldCharType="begin" w:fldLock="1"/>
      </w:r>
      <w:r w:rsidR="00C97E47">
        <w:instrText xml:space="preserve">ref  SHAPE  \* MERGEFORMAT </w:instrText>
      </w:r>
      <w:r w:rsidR="00C97E47">
        <w:fldChar w:fldCharType="end"/>
      </w:r>
    </w:p>
    <w:p w:rsidR="00234376" w:rsidRDefault="00234376" w:rsidP="00234376">
      <w:pPr>
        <w:pStyle w:val="Heading3"/>
      </w:pPr>
      <w:r w:rsidRPr="00537C3C">
        <w:t>Method 8</w:t>
      </w:r>
    </w:p>
    <w:p w:rsidR="00234376" w:rsidRPr="00537C3C" w:rsidRDefault="00234376" w:rsidP="008E03A7">
      <w:pPr>
        <w:keepNext/>
      </w:pPr>
      <w:r w:rsidRPr="00537C3C">
        <w:t xml:space="preserve">The test probability matrices used in the Applicant’s cost-effectiveness model were included in </w:t>
      </w:r>
      <w:r>
        <w:fldChar w:fldCharType="begin"/>
      </w:r>
      <w:r>
        <w:instrText xml:space="preserve"> REF _Ref216169548 \h  \* MERGEFORMAT </w:instrText>
      </w:r>
      <w:r>
        <w:fldChar w:fldCharType="separate"/>
      </w:r>
      <w:r w:rsidR="007D3DFF" w:rsidRPr="00537C3C">
        <w:t xml:space="preserve">Table </w:t>
      </w:r>
      <w:r w:rsidR="007D3DFF">
        <w:rPr>
          <w:noProof/>
        </w:rPr>
        <w:t>77</w:t>
      </w:r>
      <w:r>
        <w:fldChar w:fldCharType="end"/>
      </w:r>
      <w:r w:rsidRPr="00537C3C">
        <w:t xml:space="preserve"> because they were used in sensitivity analyses.</w:t>
      </w:r>
    </w:p>
    <w:p w:rsidR="00234376" w:rsidRPr="00537C3C" w:rsidRDefault="00234376" w:rsidP="008E03A7">
      <w:pPr>
        <w:pStyle w:val="Heading1"/>
        <w:ind w:left="0"/>
      </w:pPr>
      <w:bookmarkStart w:id="1228" w:name="_Toc95971128"/>
      <w:bookmarkStart w:id="1229" w:name="_Toc241658226"/>
      <w:r w:rsidRPr="00537C3C">
        <w:lastRenderedPageBreak/>
        <w:t>Abbreviations</w:t>
      </w:r>
      <w:bookmarkEnd w:id="1228"/>
      <w:bookmarkEnd w:id="1229"/>
    </w:p>
    <w:p w:rsidR="00234376" w:rsidRPr="006C24DD" w:rsidRDefault="00234376" w:rsidP="008E03A7">
      <w:pPr>
        <w:tabs>
          <w:tab w:val="left" w:pos="1988"/>
        </w:tabs>
      </w:pPr>
      <w:r w:rsidRPr="00BB76D8">
        <w:t>AGUS</w:t>
      </w:r>
      <w:r w:rsidRPr="00BB76D8">
        <w:tab/>
      </w:r>
      <w:r w:rsidRPr="006C24DD">
        <w:t>Atypical Glandular Cells of Undetermined Significance</w:t>
      </w:r>
    </w:p>
    <w:p w:rsidR="00234376" w:rsidRPr="00537C3C" w:rsidRDefault="00234376" w:rsidP="008E03A7">
      <w:pPr>
        <w:tabs>
          <w:tab w:val="left" w:pos="1988"/>
        </w:tabs>
      </w:pPr>
      <w:r w:rsidRPr="00BB76D8">
        <w:t>AIHW</w:t>
      </w:r>
      <w:r w:rsidRPr="00537C3C">
        <w:tab/>
        <w:t>Australian Institute of Health and Welfare</w:t>
      </w:r>
    </w:p>
    <w:p w:rsidR="00234376" w:rsidRPr="00BB76D8" w:rsidRDefault="00234376" w:rsidP="008E03A7">
      <w:pPr>
        <w:tabs>
          <w:tab w:val="left" w:pos="1988"/>
        </w:tabs>
      </w:pPr>
      <w:r w:rsidRPr="00BB76D8">
        <w:t>AIS</w:t>
      </w:r>
      <w:r w:rsidRPr="00BB76D8">
        <w:tab/>
      </w:r>
      <w:r>
        <w:t xml:space="preserve">Adenocarcinoma </w:t>
      </w:r>
      <w:r>
        <w:rPr>
          <w:i/>
        </w:rPr>
        <w:t>in situ</w:t>
      </w:r>
    </w:p>
    <w:p w:rsidR="00234376" w:rsidRPr="00537C3C" w:rsidRDefault="00234376" w:rsidP="008E03A7">
      <w:pPr>
        <w:tabs>
          <w:tab w:val="left" w:pos="1988"/>
        </w:tabs>
      </w:pPr>
      <w:r w:rsidRPr="00BB76D8">
        <w:t>ALTS</w:t>
      </w:r>
      <w:r w:rsidRPr="00537C3C">
        <w:tab/>
        <w:t xml:space="preserve">The </w:t>
      </w:r>
      <w:r w:rsidRPr="00BB76D8">
        <w:t>ASCUS</w:t>
      </w:r>
      <w:r w:rsidRPr="00537C3C">
        <w:t>–</w:t>
      </w:r>
      <w:r w:rsidRPr="00BB76D8">
        <w:t>LSIL</w:t>
      </w:r>
      <w:r w:rsidRPr="00537C3C">
        <w:t xml:space="preserve"> Triage Study Group</w:t>
      </w:r>
    </w:p>
    <w:p w:rsidR="00234376" w:rsidRPr="00537C3C" w:rsidRDefault="00234376" w:rsidP="008E03A7">
      <w:pPr>
        <w:tabs>
          <w:tab w:val="left" w:pos="1988"/>
        </w:tabs>
      </w:pPr>
      <w:r w:rsidRPr="00BB76D8">
        <w:t>AMBS</w:t>
      </w:r>
      <w:r w:rsidRPr="00537C3C">
        <w:tab/>
        <w:t xml:space="preserve">Australian Modified </w:t>
      </w:r>
      <w:smartTag w:uri="urn:schemas-microsoft-com:office:smarttags" w:element="place">
        <w:smartTag w:uri="urn:schemas-microsoft-com:office:smarttags" w:element="City">
          <w:r w:rsidRPr="00537C3C">
            <w:t>Bethesda</w:t>
          </w:r>
        </w:smartTag>
      </w:smartTag>
      <w:r w:rsidRPr="00537C3C">
        <w:t xml:space="preserve"> System</w:t>
      </w:r>
    </w:p>
    <w:p w:rsidR="00234376" w:rsidRPr="00537C3C" w:rsidRDefault="00234376" w:rsidP="008E03A7">
      <w:pPr>
        <w:tabs>
          <w:tab w:val="left" w:pos="1988"/>
        </w:tabs>
      </w:pPr>
      <w:r w:rsidRPr="00BB76D8">
        <w:t>ASC</w:t>
      </w:r>
      <w:r w:rsidRPr="00537C3C">
        <w:t>-H</w:t>
      </w:r>
      <w:r w:rsidRPr="00537C3C">
        <w:tab/>
        <w:t>Atypical squamous cells, possible high-grade lesion</w:t>
      </w:r>
    </w:p>
    <w:p w:rsidR="00234376" w:rsidRPr="00537C3C" w:rsidRDefault="00234376" w:rsidP="008E03A7">
      <w:pPr>
        <w:tabs>
          <w:tab w:val="left" w:pos="1988"/>
        </w:tabs>
      </w:pPr>
      <w:r w:rsidRPr="00BB76D8">
        <w:t>ASCUS</w:t>
      </w:r>
      <w:r w:rsidRPr="00537C3C">
        <w:tab/>
        <w:t>Atypical squamous cells, undetermined significance</w:t>
      </w:r>
    </w:p>
    <w:p w:rsidR="00234376" w:rsidRPr="00537C3C" w:rsidRDefault="00234376" w:rsidP="008E03A7">
      <w:pPr>
        <w:tabs>
          <w:tab w:val="left" w:pos="1988"/>
        </w:tabs>
      </w:pPr>
      <w:r w:rsidRPr="00BB76D8">
        <w:t>CADTH</w:t>
      </w:r>
      <w:r w:rsidRPr="00537C3C">
        <w:tab/>
        <w:t>Canadian Agency for Drugs and Technologies in Health</w:t>
      </w:r>
    </w:p>
    <w:p w:rsidR="00234376" w:rsidRPr="006C24DD" w:rsidRDefault="00234376" w:rsidP="008E03A7">
      <w:pPr>
        <w:tabs>
          <w:tab w:val="left" w:pos="1988"/>
        </w:tabs>
      </w:pPr>
      <w:r w:rsidRPr="00BB76D8">
        <w:t>CC</w:t>
      </w:r>
      <w:r w:rsidRPr="00BB76D8">
        <w:tab/>
      </w:r>
      <w:r w:rsidRPr="006C24DD">
        <w:t>Conventional cytology</w:t>
      </w:r>
    </w:p>
    <w:p w:rsidR="00234376" w:rsidRPr="006C24DD" w:rsidRDefault="00234376" w:rsidP="008E03A7">
      <w:pPr>
        <w:tabs>
          <w:tab w:val="left" w:pos="1988"/>
        </w:tabs>
      </w:pPr>
      <w:r w:rsidRPr="00BB76D8">
        <w:t>CCR</w:t>
      </w:r>
      <w:r w:rsidRPr="00BB76D8">
        <w:tab/>
        <w:t xml:space="preserve">NSW </w:t>
      </w:r>
      <w:r w:rsidRPr="006C24DD">
        <w:t>Central Cancer Registry</w:t>
      </w:r>
    </w:p>
    <w:p w:rsidR="00234376" w:rsidRPr="00537C3C" w:rsidRDefault="00234376" w:rsidP="008E03A7">
      <w:pPr>
        <w:tabs>
          <w:tab w:val="left" w:pos="1988"/>
        </w:tabs>
      </w:pPr>
      <w:r w:rsidRPr="00BB76D8">
        <w:t>CI</w:t>
      </w:r>
      <w:r w:rsidRPr="00537C3C">
        <w:tab/>
        <w:t>Confidence interval</w:t>
      </w:r>
    </w:p>
    <w:p w:rsidR="00234376" w:rsidRPr="00537C3C" w:rsidRDefault="00234376" w:rsidP="008E03A7">
      <w:pPr>
        <w:tabs>
          <w:tab w:val="left" w:pos="1988"/>
        </w:tabs>
        <w:rPr>
          <w:rFonts w:cs="Garamond"/>
          <w:szCs w:val="24"/>
        </w:rPr>
      </w:pPr>
      <w:r w:rsidRPr="00BB76D8">
        <w:t>CIN</w:t>
      </w:r>
      <w:r w:rsidRPr="00537C3C">
        <w:tab/>
      </w:r>
      <w:r w:rsidRPr="00537C3C">
        <w:rPr>
          <w:rFonts w:cs="Garamond"/>
          <w:szCs w:val="24"/>
        </w:rPr>
        <w:t>Cervical intraepithelial neoplasia</w:t>
      </w:r>
    </w:p>
    <w:p w:rsidR="00234376" w:rsidRPr="006C24DD" w:rsidRDefault="00234376" w:rsidP="008E03A7">
      <w:pPr>
        <w:tabs>
          <w:tab w:val="left" w:pos="1988"/>
        </w:tabs>
      </w:pPr>
      <w:r w:rsidRPr="00BB76D8">
        <w:t>DHM</w:t>
      </w:r>
      <w:r w:rsidRPr="00BB76D8">
        <w:tab/>
      </w:r>
      <w:r w:rsidRPr="006C24DD">
        <w:t>Douglass Hanly Moir Laboratories</w:t>
      </w:r>
    </w:p>
    <w:p w:rsidR="00234376" w:rsidRPr="00BB76D8" w:rsidRDefault="00234376" w:rsidP="008E03A7">
      <w:pPr>
        <w:tabs>
          <w:tab w:val="left" w:pos="1988"/>
        </w:tabs>
      </w:pPr>
      <w:r w:rsidRPr="00BB76D8">
        <w:t>DOR</w:t>
      </w:r>
      <w:r w:rsidRPr="00BB76D8">
        <w:tab/>
      </w:r>
      <w:r w:rsidRPr="006C24DD">
        <w:t xml:space="preserve">Diagnostic </w:t>
      </w:r>
      <w:r w:rsidRPr="00234376">
        <w:t>odds ratio</w:t>
      </w:r>
    </w:p>
    <w:p w:rsidR="00234376" w:rsidRPr="006C24DD" w:rsidRDefault="00234376" w:rsidP="008E03A7">
      <w:pPr>
        <w:tabs>
          <w:tab w:val="left" w:pos="1988"/>
        </w:tabs>
      </w:pPr>
      <w:r w:rsidRPr="00BB76D8">
        <w:t>DRG</w:t>
      </w:r>
      <w:r w:rsidRPr="00BB76D8">
        <w:tab/>
      </w:r>
      <w:r w:rsidRPr="006C24DD">
        <w:t>Diagnosis-related group</w:t>
      </w:r>
    </w:p>
    <w:p w:rsidR="00234376" w:rsidRPr="00537C3C" w:rsidRDefault="00234376" w:rsidP="008E03A7">
      <w:pPr>
        <w:tabs>
          <w:tab w:val="left" w:pos="1988"/>
        </w:tabs>
        <w:rPr>
          <w:rFonts w:cs="Garamond"/>
        </w:rPr>
      </w:pPr>
      <w:r w:rsidRPr="00BB76D8">
        <w:rPr>
          <w:rFonts w:cs="Garamond"/>
        </w:rPr>
        <w:t>FIGO</w:t>
      </w:r>
      <w:r w:rsidRPr="00537C3C">
        <w:rPr>
          <w:rFonts w:cs="Garamond"/>
        </w:rPr>
        <w:tab/>
      </w:r>
      <w:r w:rsidRPr="00537C3C">
        <w:t xml:space="preserve">International Federation </w:t>
      </w:r>
      <w:r w:rsidRPr="00537C3C" w:rsidDel="00970FA4">
        <w:t>of</w:t>
      </w:r>
      <w:r w:rsidRPr="00537C3C">
        <w:t xml:space="preserve"> Gynecology </w:t>
      </w:r>
      <w:r w:rsidRPr="00537C3C" w:rsidDel="00970FA4">
        <w:t>and</w:t>
      </w:r>
      <w:r w:rsidRPr="00537C3C">
        <w:t xml:space="preserve"> Obstetrics</w:t>
      </w:r>
    </w:p>
    <w:p w:rsidR="00234376" w:rsidRPr="00537C3C" w:rsidRDefault="00234376" w:rsidP="008E03A7">
      <w:pPr>
        <w:tabs>
          <w:tab w:val="left" w:pos="1988"/>
        </w:tabs>
        <w:rPr>
          <w:rFonts w:cs="Garamond"/>
        </w:rPr>
      </w:pPr>
      <w:r w:rsidRPr="00BB76D8">
        <w:rPr>
          <w:rFonts w:cs="Garamond"/>
        </w:rPr>
        <w:t>FN</w:t>
      </w:r>
      <w:r w:rsidRPr="00537C3C">
        <w:rPr>
          <w:rFonts w:cs="Garamond"/>
        </w:rPr>
        <w:tab/>
        <w:t>False negative</w:t>
      </w:r>
    </w:p>
    <w:p w:rsidR="00234376" w:rsidRPr="00537C3C" w:rsidRDefault="00234376" w:rsidP="008E03A7">
      <w:pPr>
        <w:tabs>
          <w:tab w:val="left" w:pos="1988"/>
        </w:tabs>
        <w:rPr>
          <w:rFonts w:cs="Garamond"/>
        </w:rPr>
      </w:pPr>
      <w:r w:rsidRPr="00BB76D8">
        <w:rPr>
          <w:rFonts w:cs="Garamond"/>
        </w:rPr>
        <w:t>FOV</w:t>
      </w:r>
      <w:r w:rsidRPr="00537C3C">
        <w:rPr>
          <w:rFonts w:cs="Garamond"/>
        </w:rPr>
        <w:tab/>
        <w:t>Field of view</w:t>
      </w:r>
    </w:p>
    <w:p w:rsidR="00234376" w:rsidRPr="00537C3C" w:rsidRDefault="00234376" w:rsidP="008E03A7">
      <w:pPr>
        <w:tabs>
          <w:tab w:val="left" w:pos="1988"/>
        </w:tabs>
        <w:rPr>
          <w:rFonts w:cs="Garamond"/>
        </w:rPr>
      </w:pPr>
      <w:r w:rsidRPr="00BB76D8">
        <w:rPr>
          <w:rFonts w:cs="Garamond"/>
        </w:rPr>
        <w:t>FP</w:t>
      </w:r>
      <w:r w:rsidRPr="00537C3C">
        <w:rPr>
          <w:rFonts w:cs="Garamond"/>
        </w:rPr>
        <w:tab/>
        <w:t>False positive</w:t>
      </w:r>
    </w:p>
    <w:p w:rsidR="00234376" w:rsidRPr="006C24DD" w:rsidRDefault="00234376" w:rsidP="008E03A7">
      <w:pPr>
        <w:tabs>
          <w:tab w:val="left" w:pos="1988"/>
        </w:tabs>
        <w:rPr>
          <w:rFonts w:cs="Garamond"/>
        </w:rPr>
      </w:pPr>
      <w:r w:rsidRPr="00537C3C">
        <w:rPr>
          <w:rFonts w:cs="Garamond"/>
        </w:rPr>
        <w:t>HGEA</w:t>
      </w:r>
      <w:r w:rsidRPr="00537C3C">
        <w:rPr>
          <w:rFonts w:cs="Garamond"/>
        </w:rPr>
        <w:tab/>
      </w:r>
      <w:r w:rsidRPr="006C24DD">
        <w:rPr>
          <w:rFonts w:cs="Garamond"/>
        </w:rPr>
        <w:t>High-grade epithelial abnormality</w:t>
      </w:r>
    </w:p>
    <w:p w:rsidR="00234376" w:rsidRPr="00537C3C" w:rsidRDefault="00234376" w:rsidP="008E03A7">
      <w:pPr>
        <w:tabs>
          <w:tab w:val="left" w:pos="1988"/>
        </w:tabs>
      </w:pPr>
      <w:r w:rsidRPr="00BB76D8">
        <w:t>HPV</w:t>
      </w:r>
      <w:r w:rsidRPr="00537C3C">
        <w:tab/>
        <w:t>Human papilloma virus</w:t>
      </w:r>
    </w:p>
    <w:p w:rsidR="00234376" w:rsidRPr="00537C3C" w:rsidRDefault="00234376" w:rsidP="008E03A7">
      <w:pPr>
        <w:tabs>
          <w:tab w:val="left" w:pos="1988"/>
        </w:tabs>
      </w:pPr>
      <w:r w:rsidRPr="00BB76D8">
        <w:t>HSIL</w:t>
      </w:r>
      <w:r w:rsidRPr="00537C3C">
        <w:tab/>
        <w:t>High-grade squamous intraepithelial lesion</w:t>
      </w:r>
    </w:p>
    <w:p w:rsidR="00234376" w:rsidRPr="00537C3C" w:rsidRDefault="00234376" w:rsidP="008E03A7">
      <w:pPr>
        <w:tabs>
          <w:tab w:val="left" w:pos="1988"/>
        </w:tabs>
      </w:pPr>
      <w:r w:rsidRPr="00BB76D8">
        <w:t>HTA</w:t>
      </w:r>
      <w:r w:rsidRPr="00537C3C">
        <w:tab/>
        <w:t>Health technology assessment</w:t>
      </w:r>
    </w:p>
    <w:p w:rsidR="00234376" w:rsidRPr="006C24DD" w:rsidRDefault="00234376" w:rsidP="008E03A7">
      <w:pPr>
        <w:tabs>
          <w:tab w:val="left" w:pos="1988"/>
        </w:tabs>
      </w:pPr>
      <w:r w:rsidRPr="00537C3C">
        <w:t>ICER</w:t>
      </w:r>
      <w:r w:rsidRPr="00537C3C">
        <w:tab/>
      </w:r>
      <w:r w:rsidRPr="006C24DD">
        <w:t>Incremental cost-effectiveness ratio</w:t>
      </w:r>
    </w:p>
    <w:p w:rsidR="00234376" w:rsidRPr="00537C3C" w:rsidRDefault="00234376" w:rsidP="008E03A7">
      <w:pPr>
        <w:tabs>
          <w:tab w:val="left" w:pos="1988"/>
        </w:tabs>
      </w:pPr>
      <w:r w:rsidRPr="00BB76D8">
        <w:t>LBC</w:t>
      </w:r>
      <w:r w:rsidRPr="00537C3C">
        <w:tab/>
        <w:t>Liquid-based cytology</w:t>
      </w:r>
    </w:p>
    <w:p w:rsidR="00234376" w:rsidRPr="00537C3C" w:rsidRDefault="00234376" w:rsidP="008E03A7">
      <w:pPr>
        <w:tabs>
          <w:tab w:val="left" w:pos="1988"/>
        </w:tabs>
      </w:pPr>
      <w:r w:rsidRPr="00537C3C">
        <w:t>LEEP</w:t>
      </w:r>
      <w:r w:rsidRPr="00537C3C">
        <w:tab/>
      </w:r>
      <w:r>
        <w:t>Loop electrosurgical excision procedure</w:t>
      </w:r>
    </w:p>
    <w:p w:rsidR="00234376" w:rsidRPr="006C24DD" w:rsidRDefault="00234376" w:rsidP="008E03A7">
      <w:pPr>
        <w:tabs>
          <w:tab w:val="left" w:pos="1988"/>
        </w:tabs>
      </w:pPr>
      <w:r w:rsidRPr="00537C3C">
        <w:lastRenderedPageBreak/>
        <w:t>LGEA</w:t>
      </w:r>
      <w:r w:rsidRPr="00537C3C">
        <w:tab/>
      </w:r>
      <w:r w:rsidRPr="006C24DD">
        <w:t>Low-grade epithelial abnormality</w:t>
      </w:r>
    </w:p>
    <w:p w:rsidR="00234376" w:rsidRPr="00537C3C" w:rsidRDefault="00234376" w:rsidP="008E03A7">
      <w:pPr>
        <w:tabs>
          <w:tab w:val="left" w:pos="1988"/>
        </w:tabs>
      </w:pPr>
      <w:r w:rsidRPr="00BB76D8">
        <w:t>LSIL</w:t>
      </w:r>
      <w:r w:rsidRPr="00537C3C">
        <w:tab/>
        <w:t>Low-grade squamous intraepithelial lesion</w:t>
      </w:r>
    </w:p>
    <w:p w:rsidR="00234376" w:rsidRPr="00537C3C" w:rsidRDefault="00234376" w:rsidP="008E03A7">
      <w:pPr>
        <w:tabs>
          <w:tab w:val="left" w:pos="1988"/>
        </w:tabs>
      </w:pPr>
      <w:smartTag w:uri="urn:schemas-microsoft-com:office:smarttags" w:element="place">
        <w:r w:rsidRPr="00537C3C">
          <w:t>LYS</w:t>
        </w:r>
      </w:smartTag>
      <w:r w:rsidRPr="00537C3C">
        <w:tab/>
        <w:t>Life year saved</w:t>
      </w:r>
    </w:p>
    <w:p w:rsidR="00234376" w:rsidRPr="00537C3C" w:rsidRDefault="00234376" w:rsidP="008E03A7">
      <w:pPr>
        <w:tabs>
          <w:tab w:val="left" w:pos="1988"/>
        </w:tabs>
      </w:pPr>
      <w:r w:rsidRPr="00BB76D8">
        <w:t>MBS</w:t>
      </w:r>
      <w:r w:rsidRPr="00537C3C">
        <w:tab/>
        <w:t>Medicare Benefits Schedule</w:t>
      </w:r>
    </w:p>
    <w:p w:rsidR="00234376" w:rsidRPr="00537C3C" w:rsidRDefault="00234376" w:rsidP="008E03A7">
      <w:pPr>
        <w:tabs>
          <w:tab w:val="left" w:pos="1988"/>
        </w:tabs>
      </w:pPr>
      <w:r w:rsidRPr="00537C3C">
        <w:t>MRI</w:t>
      </w:r>
      <w:r w:rsidRPr="00537C3C">
        <w:tab/>
        <w:t>Magnetic resonance imaging</w:t>
      </w:r>
    </w:p>
    <w:p w:rsidR="00234376" w:rsidRPr="00537C3C" w:rsidRDefault="00234376" w:rsidP="008E03A7">
      <w:pPr>
        <w:tabs>
          <w:tab w:val="left" w:pos="1988"/>
        </w:tabs>
      </w:pPr>
      <w:r w:rsidRPr="00BB76D8">
        <w:t>MSAC</w:t>
      </w:r>
      <w:r w:rsidRPr="00537C3C">
        <w:tab/>
        <w:t>Medical Services Advisory Committee</w:t>
      </w:r>
    </w:p>
    <w:p w:rsidR="00234376" w:rsidRPr="00537C3C" w:rsidRDefault="00234376" w:rsidP="008E03A7">
      <w:pPr>
        <w:tabs>
          <w:tab w:val="left" w:pos="1988"/>
        </w:tabs>
      </w:pPr>
      <w:r w:rsidRPr="00537C3C">
        <w:t>NFR</w:t>
      </w:r>
      <w:r w:rsidRPr="00537C3C">
        <w:tab/>
      </w:r>
      <w:r w:rsidRPr="006C24DD">
        <w:t>N</w:t>
      </w:r>
      <w:r w:rsidRPr="00234376">
        <w:t>ot for review</w:t>
      </w:r>
    </w:p>
    <w:p w:rsidR="00234376" w:rsidRPr="00537C3C" w:rsidRDefault="00234376" w:rsidP="008E03A7">
      <w:pPr>
        <w:tabs>
          <w:tab w:val="left" w:pos="1988"/>
        </w:tabs>
      </w:pPr>
      <w:r w:rsidRPr="00BB76D8">
        <w:t>NHMRC</w:t>
      </w:r>
      <w:r w:rsidRPr="00537C3C">
        <w:tab/>
        <w:t>National Health and Medical Research Council</w:t>
      </w:r>
    </w:p>
    <w:p w:rsidR="00234376" w:rsidRPr="00537C3C" w:rsidRDefault="00234376" w:rsidP="008E03A7">
      <w:pPr>
        <w:tabs>
          <w:tab w:val="left" w:pos="1988"/>
        </w:tabs>
      </w:pPr>
      <w:r w:rsidRPr="00537C3C">
        <w:t>NR</w:t>
      </w:r>
      <w:r w:rsidRPr="00537C3C">
        <w:tab/>
        <w:t>Not reported</w:t>
      </w:r>
    </w:p>
    <w:p w:rsidR="00234376" w:rsidRPr="00537C3C" w:rsidRDefault="00234376" w:rsidP="008E03A7">
      <w:pPr>
        <w:tabs>
          <w:tab w:val="left" w:pos="1988"/>
        </w:tabs>
      </w:pPr>
      <w:r w:rsidRPr="00537C3C">
        <w:t>OR</w:t>
      </w:r>
      <w:r w:rsidRPr="00537C3C">
        <w:tab/>
        <w:t>Odds ratio</w:t>
      </w:r>
    </w:p>
    <w:p w:rsidR="00234376" w:rsidRPr="00BB76D8" w:rsidRDefault="00234376" w:rsidP="008E03A7">
      <w:pPr>
        <w:tabs>
          <w:tab w:val="left" w:pos="1988"/>
        </w:tabs>
      </w:pPr>
      <w:r w:rsidRPr="00BB76D8">
        <w:t>PBS</w:t>
      </w:r>
      <w:r w:rsidRPr="00BB76D8">
        <w:tab/>
        <w:t>Pharmaceutical Benefits Scheme</w:t>
      </w:r>
    </w:p>
    <w:p w:rsidR="00234376" w:rsidRPr="00BB76D8" w:rsidRDefault="00234376" w:rsidP="008E03A7">
      <w:pPr>
        <w:tabs>
          <w:tab w:val="left" w:pos="1988"/>
        </w:tabs>
      </w:pPr>
      <w:r w:rsidRPr="00BB76D8">
        <w:t>PCR</w:t>
      </w:r>
      <w:r w:rsidRPr="00BB76D8">
        <w:tab/>
        <w:t>Polymerase chain reaction</w:t>
      </w:r>
    </w:p>
    <w:p w:rsidR="00234376" w:rsidRPr="00BB76D8" w:rsidRDefault="00234376" w:rsidP="008E03A7">
      <w:pPr>
        <w:tabs>
          <w:tab w:val="left" w:pos="1988"/>
        </w:tabs>
      </w:pPr>
      <w:r w:rsidRPr="00BB76D8">
        <w:t>PET</w:t>
      </w:r>
      <w:r w:rsidRPr="00BB76D8">
        <w:tab/>
        <w:t>Positron emission tomography</w:t>
      </w:r>
    </w:p>
    <w:p w:rsidR="00234376" w:rsidRPr="00537C3C" w:rsidRDefault="00234376" w:rsidP="008E03A7">
      <w:pPr>
        <w:tabs>
          <w:tab w:val="left" w:pos="1988"/>
        </w:tabs>
      </w:pPr>
      <w:r w:rsidRPr="00BB76D8">
        <w:t>pHSIL</w:t>
      </w:r>
      <w:r w:rsidRPr="00537C3C">
        <w:tab/>
        <w:t>Possible high-grade squamous intraepithelial lesion</w:t>
      </w:r>
    </w:p>
    <w:p w:rsidR="00234376" w:rsidRPr="00537C3C" w:rsidRDefault="00234376" w:rsidP="008E03A7">
      <w:pPr>
        <w:tabs>
          <w:tab w:val="left" w:pos="1988"/>
        </w:tabs>
      </w:pPr>
      <w:r w:rsidRPr="00BB76D8">
        <w:t>pLSIL</w:t>
      </w:r>
      <w:r w:rsidRPr="00537C3C">
        <w:tab/>
        <w:t>Possible low-grade squamous intraepithelial lesion</w:t>
      </w:r>
    </w:p>
    <w:p w:rsidR="00234376" w:rsidRPr="006C24DD" w:rsidRDefault="00234376" w:rsidP="008E03A7">
      <w:pPr>
        <w:tabs>
          <w:tab w:val="left" w:pos="1988"/>
        </w:tabs>
      </w:pPr>
      <w:r w:rsidRPr="00537C3C">
        <w:t>PTR</w:t>
      </w:r>
      <w:r w:rsidRPr="00537C3C">
        <w:tab/>
      </w:r>
      <w:r w:rsidRPr="006C24DD">
        <w:t>Pap Test Registry</w:t>
      </w:r>
    </w:p>
    <w:p w:rsidR="00234376" w:rsidRPr="00537C3C" w:rsidRDefault="00234376" w:rsidP="008E03A7">
      <w:pPr>
        <w:tabs>
          <w:tab w:val="left" w:pos="1988"/>
        </w:tabs>
      </w:pPr>
      <w:r w:rsidRPr="00537C3C">
        <w:t>QALY</w:t>
      </w:r>
      <w:r w:rsidRPr="00537C3C">
        <w:tab/>
        <w:t>Quality-adjusted life year</w:t>
      </w:r>
    </w:p>
    <w:p w:rsidR="00234376" w:rsidRPr="00537C3C" w:rsidRDefault="00234376" w:rsidP="008E03A7">
      <w:pPr>
        <w:tabs>
          <w:tab w:val="left" w:pos="1988"/>
        </w:tabs>
      </w:pPr>
      <w:r w:rsidRPr="00BB76D8">
        <w:t>QC</w:t>
      </w:r>
      <w:r w:rsidRPr="00537C3C">
        <w:tab/>
        <w:t>Quality control</w:t>
      </w:r>
    </w:p>
    <w:p w:rsidR="00234376" w:rsidRPr="006C24DD" w:rsidRDefault="00234376" w:rsidP="008E03A7">
      <w:pPr>
        <w:tabs>
          <w:tab w:val="left" w:pos="1988"/>
        </w:tabs>
      </w:pPr>
      <w:r w:rsidRPr="00537C3C">
        <w:t>QUADAS</w:t>
      </w:r>
      <w:r w:rsidRPr="00537C3C">
        <w:tab/>
      </w:r>
      <w:r w:rsidRPr="006C24DD">
        <w:t>Quality Assessment of Diagnostic Accuracy Studies</w:t>
      </w:r>
    </w:p>
    <w:p w:rsidR="00234376" w:rsidRPr="00537C3C" w:rsidRDefault="00234376" w:rsidP="008E03A7">
      <w:pPr>
        <w:tabs>
          <w:tab w:val="left" w:pos="1988"/>
        </w:tabs>
      </w:pPr>
      <w:r w:rsidRPr="00537C3C">
        <w:t>RCT</w:t>
      </w:r>
      <w:r w:rsidRPr="00537C3C">
        <w:tab/>
        <w:t>Randomised controlled trial</w:t>
      </w:r>
    </w:p>
    <w:p w:rsidR="00234376" w:rsidRPr="00537C3C" w:rsidRDefault="00234376" w:rsidP="008E03A7">
      <w:pPr>
        <w:tabs>
          <w:tab w:val="left" w:pos="1988"/>
        </w:tabs>
      </w:pPr>
      <w:r w:rsidRPr="00537C3C">
        <w:t>ROC</w:t>
      </w:r>
      <w:r w:rsidRPr="00537C3C">
        <w:tab/>
        <w:t>Receiver operating characteristic</w:t>
      </w:r>
    </w:p>
    <w:p w:rsidR="00234376" w:rsidRPr="00537C3C" w:rsidRDefault="00234376" w:rsidP="008E03A7">
      <w:pPr>
        <w:tabs>
          <w:tab w:val="left" w:pos="1988"/>
        </w:tabs>
      </w:pPr>
      <w:r w:rsidRPr="00BB76D8">
        <w:t>SCC</w:t>
      </w:r>
      <w:r w:rsidRPr="00537C3C">
        <w:tab/>
        <w:t>Squamous cell carcinoma</w:t>
      </w:r>
    </w:p>
    <w:p w:rsidR="00234376" w:rsidRPr="00537C3C" w:rsidRDefault="00234376" w:rsidP="008E03A7">
      <w:pPr>
        <w:tabs>
          <w:tab w:val="left" w:pos="1988"/>
        </w:tabs>
      </w:pPr>
      <w:r w:rsidRPr="00537C3C">
        <w:t>SIL</w:t>
      </w:r>
      <w:r w:rsidRPr="00537C3C">
        <w:tab/>
      </w:r>
      <w:r w:rsidRPr="006C24DD">
        <w:t xml:space="preserve">Squamous </w:t>
      </w:r>
      <w:r w:rsidRPr="00234376">
        <w:t>intraepithelial lesion</w:t>
      </w:r>
    </w:p>
    <w:p w:rsidR="00234376" w:rsidRPr="00537C3C" w:rsidRDefault="00234376" w:rsidP="008E03A7">
      <w:pPr>
        <w:tabs>
          <w:tab w:val="left" w:pos="1988"/>
        </w:tabs>
      </w:pPr>
      <w:r w:rsidRPr="00537C3C">
        <w:t>SROC</w:t>
      </w:r>
      <w:r w:rsidRPr="00537C3C">
        <w:tab/>
      </w:r>
      <w:bookmarkStart w:id="1230" w:name="OLE_LINK619"/>
      <w:bookmarkStart w:id="1231" w:name="OLE_LINK620"/>
      <w:r w:rsidRPr="00537C3C">
        <w:t>Summary receiver operating characteristic</w:t>
      </w:r>
      <w:bookmarkEnd w:id="1230"/>
      <w:bookmarkEnd w:id="1231"/>
    </w:p>
    <w:p w:rsidR="00234376" w:rsidRPr="00537C3C" w:rsidRDefault="00234376" w:rsidP="008E03A7">
      <w:pPr>
        <w:tabs>
          <w:tab w:val="left" w:pos="1988"/>
        </w:tabs>
        <w:rPr>
          <w:rFonts w:cs="Garamond"/>
        </w:rPr>
      </w:pPr>
      <w:r w:rsidRPr="00BB76D8">
        <w:rPr>
          <w:rFonts w:cs="Garamond"/>
        </w:rPr>
        <w:t>TN</w:t>
      </w:r>
      <w:r w:rsidRPr="00537C3C">
        <w:rPr>
          <w:rFonts w:cs="Garamond"/>
        </w:rPr>
        <w:tab/>
        <w:t>True negative</w:t>
      </w:r>
    </w:p>
    <w:p w:rsidR="00234376" w:rsidRPr="00537C3C" w:rsidRDefault="00234376" w:rsidP="008E03A7">
      <w:pPr>
        <w:tabs>
          <w:tab w:val="left" w:pos="1988"/>
        </w:tabs>
        <w:rPr>
          <w:rFonts w:cs="Garamond"/>
        </w:rPr>
      </w:pPr>
      <w:r w:rsidRPr="00BB76D8">
        <w:rPr>
          <w:rFonts w:cs="Garamond"/>
        </w:rPr>
        <w:t>TP</w:t>
      </w:r>
      <w:r w:rsidRPr="00537C3C">
        <w:rPr>
          <w:rFonts w:cs="Garamond"/>
        </w:rPr>
        <w:tab/>
        <w:t>True positive</w:t>
      </w:r>
    </w:p>
    <w:p w:rsidR="00234376" w:rsidRPr="00537C3C" w:rsidRDefault="00234376" w:rsidP="008E03A7">
      <w:pPr>
        <w:tabs>
          <w:tab w:val="left" w:pos="1988"/>
        </w:tabs>
        <w:rPr>
          <w:rFonts w:cs="Garamond"/>
        </w:rPr>
      </w:pPr>
      <w:r w:rsidRPr="00BB76D8">
        <w:rPr>
          <w:rFonts w:cs="Garamond"/>
        </w:rPr>
        <w:t>TPI</w:t>
      </w:r>
      <w:r w:rsidRPr="00537C3C">
        <w:rPr>
          <w:rFonts w:cs="Garamond"/>
        </w:rPr>
        <w:tab/>
        <w:t>ThinPrep Imager</w:t>
      </w:r>
    </w:p>
    <w:p w:rsidR="00234376" w:rsidRPr="00537C3C" w:rsidRDefault="00234376" w:rsidP="008E03A7">
      <w:pPr>
        <w:tabs>
          <w:tab w:val="left" w:pos="1988"/>
        </w:tabs>
      </w:pPr>
      <w:r w:rsidRPr="00537C3C">
        <w:lastRenderedPageBreak/>
        <w:t>TPM</w:t>
      </w:r>
      <w:r w:rsidRPr="00537C3C">
        <w:tab/>
      </w:r>
      <w:r>
        <w:t>ThinPrep Manual</w:t>
      </w:r>
    </w:p>
    <w:p w:rsidR="00234376" w:rsidRPr="00537C3C" w:rsidRDefault="00234376" w:rsidP="008E03A7">
      <w:pPr>
        <w:tabs>
          <w:tab w:val="left" w:pos="1988"/>
        </w:tabs>
      </w:pPr>
      <w:r w:rsidRPr="00537C3C">
        <w:t>TZ</w:t>
      </w:r>
      <w:r w:rsidRPr="00537C3C">
        <w:tab/>
      </w:r>
      <w:r w:rsidRPr="006C24DD">
        <w:t xml:space="preserve">Transformation </w:t>
      </w:r>
      <w:r w:rsidRPr="00234376">
        <w:rPr>
          <w:rFonts w:eastAsia="Times New Roman"/>
        </w:rPr>
        <w:t>zone</w:t>
      </w:r>
    </w:p>
    <w:p w:rsidR="00234376" w:rsidRPr="00537C3C" w:rsidRDefault="00234376" w:rsidP="008E03A7">
      <w:pPr>
        <w:tabs>
          <w:tab w:val="left" w:pos="1988"/>
        </w:tabs>
      </w:pPr>
      <w:r w:rsidRPr="00537C3C">
        <w:t>US</w:t>
      </w:r>
      <w:r w:rsidRPr="00537C3C">
        <w:tab/>
        <w:t>United States</w:t>
      </w:r>
    </w:p>
    <w:p w:rsidR="00234376" w:rsidRPr="00537C3C" w:rsidRDefault="00234376" w:rsidP="008E03A7">
      <w:pPr>
        <w:tabs>
          <w:tab w:val="left" w:pos="1988"/>
        </w:tabs>
      </w:pPr>
      <w:r w:rsidRPr="00537C3C">
        <w:t>VCCR</w:t>
      </w:r>
      <w:r w:rsidRPr="00537C3C">
        <w:tab/>
      </w:r>
      <w:r w:rsidRPr="00234376">
        <w:rPr>
          <w:rFonts w:eastAsia="Times New Roman"/>
        </w:rPr>
        <w:t>Victorian Cervical Cytology Register</w:t>
      </w:r>
    </w:p>
    <w:p w:rsidR="00234376" w:rsidRDefault="00234376" w:rsidP="00234376">
      <w:pPr>
        <w:tabs>
          <w:tab w:val="left" w:pos="1988"/>
        </w:tabs>
        <w:ind w:left="1988" w:hanging="1268"/>
      </w:pPr>
      <w:r w:rsidRPr="00537C3C">
        <w:t>WHINURS</w:t>
      </w:r>
      <w:r w:rsidRPr="00537C3C">
        <w:tab/>
      </w:r>
      <w:r>
        <w:t>Women, Human Papillomavirus Prevalence, Indigenous, Non-Indigenous, Urban, Rural Study</w:t>
      </w:r>
    </w:p>
    <w:p w:rsidR="00234376" w:rsidRPr="00537C3C" w:rsidRDefault="00234376"/>
    <w:p w:rsidR="00234376" w:rsidRPr="00537C3C" w:rsidRDefault="00234376">
      <w:pPr>
        <w:pStyle w:val="Heading1"/>
      </w:pPr>
      <w:bookmarkStart w:id="1232" w:name="_Toc95971129"/>
      <w:bookmarkStart w:id="1233" w:name="_Toc241658227"/>
      <w:r w:rsidRPr="00537C3C">
        <w:lastRenderedPageBreak/>
        <w:t>References</w:t>
      </w:r>
      <w:bookmarkEnd w:id="1232"/>
      <w:bookmarkEnd w:id="1233"/>
    </w:p>
    <w:p w:rsidR="00234376" w:rsidRPr="00E22417" w:rsidRDefault="00234376" w:rsidP="008E03A7">
      <w:pPr>
        <w:tabs>
          <w:tab w:val="left" w:pos="0"/>
        </w:tabs>
        <w:ind w:left="0"/>
      </w:pPr>
      <w:r w:rsidRPr="00E22417">
        <w:fldChar w:fldCharType="begin"/>
      </w:r>
      <w:r w:rsidRPr="00E22417">
        <w:instrText xml:space="preserve"> ADDIN REFMGR.REFLIST </w:instrText>
      </w:r>
      <w:r w:rsidRPr="00E22417">
        <w:fldChar w:fldCharType="separate"/>
      </w:r>
      <w:r w:rsidRPr="00E22417">
        <w:t xml:space="preserve">ABS 2002. </w:t>
      </w:r>
      <w:r w:rsidRPr="00E22417">
        <w:rPr>
          <w:i/>
        </w:rPr>
        <w:t>National Health Survey, Summary of Results, Australia, 2001.</w:t>
      </w:r>
      <w:r w:rsidRPr="00E22417">
        <w:t xml:space="preserve"> Canberra: Australian Bureau of Statistics.</w:t>
      </w:r>
    </w:p>
    <w:p w:rsidR="00234376" w:rsidRPr="00E22417" w:rsidRDefault="00234376" w:rsidP="008E03A7">
      <w:pPr>
        <w:tabs>
          <w:tab w:val="left" w:pos="0"/>
        </w:tabs>
        <w:ind w:left="0"/>
      </w:pPr>
      <w:r w:rsidRPr="00E22417">
        <w:t xml:space="preserve">ABS 2006. </w:t>
      </w:r>
      <w:r w:rsidRPr="00E22417">
        <w:rPr>
          <w:i/>
        </w:rPr>
        <w:t>National Health Survey, Summary of Results, Australia, 2004–05.</w:t>
      </w:r>
      <w:r w:rsidRPr="00E22417">
        <w:t xml:space="preserve"> Canberra: Australian Bureau of Statistics.</w:t>
      </w:r>
    </w:p>
    <w:p w:rsidR="00234376" w:rsidRPr="00E22417" w:rsidRDefault="00234376" w:rsidP="008E03A7">
      <w:pPr>
        <w:tabs>
          <w:tab w:val="left" w:pos="0"/>
        </w:tabs>
        <w:ind w:left="0"/>
      </w:pPr>
      <w:r w:rsidRPr="00E22417">
        <w:t xml:space="preserve">ABS 2007. </w:t>
      </w:r>
      <w:r w:rsidRPr="00E22417">
        <w:rPr>
          <w:i/>
        </w:rPr>
        <w:t>Deaths, Australia, 2006.</w:t>
      </w:r>
      <w:r w:rsidRPr="00E22417">
        <w:t xml:space="preserve"> Canberra: Australian Bureau of Statistics.</w:t>
      </w:r>
    </w:p>
    <w:p w:rsidR="00F91C6A" w:rsidRPr="00E22417" w:rsidRDefault="00F91C6A" w:rsidP="00F91C6A">
      <w:pPr>
        <w:tabs>
          <w:tab w:val="left" w:pos="0"/>
        </w:tabs>
        <w:ind w:left="0"/>
        <w:rPr>
          <w:color w:val="800080"/>
        </w:rPr>
      </w:pPr>
      <w:r w:rsidRPr="00E22417">
        <w:t xml:space="preserve">ABS and AIHW 2005. </w:t>
      </w:r>
      <w:r w:rsidRPr="00E22417">
        <w:rPr>
          <w:i/>
        </w:rPr>
        <w:t>The Health and Welfare of Australia’s Aboriginal and Torres Strait Islander Peoples.</w:t>
      </w:r>
      <w:r w:rsidRPr="00E22417">
        <w:t xml:space="preserve"> ABS Cat. No. 4704.0; AIHW Cat</w:t>
      </w:r>
      <w:r w:rsidRPr="00E22417" w:rsidDel="00A95778">
        <w:t>.</w:t>
      </w:r>
      <w:r w:rsidRPr="00E22417">
        <w:t xml:space="preserve"> No. IHW14. Canberra: Commonwealth of Australia. </w:t>
      </w:r>
    </w:p>
    <w:p w:rsidR="00234376" w:rsidRPr="00E22417" w:rsidRDefault="00234376" w:rsidP="008E03A7">
      <w:pPr>
        <w:tabs>
          <w:tab w:val="left" w:pos="0"/>
        </w:tabs>
        <w:ind w:left="0"/>
      </w:pPr>
      <w:r w:rsidRPr="00E22417">
        <w:t xml:space="preserve">AIHW 2005. </w:t>
      </w:r>
      <w:r w:rsidRPr="00E22417">
        <w:rPr>
          <w:i/>
        </w:rPr>
        <w:t>Cervical screening in Australia 2002–2003.</w:t>
      </w:r>
      <w:r w:rsidRPr="00E22417">
        <w:t xml:space="preserve"> Canberra: AIHW: Australian Institute of Health and Welfare.</w:t>
      </w:r>
    </w:p>
    <w:p w:rsidR="00234376" w:rsidRPr="00E22417" w:rsidRDefault="00234376" w:rsidP="008E03A7">
      <w:pPr>
        <w:tabs>
          <w:tab w:val="left" w:pos="0"/>
        </w:tabs>
        <w:ind w:left="0"/>
      </w:pPr>
      <w:r w:rsidRPr="00E22417">
        <w:t xml:space="preserve">AIHW 2007a. </w:t>
      </w:r>
      <w:r w:rsidRPr="00E22417">
        <w:rPr>
          <w:i/>
        </w:rPr>
        <w:t>ACIM (Australian Cancer Incidence and Mortality) Books.</w:t>
      </w:r>
      <w:r w:rsidRPr="00E22417">
        <w:t xml:space="preserve"> Canberra: Australian Institute of Health and Welfare.</w:t>
      </w:r>
    </w:p>
    <w:p w:rsidR="00234376" w:rsidRPr="00E22417" w:rsidRDefault="00234376" w:rsidP="008E03A7">
      <w:pPr>
        <w:tabs>
          <w:tab w:val="left" w:pos="0"/>
        </w:tabs>
        <w:ind w:left="0"/>
      </w:pPr>
      <w:r w:rsidRPr="00E22417">
        <w:t xml:space="preserve">AIHW 2007b, </w:t>
      </w:r>
      <w:r w:rsidRPr="00E22417">
        <w:rPr>
          <w:i/>
        </w:rPr>
        <w:t>Cervical screening in Australia 2004–2005.</w:t>
      </w:r>
      <w:r w:rsidRPr="00E22417">
        <w:t xml:space="preserve"> AIHW cat. no. Can 33.Canberra: AIHW: Australian Institute of Health and Welfare.</w:t>
      </w:r>
    </w:p>
    <w:p w:rsidR="00234376" w:rsidRPr="00E22417" w:rsidRDefault="00234376" w:rsidP="008E03A7">
      <w:pPr>
        <w:tabs>
          <w:tab w:val="left" w:pos="0"/>
        </w:tabs>
        <w:ind w:left="0"/>
      </w:pPr>
      <w:r w:rsidRPr="00E22417">
        <w:t xml:space="preserve">AIHW 2008, </w:t>
      </w:r>
      <w:r w:rsidRPr="00E22417">
        <w:rPr>
          <w:i/>
        </w:rPr>
        <w:t>Cervical screening in Australia 2005–2006.</w:t>
      </w:r>
      <w:r w:rsidRPr="00E22417">
        <w:t xml:space="preserve"> AIHW cat. no. Can 36.Canberra: AIHW: Australian Institute of Health and Welfare.</w:t>
      </w:r>
    </w:p>
    <w:p w:rsidR="00234376" w:rsidRPr="00E22417" w:rsidRDefault="00234376" w:rsidP="008E03A7">
      <w:pPr>
        <w:tabs>
          <w:tab w:val="left" w:pos="0"/>
        </w:tabs>
        <w:ind w:left="0"/>
      </w:pPr>
      <w:r w:rsidRPr="00E22417">
        <w:t xml:space="preserve">AIHW and AACR 2008, </w:t>
      </w:r>
      <w:r w:rsidRPr="00E22417">
        <w:rPr>
          <w:i/>
        </w:rPr>
        <w:t>Cancer in Australia: an overview, 2008.</w:t>
      </w:r>
      <w:r w:rsidRPr="00E22417">
        <w:t xml:space="preserve"> AIHW cat no CAN 42.Canberra: AIHW: Australian Institute of Health and Welfare &amp; Australasian Association of Cancer Registries.</w:t>
      </w:r>
    </w:p>
    <w:p w:rsidR="00BB77DC" w:rsidRPr="00E22417" w:rsidRDefault="00BB77DC" w:rsidP="00BB77DC">
      <w:pPr>
        <w:autoSpaceDE w:val="0"/>
        <w:autoSpaceDN w:val="0"/>
        <w:adjustRightInd w:val="0"/>
        <w:ind w:left="0"/>
        <w:rPr>
          <w:rFonts w:cs="Garamond"/>
        </w:rPr>
      </w:pPr>
      <w:bookmarkStart w:id="1234" w:name="OLE_LINK75"/>
      <w:bookmarkStart w:id="1235" w:name="OLE_LINK307"/>
      <w:r w:rsidRPr="00E22417">
        <w:rPr>
          <w:rFonts w:cs="Garamond"/>
        </w:rPr>
        <w:t xml:space="preserve">Anton, R.C., Ramzy, I. et al, (2001). 'Should the cytologic diagnosis of "atypical squamous </w:t>
      </w:r>
      <w:r w:rsidR="00772C61" w:rsidRPr="00E22417">
        <w:rPr>
          <w:rFonts w:cs="Garamond"/>
        </w:rPr>
        <w:t>cells of</w:t>
      </w:r>
      <w:r w:rsidRPr="00E22417">
        <w:rPr>
          <w:rFonts w:cs="Garamond"/>
        </w:rPr>
        <w:t xml:space="preserve"> undetermined significance" be qualified? An assessment including comparison </w:t>
      </w:r>
      <w:r w:rsidR="00772C61" w:rsidRPr="00E22417">
        <w:rPr>
          <w:rFonts w:cs="Garamond"/>
        </w:rPr>
        <w:t>between conventional</w:t>
      </w:r>
      <w:r w:rsidRPr="00E22417">
        <w:rPr>
          <w:rFonts w:cs="Garamond"/>
        </w:rPr>
        <w:t xml:space="preserve"> and liquid-based technologies', </w:t>
      </w:r>
      <w:r w:rsidRPr="00E22417">
        <w:rPr>
          <w:rFonts w:cs="Garamond"/>
          <w:i/>
        </w:rPr>
        <w:t>Cancer</w:t>
      </w:r>
      <w:r w:rsidRPr="00E22417">
        <w:rPr>
          <w:rFonts w:cs="Garamond"/>
        </w:rPr>
        <w:t>, 93, 93-99.</w:t>
      </w:r>
    </w:p>
    <w:p w:rsidR="00234376" w:rsidRPr="00FD26D1" w:rsidRDefault="00234376" w:rsidP="008E03A7">
      <w:pPr>
        <w:tabs>
          <w:tab w:val="left" w:pos="0"/>
        </w:tabs>
        <w:ind w:left="0"/>
      </w:pPr>
      <w:r w:rsidRPr="00E22417">
        <w:t>Anttila</w:t>
      </w:r>
      <w:bookmarkEnd w:id="1234"/>
      <w:bookmarkEnd w:id="1235"/>
      <w:r w:rsidRPr="00E22417">
        <w:t>, A,</w:t>
      </w:r>
      <w:r w:rsidRPr="00FD26D1">
        <w:t xml:space="preserve"> Hakama, M et al. 2006. Alternative technologies in cervical cancer screening: a randomised evaluation trial, </w:t>
      </w:r>
      <w:r w:rsidRPr="00FD26D1">
        <w:rPr>
          <w:i/>
        </w:rPr>
        <w:t>BMC Public Health</w:t>
      </w:r>
      <w:r w:rsidRPr="00FD26D1">
        <w:t>, 6 (-), 252.</w:t>
      </w:r>
    </w:p>
    <w:p w:rsidR="00EA6111" w:rsidRPr="00E22417" w:rsidRDefault="00EA6111" w:rsidP="008E03A7">
      <w:pPr>
        <w:tabs>
          <w:tab w:val="left" w:pos="0"/>
        </w:tabs>
        <w:ind w:left="0"/>
      </w:pPr>
      <w:r w:rsidRPr="00FD26D1">
        <w:t xml:space="preserve">Arbyn, M </w:t>
      </w:r>
      <w:r w:rsidR="00234376" w:rsidRPr="00FD26D1">
        <w:t xml:space="preserve"> M, Bergeron, C et al. 2008. Liquid compared with conventional cervical cytology: a systematic review and meta-analysis, </w:t>
      </w:r>
      <w:r w:rsidR="00234376" w:rsidRPr="00FD26D1">
        <w:rPr>
          <w:i/>
        </w:rPr>
        <w:t>Obstet. G</w:t>
      </w:r>
      <w:r w:rsidR="00234376" w:rsidRPr="00E22417">
        <w:rPr>
          <w:i/>
        </w:rPr>
        <w:t>ynecol.</w:t>
      </w:r>
      <w:r w:rsidR="00234376" w:rsidRPr="00E22417">
        <w:t>, 111 (1), 167–177.</w:t>
      </w:r>
      <w:r w:rsidR="003703EF" w:rsidRPr="00E22417">
        <w:t xml:space="preserve">  </w:t>
      </w:r>
    </w:p>
    <w:p w:rsidR="00234376" w:rsidRPr="00E22417" w:rsidRDefault="00234376" w:rsidP="008E03A7">
      <w:pPr>
        <w:tabs>
          <w:tab w:val="left" w:pos="0"/>
        </w:tabs>
        <w:ind w:left="0"/>
        <w:rPr>
          <w:color w:val="800080"/>
        </w:rPr>
      </w:pPr>
      <w:r w:rsidRPr="00E22417">
        <w:t xml:space="preserve">Arbyn, M, Sasieni, P et al. 2006. Clinical applications of HPV testing: a summary of meta-analyses, </w:t>
      </w:r>
      <w:r w:rsidRPr="00E22417">
        <w:rPr>
          <w:i/>
        </w:rPr>
        <w:t>Vaccine</w:t>
      </w:r>
      <w:r w:rsidRPr="00E22417">
        <w:t>, 24 (S3), 78–89.</w:t>
      </w:r>
      <w:bookmarkStart w:id="1236" w:name="OLE_LINK646"/>
      <w:bookmarkStart w:id="1237" w:name="OLE_LINK647"/>
      <w:r w:rsidRPr="00E22417">
        <w:t xml:space="preserve"> </w:t>
      </w:r>
      <w:bookmarkEnd w:id="1236"/>
      <w:bookmarkEnd w:id="1237"/>
    </w:p>
    <w:p w:rsidR="00234376" w:rsidRPr="00E22417" w:rsidRDefault="00234376" w:rsidP="008E03A7">
      <w:pPr>
        <w:tabs>
          <w:tab w:val="left" w:pos="0"/>
        </w:tabs>
        <w:ind w:left="0"/>
      </w:pPr>
      <w:r w:rsidRPr="00E22417">
        <w:t xml:space="preserve">Australian Government Department of Health and Ageing 2007. </w:t>
      </w:r>
      <w:r w:rsidRPr="00E22417">
        <w:rPr>
          <w:i/>
        </w:rPr>
        <w:t xml:space="preserve">The National HPV Vaccination Program </w:t>
      </w:r>
      <w:r w:rsidRPr="00E22417">
        <w:t xml:space="preserve">[Internet]. Available from: </w:t>
      </w:r>
      <w:hyperlink r:id="rId121" w:history="1">
        <w:r w:rsidR="00DD13C2">
          <w:rPr>
            <w:rStyle w:val="Hyperlink"/>
          </w:rPr>
          <w:t>Department of Health and Ageing's website</w:t>
        </w:r>
      </w:hyperlink>
      <w:r w:rsidRPr="00E22417">
        <w:t xml:space="preserve"> [Accessed 11 July 2007].</w:t>
      </w:r>
    </w:p>
    <w:p w:rsidR="00234376" w:rsidRPr="00E22417" w:rsidRDefault="00234376" w:rsidP="008E03A7">
      <w:pPr>
        <w:tabs>
          <w:tab w:val="left" w:pos="0"/>
        </w:tabs>
        <w:ind w:left="0"/>
      </w:pPr>
      <w:r w:rsidRPr="00E22417">
        <w:t xml:space="preserve">Australian Government Department of Health and Ageing and National Health and Medical Research Council 2008. </w:t>
      </w:r>
      <w:r w:rsidRPr="00E22417">
        <w:rPr>
          <w:i/>
        </w:rPr>
        <w:t>The Australian Immunisation Handbook.</w:t>
      </w:r>
      <w:r w:rsidRPr="00E22417">
        <w:t xml:space="preserve"> Canberra: Australian Government.</w:t>
      </w:r>
    </w:p>
    <w:p w:rsidR="00234376" w:rsidRPr="00E22417" w:rsidRDefault="00234376" w:rsidP="008E03A7">
      <w:pPr>
        <w:tabs>
          <w:tab w:val="left" w:pos="0"/>
        </w:tabs>
        <w:ind w:left="0"/>
      </w:pPr>
      <w:r w:rsidRPr="00E22417">
        <w:t xml:space="preserve">Australian Health Technology Advisory Committee 1998. </w:t>
      </w:r>
      <w:r w:rsidRPr="00E22417">
        <w:rPr>
          <w:i/>
        </w:rPr>
        <w:t>Review of automated and semi-automated cervical screening devices.</w:t>
      </w:r>
      <w:r w:rsidRPr="00E22417">
        <w:t xml:space="preserve"> Canberra: Commonwealth of Australia.</w:t>
      </w:r>
    </w:p>
    <w:p w:rsidR="00BB77DC" w:rsidRPr="00E22417" w:rsidRDefault="00BB77DC" w:rsidP="00BB77DC">
      <w:pPr>
        <w:autoSpaceDE w:val="0"/>
        <w:autoSpaceDN w:val="0"/>
        <w:adjustRightInd w:val="0"/>
        <w:ind w:left="0"/>
        <w:rPr>
          <w:rFonts w:cs="Garamond"/>
        </w:rPr>
      </w:pPr>
      <w:r w:rsidRPr="00E22417">
        <w:rPr>
          <w:rFonts w:cs="Garamond"/>
        </w:rPr>
        <w:lastRenderedPageBreak/>
        <w:t>Bai, H., Sung, C.J. &amp; Steinhoff, M.M. (2000). 'ThinPrep Pap Test promotes detection of glandular lesions of the endocervix',</w:t>
      </w:r>
      <w:r w:rsidRPr="00E22417">
        <w:rPr>
          <w:rFonts w:cs="Garamond"/>
          <w:i/>
        </w:rPr>
        <w:t xml:space="preserve"> Diagnostic Cytopathology</w:t>
      </w:r>
      <w:r w:rsidRPr="00E22417">
        <w:rPr>
          <w:rFonts w:cs="Garamond"/>
        </w:rPr>
        <w:t>, 23, 19-22.</w:t>
      </w:r>
    </w:p>
    <w:p w:rsidR="00234376" w:rsidRPr="00E22417" w:rsidRDefault="00234376" w:rsidP="008E03A7">
      <w:pPr>
        <w:tabs>
          <w:tab w:val="left" w:pos="0"/>
        </w:tabs>
        <w:ind w:left="0"/>
      </w:pPr>
      <w:r w:rsidRPr="00E22417">
        <w:t xml:space="preserve">Baldauf, JJ, Dreyfus, M et al. 1998. Cytology and colposcopy after loop electrosurgical excision: implications for follow-up, </w:t>
      </w:r>
      <w:r w:rsidRPr="00E22417">
        <w:rPr>
          <w:i/>
        </w:rPr>
        <w:t>Obstet. Gynecol.</w:t>
      </w:r>
      <w:r w:rsidRPr="00E22417">
        <w:t>, 92 (1), 124–130.</w:t>
      </w:r>
    </w:p>
    <w:p w:rsidR="00EA6111" w:rsidRPr="00E22417" w:rsidRDefault="00EA6111" w:rsidP="00EA6111">
      <w:pPr>
        <w:autoSpaceDE w:val="0"/>
        <w:autoSpaceDN w:val="0"/>
        <w:adjustRightInd w:val="0"/>
        <w:ind w:left="0"/>
        <w:rPr>
          <w:rFonts w:cs="Garamond"/>
        </w:rPr>
      </w:pPr>
      <w:bookmarkStart w:id="1238" w:name="OLE_LINK310"/>
      <w:bookmarkStart w:id="1239" w:name="OLE_LINK311"/>
      <w:r w:rsidRPr="00E22417">
        <w:rPr>
          <w:rFonts w:cs="Garamond"/>
        </w:rPr>
        <w:t xml:space="preserve">Bergeron, C., Bishop, J. et al, (2001). 'Accuracy of thin-layer cytology in patients undergoingcervical cone biopsy', </w:t>
      </w:r>
      <w:r w:rsidRPr="00E22417">
        <w:rPr>
          <w:rFonts w:cs="Garamond"/>
          <w:i/>
          <w:iCs/>
        </w:rPr>
        <w:t>Acta Cytologica</w:t>
      </w:r>
      <w:r w:rsidRPr="00E22417">
        <w:rPr>
          <w:rFonts w:cs="Garamond"/>
        </w:rPr>
        <w:t>, 45, 519-524.</w:t>
      </w:r>
    </w:p>
    <w:p w:rsidR="00EA6111" w:rsidRPr="00E22417" w:rsidRDefault="00EA6111" w:rsidP="00EA6111">
      <w:pPr>
        <w:tabs>
          <w:tab w:val="left" w:pos="0"/>
        </w:tabs>
        <w:ind w:left="0"/>
      </w:pPr>
      <w:r w:rsidRPr="00E22417">
        <w:t xml:space="preserve">Bernstein, S.J., Sanchez-Ramos, L. &amp; Ndubisi, B. (2001). 'Liquid-based cervical cytologic smearstudy and conventional Papanicolaou smears: a metaanalysis of prospective studies </w:t>
      </w:r>
      <w:r w:rsidR="00772C61" w:rsidRPr="00E22417">
        <w:t>comparing cytologic</w:t>
      </w:r>
      <w:r w:rsidRPr="00E22417">
        <w:t xml:space="preserve"> diagnosis and sample adequacy', </w:t>
      </w:r>
      <w:r w:rsidRPr="00E22417">
        <w:rPr>
          <w:i/>
        </w:rPr>
        <w:t>American Journal of Obstetrics &amp; Gynecology</w:t>
      </w:r>
      <w:r w:rsidRPr="00E22417">
        <w:t>, 185, 308-317.</w:t>
      </w:r>
    </w:p>
    <w:p w:rsidR="00234376" w:rsidRPr="00E22417" w:rsidRDefault="00234376" w:rsidP="008E03A7">
      <w:pPr>
        <w:tabs>
          <w:tab w:val="left" w:pos="0"/>
        </w:tabs>
        <w:ind w:left="0"/>
      </w:pPr>
      <w:r w:rsidRPr="00E22417">
        <w:t>Bigrigg</w:t>
      </w:r>
      <w:bookmarkEnd w:id="1238"/>
      <w:bookmarkEnd w:id="1239"/>
      <w:r w:rsidRPr="00E22417">
        <w:t xml:space="preserve">, A, Haffenden, DK et al. 1994. Efficacy and safety of large-loop excision of the transformation zone, </w:t>
      </w:r>
      <w:r w:rsidRPr="00E22417">
        <w:rPr>
          <w:i/>
        </w:rPr>
        <w:t>Lancet</w:t>
      </w:r>
      <w:r w:rsidRPr="00E22417">
        <w:t>, 343 (</w:t>
      </w:r>
      <w:r w:rsidRPr="00E22417">
        <w:rPr>
          <w:rFonts w:ascii="Arial Narrow" w:eastAsia="Arial Unicode MS" w:hAnsi="Arial Narrow"/>
          <w:sz w:val="18"/>
          <w:lang w:eastAsia="en-AU"/>
        </w:rPr>
        <w:t>8888</w:t>
      </w:r>
      <w:r w:rsidRPr="00E22417">
        <w:t>), 32–34.</w:t>
      </w:r>
    </w:p>
    <w:p w:rsidR="00234376" w:rsidRPr="00E22417" w:rsidRDefault="00234376" w:rsidP="008E03A7">
      <w:pPr>
        <w:tabs>
          <w:tab w:val="left" w:pos="0"/>
        </w:tabs>
        <w:ind w:left="0"/>
      </w:pPr>
      <w:bookmarkStart w:id="1240" w:name="OLE_LINK312"/>
      <w:r w:rsidRPr="00E22417">
        <w:t>Biscotti</w:t>
      </w:r>
      <w:bookmarkEnd w:id="1240"/>
      <w:r w:rsidRPr="00E22417">
        <w:t xml:space="preserve">, CV, Dawson, AE et al. 2005. Assisted primary screening using the automated ThinPrep Imaging System, </w:t>
      </w:r>
      <w:r w:rsidRPr="00E22417">
        <w:rPr>
          <w:i/>
        </w:rPr>
        <w:t>American Journal of Clinical Pathology</w:t>
      </w:r>
      <w:r w:rsidRPr="00E22417">
        <w:t>, 123 (2), 281–287.</w:t>
      </w:r>
    </w:p>
    <w:p w:rsidR="00234376" w:rsidRPr="00E22417" w:rsidRDefault="00234376" w:rsidP="008E03A7">
      <w:pPr>
        <w:tabs>
          <w:tab w:val="left" w:pos="0"/>
        </w:tabs>
        <w:ind w:left="0"/>
      </w:pPr>
      <w:bookmarkStart w:id="1241" w:name="OLE_LINK313"/>
      <w:bookmarkStart w:id="1242" w:name="OLE_LINK314"/>
      <w:r w:rsidRPr="00E22417">
        <w:t>Blamey</w:t>
      </w:r>
      <w:bookmarkEnd w:id="1241"/>
      <w:bookmarkEnd w:id="1242"/>
      <w:r w:rsidRPr="00E22417">
        <w:t xml:space="preserve">, S, Jackson, T et al. 2006. Re: Liquid-based cytology for cervical screening [7], </w:t>
      </w:r>
      <w:r w:rsidRPr="00E22417">
        <w:rPr>
          <w:i/>
        </w:rPr>
        <w:t>Australian and New Zealand Journal of Obstetrics and Gynaecology</w:t>
      </w:r>
      <w:r w:rsidRPr="00E22417">
        <w:t>, 46 (1), 70–71.</w:t>
      </w:r>
    </w:p>
    <w:p w:rsidR="00234376" w:rsidRPr="00E22417" w:rsidRDefault="00234376" w:rsidP="008E03A7">
      <w:pPr>
        <w:tabs>
          <w:tab w:val="left" w:pos="0"/>
        </w:tabs>
        <w:ind w:left="0"/>
      </w:pPr>
      <w:bookmarkStart w:id="1243" w:name="OLE_LINK315"/>
      <w:bookmarkStart w:id="1244" w:name="OLE_LINK316"/>
      <w:r w:rsidRPr="00E22417">
        <w:t>Bolger</w:t>
      </w:r>
      <w:bookmarkEnd w:id="1243"/>
      <w:bookmarkEnd w:id="1244"/>
      <w:r w:rsidRPr="00E22417">
        <w:t xml:space="preserve">, N, Heffron, C et al. 2006. Implementation and evaluation of a new automated interactive image analysis system, </w:t>
      </w:r>
      <w:r w:rsidRPr="00E22417">
        <w:rPr>
          <w:i/>
        </w:rPr>
        <w:t>Acta Cytologica.</w:t>
      </w:r>
      <w:r w:rsidRPr="00E22417">
        <w:t>, 50 (5), 483–491.</w:t>
      </w:r>
    </w:p>
    <w:p w:rsidR="00234376" w:rsidRPr="00E22417" w:rsidRDefault="00234376" w:rsidP="008E03A7">
      <w:pPr>
        <w:tabs>
          <w:tab w:val="left" w:pos="0"/>
        </w:tabs>
        <w:ind w:left="0"/>
      </w:pPr>
      <w:bookmarkStart w:id="1245" w:name="OLE_LINK317"/>
      <w:bookmarkStart w:id="1246" w:name="OLE_LINK318"/>
      <w:r w:rsidRPr="00E22417">
        <w:t>Bosch</w:t>
      </w:r>
      <w:bookmarkEnd w:id="1245"/>
      <w:bookmarkEnd w:id="1246"/>
      <w:r w:rsidRPr="00E22417">
        <w:t xml:space="preserve">, FX, Qiao, Y et al. 2006. The epidemiology of human papillomavirus infection and its association with cervical cancer, </w:t>
      </w:r>
      <w:r w:rsidRPr="00E22417">
        <w:rPr>
          <w:i/>
        </w:rPr>
        <w:t>International Journal of Gynecology and Obstetrics</w:t>
      </w:r>
      <w:r w:rsidRPr="00E22417">
        <w:t>, 94 (Supplement 1), S8-S21.</w:t>
      </w:r>
    </w:p>
    <w:p w:rsidR="00234376" w:rsidRPr="00E22417" w:rsidRDefault="00234376" w:rsidP="008E03A7">
      <w:pPr>
        <w:tabs>
          <w:tab w:val="left" w:pos="0"/>
        </w:tabs>
        <w:ind w:left="0"/>
      </w:pPr>
      <w:bookmarkStart w:id="1247" w:name="OLE_LINK319"/>
      <w:bookmarkStart w:id="1248" w:name="OLE_LINK320"/>
      <w:r w:rsidRPr="00E22417">
        <w:t>Bossuyt</w:t>
      </w:r>
      <w:bookmarkEnd w:id="1247"/>
      <w:bookmarkEnd w:id="1248"/>
      <w:r w:rsidRPr="00E22417">
        <w:t xml:space="preserve">, PM, Irwig, L et al. 2006. Comparative accuracy: assessing new tests against existing diagnostic pathways, </w:t>
      </w:r>
      <w:r w:rsidRPr="00E22417">
        <w:rPr>
          <w:i/>
        </w:rPr>
        <w:t>BMJ</w:t>
      </w:r>
      <w:r w:rsidRPr="00E22417">
        <w:t>, 332 (7549), 1089–1092.</w:t>
      </w:r>
    </w:p>
    <w:p w:rsidR="00D0290F" w:rsidRDefault="00D0290F" w:rsidP="008E03A7">
      <w:pPr>
        <w:tabs>
          <w:tab w:val="left" w:pos="0"/>
        </w:tabs>
        <w:ind w:left="0"/>
      </w:pPr>
      <w:r w:rsidRPr="00D0290F">
        <w:t>Britt H, Miller GC, Charles J, et al. 2008.General practice activity in Australia 2006–07.AIHW Cat No GEP 21. Canberra: Australian Institute of Health and Welfare</w:t>
      </w:r>
      <w:r>
        <w:t>.</w:t>
      </w:r>
    </w:p>
    <w:p w:rsidR="00234376" w:rsidRPr="00E22417" w:rsidRDefault="00234376" w:rsidP="008E03A7">
      <w:pPr>
        <w:tabs>
          <w:tab w:val="left" w:pos="0"/>
        </w:tabs>
        <w:ind w:left="0"/>
      </w:pPr>
      <w:r w:rsidRPr="00E22417">
        <w:t xml:space="preserve">Brown, AD and </w:t>
      </w:r>
      <w:bookmarkStart w:id="1249" w:name="OLE_LINK321"/>
      <w:bookmarkStart w:id="1250" w:name="OLE_LINK322"/>
      <w:r w:rsidRPr="00E22417">
        <w:t>Garber</w:t>
      </w:r>
      <w:bookmarkEnd w:id="1249"/>
      <w:bookmarkEnd w:id="1250"/>
      <w:r w:rsidRPr="00E22417">
        <w:t xml:space="preserve">, AM 27-1-1999. Cost-effectiveness of 3 methods to enhance the sensitivity of Papanicolaou testing, </w:t>
      </w:r>
      <w:r w:rsidRPr="00E22417">
        <w:rPr>
          <w:i/>
        </w:rPr>
        <w:t>JAMA.</w:t>
      </w:r>
      <w:r w:rsidRPr="00E22417">
        <w:t>, 281 (4), 347–353.</w:t>
      </w:r>
    </w:p>
    <w:p w:rsidR="00234376" w:rsidRPr="00E22417" w:rsidRDefault="00234376" w:rsidP="008E03A7">
      <w:pPr>
        <w:tabs>
          <w:tab w:val="left" w:pos="0"/>
        </w:tabs>
        <w:ind w:left="0"/>
      </w:pPr>
      <w:bookmarkStart w:id="1251" w:name="OLE_LINK323"/>
      <w:bookmarkStart w:id="1252" w:name="OLE_LINK324"/>
      <w:r w:rsidRPr="00E22417">
        <w:t>Burchell</w:t>
      </w:r>
      <w:bookmarkEnd w:id="1251"/>
      <w:bookmarkEnd w:id="1252"/>
      <w:r w:rsidRPr="00E22417">
        <w:t xml:space="preserve">, AN, Winer, RL et al. 2006. </w:t>
      </w:r>
      <w:r w:rsidRPr="00D0290F">
        <w:t>Chapter 6</w:t>
      </w:r>
      <w:r w:rsidRPr="00E22417">
        <w:t xml:space="preserve">: Epidemiology and transmission dynamics of genital HPV infection, </w:t>
      </w:r>
      <w:r w:rsidRPr="00E22417">
        <w:rPr>
          <w:rFonts w:ascii="Arial Narrow" w:eastAsia="Arial Unicode MS" w:hAnsi="Arial Narrow"/>
          <w:i/>
          <w:sz w:val="18"/>
          <w:lang w:eastAsia="en-AU"/>
        </w:rPr>
        <w:t>Vaccine</w:t>
      </w:r>
      <w:r w:rsidRPr="00E22417">
        <w:rPr>
          <w:rFonts w:ascii="Arial Narrow" w:eastAsia="Arial Unicode MS" w:hAnsi="Arial Narrow"/>
          <w:sz w:val="18"/>
          <w:lang w:eastAsia="en-AU"/>
        </w:rPr>
        <w:t>, 24</w:t>
      </w:r>
      <w:r w:rsidRPr="00E22417">
        <w:t xml:space="preserve"> Suppl 3 (S52-S61.</w:t>
      </w:r>
    </w:p>
    <w:p w:rsidR="00234376" w:rsidRPr="00E22417" w:rsidRDefault="00234376" w:rsidP="008E03A7">
      <w:pPr>
        <w:tabs>
          <w:tab w:val="left" w:pos="0"/>
        </w:tabs>
        <w:ind w:left="0"/>
      </w:pPr>
      <w:bookmarkStart w:id="1253" w:name="OLE_LINK325"/>
      <w:bookmarkStart w:id="1254" w:name="OLE_LINK326"/>
      <w:r w:rsidRPr="00E22417">
        <w:t>Canfell</w:t>
      </w:r>
      <w:bookmarkEnd w:id="1253"/>
      <w:bookmarkEnd w:id="1254"/>
      <w:r w:rsidRPr="00E22417">
        <w:t xml:space="preserve">, K, Barnabas, R et al. 2004. The predicted effect of changes in cervical screening practice in the UK: results from a modelling study, </w:t>
      </w:r>
      <w:r w:rsidRPr="00E22417">
        <w:rPr>
          <w:i/>
        </w:rPr>
        <w:t>Br J Cancer</w:t>
      </w:r>
      <w:r w:rsidRPr="00E22417">
        <w:t>, 91 (3), 530–536.</w:t>
      </w:r>
    </w:p>
    <w:p w:rsidR="00234376" w:rsidRPr="00E22417" w:rsidRDefault="00234376" w:rsidP="008E03A7">
      <w:pPr>
        <w:tabs>
          <w:tab w:val="left" w:pos="0"/>
        </w:tabs>
        <w:ind w:left="0"/>
      </w:pPr>
      <w:r w:rsidRPr="00E22417">
        <w:t xml:space="preserve">Canfell, K, Clements, M et al. 2008, </w:t>
      </w:r>
      <w:r w:rsidRPr="00E22417">
        <w:rPr>
          <w:i/>
        </w:rPr>
        <w:t>Cost-effectiveness of proposed changes to the National Cervical Screening Program.</w:t>
      </w:r>
    </w:p>
    <w:p w:rsidR="00234376" w:rsidRPr="00E22417" w:rsidRDefault="00234376" w:rsidP="008E03A7">
      <w:pPr>
        <w:tabs>
          <w:tab w:val="left" w:pos="0"/>
        </w:tabs>
        <w:ind w:left="0"/>
      </w:pPr>
      <w:r w:rsidRPr="00E22417">
        <w:t xml:space="preserve">Castle, PE, Stoler, MH et al. 2007. The relationship of community biopsy-diagnosed cervical intraepithelial neoplasia grade 2 to the quality control pathology-reviewed diagnoses: an ALTS report, </w:t>
      </w:r>
      <w:r w:rsidRPr="00E22417">
        <w:rPr>
          <w:i/>
        </w:rPr>
        <w:t>Am.J.Clin.Pathol.</w:t>
      </w:r>
      <w:r w:rsidRPr="00E22417">
        <w:t>, 127 (5), 805–815.</w:t>
      </w:r>
    </w:p>
    <w:p w:rsidR="00234376" w:rsidRPr="00E22417" w:rsidRDefault="00234376" w:rsidP="008E03A7">
      <w:pPr>
        <w:tabs>
          <w:tab w:val="left" w:pos="0"/>
        </w:tabs>
        <w:ind w:left="0"/>
      </w:pPr>
      <w:bookmarkStart w:id="1255" w:name="OLE_LINK327"/>
      <w:bookmarkStart w:id="1256" w:name="OLE_LINK328"/>
      <w:r w:rsidRPr="00E22417">
        <w:lastRenderedPageBreak/>
        <w:t>Cecchini</w:t>
      </w:r>
      <w:bookmarkEnd w:id="1255"/>
      <w:bookmarkEnd w:id="1256"/>
      <w:r w:rsidRPr="00E22417">
        <w:t xml:space="preserve">, S, Visioli, CB et al. 2002. Recurrence after treatment by </w:t>
      </w:r>
      <w:bookmarkStart w:id="1257" w:name="OLE_LINK607"/>
      <w:bookmarkStart w:id="1258" w:name="OLE_LINK608"/>
      <w:r w:rsidRPr="00E22417">
        <w:t xml:space="preserve">loop electrosurgical excision procedure </w:t>
      </w:r>
      <w:bookmarkEnd w:id="1257"/>
      <w:bookmarkEnd w:id="1258"/>
      <w:r w:rsidRPr="00E22417">
        <w:t xml:space="preserve">(LEEP) of high-grade cervical intraepithelial neoplasia, </w:t>
      </w:r>
      <w:r w:rsidRPr="00E22417">
        <w:rPr>
          <w:i/>
        </w:rPr>
        <w:t>Tumori</w:t>
      </w:r>
      <w:r w:rsidRPr="00E22417">
        <w:t>, 88 (6), 478–480.</w:t>
      </w:r>
    </w:p>
    <w:p w:rsidR="00234376" w:rsidRPr="00E22417" w:rsidRDefault="00234376" w:rsidP="008E03A7">
      <w:pPr>
        <w:tabs>
          <w:tab w:val="left" w:pos="0"/>
        </w:tabs>
        <w:ind w:left="0"/>
      </w:pPr>
      <w:bookmarkStart w:id="1259" w:name="OLE_LINK329"/>
      <w:bookmarkStart w:id="1260" w:name="OLE_LINK330"/>
      <w:r w:rsidRPr="00E22417">
        <w:t>Celik</w:t>
      </w:r>
      <w:bookmarkEnd w:id="1259"/>
      <w:bookmarkEnd w:id="1260"/>
      <w:r w:rsidRPr="00E22417">
        <w:t xml:space="preserve">, C, Gezginc, K et al. 2008. A comparison of liquid-based cytology with conventional cytology, </w:t>
      </w:r>
      <w:r w:rsidRPr="00E22417">
        <w:rPr>
          <w:i/>
        </w:rPr>
        <w:t>International Journal of Gynecology and Obstetrics</w:t>
      </w:r>
      <w:r w:rsidRPr="00E22417">
        <w:t>, 100 (2), 163–166.</w:t>
      </w:r>
    </w:p>
    <w:p w:rsidR="00D23CD7" w:rsidRPr="00E22417" w:rsidRDefault="00D23CD7" w:rsidP="00D23CD7">
      <w:pPr>
        <w:tabs>
          <w:tab w:val="left" w:pos="0"/>
        </w:tabs>
        <w:ind w:left="0"/>
      </w:pPr>
      <w:bookmarkStart w:id="1261" w:name="OLE_LINK331"/>
      <w:bookmarkStart w:id="1262" w:name="OLE_LINK332"/>
      <w:r w:rsidRPr="00E22417">
        <w:t xml:space="preserve">Centre for Reviews and Dissemination, 2001. </w:t>
      </w:r>
      <w:r w:rsidRPr="00E22417">
        <w:rPr>
          <w:i/>
        </w:rPr>
        <w:t>Undertaking systematic reviews of research on effectiveness: CRD's guidance for those carrying out or commissioning reviews</w:t>
      </w:r>
      <w:r w:rsidRPr="00E22417">
        <w:t>, NHS Centre for Reviews and Dissemination, York.</w:t>
      </w:r>
    </w:p>
    <w:p w:rsidR="00D23CD7" w:rsidRPr="00E22417" w:rsidRDefault="00D23CD7" w:rsidP="00D23CD7">
      <w:pPr>
        <w:tabs>
          <w:tab w:val="left" w:pos="0"/>
        </w:tabs>
        <w:ind w:left="0"/>
      </w:pPr>
      <w:r w:rsidRPr="00E22417">
        <w:t>Cibas</w:t>
      </w:r>
      <w:r w:rsidR="00BF395C" w:rsidRPr="00E22417">
        <w:t xml:space="preserve"> </w:t>
      </w:r>
      <w:r w:rsidRPr="00E22417">
        <w:t>ES,et</w:t>
      </w:r>
      <w:r w:rsidR="00BF395C" w:rsidRPr="00E22417">
        <w:t xml:space="preserve"> </w:t>
      </w:r>
      <w:r w:rsidRPr="00E22417">
        <w:t>al. The MonoPrep Pap Test for the detection of cervical cancer and its precursors. Part 1: results of a multicenter clinical trial. Am J Clin Pathol 2008 Feb;129(2):193-201</w:t>
      </w:r>
    </w:p>
    <w:p w:rsidR="00234376" w:rsidRPr="00E22417" w:rsidRDefault="00234376" w:rsidP="008E03A7">
      <w:pPr>
        <w:tabs>
          <w:tab w:val="left" w:pos="0"/>
        </w:tabs>
        <w:ind w:left="0"/>
      </w:pPr>
      <w:r w:rsidRPr="00E22417">
        <w:t>Confortini</w:t>
      </w:r>
      <w:bookmarkEnd w:id="1261"/>
      <w:bookmarkEnd w:id="1262"/>
      <w:r w:rsidRPr="00E22417">
        <w:t xml:space="preserve">, M, Bonardi, L et al. 2003. A feasibility study of the use of the AutoPap screening system as a primary screening and location-guided rescreening device, </w:t>
      </w:r>
      <w:r w:rsidRPr="00E22417">
        <w:rPr>
          <w:i/>
        </w:rPr>
        <w:t>Cancer</w:t>
      </w:r>
      <w:r w:rsidRPr="00E22417">
        <w:t>, 99 (3), 129–134.</w:t>
      </w:r>
    </w:p>
    <w:p w:rsidR="00234376" w:rsidRPr="00E22417" w:rsidRDefault="00234376" w:rsidP="008E03A7">
      <w:pPr>
        <w:tabs>
          <w:tab w:val="left" w:pos="0"/>
        </w:tabs>
        <w:ind w:left="0"/>
      </w:pPr>
      <w:bookmarkStart w:id="1263" w:name="OLE_LINK333"/>
      <w:bookmarkStart w:id="1264" w:name="OLE_LINK334"/>
      <w:r w:rsidRPr="00E22417">
        <w:t xml:space="preserve">Coste </w:t>
      </w:r>
      <w:bookmarkEnd w:id="1263"/>
      <w:bookmarkEnd w:id="1264"/>
      <w:r w:rsidRPr="00E22417">
        <w:t xml:space="preserve">J. 2003. Cross sectional study of conventional cervical smear, monolayer cytology, and human papillomavirus DNA testing for cervical cancer screening, </w:t>
      </w:r>
      <w:r w:rsidRPr="00E22417">
        <w:rPr>
          <w:i/>
        </w:rPr>
        <w:t>BMJ.</w:t>
      </w:r>
      <w:r w:rsidRPr="00E22417">
        <w:t xml:space="preserve">, 326(7392) </w:t>
      </w:r>
      <w:r w:rsidRPr="00E22417">
        <w:rPr>
          <w:rFonts w:ascii="Arial Narrow" w:eastAsia="Arial Unicode MS" w:hAnsi="Arial Narrow"/>
          <w:sz w:val="18"/>
          <w:lang w:eastAsia="en-AU"/>
        </w:rPr>
        <w:t>(733)</w:t>
      </w:r>
      <w:r w:rsidRPr="00E22417">
        <w:t>,</w:t>
      </w:r>
    </w:p>
    <w:p w:rsidR="00234376" w:rsidRPr="00E22417" w:rsidRDefault="00234376" w:rsidP="008E03A7">
      <w:pPr>
        <w:tabs>
          <w:tab w:val="left" w:pos="0"/>
        </w:tabs>
        <w:ind w:left="0"/>
        <w:rPr>
          <w:i/>
        </w:rPr>
      </w:pPr>
      <w:r w:rsidRPr="00E22417">
        <w:t xml:space="preserve">Cunningham, J, Rumbold, AR et al. 2008. Incidence, aetiology, and outcomes of cancer in Indigenous peoples in Australia, </w:t>
      </w:r>
      <w:r w:rsidRPr="00E22417">
        <w:rPr>
          <w:i/>
        </w:rPr>
        <w:t>Lancet Oncology.</w:t>
      </w:r>
      <w:r w:rsidRPr="00E22417">
        <w:rPr>
          <w:rFonts w:ascii="Arial Narrow" w:eastAsia="Arial Unicode MS" w:hAnsi="Arial Narrow"/>
          <w:i/>
          <w:sz w:val="18"/>
          <w:lang w:eastAsia="en-AU"/>
        </w:rPr>
        <w:t>9(6):585</w:t>
      </w:r>
      <w:r w:rsidRPr="00E22417">
        <w:t>–</w:t>
      </w:r>
      <w:r w:rsidRPr="00E22417">
        <w:rPr>
          <w:rFonts w:ascii="Arial Narrow" w:eastAsia="Arial Unicode MS" w:hAnsi="Arial Narrow"/>
          <w:i/>
          <w:sz w:val="18"/>
          <w:lang w:eastAsia="en-AU"/>
        </w:rPr>
        <w:t>95,</w:t>
      </w:r>
    </w:p>
    <w:p w:rsidR="00234376" w:rsidRPr="00E22417" w:rsidRDefault="00234376" w:rsidP="008E03A7">
      <w:pPr>
        <w:tabs>
          <w:tab w:val="left" w:pos="0"/>
        </w:tabs>
        <w:ind w:left="0"/>
      </w:pPr>
      <w:r w:rsidRPr="00E22417">
        <w:t xml:space="preserve">Davey, E, Barratt, A et al. 2006. Effect of study design and quality on unsatisfactory rates, cytology classifications, and accuracy in liquid-based versus conventional cervical cytology: a systematic review, </w:t>
      </w:r>
      <w:r w:rsidRPr="00E22417">
        <w:rPr>
          <w:i/>
        </w:rPr>
        <w:t>Lancet</w:t>
      </w:r>
      <w:r w:rsidRPr="00E22417">
        <w:t>, 367 (9505), 122–132.</w:t>
      </w:r>
    </w:p>
    <w:p w:rsidR="00234376" w:rsidRPr="00E22417" w:rsidRDefault="00234376" w:rsidP="008E03A7">
      <w:pPr>
        <w:tabs>
          <w:tab w:val="left" w:pos="0"/>
        </w:tabs>
        <w:ind w:left="0"/>
      </w:pPr>
      <w:r w:rsidRPr="00E22417">
        <w:t xml:space="preserve">Davey, E, D'Assuncao, J et al. 2007a. Accuracy of reading liquid based cytology slides using the ThinPrep Imager compared with conventional cytology: prospective study, </w:t>
      </w:r>
      <w:r w:rsidRPr="00E22417">
        <w:rPr>
          <w:i/>
        </w:rPr>
        <w:t>British Medical Journal</w:t>
      </w:r>
      <w:r w:rsidRPr="00E22417">
        <w:t>, 335 (7609), 31–35.</w:t>
      </w:r>
    </w:p>
    <w:p w:rsidR="00234376" w:rsidRPr="00E22417" w:rsidRDefault="00234376" w:rsidP="008E03A7">
      <w:pPr>
        <w:tabs>
          <w:tab w:val="left" w:pos="0"/>
        </w:tabs>
        <w:ind w:left="0"/>
      </w:pPr>
      <w:r w:rsidRPr="00E22417">
        <w:t xml:space="preserve">Davey, E, Irwig, L et al. 2007b. Cervical cytology reading times: a comparison between ThinPrep Imager and conventional methods, </w:t>
      </w:r>
      <w:r w:rsidRPr="00E22417">
        <w:rPr>
          <w:i/>
        </w:rPr>
        <w:t>Diagnostic Cytopathology</w:t>
      </w:r>
      <w:r w:rsidRPr="00E22417">
        <w:t>, 35 (9), 550–554.</w:t>
      </w:r>
    </w:p>
    <w:p w:rsidR="00234376" w:rsidRPr="00E22417" w:rsidRDefault="00234376" w:rsidP="008E03A7">
      <w:pPr>
        <w:tabs>
          <w:tab w:val="left" w:pos="0"/>
        </w:tabs>
        <w:ind w:left="0"/>
      </w:pPr>
      <w:r w:rsidRPr="00E22417">
        <w:t xml:space="preserve">de </w:t>
      </w:r>
      <w:bookmarkStart w:id="1265" w:name="OLE_LINK335"/>
      <w:bookmarkStart w:id="1266" w:name="OLE_LINK336"/>
      <w:r w:rsidRPr="00E22417">
        <w:t>Cremoux</w:t>
      </w:r>
      <w:bookmarkEnd w:id="1265"/>
      <w:bookmarkEnd w:id="1266"/>
      <w:r w:rsidRPr="00E22417">
        <w:t xml:space="preserve">, P, Coste, J et al. 2003. Efficiency of the Hybrid Capture 2 HPV DNA test in cervical cancer screening. A study by the French Society of Clinical Cytology, </w:t>
      </w:r>
      <w:r w:rsidRPr="00E22417">
        <w:rPr>
          <w:i/>
        </w:rPr>
        <w:t>Am J Clin Pathol</w:t>
      </w:r>
      <w:r w:rsidRPr="00E22417">
        <w:t>, 120 (4), 492–499.</w:t>
      </w:r>
    </w:p>
    <w:p w:rsidR="00234376" w:rsidRPr="00E22417" w:rsidRDefault="00234376" w:rsidP="008E03A7">
      <w:pPr>
        <w:tabs>
          <w:tab w:val="left" w:pos="0"/>
        </w:tabs>
        <w:ind w:left="0"/>
      </w:pPr>
      <w:bookmarkStart w:id="1267" w:name="OLE_LINK337"/>
      <w:bookmarkStart w:id="1268" w:name="OLE_LINK338"/>
      <w:r w:rsidRPr="00E22417">
        <w:t>Dowie</w:t>
      </w:r>
      <w:bookmarkEnd w:id="1267"/>
      <w:bookmarkEnd w:id="1268"/>
      <w:r w:rsidRPr="00E22417">
        <w:t xml:space="preserve">, R, Stoykova, B et al. 2006a. Liquid-based cytology can improve efficiency of cervical smear readers: evidence from timing surveys in two NHS cytology laboratories, </w:t>
      </w:r>
      <w:r w:rsidRPr="00E22417">
        <w:rPr>
          <w:i/>
        </w:rPr>
        <w:t>Cytopathology.</w:t>
      </w:r>
      <w:r w:rsidRPr="00E22417">
        <w:t>, 17 (2), 65–72.</w:t>
      </w:r>
    </w:p>
    <w:p w:rsidR="00234376" w:rsidRPr="00E22417" w:rsidRDefault="00234376" w:rsidP="008E03A7">
      <w:pPr>
        <w:tabs>
          <w:tab w:val="left" w:pos="0"/>
        </w:tabs>
        <w:ind w:left="0"/>
      </w:pPr>
      <w:r w:rsidRPr="00E22417">
        <w:t xml:space="preserve">Dowie, R, Stoykova, B et al. 2006b. Assessing the wellbeing of cytoscreeners: experience in two NHS cytology laboratories, </w:t>
      </w:r>
      <w:r w:rsidRPr="00E22417">
        <w:rPr>
          <w:i/>
        </w:rPr>
        <w:t>Cytopathology.</w:t>
      </w:r>
      <w:r w:rsidRPr="00E22417">
        <w:t>, 17 (6), 366–373.</w:t>
      </w:r>
    </w:p>
    <w:p w:rsidR="00234376" w:rsidRPr="00E22417" w:rsidRDefault="00234376" w:rsidP="008E03A7">
      <w:pPr>
        <w:tabs>
          <w:tab w:val="left" w:pos="0"/>
        </w:tabs>
        <w:ind w:left="0"/>
      </w:pPr>
      <w:bookmarkStart w:id="1269" w:name="OLE_LINK339"/>
      <w:bookmarkStart w:id="1270" w:name="OLE_LINK340"/>
      <w:r w:rsidRPr="00E22417">
        <w:t>Ferenczy</w:t>
      </w:r>
      <w:bookmarkEnd w:id="1269"/>
      <w:bookmarkEnd w:id="1270"/>
      <w:r w:rsidRPr="00E22417">
        <w:t xml:space="preserve">, A, Robitaille, J et al. 1996. Conventional cervical cytologic smears vs. ThinPrep smears. A paired comparison study on cervical cytology, </w:t>
      </w:r>
      <w:r w:rsidRPr="00E22417">
        <w:rPr>
          <w:i/>
        </w:rPr>
        <w:t>Acta Cytol.</w:t>
      </w:r>
      <w:r w:rsidRPr="00E22417">
        <w:t>, 40 (6), 1136–1142.</w:t>
      </w:r>
    </w:p>
    <w:p w:rsidR="00234376" w:rsidRPr="00E22417" w:rsidRDefault="00234376" w:rsidP="008E03A7">
      <w:pPr>
        <w:tabs>
          <w:tab w:val="left" w:pos="0"/>
        </w:tabs>
        <w:ind w:left="0"/>
      </w:pPr>
      <w:bookmarkStart w:id="1271" w:name="OLE_LINK341"/>
      <w:bookmarkStart w:id="1272" w:name="OLE_LINK342"/>
      <w:r w:rsidRPr="00E22417">
        <w:t>Flannelly</w:t>
      </w:r>
      <w:bookmarkEnd w:id="1271"/>
      <w:bookmarkEnd w:id="1272"/>
      <w:r w:rsidRPr="00E22417">
        <w:t xml:space="preserve">, G, Langhan, H et al. 1997. A study of treatment failures following large loop excision of the transformation zone for the treatment of cervical intraepithelial neoplasia, </w:t>
      </w:r>
      <w:r w:rsidRPr="00E22417">
        <w:rPr>
          <w:i/>
        </w:rPr>
        <w:t>Br J Obstet Gynaecol JID - 7503752</w:t>
      </w:r>
      <w:r w:rsidRPr="00E22417">
        <w:t>, 104 (6), 718–722.</w:t>
      </w:r>
    </w:p>
    <w:p w:rsidR="00234376" w:rsidRPr="00E22417" w:rsidRDefault="00234376" w:rsidP="008E03A7">
      <w:pPr>
        <w:tabs>
          <w:tab w:val="left" w:pos="0"/>
        </w:tabs>
        <w:ind w:left="0"/>
      </w:pPr>
      <w:bookmarkStart w:id="1273" w:name="OLE_LINK343"/>
      <w:bookmarkStart w:id="1274" w:name="OLE_LINK344"/>
      <w:r w:rsidRPr="00E22417">
        <w:lastRenderedPageBreak/>
        <w:t>Giorgi</w:t>
      </w:r>
      <w:bookmarkEnd w:id="1273"/>
      <w:bookmarkEnd w:id="1274"/>
      <w:r w:rsidRPr="00E22417">
        <w:t>-</w:t>
      </w:r>
      <w:bookmarkStart w:id="1275" w:name="OLE_LINK345"/>
      <w:bookmarkStart w:id="1276" w:name="OLE_LINK346"/>
      <w:r w:rsidRPr="00E22417">
        <w:t>Rossi</w:t>
      </w:r>
      <w:bookmarkEnd w:id="1275"/>
      <w:bookmarkEnd w:id="1276"/>
      <w:r w:rsidRPr="00E22417">
        <w:t xml:space="preserve">, P, Segnan, N et al. 2007. The impact of new technologies in cervical cancer screening: results of the recruitment phase of a large randomised controlled trial from a public health perspective, </w:t>
      </w:r>
      <w:r w:rsidRPr="00E22417">
        <w:rPr>
          <w:i/>
        </w:rPr>
        <w:t>International Journal of Cancer</w:t>
      </w:r>
      <w:r w:rsidRPr="00E22417">
        <w:t>, 121 (12), 2729–2734.</w:t>
      </w:r>
    </w:p>
    <w:p w:rsidR="00234376" w:rsidRPr="00E22417" w:rsidRDefault="00234376" w:rsidP="008E03A7">
      <w:pPr>
        <w:tabs>
          <w:tab w:val="left" w:pos="0"/>
        </w:tabs>
        <w:ind w:left="0"/>
        <w:rPr>
          <w:i/>
        </w:rPr>
      </w:pPr>
      <w:bookmarkStart w:id="1277" w:name="OLE_LINK347"/>
      <w:bookmarkStart w:id="1278" w:name="OLE_LINK348"/>
      <w:r w:rsidRPr="00E22417">
        <w:t>Gray</w:t>
      </w:r>
      <w:bookmarkEnd w:id="1277"/>
      <w:bookmarkEnd w:id="1278"/>
      <w:r w:rsidRPr="00E22417">
        <w:t xml:space="preserve">, NM, Sharp, L et al. 2006. Psychological effects of a low-grade abnormal cervical smear test result: anxiety and associated factors, </w:t>
      </w:r>
      <w:r w:rsidRPr="00E22417">
        <w:rPr>
          <w:i/>
        </w:rPr>
        <w:t>British Journal of Cancer</w:t>
      </w:r>
      <w:r w:rsidRPr="00E22417">
        <w:t>, 94 (9), 1253–1262.</w:t>
      </w:r>
      <w:r w:rsidRPr="00E22417">
        <w:rPr>
          <w:rFonts w:ascii="Arial Narrow" w:eastAsia="Arial Unicode MS" w:hAnsi="Arial Narrow"/>
          <w:i/>
          <w:sz w:val="18"/>
          <w:lang w:eastAsia="en-AU"/>
        </w:rPr>
        <w:t>,</w:t>
      </w:r>
    </w:p>
    <w:p w:rsidR="00234376" w:rsidRPr="00A34DD9" w:rsidRDefault="00234376" w:rsidP="008E03A7">
      <w:pPr>
        <w:tabs>
          <w:tab w:val="left" w:pos="0"/>
        </w:tabs>
        <w:ind w:left="0"/>
      </w:pPr>
      <w:bookmarkStart w:id="1279" w:name="OLE_LINK349"/>
      <w:bookmarkStart w:id="1280" w:name="OLE_LINK350"/>
      <w:r w:rsidRPr="00E22417">
        <w:t>Herzog</w:t>
      </w:r>
      <w:bookmarkEnd w:id="1279"/>
      <w:bookmarkEnd w:id="1280"/>
      <w:r w:rsidRPr="00E22417">
        <w:t>, TJ and Wright, JD 2007. The impact of cervical cancer on quality of life</w:t>
      </w:r>
      <w:r w:rsidRPr="00E22417" w:rsidDel="00A95778">
        <w:t>—</w:t>
      </w:r>
      <w:r w:rsidRPr="00E22417">
        <w:t xml:space="preserve">the components and means for management, </w:t>
      </w:r>
      <w:r w:rsidRPr="00A34DD9">
        <w:t>Gynecol. Oncol.</w:t>
      </w:r>
      <w:r w:rsidRPr="00E22417">
        <w:t>, 107 (3), 572–577.</w:t>
      </w:r>
    </w:p>
    <w:p w:rsidR="00D0290F" w:rsidRPr="00D0290F" w:rsidRDefault="00D0290F" w:rsidP="00D0290F">
      <w:pPr>
        <w:tabs>
          <w:tab w:val="left" w:pos="0"/>
        </w:tabs>
        <w:ind w:left="0"/>
      </w:pPr>
      <w:bookmarkStart w:id="1281" w:name="OLE_LINK351"/>
      <w:bookmarkStart w:id="1282" w:name="OLE_LINK352"/>
      <w:r w:rsidRPr="00D0290F">
        <w:t xml:space="preserve">Hussein T, Desai M, et al (2005). </w:t>
      </w:r>
      <w:hyperlink r:id="rId122" w:history="1">
        <w:r w:rsidRPr="00D0290F">
          <w:t>The comparative diagnostic accuracy of conventional and liquid-based cytology in a colposcopic setting.</w:t>
        </w:r>
      </w:hyperlink>
      <w:r w:rsidRPr="00D0290F">
        <w:t xml:space="preserve"> BJOG., 112(11):1542-6.</w:t>
      </w:r>
    </w:p>
    <w:p w:rsidR="00234376" w:rsidRPr="00E22417" w:rsidRDefault="00234376" w:rsidP="008E03A7">
      <w:pPr>
        <w:tabs>
          <w:tab w:val="left" w:pos="0"/>
        </w:tabs>
        <w:ind w:left="0"/>
      </w:pPr>
      <w:r w:rsidRPr="00E22417">
        <w:t>Hutchinson</w:t>
      </w:r>
      <w:bookmarkEnd w:id="1281"/>
      <w:bookmarkEnd w:id="1282"/>
      <w:r w:rsidRPr="00E22417">
        <w:t xml:space="preserve">, ML, Berger, BM et al. 2000. Clinical and cost implications of new technologies for cervical cancer screening: the impact of test sensitivity, </w:t>
      </w:r>
      <w:r w:rsidRPr="00E22417">
        <w:rPr>
          <w:i/>
        </w:rPr>
        <w:t>Am. J. Manag. Care</w:t>
      </w:r>
      <w:r w:rsidRPr="00E22417">
        <w:t>, 6 (7), 766–780.</w:t>
      </w:r>
    </w:p>
    <w:p w:rsidR="00234376" w:rsidRPr="00E22417" w:rsidRDefault="00234376" w:rsidP="008E03A7">
      <w:pPr>
        <w:tabs>
          <w:tab w:val="left" w:pos="0"/>
        </w:tabs>
        <w:ind w:left="0"/>
        <w:rPr>
          <w:i/>
        </w:rPr>
      </w:pPr>
      <w:r w:rsidRPr="00E22417">
        <w:t xml:space="preserve">International Collaboration of Epidemiological Studies of Cervical Cancer, Appleby, P et al. 2007. Cervical cancer and hormonal contraceptives: collaborative reanalysis of individual data for 16,573 women with cervical cancer and 35,509 women without cervical cancer from 24 epidemiological studies, </w:t>
      </w:r>
      <w:r w:rsidRPr="00E22417">
        <w:rPr>
          <w:i/>
        </w:rPr>
        <w:t>Lancet</w:t>
      </w:r>
      <w:r w:rsidRPr="00E22417">
        <w:t>, 370 (9599), 1609–1621.</w:t>
      </w:r>
    </w:p>
    <w:p w:rsidR="00234376" w:rsidRPr="00E22417" w:rsidRDefault="00234376" w:rsidP="008E03A7">
      <w:pPr>
        <w:tabs>
          <w:tab w:val="left" w:pos="0"/>
        </w:tabs>
        <w:ind w:left="0"/>
      </w:pPr>
      <w:bookmarkStart w:id="1283" w:name="OLE_LINK353"/>
      <w:bookmarkStart w:id="1284" w:name="OLE_LINK354"/>
      <w:r w:rsidRPr="00E22417">
        <w:t>Irwig</w:t>
      </w:r>
      <w:bookmarkEnd w:id="1283"/>
      <w:bookmarkEnd w:id="1284"/>
      <w:r w:rsidRPr="00E22417">
        <w:t xml:space="preserve">, L, Macaskill, P et al. 2004. A randomized crossover trial of PAPNET for primary cervical screening, </w:t>
      </w:r>
      <w:r w:rsidRPr="00E22417">
        <w:rPr>
          <w:i/>
        </w:rPr>
        <w:t>J. Clin. Epidemiol.</w:t>
      </w:r>
      <w:r w:rsidRPr="00E22417">
        <w:t>, 57 (1), 75–81.</w:t>
      </w:r>
    </w:p>
    <w:p w:rsidR="00234376" w:rsidRPr="00E22417" w:rsidRDefault="00234376" w:rsidP="008E03A7">
      <w:pPr>
        <w:tabs>
          <w:tab w:val="left" w:pos="0"/>
        </w:tabs>
        <w:ind w:left="0"/>
      </w:pPr>
      <w:bookmarkStart w:id="1285" w:name="OLE_LINK355"/>
      <w:bookmarkStart w:id="1286" w:name="OLE_LINK356"/>
      <w:r w:rsidRPr="00E22417">
        <w:t>Karnon</w:t>
      </w:r>
      <w:bookmarkEnd w:id="1285"/>
      <w:bookmarkEnd w:id="1286"/>
      <w:r w:rsidRPr="00E22417">
        <w:t xml:space="preserve">, J, Peters, J et al. 2004. Liquid-based cytology in cervical screening: an updated rapid and systematic review and economic analysis, </w:t>
      </w:r>
      <w:r w:rsidRPr="00E22417">
        <w:rPr>
          <w:i/>
        </w:rPr>
        <w:t>Health Technology Assessment</w:t>
      </w:r>
      <w:r w:rsidRPr="00E22417">
        <w:t>, 8 (1–90.</w:t>
      </w:r>
    </w:p>
    <w:p w:rsidR="00234376" w:rsidRPr="00E22417" w:rsidRDefault="00234376" w:rsidP="008E03A7">
      <w:pPr>
        <w:tabs>
          <w:tab w:val="left" w:pos="0"/>
        </w:tabs>
        <w:ind w:left="0"/>
      </w:pPr>
      <w:bookmarkStart w:id="1287" w:name="OLE_LINK357"/>
      <w:bookmarkStart w:id="1288" w:name="OLE_LINK358"/>
      <w:r w:rsidRPr="00E22417">
        <w:t>Krahn</w:t>
      </w:r>
      <w:bookmarkEnd w:id="1287"/>
      <w:bookmarkEnd w:id="1288"/>
      <w:r w:rsidRPr="00E22417">
        <w:t xml:space="preserve">, M, McLachlin, M et al. 2008. </w:t>
      </w:r>
      <w:r w:rsidRPr="00E22417">
        <w:rPr>
          <w:i/>
        </w:rPr>
        <w:t>Liquid-based techniques for cervical cancer screening: systematic review and cost-effectiveness analysis.</w:t>
      </w:r>
      <w:r w:rsidRPr="00E22417">
        <w:t xml:space="preserve"> Technology report no. 103. Ottawa: Canadian Agency for Drugs and Technologies in Health.</w:t>
      </w:r>
    </w:p>
    <w:p w:rsidR="00234376" w:rsidRPr="00E22417" w:rsidRDefault="00234376" w:rsidP="008E03A7">
      <w:pPr>
        <w:tabs>
          <w:tab w:val="left" w:pos="0"/>
        </w:tabs>
        <w:ind w:left="0"/>
      </w:pPr>
      <w:bookmarkStart w:id="1289" w:name="OLE_LINK359"/>
      <w:bookmarkStart w:id="1290" w:name="OLE_LINK360"/>
      <w:r w:rsidRPr="00E22417">
        <w:t>Kulmala</w:t>
      </w:r>
      <w:bookmarkEnd w:id="1289"/>
      <w:bookmarkEnd w:id="1290"/>
      <w:r w:rsidRPr="00E22417">
        <w:t xml:space="preserve">, SM, Syrjanen, S et al. 2004. Human papillomavirus testing with the Hybrid Capture 2 assay and PCR as screening tools, </w:t>
      </w:r>
      <w:r w:rsidRPr="00E22417">
        <w:rPr>
          <w:i/>
        </w:rPr>
        <w:t>J. Clin. Microbiol.</w:t>
      </w:r>
      <w:r w:rsidRPr="00E22417">
        <w:t>, 42 (6), 2470–2475.</w:t>
      </w:r>
    </w:p>
    <w:p w:rsidR="00234376" w:rsidRPr="00E22417" w:rsidRDefault="00234376" w:rsidP="008E03A7">
      <w:pPr>
        <w:tabs>
          <w:tab w:val="left" w:pos="0"/>
        </w:tabs>
        <w:ind w:left="0"/>
        <w:rPr>
          <w:i/>
        </w:rPr>
      </w:pPr>
      <w:bookmarkStart w:id="1291" w:name="OLE_LINK361"/>
      <w:bookmarkStart w:id="1292" w:name="OLE_LINK362"/>
      <w:r w:rsidRPr="00E22417">
        <w:t>Kyrgiou</w:t>
      </w:r>
      <w:bookmarkEnd w:id="1291"/>
      <w:bookmarkEnd w:id="1292"/>
      <w:r w:rsidRPr="00E22417">
        <w:t xml:space="preserve">, M, Koliopoulos, G et al. 2006. Obstetric outcomes after conservative treatment for intraepithelial or early invasive cervical lesions: systematic review and meta-analysis, </w:t>
      </w:r>
      <w:r w:rsidRPr="00E22417">
        <w:rPr>
          <w:i/>
        </w:rPr>
        <w:t>Lancet</w:t>
      </w:r>
      <w:r w:rsidRPr="00E22417">
        <w:t>, 367 (9509), 489–498.</w:t>
      </w:r>
    </w:p>
    <w:p w:rsidR="00234376" w:rsidRPr="00E22417" w:rsidRDefault="00234376" w:rsidP="008E03A7">
      <w:pPr>
        <w:tabs>
          <w:tab w:val="left" w:pos="0"/>
        </w:tabs>
        <w:ind w:left="0"/>
      </w:pPr>
      <w:bookmarkStart w:id="1293" w:name="OLE_LINK363"/>
      <w:bookmarkStart w:id="1294" w:name="OLE_LINK364"/>
      <w:r w:rsidRPr="00E22417">
        <w:t>Lerma</w:t>
      </w:r>
      <w:bookmarkEnd w:id="1293"/>
      <w:bookmarkEnd w:id="1294"/>
      <w:r w:rsidRPr="00E22417">
        <w:t xml:space="preserve">, E, Quintana, MJ et al. 2007. Effectiveness of liquid-based cytology and Papanicolaou tests in a low risk population, </w:t>
      </w:r>
      <w:r w:rsidRPr="00E22417">
        <w:rPr>
          <w:i/>
        </w:rPr>
        <w:t>Acta Cytologica</w:t>
      </w:r>
      <w:r w:rsidRPr="00E22417">
        <w:t>, 51 (3), 399–406.</w:t>
      </w:r>
    </w:p>
    <w:p w:rsidR="00234376" w:rsidRPr="00E22417" w:rsidRDefault="00234376" w:rsidP="008E03A7">
      <w:pPr>
        <w:tabs>
          <w:tab w:val="left" w:pos="0"/>
        </w:tabs>
        <w:ind w:left="0"/>
      </w:pPr>
      <w:bookmarkStart w:id="1295" w:name="OLE_LINK365"/>
      <w:bookmarkStart w:id="1296" w:name="OLE_LINK366"/>
      <w:r w:rsidRPr="00E22417">
        <w:t>Lier</w:t>
      </w:r>
      <w:bookmarkEnd w:id="1295"/>
      <w:bookmarkEnd w:id="1296"/>
      <w:r w:rsidRPr="00E22417">
        <w:t xml:space="preserve">, D and Jacobs, P 2005, </w:t>
      </w:r>
      <w:r w:rsidRPr="00E22417">
        <w:rPr>
          <w:i/>
        </w:rPr>
        <w:t>An economic analysis of the introduction of liquid-based cytology and Human Papillomavirus (HPV) testing in Alberta.</w:t>
      </w:r>
      <w:r w:rsidRPr="00E22417">
        <w:t xml:space="preserve"> Calgary: Alberta Cervical Cancer Screenin</w:t>
      </w:r>
      <w:r w:rsidR="00772C61">
        <w:t>g</w:t>
      </w:r>
      <w:r w:rsidRPr="00E22417">
        <w:t xml:space="preserve"> Program.</w:t>
      </w:r>
    </w:p>
    <w:p w:rsidR="00BB77DC" w:rsidRPr="00E22417" w:rsidRDefault="00BB77DC" w:rsidP="00BB77DC">
      <w:pPr>
        <w:tabs>
          <w:tab w:val="left" w:pos="0"/>
        </w:tabs>
        <w:ind w:left="0"/>
      </w:pPr>
      <w:bookmarkStart w:id="1297" w:name="OLE_LINK367"/>
      <w:bookmarkStart w:id="1298" w:name="OLE_LINK368"/>
      <w:r w:rsidRPr="00E22417">
        <w:t xml:space="preserve">Longatto Filho A, Miranda Pereira SMM, et al (2005). A. DCS liquid-based system is more effective than conventional smears to diagnosis of cervical lesions: Study in high-risk </w:t>
      </w:r>
      <w:r w:rsidR="00772C61" w:rsidRPr="00E22417">
        <w:t>population with</w:t>
      </w:r>
      <w:r w:rsidRPr="00E22417">
        <w:t xml:space="preserve"> biopsy-based confirmation. </w:t>
      </w:r>
      <w:r w:rsidRPr="00E22417">
        <w:rPr>
          <w:i/>
        </w:rPr>
        <w:t>Gynecol Oncol</w:t>
      </w:r>
      <w:r w:rsidRPr="00E22417">
        <w:t>, 97:497–500</w:t>
      </w:r>
    </w:p>
    <w:p w:rsidR="00234376" w:rsidRPr="00E22417" w:rsidRDefault="00234376" w:rsidP="008E03A7">
      <w:pPr>
        <w:tabs>
          <w:tab w:val="left" w:pos="0"/>
        </w:tabs>
        <w:ind w:left="0"/>
      </w:pPr>
      <w:r w:rsidRPr="00E22417">
        <w:t>Maxwell</w:t>
      </w:r>
      <w:bookmarkEnd w:id="1297"/>
      <w:bookmarkEnd w:id="1298"/>
      <w:r w:rsidRPr="00E22417">
        <w:t xml:space="preserve">, GL, Carlson, JW et al. 2002. Costs and effectiveness of alternative strategies for cervical cancer screening in military beneficiaries, </w:t>
      </w:r>
      <w:r w:rsidRPr="00E22417">
        <w:rPr>
          <w:i/>
        </w:rPr>
        <w:t>Obstet.Gynecol.</w:t>
      </w:r>
      <w:r w:rsidRPr="00E22417">
        <w:t>, 100 (4), 740–748.</w:t>
      </w:r>
    </w:p>
    <w:p w:rsidR="00234376" w:rsidRPr="00E22417" w:rsidRDefault="00234376" w:rsidP="008E03A7">
      <w:pPr>
        <w:tabs>
          <w:tab w:val="left" w:pos="0"/>
        </w:tabs>
        <w:ind w:left="0"/>
        <w:rPr>
          <w:i/>
        </w:rPr>
      </w:pPr>
      <w:bookmarkStart w:id="1299" w:name="OLE_LINK369"/>
      <w:bookmarkStart w:id="1300" w:name="OLE_LINK370"/>
      <w:r w:rsidRPr="00E22417">
        <w:lastRenderedPageBreak/>
        <w:t>McCredie</w:t>
      </w:r>
      <w:bookmarkEnd w:id="1299"/>
      <w:bookmarkEnd w:id="1300"/>
      <w:r w:rsidRPr="00E22417">
        <w:t xml:space="preserve">, MR, Sharples, KJ et al. 2008. Natural history of cervical neoplasia and risk of invasive cancer in women with cervical intraepithelial neoplasia 3: a retrospective cohort study.[see comment], </w:t>
      </w:r>
      <w:r w:rsidRPr="00E22417">
        <w:rPr>
          <w:i/>
        </w:rPr>
        <w:t>Lancet Oncology</w:t>
      </w:r>
      <w:r w:rsidRPr="00E22417">
        <w:t>.9(5):425–34,</w:t>
      </w:r>
    </w:p>
    <w:p w:rsidR="00234376" w:rsidRPr="00E22417" w:rsidRDefault="00234376" w:rsidP="008E03A7">
      <w:pPr>
        <w:tabs>
          <w:tab w:val="left" w:pos="0"/>
        </w:tabs>
        <w:ind w:left="0"/>
      </w:pPr>
      <w:bookmarkStart w:id="1301" w:name="OLE_LINK371"/>
      <w:bookmarkStart w:id="1302" w:name="OLE_LINK372"/>
      <w:r w:rsidRPr="00E22417">
        <w:t>McCrory</w:t>
      </w:r>
      <w:bookmarkEnd w:id="1301"/>
      <w:bookmarkEnd w:id="1302"/>
      <w:r w:rsidRPr="00E22417">
        <w:t xml:space="preserve">, DC, Matchar, DB et al. 1999, </w:t>
      </w:r>
      <w:r w:rsidRPr="00E22417">
        <w:rPr>
          <w:i/>
        </w:rPr>
        <w:t>Evaluation of cervical cytology.</w:t>
      </w:r>
      <w:r w:rsidRPr="00E22417">
        <w:t xml:space="preserve"> Evidence report, </w:t>
      </w:r>
      <w:r w:rsidR="00772C61" w:rsidRPr="00E22417">
        <w:t>technology</w:t>
      </w:r>
      <w:r w:rsidRPr="00E22417">
        <w:t xml:space="preserve"> assessment no.5.Rockville (MD): Agency for Health Care Quality and Research.</w:t>
      </w:r>
    </w:p>
    <w:p w:rsidR="00733570" w:rsidRDefault="00733570" w:rsidP="008E03A7">
      <w:pPr>
        <w:tabs>
          <w:tab w:val="left" w:pos="0"/>
        </w:tabs>
        <w:ind w:left="0"/>
      </w:pPr>
      <w:r w:rsidRPr="00733570">
        <w:t xml:space="preserve">Medicare Australia 2008, Medicare Australia Statistics [Internet]. Available from: </w:t>
      </w:r>
      <w:r>
        <w:t> </w:t>
      </w:r>
      <w:hyperlink r:id="rId123" w:tooltip="blocked::https://www.medicareaustralia.gov.au/statistics/mbs_item.shtml" w:history="1">
        <w:r w:rsidRPr="00733570">
          <w:t>https://www.medicareaustralia.gov.au/statistics/mbs_item.shtml</w:t>
        </w:r>
      </w:hyperlink>
      <w:r>
        <w:t xml:space="preserve"> Accessed July 2008</w:t>
      </w:r>
    </w:p>
    <w:p w:rsidR="00234376" w:rsidRPr="00E22417" w:rsidRDefault="00234376" w:rsidP="008E03A7">
      <w:pPr>
        <w:tabs>
          <w:tab w:val="left" w:pos="0"/>
        </w:tabs>
        <w:ind w:left="0"/>
      </w:pPr>
      <w:r w:rsidRPr="00E22417">
        <w:t xml:space="preserve">Medical Services Advisory Committee 2002a, </w:t>
      </w:r>
      <w:r w:rsidRPr="00E22417">
        <w:rPr>
          <w:i/>
        </w:rPr>
        <w:t>Human papillomavirus testing in women with cytological prediction of low-grade abnormality.</w:t>
      </w:r>
      <w:r w:rsidRPr="00E22417">
        <w:t xml:space="preserve"> Reference 12b.Canberra: Commonwealth of Australia.</w:t>
      </w:r>
    </w:p>
    <w:p w:rsidR="00234376" w:rsidRPr="00E22417" w:rsidRDefault="00234376" w:rsidP="008E03A7">
      <w:pPr>
        <w:tabs>
          <w:tab w:val="left" w:pos="0"/>
        </w:tabs>
        <w:ind w:left="0"/>
      </w:pPr>
      <w:r w:rsidRPr="00E22417">
        <w:t xml:space="preserve">Medical Services Advisory Committee 2002b, </w:t>
      </w:r>
      <w:r w:rsidRPr="00E22417">
        <w:rPr>
          <w:i/>
        </w:rPr>
        <w:t>Liquid based cytology for cervical screening.</w:t>
      </w:r>
      <w:r w:rsidRPr="00E22417">
        <w:t xml:space="preserve"> Reference 12a.Canberra: Commonwealth of Australia.</w:t>
      </w:r>
    </w:p>
    <w:p w:rsidR="00234376" w:rsidRPr="00E22417" w:rsidRDefault="00234376" w:rsidP="008E03A7">
      <w:pPr>
        <w:tabs>
          <w:tab w:val="left" w:pos="0"/>
        </w:tabs>
        <w:ind w:left="0"/>
      </w:pPr>
      <w:r w:rsidRPr="00E22417">
        <w:t xml:space="preserve">Medical Services Advisory Committee 2003. </w:t>
      </w:r>
      <w:r w:rsidRPr="00E22417">
        <w:rPr>
          <w:i/>
        </w:rPr>
        <w:t>Computer-assisted image analysis for cervical screening.</w:t>
      </w:r>
      <w:r w:rsidRPr="00E22417">
        <w:t xml:space="preserve"> Reference 12c. Canberra: Commonwealth of Australia.</w:t>
      </w:r>
    </w:p>
    <w:p w:rsidR="00234376" w:rsidRPr="00E22417" w:rsidRDefault="00234376" w:rsidP="008E03A7">
      <w:pPr>
        <w:tabs>
          <w:tab w:val="left" w:pos="0"/>
        </w:tabs>
        <w:ind w:left="0"/>
      </w:pPr>
      <w:r w:rsidRPr="00E22417">
        <w:t xml:space="preserve">Medical Services Advisory Committee 2005. </w:t>
      </w:r>
      <w:r w:rsidRPr="00E22417">
        <w:rPr>
          <w:i/>
        </w:rPr>
        <w:t>The use of human papillomavirus testing to monitor effectiveness of treatment of high-grade intraepithelial abnormalities of the cervix.</w:t>
      </w:r>
      <w:r w:rsidRPr="00E22417">
        <w:t xml:space="preserve"> Canberra: MSAC.</w:t>
      </w:r>
    </w:p>
    <w:p w:rsidR="00234376" w:rsidRPr="00E22417" w:rsidRDefault="00234376" w:rsidP="008E03A7">
      <w:pPr>
        <w:tabs>
          <w:tab w:val="left" w:pos="0"/>
        </w:tabs>
        <w:ind w:left="0"/>
      </w:pPr>
      <w:bookmarkStart w:id="1303" w:name="OLE_LINK373"/>
      <w:bookmarkStart w:id="1304" w:name="OLE_LINK374"/>
      <w:r w:rsidRPr="00E22417">
        <w:t>Moher</w:t>
      </w:r>
      <w:bookmarkEnd w:id="1303"/>
      <w:bookmarkEnd w:id="1304"/>
      <w:r w:rsidRPr="00E22417">
        <w:t xml:space="preserve">, D, Cook, DJ et al. 1999. Improving the quality of reports of meta-analyses of randomised controlled trials: the QUOROM statement. Quality of Reporting of Meta-analyses, </w:t>
      </w:r>
      <w:r w:rsidRPr="00E22417">
        <w:rPr>
          <w:i/>
        </w:rPr>
        <w:t>Lancet</w:t>
      </w:r>
      <w:r w:rsidRPr="00E22417">
        <w:t>, 354 (9193), 1896–1900.</w:t>
      </w:r>
    </w:p>
    <w:p w:rsidR="00234376" w:rsidRPr="00E22417" w:rsidRDefault="00234376" w:rsidP="008E03A7">
      <w:pPr>
        <w:tabs>
          <w:tab w:val="left" w:pos="0"/>
        </w:tabs>
        <w:ind w:left="0"/>
      </w:pPr>
      <w:bookmarkStart w:id="1305" w:name="OLE_LINK375"/>
      <w:bookmarkStart w:id="1306" w:name="OLE_LINK376"/>
      <w:r w:rsidRPr="00E22417">
        <w:t>Montz</w:t>
      </w:r>
      <w:bookmarkEnd w:id="1305"/>
      <w:bookmarkEnd w:id="1306"/>
      <w:r w:rsidRPr="00E22417">
        <w:t xml:space="preserve">, FJ, Farber, FL et al. 2001. Impact of increasing Papanicolaou test sensitivity and compliance: a modeled cost and outcomes analysis, </w:t>
      </w:r>
      <w:r w:rsidRPr="00E22417">
        <w:rPr>
          <w:i/>
        </w:rPr>
        <w:t>Obstet. Gynecol.</w:t>
      </w:r>
      <w:r w:rsidRPr="00E22417">
        <w:t>, 97 (5 Pt 1), 781–788.</w:t>
      </w:r>
    </w:p>
    <w:p w:rsidR="00234376" w:rsidRPr="00E22417" w:rsidRDefault="00234376" w:rsidP="008E03A7">
      <w:pPr>
        <w:tabs>
          <w:tab w:val="left" w:pos="0"/>
        </w:tabs>
        <w:ind w:left="0"/>
      </w:pPr>
      <w:r w:rsidRPr="00E22417">
        <w:t xml:space="preserve">Moss, S. M., Gary, Y., Marteau, T. 2004. </w:t>
      </w:r>
      <w:r w:rsidRPr="00E22417">
        <w:rPr>
          <w:i/>
        </w:rPr>
        <w:t xml:space="preserve">Evaluation of HPV/LBC cervical cancer screening studies </w:t>
      </w:r>
      <w:r w:rsidRPr="00E22417">
        <w:t xml:space="preserve">[Internet]. NHS Cancer Screening Programmes, Sheffield, UK, Available from: </w:t>
      </w:r>
      <w:hyperlink r:id="rId124" w:anchor="wales" w:history="1">
        <w:r w:rsidRPr="00E22417">
          <w:rPr>
            <w:rStyle w:val="Hyperlink"/>
          </w:rPr>
          <w:t>http://www.cancerscreening.nhs.uk/cervical/lbc.html#wales</w:t>
        </w:r>
      </w:hyperlink>
      <w:r w:rsidRPr="00E22417">
        <w:t xml:space="preserve"> [Accessed 19 October 7 </w:t>
      </w:r>
      <w:r w:rsidR="00F91C6A" w:rsidRPr="00E22417">
        <w:t>2007</w:t>
      </w:r>
      <w:r w:rsidRPr="00E22417">
        <w:t>].</w:t>
      </w:r>
    </w:p>
    <w:p w:rsidR="00234376" w:rsidRPr="00E22417" w:rsidRDefault="00234376" w:rsidP="008E03A7">
      <w:pPr>
        <w:tabs>
          <w:tab w:val="left" w:pos="0"/>
        </w:tabs>
        <w:ind w:left="0"/>
      </w:pPr>
      <w:r w:rsidRPr="00E22417">
        <w:t xml:space="preserve">Myers, ER, McCrory, DC et al. 2000. Mathematical model for the natural history of human papillomavirus infection and cervical carcinogenesis, </w:t>
      </w:r>
      <w:r w:rsidRPr="00E22417">
        <w:rPr>
          <w:i/>
        </w:rPr>
        <w:t>Am. J. Epidemiol.</w:t>
      </w:r>
      <w:r w:rsidRPr="00E22417">
        <w:t>, 151 (12), 1158–1171.</w:t>
      </w:r>
    </w:p>
    <w:p w:rsidR="00234376" w:rsidRPr="00E22417" w:rsidRDefault="00234376" w:rsidP="008E03A7">
      <w:pPr>
        <w:tabs>
          <w:tab w:val="left" w:pos="0"/>
        </w:tabs>
        <w:ind w:left="0"/>
      </w:pPr>
      <w:bookmarkStart w:id="1307" w:name="OLE_LINK377"/>
      <w:bookmarkStart w:id="1308" w:name="OLE_LINK378"/>
      <w:r w:rsidRPr="00E22417">
        <w:t>Nanda</w:t>
      </w:r>
      <w:bookmarkEnd w:id="1307"/>
      <w:bookmarkEnd w:id="1308"/>
      <w:r w:rsidRPr="00E22417">
        <w:t xml:space="preserve">, K, McCrory, DC et al. 2000. Accuracy of the Papanicolaou test in screening for and follow-up of cervical cytologic abnormalities: a systematic review, </w:t>
      </w:r>
      <w:r w:rsidRPr="00404298">
        <w:t>Ann. Intern. Med.</w:t>
      </w:r>
      <w:r w:rsidRPr="00E22417">
        <w:t>, 132 (10), 810–819.</w:t>
      </w:r>
    </w:p>
    <w:p w:rsidR="00404298" w:rsidRDefault="00404298" w:rsidP="008E03A7">
      <w:pPr>
        <w:tabs>
          <w:tab w:val="left" w:pos="0"/>
        </w:tabs>
        <w:ind w:left="0"/>
      </w:pPr>
      <w:r w:rsidRPr="00404298">
        <w:t xml:space="preserve">Noorani HZ, Brown A, et al 2003.Liquid-based cytology and human papillomavirus testing in cervical cancer screening. Technology Report Issue 40. Ottawa, ON: Canadian Coordinating Office for Health Technology Assessment (CCOHTA); </w:t>
      </w:r>
    </w:p>
    <w:p w:rsidR="00234376" w:rsidRPr="00E22417" w:rsidRDefault="00234376" w:rsidP="008E03A7">
      <w:pPr>
        <w:tabs>
          <w:tab w:val="left" w:pos="0"/>
        </w:tabs>
        <w:ind w:left="0"/>
      </w:pPr>
      <w:r w:rsidRPr="00E22417">
        <w:t xml:space="preserve">National Institute for Clinical Excellence 2003, </w:t>
      </w:r>
      <w:r w:rsidRPr="00E22417">
        <w:rPr>
          <w:i/>
        </w:rPr>
        <w:t>Guidance on the use of liquid-based cytology for cervical screening.</w:t>
      </w:r>
      <w:r w:rsidRPr="00E22417">
        <w:t xml:space="preserve"> Technology Appraisal 69.London, UK: National Institute for Clinical Excellence, NHS.</w:t>
      </w:r>
    </w:p>
    <w:p w:rsidR="00234376" w:rsidRPr="00E22417" w:rsidRDefault="00234376" w:rsidP="008E03A7">
      <w:pPr>
        <w:tabs>
          <w:tab w:val="left" w:pos="0"/>
        </w:tabs>
        <w:ind w:left="0"/>
      </w:pPr>
      <w:r w:rsidRPr="00E22417">
        <w:t xml:space="preserve">Neville, AM and Quinn, MA 2005. An alternative cost effectiveness analysis of ThinPrep in the Australian setting, </w:t>
      </w:r>
      <w:r w:rsidRPr="00E22417">
        <w:rPr>
          <w:i/>
        </w:rPr>
        <w:t>Australian and New Zealand Journal of Obstetrics and Gynaecology</w:t>
      </w:r>
      <w:r w:rsidRPr="00E22417">
        <w:t>, 45 (4), 289–294.</w:t>
      </w:r>
    </w:p>
    <w:p w:rsidR="00234376" w:rsidRPr="00E22417" w:rsidRDefault="00234376" w:rsidP="008E03A7">
      <w:pPr>
        <w:tabs>
          <w:tab w:val="left" w:pos="0"/>
        </w:tabs>
        <w:ind w:left="0"/>
      </w:pPr>
      <w:r w:rsidRPr="00E22417">
        <w:t xml:space="preserve">NHMRC 1994. </w:t>
      </w:r>
      <w:r w:rsidRPr="00E22417">
        <w:rPr>
          <w:i/>
        </w:rPr>
        <w:t>Screening to prevent cervical cancer: Guidelines for the management of women with screen detected abnormalities.</w:t>
      </w:r>
      <w:r w:rsidRPr="00E22417">
        <w:t xml:space="preserve"> Canberra: National Health and Medical Research Council: Australian Government Publishing Service.</w:t>
      </w:r>
    </w:p>
    <w:p w:rsidR="00234376" w:rsidRPr="00E22417" w:rsidRDefault="00234376" w:rsidP="008E03A7">
      <w:pPr>
        <w:tabs>
          <w:tab w:val="left" w:pos="0"/>
        </w:tabs>
        <w:ind w:left="0"/>
      </w:pPr>
      <w:r w:rsidRPr="00E22417">
        <w:lastRenderedPageBreak/>
        <w:t xml:space="preserve">NHMRC 2000. </w:t>
      </w:r>
      <w:r w:rsidRPr="00E22417">
        <w:rPr>
          <w:i/>
        </w:rPr>
        <w:t>How to use the evidence: assessment and application of scientific evidence.</w:t>
      </w:r>
      <w:r w:rsidRPr="00E22417">
        <w:t xml:space="preserve"> Canberra: Biotext.</w:t>
      </w:r>
    </w:p>
    <w:p w:rsidR="00234376" w:rsidRPr="00E22417" w:rsidRDefault="00234376" w:rsidP="008E03A7">
      <w:pPr>
        <w:tabs>
          <w:tab w:val="left" w:pos="0"/>
        </w:tabs>
        <w:ind w:left="0"/>
      </w:pPr>
      <w:r w:rsidRPr="00E22417">
        <w:t xml:space="preserve">NHMRC 2005, </w:t>
      </w:r>
      <w:r w:rsidRPr="00E22417">
        <w:rPr>
          <w:i/>
        </w:rPr>
        <w:t>Screening to prevent cervical cancer: Guidelines for the management of asymptomatic women with screen detected abnormalities.</w:t>
      </w:r>
      <w:r w:rsidRPr="00E22417">
        <w:t xml:space="preserve"> Canberra, ACT: National Health and Medical Research Council, Commonwealth of Australia.</w:t>
      </w:r>
    </w:p>
    <w:p w:rsidR="00234376" w:rsidRPr="00E22417" w:rsidRDefault="00234376" w:rsidP="008E03A7">
      <w:pPr>
        <w:tabs>
          <w:tab w:val="left" w:pos="0"/>
        </w:tabs>
        <w:ind w:left="0"/>
      </w:pPr>
      <w:r w:rsidRPr="00E22417">
        <w:t xml:space="preserve">NHMRC 2008. </w:t>
      </w:r>
      <w:r w:rsidRPr="00E22417">
        <w:rPr>
          <w:i/>
        </w:rPr>
        <w:t>NHMRC additional levels of evidence and grades for recommendations for developers of guidelines.</w:t>
      </w:r>
      <w:r w:rsidRPr="00E22417">
        <w:t xml:space="preserve"> Canberra: National Health and Medical Research Council (NHMRC).</w:t>
      </w:r>
    </w:p>
    <w:p w:rsidR="00234376" w:rsidRPr="00E22417" w:rsidRDefault="00234376" w:rsidP="008E03A7">
      <w:pPr>
        <w:tabs>
          <w:tab w:val="left" w:pos="0"/>
        </w:tabs>
        <w:ind w:left="0"/>
      </w:pPr>
      <w:bookmarkStart w:id="1309" w:name="OLE_LINK379"/>
      <w:bookmarkStart w:id="1310" w:name="OLE_LINK380"/>
      <w:r w:rsidRPr="00E22417">
        <w:t>Nieminen</w:t>
      </w:r>
      <w:bookmarkEnd w:id="1309"/>
      <w:bookmarkEnd w:id="1310"/>
      <w:r w:rsidRPr="00E22417">
        <w:t xml:space="preserve">, P, Kotaniemi-Talonen, L et al. 2007. Randomized evaluation trial on automation-assisted screening for cervical cancer: results after 777,000 invitations, </w:t>
      </w:r>
      <w:r w:rsidRPr="00E22417">
        <w:rPr>
          <w:i/>
        </w:rPr>
        <w:t>Journal of Medical Screening</w:t>
      </w:r>
      <w:r w:rsidRPr="00E22417">
        <w:t>, 14 (1), 23–28.</w:t>
      </w:r>
    </w:p>
    <w:p w:rsidR="00BB77DC" w:rsidRPr="00E22417" w:rsidRDefault="00BB77DC" w:rsidP="00BB77DC">
      <w:pPr>
        <w:tabs>
          <w:tab w:val="left" w:pos="0"/>
        </w:tabs>
        <w:ind w:left="0"/>
      </w:pPr>
      <w:bookmarkStart w:id="1311" w:name="OLE_LINK381"/>
      <w:bookmarkStart w:id="1312" w:name="OLE_LINK382"/>
      <w:r w:rsidRPr="00E22417">
        <w:t xml:space="preserve">Obwegeser, J.H. &amp; Brack, S. (2001). 'Does liquid-based technology really improve detection </w:t>
      </w:r>
      <w:r w:rsidR="00772C61" w:rsidRPr="00E22417">
        <w:t>of cervical</w:t>
      </w:r>
      <w:r w:rsidRPr="00E22417">
        <w:t xml:space="preserve"> neoplasia? A prospective, randomized trial comparing the ThinPrep Pap Test with </w:t>
      </w:r>
      <w:r w:rsidR="00772C61" w:rsidRPr="00E22417">
        <w:t>the conventional</w:t>
      </w:r>
      <w:r w:rsidRPr="00E22417">
        <w:t xml:space="preserve"> Pap Test, including follow-up of HSIL cases', </w:t>
      </w:r>
      <w:r w:rsidRPr="00E22417">
        <w:rPr>
          <w:i/>
        </w:rPr>
        <w:t>Acta Cytologica</w:t>
      </w:r>
      <w:r w:rsidRPr="00E22417">
        <w:t>, 45, 709-714.</w:t>
      </w:r>
    </w:p>
    <w:p w:rsidR="00234376" w:rsidRPr="00E22417" w:rsidRDefault="00234376" w:rsidP="008E03A7">
      <w:pPr>
        <w:tabs>
          <w:tab w:val="left" w:pos="0"/>
        </w:tabs>
        <w:ind w:left="0"/>
      </w:pPr>
      <w:r w:rsidRPr="00E22417">
        <w:t>Oyesanya</w:t>
      </w:r>
      <w:bookmarkEnd w:id="1311"/>
      <w:bookmarkEnd w:id="1312"/>
      <w:r w:rsidRPr="00E22417">
        <w:t xml:space="preserve">, OA, Amerasinghe, C et al. 1993. A comparison between loop diathermy conization and cold-knife conization for management of cervical dysplasia associated with unsatisfactory colposcopy, </w:t>
      </w:r>
      <w:r w:rsidRPr="00E22417">
        <w:rPr>
          <w:i/>
        </w:rPr>
        <w:t>Gynecologic Oncology</w:t>
      </w:r>
      <w:r w:rsidRPr="00E22417">
        <w:t>, 50 (1), 84–88.</w:t>
      </w:r>
    </w:p>
    <w:p w:rsidR="00234376" w:rsidRPr="00E22417" w:rsidRDefault="00234376" w:rsidP="008E03A7">
      <w:pPr>
        <w:tabs>
          <w:tab w:val="left" w:pos="0"/>
        </w:tabs>
        <w:ind w:left="0"/>
      </w:pPr>
      <w:bookmarkStart w:id="1313" w:name="OLE_LINK383"/>
      <w:bookmarkStart w:id="1314" w:name="OLE_LINK384"/>
      <w:r w:rsidRPr="00E22417">
        <w:t>Paraskevaidis</w:t>
      </w:r>
      <w:bookmarkEnd w:id="1313"/>
      <w:bookmarkEnd w:id="1314"/>
      <w:r w:rsidRPr="00E22417">
        <w:t xml:space="preserve">, E, Lolis, ED et al. 2000. Cervical intraepithelial neoplasia outcomes after large loop excision with clear margins, </w:t>
      </w:r>
      <w:r w:rsidRPr="00E22417">
        <w:rPr>
          <w:i/>
        </w:rPr>
        <w:t>Obstetrics &amp; Gynecology</w:t>
      </w:r>
      <w:r w:rsidRPr="00E22417">
        <w:t>, 95 (6:Pt 1), t-31.</w:t>
      </w:r>
    </w:p>
    <w:p w:rsidR="00BB77DC" w:rsidRPr="00E22417" w:rsidRDefault="00BB77DC" w:rsidP="00BB77DC">
      <w:pPr>
        <w:tabs>
          <w:tab w:val="left" w:pos="0"/>
        </w:tabs>
        <w:ind w:left="0"/>
      </w:pPr>
      <w:bookmarkStart w:id="1315" w:name="OLE_LINK385"/>
      <w:bookmarkStart w:id="1316" w:name="OLE_LINK386"/>
      <w:r w:rsidRPr="00E22417">
        <w:t xml:space="preserve">Park, I.A., Lee, S.N. et al, (2001). 'Comparing the accuracy of ThinPrep Pap tests and conventional Papanicolaou smears on the basis of the histologic diagnosis - A clinical study </w:t>
      </w:r>
      <w:r w:rsidR="00772C61" w:rsidRPr="00E22417">
        <w:t>of women</w:t>
      </w:r>
      <w:r w:rsidRPr="00E22417">
        <w:t xml:space="preserve"> with cervical abnormalities', </w:t>
      </w:r>
      <w:r w:rsidRPr="00E22417">
        <w:rPr>
          <w:i/>
        </w:rPr>
        <w:t>Acta Cytologica</w:t>
      </w:r>
      <w:r w:rsidRPr="00E22417">
        <w:t>, 45, 525-531.</w:t>
      </w:r>
    </w:p>
    <w:p w:rsidR="00234376" w:rsidRPr="00E22417" w:rsidRDefault="00234376" w:rsidP="008E03A7">
      <w:pPr>
        <w:tabs>
          <w:tab w:val="left" w:pos="0"/>
        </w:tabs>
        <w:ind w:left="0"/>
      </w:pPr>
      <w:r w:rsidRPr="00E22417">
        <w:t xml:space="preserve">Parkin </w:t>
      </w:r>
      <w:bookmarkEnd w:id="1315"/>
      <w:bookmarkEnd w:id="1316"/>
      <w:r w:rsidRPr="00E22417">
        <w:t xml:space="preserve">DM, Whelan SL et al. eds 2002. </w:t>
      </w:r>
      <w:r w:rsidRPr="00E22417">
        <w:rPr>
          <w:i/>
        </w:rPr>
        <w:t>Cancer incidence in five continents</w:t>
      </w:r>
      <w:r w:rsidRPr="00E22417">
        <w:t xml:space="preserve"> Vol. VIII, Lyon, France: IARC Scientific Publications.</w:t>
      </w:r>
    </w:p>
    <w:p w:rsidR="00234376" w:rsidRPr="00E22417" w:rsidRDefault="00234376" w:rsidP="008E03A7">
      <w:pPr>
        <w:tabs>
          <w:tab w:val="left" w:pos="0"/>
        </w:tabs>
        <w:ind w:left="0"/>
      </w:pPr>
      <w:bookmarkStart w:id="1317" w:name="OLE_LINK387"/>
      <w:bookmarkStart w:id="1318" w:name="OLE_LINK388"/>
      <w:r w:rsidRPr="00E22417">
        <w:t>Peto</w:t>
      </w:r>
      <w:bookmarkEnd w:id="1317"/>
      <w:bookmarkEnd w:id="1318"/>
      <w:r w:rsidRPr="00E22417">
        <w:t xml:space="preserve">, J, Gilham, C et al. 17–7–2004. The cervical cancer epidemic that screening has prevented in the UK, </w:t>
      </w:r>
      <w:r w:rsidRPr="00E22417">
        <w:rPr>
          <w:i/>
        </w:rPr>
        <w:t>Lancet.</w:t>
      </w:r>
      <w:r w:rsidRPr="00E22417">
        <w:t>, 364 (9430), 249–256.</w:t>
      </w:r>
    </w:p>
    <w:p w:rsidR="00234376" w:rsidRPr="00E22417" w:rsidRDefault="00234376" w:rsidP="008E03A7">
      <w:pPr>
        <w:tabs>
          <w:tab w:val="left" w:pos="0"/>
        </w:tabs>
        <w:ind w:left="0"/>
      </w:pPr>
      <w:r w:rsidRPr="00E22417">
        <w:t xml:space="preserve">Powell, B 1996. The use of large loop excision of the transformation zone (LLETZ) in an outpatient setting, </w:t>
      </w:r>
      <w:r w:rsidRPr="00E22417">
        <w:rPr>
          <w:i/>
        </w:rPr>
        <w:t>Australian &amp; New Zealand Journal of Obstetrics &amp; Gynaecology</w:t>
      </w:r>
      <w:r w:rsidRPr="00E22417">
        <w:t>, 36 (3), 338–346.</w:t>
      </w:r>
    </w:p>
    <w:p w:rsidR="00234376" w:rsidRPr="00E22417" w:rsidRDefault="00234376" w:rsidP="008E03A7">
      <w:pPr>
        <w:tabs>
          <w:tab w:val="left" w:pos="0"/>
        </w:tabs>
        <w:ind w:left="0"/>
        <w:rPr>
          <w:i/>
        </w:rPr>
      </w:pPr>
      <w:r w:rsidRPr="00E22417">
        <w:t xml:space="preserve">Regan, DG, Philp, DJ et al. 2007. Modelling the population-level impact of vaccination on the transmission of human papillomavirus type 16 in Australia, </w:t>
      </w:r>
      <w:r w:rsidRPr="00E22417">
        <w:rPr>
          <w:i/>
        </w:rPr>
        <w:t>Sexual Health</w:t>
      </w:r>
      <w:r w:rsidRPr="00E22417">
        <w:rPr>
          <w:rFonts w:ascii="Arial Narrow" w:eastAsia="Arial Unicode MS" w:hAnsi="Arial Narrow"/>
          <w:i/>
          <w:sz w:val="18"/>
          <w:lang w:eastAsia="en-AU"/>
        </w:rPr>
        <w:t>.4(3):147</w:t>
      </w:r>
      <w:r w:rsidRPr="00E22417">
        <w:t>–</w:t>
      </w:r>
      <w:r w:rsidRPr="00E22417">
        <w:rPr>
          <w:rFonts w:ascii="Arial Narrow" w:eastAsia="Arial Unicode MS" w:hAnsi="Arial Narrow"/>
          <w:i/>
          <w:sz w:val="18"/>
          <w:lang w:eastAsia="en-AU"/>
        </w:rPr>
        <w:t>63,</w:t>
      </w:r>
    </w:p>
    <w:p w:rsidR="00234376" w:rsidRPr="00E22417" w:rsidRDefault="00234376" w:rsidP="008E03A7">
      <w:pPr>
        <w:tabs>
          <w:tab w:val="left" w:pos="0"/>
        </w:tabs>
        <w:ind w:left="0"/>
      </w:pPr>
      <w:bookmarkStart w:id="1319" w:name="OLE_LINK389"/>
      <w:bookmarkStart w:id="1320" w:name="OLE_LINK390"/>
      <w:r w:rsidRPr="00E22417">
        <w:t>Rema</w:t>
      </w:r>
      <w:bookmarkEnd w:id="1319"/>
      <w:bookmarkEnd w:id="1320"/>
      <w:r w:rsidRPr="00E22417">
        <w:t xml:space="preserve">, P., Suchetha, S. et al. 2007. </w:t>
      </w:r>
      <w:r w:rsidRPr="00E22417">
        <w:rPr>
          <w:i/>
        </w:rPr>
        <w:t>Effectiveness, acceptability and safety of LEEP Effectiveness, acceptability and safety of LEEP in Kerala, India: beginners' experience.</w:t>
      </w:r>
      <w:r w:rsidRPr="00E22417">
        <w:rPr>
          <w:rFonts w:ascii="Arial Narrow" w:eastAsia="Arial Unicode MS" w:hAnsi="Arial Narrow"/>
          <w:i/>
          <w:sz w:val="18"/>
          <w:lang w:eastAsia="en-AU"/>
        </w:rPr>
        <w:t xml:space="preserve"> </w:t>
      </w:r>
      <w:r w:rsidRPr="00E22417">
        <w:t xml:space="preserve">Available from </w:t>
      </w:r>
      <w:hyperlink r:id="rId125" w:history="1">
        <w:r w:rsidR="00DD13C2">
          <w:t>International Agency for Research on Cancer</w:t>
        </w:r>
      </w:hyperlink>
      <w:r w:rsidRPr="00E22417">
        <w:t>.</w:t>
      </w:r>
    </w:p>
    <w:p w:rsidR="00234376" w:rsidRPr="00E22417" w:rsidRDefault="00234376" w:rsidP="008E03A7">
      <w:pPr>
        <w:tabs>
          <w:tab w:val="left" w:pos="0"/>
        </w:tabs>
        <w:ind w:left="0"/>
      </w:pPr>
      <w:bookmarkStart w:id="1321" w:name="OLE_LINK391"/>
      <w:bookmarkStart w:id="1322" w:name="OLE_LINK392"/>
      <w:r w:rsidRPr="00E22417">
        <w:t>Riethmuller</w:t>
      </w:r>
      <w:bookmarkEnd w:id="1321"/>
      <w:bookmarkEnd w:id="1322"/>
      <w:r w:rsidRPr="00E22417">
        <w:t xml:space="preserve">, D, Gay, C et al. 1999. Genital human papillomavirus infection among women recruited for routine cervical cancer screening or for colposcopy determined by Hybrid Capture II and polymerase chain reaction, </w:t>
      </w:r>
      <w:r w:rsidRPr="00E22417">
        <w:rPr>
          <w:i/>
        </w:rPr>
        <w:t>Diagnostic Molecular Pathology</w:t>
      </w:r>
      <w:r w:rsidRPr="00E22417">
        <w:t>, 8 (3), 157–164.</w:t>
      </w:r>
    </w:p>
    <w:p w:rsidR="00234376" w:rsidRPr="00E22417" w:rsidRDefault="00234376" w:rsidP="008E03A7">
      <w:pPr>
        <w:tabs>
          <w:tab w:val="left" w:pos="0"/>
        </w:tabs>
        <w:ind w:left="0"/>
      </w:pPr>
      <w:r w:rsidRPr="00E22417">
        <w:t xml:space="preserve">Roberts, JM, Thurloe, JK et al. 2007. A three-armed trial of the ThinPrep imaging system, </w:t>
      </w:r>
      <w:r w:rsidRPr="00E22417">
        <w:rPr>
          <w:i/>
        </w:rPr>
        <w:t>Diagnostic Cytopathology</w:t>
      </w:r>
      <w:r w:rsidRPr="00E22417">
        <w:t>, 35 (2), 96–102.</w:t>
      </w:r>
    </w:p>
    <w:p w:rsidR="00234376" w:rsidRPr="00E22417" w:rsidRDefault="00234376" w:rsidP="008E03A7">
      <w:pPr>
        <w:tabs>
          <w:tab w:val="left" w:pos="0"/>
        </w:tabs>
        <w:ind w:left="0"/>
        <w:rPr>
          <w:i/>
        </w:rPr>
      </w:pPr>
      <w:bookmarkStart w:id="1323" w:name="OLE_LINK393"/>
      <w:bookmarkStart w:id="1324" w:name="OLE_LINK394"/>
      <w:r w:rsidRPr="00E22417">
        <w:t>Rogstad</w:t>
      </w:r>
      <w:bookmarkEnd w:id="1323"/>
      <w:bookmarkEnd w:id="1324"/>
      <w:r w:rsidRPr="00E22417">
        <w:t>, KE 2002. The psychological impact of abnormal cytology and colposcopy. BJOG: An International Journal of Obstetrics &amp; Gynaecology.109(4):364–8,</w:t>
      </w:r>
    </w:p>
    <w:p w:rsidR="00234376" w:rsidRPr="00E22417" w:rsidRDefault="00234376" w:rsidP="008E03A7">
      <w:pPr>
        <w:tabs>
          <w:tab w:val="left" w:pos="0"/>
        </w:tabs>
        <w:ind w:left="0"/>
      </w:pPr>
      <w:bookmarkStart w:id="1325" w:name="OLE_LINK395"/>
      <w:bookmarkStart w:id="1326" w:name="OLE_LINK396"/>
      <w:r w:rsidRPr="00E22417">
        <w:lastRenderedPageBreak/>
        <w:t>Ronco</w:t>
      </w:r>
      <w:bookmarkEnd w:id="1325"/>
      <w:bookmarkEnd w:id="1326"/>
      <w:r w:rsidRPr="00E22417">
        <w:t xml:space="preserve">, G, Cuzick, J et al. 2007a. Accuracy of liquid based versus conventional cytology: overall results of new technologies for cervical cancer screening: randomised controlled trial, </w:t>
      </w:r>
      <w:r w:rsidRPr="00E22417">
        <w:rPr>
          <w:i/>
        </w:rPr>
        <w:t>British Medical Journal</w:t>
      </w:r>
      <w:r w:rsidRPr="00E22417">
        <w:t>, 335 (7609), 28–31.</w:t>
      </w:r>
    </w:p>
    <w:p w:rsidR="00234376" w:rsidRPr="00E22417" w:rsidRDefault="00234376" w:rsidP="008E03A7">
      <w:pPr>
        <w:tabs>
          <w:tab w:val="left" w:pos="0"/>
        </w:tabs>
        <w:ind w:left="0"/>
      </w:pPr>
      <w:r w:rsidRPr="00E22417">
        <w:t xml:space="preserve">Ronco, G, Cuzick, J et al. 2007b. HPV triage for low-grade (L-SIL) cytology is appropriate for women over 35 in mass cervical cancer screening using liquid based cytology, </w:t>
      </w:r>
      <w:r w:rsidRPr="00E22417">
        <w:rPr>
          <w:i/>
        </w:rPr>
        <w:t>EJC</w:t>
      </w:r>
      <w:r w:rsidRPr="00E22417">
        <w:t>, 43 (476–480.</w:t>
      </w:r>
    </w:p>
    <w:p w:rsidR="00234376" w:rsidRPr="00E22417" w:rsidRDefault="00234376" w:rsidP="008E03A7">
      <w:pPr>
        <w:tabs>
          <w:tab w:val="left" w:pos="0"/>
        </w:tabs>
        <w:ind w:left="0"/>
      </w:pPr>
      <w:r w:rsidRPr="00E22417">
        <w:t xml:space="preserve">Ronco, G, Segnan, N et al. 2006. Human papillomavirus testing and liquid-based cytology: results at recruitment from the new technologies for cervical cancer randomized controlled trial, </w:t>
      </w:r>
      <w:r w:rsidRPr="00E22417">
        <w:rPr>
          <w:i/>
        </w:rPr>
        <w:t>Journal of the National Cancer Institute</w:t>
      </w:r>
      <w:r w:rsidRPr="00E22417">
        <w:t>, 98 (11), 765–774.</w:t>
      </w:r>
    </w:p>
    <w:p w:rsidR="00234376" w:rsidRPr="00E22417" w:rsidRDefault="00234376" w:rsidP="008E03A7">
      <w:pPr>
        <w:tabs>
          <w:tab w:val="left" w:pos="0"/>
        </w:tabs>
        <w:ind w:left="0"/>
      </w:pPr>
      <w:r w:rsidRPr="00E22417">
        <w:t xml:space="preserve">Royal College of Pathologists Australasia Cytopathology Quality Assurance Programs 2008. </w:t>
      </w:r>
      <w:r w:rsidRPr="00E22417">
        <w:rPr>
          <w:i/>
        </w:rPr>
        <w:t>Performance Standards for Australian Laboratories Reporting Cervical Cytology 2008.</w:t>
      </w:r>
    </w:p>
    <w:p w:rsidR="00234376" w:rsidRPr="00E22417" w:rsidRDefault="00234376" w:rsidP="008E03A7">
      <w:pPr>
        <w:tabs>
          <w:tab w:val="left" w:pos="0"/>
        </w:tabs>
        <w:ind w:left="0"/>
      </w:pPr>
      <w:bookmarkStart w:id="1327" w:name="OLE_LINK397"/>
      <w:bookmarkStart w:id="1328" w:name="OLE_LINK398"/>
      <w:r w:rsidRPr="00E22417">
        <w:t>Safaeian</w:t>
      </w:r>
      <w:bookmarkEnd w:id="1327"/>
      <w:bookmarkEnd w:id="1328"/>
      <w:r w:rsidRPr="00E22417">
        <w:t xml:space="preserve">, M, Herrero, R et al. 2007. Comparison of the SPF10-LiPA system to the Hybrid Capture 2 Assay for detection of carcinogenic human papillomavirus genotypes among 5,683 young women in Guanacaste, Costa Rica, </w:t>
      </w:r>
      <w:r w:rsidRPr="00E22417">
        <w:rPr>
          <w:i/>
        </w:rPr>
        <w:t>Journal of Clinical Microbiology</w:t>
      </w:r>
      <w:r w:rsidRPr="00E22417">
        <w:t>, 45 (5), 1447–1454.</w:t>
      </w:r>
    </w:p>
    <w:p w:rsidR="00234376" w:rsidRPr="00E22417" w:rsidRDefault="00234376" w:rsidP="008E03A7">
      <w:pPr>
        <w:tabs>
          <w:tab w:val="left" w:pos="0"/>
        </w:tabs>
        <w:ind w:left="0"/>
      </w:pPr>
      <w:bookmarkStart w:id="1329" w:name="OLE_LINK399"/>
      <w:bookmarkStart w:id="1330" w:name="OLE_LINK400"/>
      <w:r w:rsidRPr="00E22417">
        <w:t>Sandri</w:t>
      </w:r>
      <w:bookmarkEnd w:id="1329"/>
      <w:bookmarkEnd w:id="1330"/>
      <w:r w:rsidRPr="00E22417">
        <w:t xml:space="preserve">, MT, Lentati, P et al. 2006. Comparison of the Digene HC2 assay and the Roche Amplicor human papillomavirus (HPV) test for detection of high-risk HPV genotypes in cervical samples, </w:t>
      </w:r>
      <w:r w:rsidRPr="00E22417">
        <w:rPr>
          <w:i/>
        </w:rPr>
        <w:t>Journal of Clinical Microbiology</w:t>
      </w:r>
      <w:r w:rsidRPr="00E22417">
        <w:t>, 44 (6), 2141–2146.</w:t>
      </w:r>
    </w:p>
    <w:p w:rsidR="00234376" w:rsidRPr="00E22417" w:rsidRDefault="00234376" w:rsidP="008E03A7">
      <w:pPr>
        <w:tabs>
          <w:tab w:val="left" w:pos="0"/>
        </w:tabs>
        <w:ind w:left="0"/>
      </w:pPr>
      <w:bookmarkStart w:id="1331" w:name="OLE_LINK401"/>
      <w:bookmarkStart w:id="1332" w:name="OLE_LINK402"/>
      <w:r w:rsidRPr="00E22417">
        <w:t>Schiffman</w:t>
      </w:r>
      <w:bookmarkEnd w:id="1331"/>
      <w:bookmarkEnd w:id="1332"/>
      <w:r w:rsidRPr="00E22417">
        <w:t xml:space="preserve">, M 2007. Integration of human papillomavirus vaccination, cytology, and human papillomavirus testing, </w:t>
      </w:r>
      <w:r w:rsidRPr="00E22417">
        <w:rPr>
          <w:i/>
        </w:rPr>
        <w:t>Cancer.</w:t>
      </w:r>
      <w:r w:rsidRPr="00E22417">
        <w:t>, 111 (3), 145–153.</w:t>
      </w:r>
    </w:p>
    <w:p w:rsidR="00234376" w:rsidRPr="00E22417" w:rsidRDefault="00234376" w:rsidP="008E03A7">
      <w:pPr>
        <w:tabs>
          <w:tab w:val="left" w:pos="0"/>
        </w:tabs>
        <w:ind w:left="0"/>
      </w:pPr>
      <w:r w:rsidRPr="00E22417">
        <w:t xml:space="preserve">Schiffman, M and </w:t>
      </w:r>
      <w:bookmarkStart w:id="1333" w:name="OLE_LINK403"/>
      <w:bookmarkStart w:id="1334" w:name="OLE_LINK404"/>
      <w:r w:rsidRPr="00E22417">
        <w:t>Adrianza</w:t>
      </w:r>
      <w:bookmarkEnd w:id="1333"/>
      <w:bookmarkEnd w:id="1334"/>
      <w:r w:rsidRPr="00E22417">
        <w:t xml:space="preserve">, ME 2000. ASCUS-LSIL Triage Study. Design, methods and characteristics of trial participants, </w:t>
      </w:r>
      <w:r w:rsidRPr="00E22417">
        <w:rPr>
          <w:i/>
        </w:rPr>
        <w:t>Acta Cytol JID - 0370307</w:t>
      </w:r>
      <w:r w:rsidRPr="00E22417">
        <w:t>, 44 (5), 726–742.</w:t>
      </w:r>
    </w:p>
    <w:p w:rsidR="001E08C1" w:rsidRPr="00E22417" w:rsidRDefault="001E08C1" w:rsidP="001E08C1">
      <w:pPr>
        <w:tabs>
          <w:tab w:val="left" w:pos="0"/>
        </w:tabs>
        <w:ind w:left="0"/>
      </w:pPr>
      <w:r w:rsidRPr="00E22417">
        <w:t>Schiffman M, Castle PE. 2005 The promise of global cervical-cancer prevention. New England Journal of Medicine 353(20):2101–4.</w:t>
      </w:r>
    </w:p>
    <w:p w:rsidR="00234376" w:rsidRPr="00E22417" w:rsidRDefault="00234376" w:rsidP="008E03A7">
      <w:pPr>
        <w:tabs>
          <w:tab w:val="left" w:pos="0"/>
        </w:tabs>
        <w:ind w:left="0"/>
        <w:rPr>
          <w:i/>
        </w:rPr>
      </w:pPr>
      <w:r w:rsidRPr="00E22417">
        <w:t>Schiffman, M and Rodriguez, AC 2008. Heterogeneity in CIN 3 diagnosis., Lancet Oncology.9(5):404–6,</w:t>
      </w:r>
    </w:p>
    <w:p w:rsidR="00234376" w:rsidRPr="00E22417" w:rsidRDefault="00234376" w:rsidP="008E03A7">
      <w:pPr>
        <w:tabs>
          <w:tab w:val="left" w:pos="0"/>
        </w:tabs>
        <w:ind w:left="0"/>
      </w:pPr>
      <w:r w:rsidRPr="00E22417">
        <w:t xml:space="preserve">Schiffman, M and Solomon, D 2003. Findings to date from the ASCUS-LSIL Triage Study (ALTS), </w:t>
      </w:r>
      <w:r w:rsidRPr="00E22417">
        <w:rPr>
          <w:i/>
        </w:rPr>
        <w:t>Arch Pathol Lab Med JID - 7607091</w:t>
      </w:r>
      <w:r w:rsidRPr="00E22417">
        <w:t>, 127 (8), 946–949.</w:t>
      </w:r>
    </w:p>
    <w:p w:rsidR="00234376" w:rsidRPr="00E22417" w:rsidRDefault="00234376" w:rsidP="008E03A7">
      <w:pPr>
        <w:tabs>
          <w:tab w:val="left" w:pos="0"/>
        </w:tabs>
        <w:ind w:left="0"/>
      </w:pPr>
      <w:bookmarkStart w:id="1335" w:name="OLE_LINK405"/>
      <w:bookmarkStart w:id="1336" w:name="OLE_LINK406"/>
      <w:r w:rsidRPr="00E22417">
        <w:t>Sherlaw</w:t>
      </w:r>
      <w:bookmarkEnd w:id="1335"/>
      <w:bookmarkEnd w:id="1336"/>
      <w:r w:rsidRPr="00E22417">
        <w:t xml:space="preserve">-Johnson, C and Philips, Z 2004. An evaluation of liquid-based cytology and human papillomavirus testing within the UK cervical cancer screening programme, </w:t>
      </w:r>
      <w:r w:rsidRPr="00E22417">
        <w:rPr>
          <w:i/>
        </w:rPr>
        <w:t>Br.J.Cancer.</w:t>
      </w:r>
      <w:r w:rsidRPr="00E22417">
        <w:t>, 91 (1), 84–91.</w:t>
      </w:r>
    </w:p>
    <w:p w:rsidR="00234376" w:rsidRPr="00E22417" w:rsidRDefault="00234376" w:rsidP="008E03A7">
      <w:pPr>
        <w:tabs>
          <w:tab w:val="left" w:pos="0"/>
        </w:tabs>
        <w:ind w:left="0"/>
      </w:pPr>
      <w:r w:rsidRPr="00E22417">
        <w:t xml:space="preserve">Sherman, ME, Castle, PE et al. 2006. Cervical cytology of atypical squamous cells-cannot exclude high-grade squamous intraepithelial lesion (ASC-H): characteristics and histologic outcomes, </w:t>
      </w:r>
      <w:r w:rsidRPr="00E22417">
        <w:rPr>
          <w:i/>
        </w:rPr>
        <w:t>Cancer</w:t>
      </w:r>
      <w:r w:rsidRPr="00E22417">
        <w:t>, 108 (5), 298–305.</w:t>
      </w:r>
    </w:p>
    <w:p w:rsidR="00234376" w:rsidRPr="00E22417" w:rsidRDefault="00234376" w:rsidP="008E03A7">
      <w:pPr>
        <w:tabs>
          <w:tab w:val="left" w:pos="0"/>
        </w:tabs>
        <w:ind w:left="0"/>
      </w:pPr>
      <w:r w:rsidRPr="00E22417">
        <w:t xml:space="preserve">Sherman, ME, Schiffman, M et al. 2002. Effects of age and human papilloma viral load on colposcopy triage: data from the randomized Atypical Squamous Cells of Undetermined Significance/Low-Grade Squamous Intraepithelial Lesion Triage Study (ALTS), </w:t>
      </w:r>
      <w:r w:rsidRPr="00E22417">
        <w:rPr>
          <w:i/>
        </w:rPr>
        <w:t>J Natl Cancer Inst</w:t>
      </w:r>
      <w:r w:rsidRPr="00E22417">
        <w:t>, 94 (2), 102–7.</w:t>
      </w:r>
    </w:p>
    <w:p w:rsidR="00234376" w:rsidRPr="00E22417" w:rsidRDefault="00234376" w:rsidP="008E03A7">
      <w:pPr>
        <w:tabs>
          <w:tab w:val="left" w:pos="0"/>
        </w:tabs>
        <w:ind w:left="0"/>
      </w:pPr>
      <w:r w:rsidRPr="00E22417">
        <w:t xml:space="preserve">Smith, MA, Canfell, K et al. 2008. The predicted impact of vaccination on human papillomavirus infections in Australia, </w:t>
      </w:r>
      <w:r w:rsidRPr="00E22417">
        <w:rPr>
          <w:i/>
        </w:rPr>
        <w:t>Int J Cancer</w:t>
      </w:r>
      <w:r w:rsidRPr="00E22417">
        <w:t>, 123 (8), 1854–1863.</w:t>
      </w:r>
    </w:p>
    <w:p w:rsidR="00234376" w:rsidRPr="00E22417" w:rsidRDefault="00234376" w:rsidP="008E03A7">
      <w:pPr>
        <w:tabs>
          <w:tab w:val="left" w:pos="0"/>
        </w:tabs>
        <w:ind w:left="0"/>
      </w:pPr>
      <w:bookmarkStart w:id="1337" w:name="OLE_LINK407"/>
      <w:bookmarkStart w:id="1338" w:name="OLE_LINK408"/>
      <w:r w:rsidRPr="00E22417">
        <w:lastRenderedPageBreak/>
        <w:t>Soderlund</w:t>
      </w:r>
      <w:bookmarkEnd w:id="1337"/>
      <w:bookmarkEnd w:id="1338"/>
      <w:r w:rsidRPr="00E22417">
        <w:t xml:space="preserve">-Strand, A, Rymark, P et al. 2005. Comparison between the Hybrid Capture II test and a PCR-based human papillomavirus detection method for diagnosis and posttreatment follow-up of cervical intraepithelial neoplasia, </w:t>
      </w:r>
      <w:r w:rsidRPr="00E22417">
        <w:rPr>
          <w:i/>
        </w:rPr>
        <w:t>Journal of Clinical Microbiology</w:t>
      </w:r>
      <w:r w:rsidRPr="00E22417">
        <w:t>, 43 (7), 3260–3266.</w:t>
      </w:r>
    </w:p>
    <w:p w:rsidR="00234376" w:rsidRPr="00E22417" w:rsidRDefault="00234376" w:rsidP="008E03A7">
      <w:pPr>
        <w:tabs>
          <w:tab w:val="left" w:pos="0"/>
        </w:tabs>
        <w:ind w:left="0"/>
      </w:pPr>
      <w:r w:rsidRPr="00E22417">
        <w:t xml:space="preserve">Solomon D, Schiffman M et al. 2001. Comparison of three management strategies for patients with atypical squamous cells of undetermined significance: baseline results from a randomized trial, </w:t>
      </w:r>
      <w:r w:rsidRPr="00E22417">
        <w:rPr>
          <w:i/>
        </w:rPr>
        <w:t>Journal of the National Cancer Institute</w:t>
      </w:r>
      <w:r w:rsidRPr="00E22417">
        <w:t>, 93 (4), 293–299.</w:t>
      </w:r>
    </w:p>
    <w:p w:rsidR="00234376" w:rsidRPr="00E22417" w:rsidRDefault="00234376" w:rsidP="008E03A7">
      <w:pPr>
        <w:tabs>
          <w:tab w:val="left" w:pos="0"/>
        </w:tabs>
        <w:ind w:left="0"/>
      </w:pPr>
      <w:r w:rsidRPr="00E22417">
        <w:t xml:space="preserve">Stevens, MW, Milne, AJ et al. 2004. Effectiveness of AutoPap system location-guided screening in the evaluation of cervical cytology smears, </w:t>
      </w:r>
      <w:r w:rsidRPr="00E22417">
        <w:rPr>
          <w:i/>
        </w:rPr>
        <w:t>Diagnostic Cytopathology</w:t>
      </w:r>
      <w:r w:rsidRPr="00E22417">
        <w:t>, 31 (2), 94–99.</w:t>
      </w:r>
    </w:p>
    <w:p w:rsidR="00BB77DC" w:rsidRPr="00E22417" w:rsidRDefault="00BB77DC" w:rsidP="00BB77DC">
      <w:pPr>
        <w:tabs>
          <w:tab w:val="left" w:pos="0"/>
        </w:tabs>
        <w:ind w:left="0"/>
      </w:pPr>
      <w:r w:rsidRPr="00E22417">
        <w:t>Sulik, S.M., Kroeger, K. et al, (2001). 'Are fluid-based cytologies superior to the conventional Papanicolaou test? A systematic review', Journal of Family Practice, 50, 1040-1046.</w:t>
      </w:r>
    </w:p>
    <w:p w:rsidR="00BB77DC" w:rsidRPr="00E22417" w:rsidRDefault="00BB77DC" w:rsidP="00BB77DC">
      <w:pPr>
        <w:tabs>
          <w:tab w:val="left" w:pos="0"/>
        </w:tabs>
        <w:ind w:left="0"/>
      </w:pPr>
      <w:r w:rsidRPr="00E22417">
        <w:t>Taylor S, Kuhn L, et al (2006). Direct comparison of liquid-based and conventional cytology in a in a South African screening trial. Int J Cancer;957–62.</w:t>
      </w:r>
    </w:p>
    <w:p w:rsidR="00234376" w:rsidRPr="00E22417" w:rsidRDefault="00234376" w:rsidP="008E03A7">
      <w:pPr>
        <w:tabs>
          <w:tab w:val="left" w:pos="0"/>
        </w:tabs>
        <w:ind w:left="0"/>
      </w:pPr>
      <w:r w:rsidRPr="00E22417">
        <w:t xml:space="preserve">Tracey, E, Baker, D et al. 2007, </w:t>
      </w:r>
      <w:r w:rsidRPr="00E22417">
        <w:rPr>
          <w:i/>
        </w:rPr>
        <w:t>Cancer in New South Wales: Incidence, Mortality and Prevalence, 2005.</w:t>
      </w:r>
      <w:r w:rsidRPr="00E22417">
        <w:t xml:space="preserve"> Sydney: Cancer Institute NSW.</w:t>
      </w:r>
    </w:p>
    <w:p w:rsidR="00234376" w:rsidRPr="00E22417" w:rsidRDefault="00234376" w:rsidP="008E03A7">
      <w:pPr>
        <w:tabs>
          <w:tab w:val="left" w:pos="0"/>
        </w:tabs>
        <w:ind w:left="0"/>
      </w:pPr>
      <w:bookmarkStart w:id="1339" w:name="OLE_LINK409"/>
      <w:bookmarkStart w:id="1340" w:name="OLE_LINK410"/>
      <w:r w:rsidRPr="00E22417">
        <w:t>Venturoli</w:t>
      </w:r>
      <w:bookmarkEnd w:id="1339"/>
      <w:bookmarkEnd w:id="1340"/>
      <w:r w:rsidRPr="00E22417">
        <w:t xml:space="preserve">, S, Cricca, M et al. 2002. Human papillomavirus DNA testing by PCR-ELISA and hybrid capture II from a single cytological specimen: concordance and correlation with cytological results, </w:t>
      </w:r>
      <w:r w:rsidRPr="00E22417">
        <w:rPr>
          <w:i/>
        </w:rPr>
        <w:t>Journal of Clinical Virology</w:t>
      </w:r>
      <w:r w:rsidRPr="00E22417">
        <w:t>, 25 (2), 177–185.</w:t>
      </w:r>
    </w:p>
    <w:p w:rsidR="00234376" w:rsidRPr="00E22417" w:rsidRDefault="00234376" w:rsidP="008E03A7">
      <w:pPr>
        <w:tabs>
          <w:tab w:val="left" w:pos="0"/>
        </w:tabs>
        <w:ind w:left="0"/>
      </w:pPr>
      <w:r w:rsidRPr="00E22417">
        <w:t xml:space="preserve">Victorian Cervical Cytology Registry 2006. </w:t>
      </w:r>
      <w:r w:rsidRPr="00E22417">
        <w:rPr>
          <w:i/>
        </w:rPr>
        <w:t>Statistical Report 2006.</w:t>
      </w:r>
    </w:p>
    <w:p w:rsidR="00234376" w:rsidRPr="00E22417" w:rsidRDefault="00234376" w:rsidP="008E03A7">
      <w:pPr>
        <w:tabs>
          <w:tab w:val="left" w:pos="0"/>
        </w:tabs>
        <w:ind w:left="0"/>
      </w:pPr>
      <w:bookmarkStart w:id="1341" w:name="OLE_LINK411"/>
      <w:bookmarkStart w:id="1342" w:name="OLE_LINK412"/>
      <w:r w:rsidRPr="00E22417">
        <w:t>Wahlstrom</w:t>
      </w:r>
      <w:bookmarkEnd w:id="1341"/>
      <w:bookmarkEnd w:id="1342"/>
      <w:r w:rsidRPr="00E22417">
        <w:t xml:space="preserve">, C, Iftner, T et al. 2007. Population-based study of screening test performance indices of three human papillomavirus DNA tests, </w:t>
      </w:r>
      <w:r w:rsidRPr="00E22417">
        <w:rPr>
          <w:i/>
        </w:rPr>
        <w:t>Journal of Medical Virology</w:t>
      </w:r>
      <w:r w:rsidRPr="00E22417">
        <w:t>, 79 (8), 1169–1175.</w:t>
      </w:r>
    </w:p>
    <w:p w:rsidR="00234376" w:rsidRPr="00E22417" w:rsidRDefault="00234376" w:rsidP="008E03A7">
      <w:pPr>
        <w:tabs>
          <w:tab w:val="left" w:pos="0"/>
        </w:tabs>
        <w:ind w:left="0"/>
      </w:pPr>
      <w:r w:rsidRPr="00E22417">
        <w:t xml:space="preserve">Walker, JL, Wang, SS et al. 2006. Predicting absolute risk of CIN 3 during post-colposcopic follow-up: results from the ASCUS-LSIL Triage Study (ALTS), </w:t>
      </w:r>
      <w:r w:rsidRPr="00E22417">
        <w:rPr>
          <w:i/>
        </w:rPr>
        <w:t>Am J Obstet.Gynecol.</w:t>
      </w:r>
      <w:r w:rsidRPr="00E22417">
        <w:t>, 195 (2), 341–348.</w:t>
      </w:r>
    </w:p>
    <w:p w:rsidR="00234376" w:rsidRPr="00E22417" w:rsidRDefault="00234376" w:rsidP="008E03A7">
      <w:pPr>
        <w:tabs>
          <w:tab w:val="left" w:pos="0"/>
        </w:tabs>
        <w:ind w:left="0"/>
      </w:pPr>
      <w:r w:rsidRPr="00E22417">
        <w:t xml:space="preserve">Whiting, P, Rutjes, A et al. 2003. The development of QUADAS: a tool for the quality assessment of studies of diagnostic accuracy included in systematic reviews, </w:t>
      </w:r>
      <w:r w:rsidRPr="00E22417">
        <w:rPr>
          <w:i/>
        </w:rPr>
        <w:t>BMC Medical Research Methodology</w:t>
      </w:r>
      <w:r w:rsidRPr="00E22417">
        <w:t>, 3 (1), 25.</w:t>
      </w:r>
    </w:p>
    <w:p w:rsidR="00234376" w:rsidRPr="00E22417" w:rsidRDefault="00234376" w:rsidP="008E03A7">
      <w:pPr>
        <w:tabs>
          <w:tab w:val="left" w:pos="0"/>
        </w:tabs>
        <w:ind w:left="0"/>
      </w:pPr>
      <w:bookmarkStart w:id="1343" w:name="OLE_LINK413"/>
      <w:bookmarkStart w:id="1344" w:name="OLE_LINK414"/>
      <w:r w:rsidRPr="00E22417">
        <w:t>Wilbur</w:t>
      </w:r>
      <w:bookmarkEnd w:id="1343"/>
      <w:bookmarkEnd w:id="1344"/>
      <w:r w:rsidRPr="00E22417">
        <w:t xml:space="preserve">, DC and Norton, MK 2002. The primary screening clinical trials of the TriPath AutoPap(registered trademark) System, </w:t>
      </w:r>
      <w:r w:rsidRPr="00E22417">
        <w:rPr>
          <w:i/>
        </w:rPr>
        <w:t>Epidemiology</w:t>
      </w:r>
      <w:r w:rsidRPr="00E22417">
        <w:t>, 13 (3 Suppl.), S30-S33.</w:t>
      </w:r>
    </w:p>
    <w:p w:rsidR="00234376" w:rsidRPr="00E22417" w:rsidRDefault="00234376" w:rsidP="008E03A7">
      <w:pPr>
        <w:tabs>
          <w:tab w:val="left" w:pos="0"/>
        </w:tabs>
        <w:ind w:left="0"/>
      </w:pPr>
      <w:r w:rsidRPr="00E22417">
        <w:t xml:space="preserve">Wilbur, DC, Parker, EM et al. 2002. Location-guided screening of liquid-based cervical cytology specimens: a potential improvement in accuracy and productivity is demonstrated in a preclinical feasibility trial, </w:t>
      </w:r>
      <w:r w:rsidRPr="00E22417">
        <w:rPr>
          <w:i/>
        </w:rPr>
        <w:t>American Journal of Clinical Pathology</w:t>
      </w:r>
      <w:r w:rsidRPr="00E22417">
        <w:t>, 118 (3), 399–407.</w:t>
      </w:r>
    </w:p>
    <w:p w:rsidR="00234376" w:rsidRPr="00E22417" w:rsidRDefault="00234376" w:rsidP="008E03A7">
      <w:pPr>
        <w:tabs>
          <w:tab w:val="left" w:pos="0"/>
        </w:tabs>
        <w:ind w:left="0"/>
      </w:pPr>
      <w:r w:rsidRPr="00E22417">
        <w:t xml:space="preserve">Willis, BH, Barton, P et al. 2005. Cervical screening programmes: Can automation help? Evidence from systematic reviews, an economic analysis and a simulation modelling exercise applied to the UK, </w:t>
      </w:r>
      <w:r w:rsidRPr="00E22417">
        <w:rPr>
          <w:i/>
        </w:rPr>
        <w:t>Health Technology Assessment</w:t>
      </w:r>
      <w:r w:rsidRPr="00E22417">
        <w:t>, 9 (13), iii–158.</w:t>
      </w:r>
    </w:p>
    <w:p w:rsidR="00234376" w:rsidRPr="00E22417" w:rsidRDefault="00234376" w:rsidP="008E03A7">
      <w:pPr>
        <w:tabs>
          <w:tab w:val="left" w:pos="0"/>
        </w:tabs>
        <w:ind w:left="0"/>
      </w:pPr>
      <w:r w:rsidRPr="00E22417">
        <w:t xml:space="preserve">Wordsworth, S, Ryan, M et al. 2006. Women's preferences for cervical cancer screening: a study using a discrete choice experiment, </w:t>
      </w:r>
      <w:r w:rsidRPr="00E22417">
        <w:rPr>
          <w:i/>
        </w:rPr>
        <w:t>International Journal of Technology Assessment in Health Care</w:t>
      </w:r>
      <w:r w:rsidRPr="00E22417">
        <w:t>, 22 (3), 344–350.</w:t>
      </w:r>
    </w:p>
    <w:p w:rsidR="00234376" w:rsidRPr="00E22417" w:rsidRDefault="00234376" w:rsidP="008E03A7">
      <w:pPr>
        <w:tabs>
          <w:tab w:val="left" w:pos="0"/>
        </w:tabs>
        <w:ind w:left="0"/>
      </w:pPr>
      <w:r w:rsidRPr="00E22417">
        <w:lastRenderedPageBreak/>
        <w:t xml:space="preserve">Wright, TC, Jr., Gagnon, S et al. 1992. Treatment of cervical intraepithelial neoplasia using the loop electrosurgical excision procedure.[see comment], </w:t>
      </w:r>
      <w:r w:rsidRPr="00E22417">
        <w:rPr>
          <w:i/>
        </w:rPr>
        <w:t>Obstetrics &amp; Gynecology</w:t>
      </w:r>
      <w:r w:rsidRPr="00E22417">
        <w:t>, 79 (2), 173–178.</w:t>
      </w:r>
    </w:p>
    <w:p w:rsidR="00234376" w:rsidRPr="00E22417" w:rsidRDefault="00234376" w:rsidP="008E03A7">
      <w:pPr>
        <w:tabs>
          <w:tab w:val="left" w:pos="0"/>
        </w:tabs>
        <w:ind w:left="0"/>
      </w:pPr>
      <w:bookmarkStart w:id="1345" w:name="OLE_LINK415"/>
      <w:bookmarkStart w:id="1346" w:name="OLE_LINK416"/>
      <w:r w:rsidRPr="00E22417">
        <w:t>Yamazaki</w:t>
      </w:r>
      <w:bookmarkEnd w:id="1345"/>
      <w:bookmarkEnd w:id="1346"/>
      <w:r w:rsidRPr="00E22417">
        <w:t xml:space="preserve">, H, Sasagawa, T et al. 2001. Hybrid capture-II and LCR-E7 PCR assays for HPV typing in cervical cytologic samples, </w:t>
      </w:r>
      <w:r w:rsidRPr="00E22417">
        <w:rPr>
          <w:i/>
        </w:rPr>
        <w:t>International Journal of Cancer</w:t>
      </w:r>
      <w:r w:rsidRPr="00E22417">
        <w:t>, 94 (2), 222–227.</w:t>
      </w:r>
    </w:p>
    <w:p w:rsidR="00234376" w:rsidRPr="00E22417" w:rsidRDefault="00234376" w:rsidP="008E03A7">
      <w:pPr>
        <w:tabs>
          <w:tab w:val="left" w:pos="0"/>
        </w:tabs>
        <w:spacing w:after="0"/>
        <w:ind w:left="0"/>
      </w:pPr>
      <w:bookmarkStart w:id="1347" w:name="OLE_LINK417"/>
      <w:bookmarkStart w:id="1348" w:name="OLE_LINK418"/>
      <w:r w:rsidRPr="00E22417">
        <w:t>Zuna</w:t>
      </w:r>
      <w:bookmarkEnd w:id="1347"/>
      <w:bookmarkEnd w:id="1348"/>
      <w:r w:rsidRPr="00E22417">
        <w:t xml:space="preserve">, RE, Wang, SS et al. 2005. Determinants of human papillomavirus-negative, low-grade squamous intraepithelial lesions in the atypical squamous cells of undetermined significance/low-grade squamous intraepithelial lesions triage study (ALTS), </w:t>
      </w:r>
      <w:r w:rsidRPr="00E22417">
        <w:rPr>
          <w:i/>
        </w:rPr>
        <w:t>Cancer</w:t>
      </w:r>
      <w:r w:rsidRPr="00E22417">
        <w:t>, 105 (5), 253–262.</w:t>
      </w:r>
    </w:p>
    <w:p w:rsidR="00234376" w:rsidRPr="00537C3C" w:rsidRDefault="00234376" w:rsidP="008E03A7">
      <w:pPr>
        <w:tabs>
          <w:tab w:val="left" w:pos="0"/>
        </w:tabs>
        <w:spacing w:after="0"/>
        <w:ind w:left="0"/>
      </w:pPr>
      <w:r w:rsidRPr="00E22417">
        <w:fldChar w:fldCharType="end"/>
      </w:r>
    </w:p>
    <w:sectPr w:rsidR="00234376" w:rsidRPr="00537C3C" w:rsidSect="008E03A7">
      <w:headerReference w:type="even" r:id="rId126"/>
      <w:headerReference w:type="default" r:id="rId127"/>
      <w:footerReference w:type="default" r:id="rId128"/>
      <w:headerReference w:type="first" r:id="rId129"/>
      <w:pgSz w:w="11906" w:h="16838"/>
      <w:pgMar w:top="1440" w:right="1440" w:bottom="1440" w:left="1440" w:header="720" w:footer="720" w:gutter="0"/>
      <w:paperSrc w:first="2" w:other="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149" w:rsidRDefault="00907149">
      <w:r>
        <w:separator/>
      </w:r>
    </w:p>
  </w:endnote>
  <w:endnote w:type="continuationSeparator" w:id="0">
    <w:p w:rsidR="00907149" w:rsidRDefault="00907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Antiqua">
    <w:panose1 w:val="00000000000000000000"/>
    <w:charset w:val="00"/>
    <w:family w:val="roman"/>
    <w:notTrueType/>
    <w:pitch w:val="default"/>
    <w:sig w:usb0="00000003" w:usb1="00000000" w:usb2="00000000" w:usb3="00000000" w:csb0="00000001" w:csb1="00000000"/>
  </w:font>
  <w:font w:name="Times-New-Roman+2">
    <w:altName w:val="Times New Roman"/>
    <w:panose1 w:val="00000000000000000000"/>
    <w:charset w:val="00"/>
    <w:family w:val="auto"/>
    <w:notTrueType/>
    <w:pitch w:val="default"/>
    <w:sig w:usb0="00000003" w:usb1="00000000" w:usb2="00000000" w:usb3="00000000" w:csb0="00000001" w:csb1="00000000"/>
  </w:font>
  <w:font w:name="Optima-Bold">
    <w:altName w:val="Optima"/>
    <w:panose1 w:val="00000000000000000000"/>
    <w:charset w:val="00"/>
    <w:family w:val="swiss"/>
    <w:notTrueType/>
    <w:pitch w:val="default"/>
    <w:sig w:usb0="00000003" w:usb1="00000000" w:usb2="00000000" w:usb3="00000000" w:csb0="00000001" w:csb1="00000000"/>
  </w:font>
  <w:font w:name="BaskervilleBE-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Pr="002F5CE2" w:rsidRDefault="00907149" w:rsidP="008E03A7">
    <w:pPr>
      <w:pStyle w:val="Footer"/>
      <w:pBdr>
        <w:top w:val="single" w:sz="4" w:space="1" w:color="auto"/>
      </w:pBdr>
      <w:rPr>
        <w:rStyle w:val="PageNumber"/>
        <w:b/>
      </w:rPr>
    </w:pPr>
    <w:r>
      <w:rPr>
        <w:rStyle w:val="PageNumber"/>
      </w:rPr>
      <w:fldChar w:fldCharType="begin"/>
    </w:r>
    <w:r>
      <w:rPr>
        <w:rStyle w:val="PageNumber"/>
      </w:rPr>
      <w:instrText xml:space="preserve"> PAGE </w:instrText>
    </w:r>
    <w:r>
      <w:rPr>
        <w:rStyle w:val="PageNumber"/>
      </w:rPr>
      <w:fldChar w:fldCharType="separate"/>
    </w:r>
    <w:r w:rsidR="007D3DFF">
      <w:rPr>
        <w:rStyle w:val="PageNumber"/>
        <w:noProof/>
      </w:rPr>
      <w:t>viii</w:t>
    </w:r>
    <w:r>
      <w:rPr>
        <w:rStyle w:val="PageNumber"/>
      </w:rPr>
      <w:fldChar w:fldCharType="end"/>
    </w:r>
    <w:r>
      <w:rPr>
        <w:rStyle w:val="PageNumber"/>
      </w:rPr>
      <w:tab/>
    </w:r>
    <w:r w:rsidRPr="002F5CE2">
      <w:rPr>
        <w:b w:val="0"/>
      </w:rPr>
      <w:t xml:space="preserve">Automation &amp; </w:t>
    </w:r>
    <w:r w:rsidRPr="00BB76D8">
      <w:rPr>
        <w:b w:val="0"/>
      </w:rPr>
      <w:t>LBC</w:t>
    </w:r>
    <w:r w:rsidRPr="002F5CE2">
      <w:rPr>
        <w:b w:val="0"/>
      </w:rPr>
      <w:t xml:space="preserve"> for cervical cancer screening</w:t>
    </w:r>
  </w:p>
  <w:p w:rsidR="00907149" w:rsidRDefault="00907149">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rsidP="008E03A7">
    <w:pPr>
      <w:pStyle w:val="Footer"/>
      <w:pBdr>
        <w:top w:val="single" w:sz="4" w:space="1" w:color="auto"/>
      </w:pBdr>
      <w:tabs>
        <w:tab w:val="clear" w:pos="9000"/>
        <w:tab w:val="right" w:pos="13892"/>
      </w:tabs>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r>
      <w:rPr>
        <w:rStyle w:val="PageNumber"/>
      </w:rPr>
      <w:tab/>
    </w:r>
    <w:r>
      <w:t xml:space="preserve">Automation &amp; </w:t>
    </w:r>
    <w:r w:rsidRPr="00BB76D8">
      <w:t>LBC</w:t>
    </w:r>
    <w:r>
      <w:t xml:space="preserve"> for cervical cancer screening</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Footer"/>
      <w:pBdr>
        <w:top w:val="single" w:sz="4" w:space="1" w:color="auto"/>
      </w:pBdr>
      <w:rPr>
        <w:rStyle w:val="PageNumber"/>
      </w:rPr>
    </w:pPr>
    <w:r>
      <w:rPr>
        <w:rStyle w:val="PageNumber"/>
      </w:rPr>
      <w:fldChar w:fldCharType="begin"/>
    </w:r>
    <w:r>
      <w:rPr>
        <w:rStyle w:val="PageNumber"/>
      </w:rPr>
      <w:instrText xml:space="preserve"> PAGE </w:instrText>
    </w:r>
    <w:r>
      <w:rPr>
        <w:rStyle w:val="PageNumber"/>
      </w:rPr>
      <w:fldChar w:fldCharType="separate"/>
    </w:r>
    <w:r w:rsidR="007D3DFF">
      <w:rPr>
        <w:rStyle w:val="PageNumber"/>
        <w:noProof/>
      </w:rPr>
      <w:t>182</w:t>
    </w:r>
    <w:r>
      <w:rPr>
        <w:rStyle w:val="PageNumber"/>
      </w:rPr>
      <w:fldChar w:fldCharType="end"/>
    </w:r>
    <w:r>
      <w:rPr>
        <w:rStyle w:val="PageNumber"/>
      </w:rPr>
      <w:tab/>
    </w:r>
    <w:r w:rsidRPr="002F5CE2">
      <w:rPr>
        <w:b w:val="0"/>
      </w:rPr>
      <w:t xml:space="preserve">Automation &amp; </w:t>
    </w:r>
    <w:r w:rsidRPr="00BB76D8">
      <w:rPr>
        <w:b w:val="0"/>
      </w:rPr>
      <w:t>LBC</w:t>
    </w:r>
    <w:r w:rsidRPr="002F5CE2">
      <w:rPr>
        <w:b w:val="0"/>
      </w:rPr>
      <w:t xml:space="preserve"> for cervical cancer screening</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Footer"/>
      <w:pBdr>
        <w:top w:val="single" w:sz="4" w:space="1" w:color="auto"/>
      </w:pBdr>
      <w:rPr>
        <w:rStyle w:val="PageNumber"/>
      </w:rPr>
    </w:pPr>
    <w:r w:rsidRPr="002F5CE2">
      <w:rPr>
        <w:b w:val="0"/>
      </w:rPr>
      <w:t xml:space="preserve">Automation &amp; </w:t>
    </w:r>
    <w:r w:rsidRPr="00BB76D8">
      <w:rPr>
        <w:b w:val="0"/>
      </w:rPr>
      <w:t>LBC</w:t>
    </w:r>
    <w:r w:rsidRPr="002F5CE2">
      <w:rPr>
        <w:b w:val="0"/>
      </w:rPr>
      <w:t xml:space="preserve"> for cervical cancer screening</w:t>
    </w:r>
    <w:r>
      <w:rPr>
        <w:vanish/>
        <w:color w:val="0000FF"/>
      </w:rPr>
      <w:t xml:space="preserve"> </w:t>
    </w:r>
    <w:r>
      <w:tab/>
    </w:r>
    <w:r>
      <w:rPr>
        <w:rStyle w:val="PageNumber"/>
      </w:rPr>
      <w:fldChar w:fldCharType="begin"/>
    </w:r>
    <w:r>
      <w:rPr>
        <w:rStyle w:val="PageNumber"/>
      </w:rPr>
      <w:instrText xml:space="preserve"> PAGE </w:instrText>
    </w:r>
    <w:r>
      <w:rPr>
        <w:rStyle w:val="PageNumber"/>
      </w:rPr>
      <w:fldChar w:fldCharType="separate"/>
    </w:r>
    <w:r w:rsidR="007D3DFF">
      <w:rPr>
        <w:rStyle w:val="PageNumber"/>
        <w:noProof/>
      </w:rPr>
      <w:t>73</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Footer"/>
      <w:pBdr>
        <w:top w:val="single" w:sz="4" w:space="1" w:color="auto"/>
      </w:pBdr>
      <w:rPr>
        <w:rStyle w:val="PageNumber"/>
      </w:rPr>
    </w:pPr>
    <w:r w:rsidRPr="002F5CE2">
      <w:rPr>
        <w:b w:val="0"/>
      </w:rPr>
      <w:t xml:space="preserve">Automation &amp; </w:t>
    </w:r>
    <w:r w:rsidRPr="00BB76D8">
      <w:rPr>
        <w:b w:val="0"/>
      </w:rPr>
      <w:t>LBC</w:t>
    </w:r>
    <w:r w:rsidRPr="002F5CE2">
      <w:rPr>
        <w:b w:val="0"/>
      </w:rPr>
      <w:t xml:space="preserve"> for cervical cancer screening</w:t>
    </w:r>
    <w:r>
      <w:tab/>
    </w:r>
    <w:r>
      <w:rPr>
        <w:rStyle w:val="PageNumber"/>
      </w:rPr>
      <w:fldChar w:fldCharType="begin"/>
    </w:r>
    <w:r>
      <w:rPr>
        <w:rStyle w:val="PageNumber"/>
      </w:rPr>
      <w:instrText xml:space="preserve"> PAGE </w:instrText>
    </w:r>
    <w:r>
      <w:rPr>
        <w:rStyle w:val="PageNumber"/>
      </w:rPr>
      <w:fldChar w:fldCharType="separate"/>
    </w:r>
    <w:r w:rsidR="007D3DFF">
      <w:rPr>
        <w:rStyle w:val="PageNumber"/>
        <w:noProof/>
      </w:rPr>
      <w:t>101</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Footer"/>
      <w:pBdr>
        <w:top w:val="single" w:sz="4" w:space="1" w:color="auto"/>
      </w:pBdr>
      <w:rPr>
        <w:rStyle w:val="PageNumber"/>
      </w:rPr>
    </w:pPr>
    <w:r w:rsidRPr="002F5CE2">
      <w:rPr>
        <w:b w:val="0"/>
      </w:rPr>
      <w:t xml:space="preserve">Automation &amp; </w:t>
    </w:r>
    <w:r w:rsidRPr="00BB76D8">
      <w:rPr>
        <w:b w:val="0"/>
      </w:rPr>
      <w:t>LBC</w:t>
    </w:r>
    <w:r w:rsidRPr="002F5CE2">
      <w:rPr>
        <w:b w:val="0"/>
      </w:rPr>
      <w:t xml:space="preserve"> for cervical cancer screening</w:t>
    </w:r>
    <w:r>
      <w:tab/>
    </w:r>
    <w:r>
      <w:rPr>
        <w:rStyle w:val="PageNumber"/>
      </w:rPr>
      <w:fldChar w:fldCharType="begin"/>
    </w:r>
    <w:r>
      <w:rPr>
        <w:rStyle w:val="PageNumber"/>
      </w:rPr>
      <w:instrText xml:space="preserve"> PAGE </w:instrText>
    </w:r>
    <w:r>
      <w:rPr>
        <w:rStyle w:val="PageNumber"/>
      </w:rPr>
      <w:fldChar w:fldCharType="separate"/>
    </w:r>
    <w:r w:rsidR="007D3DFF">
      <w:rPr>
        <w:rStyle w:val="PageNumber"/>
        <w:noProof/>
      </w:rPr>
      <w:t>137</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Footer"/>
      <w:pBdr>
        <w:top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rsidP="00104199">
    <w:pPr>
      <w:pStyle w:val="Footer"/>
      <w:pBdr>
        <w:top w:val="single" w:sz="4" w:space="1" w:color="auto"/>
      </w:pBdr>
      <w:tabs>
        <w:tab w:val="left" w:pos="8790"/>
      </w:tabs>
      <w:rPr>
        <w:rStyle w:val="PageNumber"/>
      </w:rPr>
    </w:pPr>
    <w:r w:rsidRPr="002F5CE2">
      <w:rPr>
        <w:b w:val="0"/>
      </w:rPr>
      <w:t xml:space="preserve">Automation &amp; </w:t>
    </w:r>
    <w:r w:rsidRPr="00BB76D8">
      <w:rPr>
        <w:b w:val="0"/>
      </w:rPr>
      <w:t>LBC</w:t>
    </w:r>
    <w:r w:rsidRPr="002F5CE2">
      <w:rPr>
        <w:b w:val="0"/>
      </w:rPr>
      <w:t xml:space="preserve"> for cervical cancer screening</w:t>
    </w:r>
    <w:r>
      <w:tab/>
    </w:r>
    <w:r>
      <w:tab/>
    </w:r>
    <w:r>
      <w:rPr>
        <w:rStyle w:val="PageNumber"/>
      </w:rPr>
      <w:fldChar w:fldCharType="begin"/>
    </w:r>
    <w:r>
      <w:rPr>
        <w:rStyle w:val="PageNumber"/>
      </w:rPr>
      <w:instrText xml:space="preserve"> PAGE </w:instrText>
    </w:r>
    <w:r>
      <w:rPr>
        <w:rStyle w:val="PageNumber"/>
      </w:rPr>
      <w:fldChar w:fldCharType="separate"/>
    </w:r>
    <w:r w:rsidR="007D3DFF">
      <w:rPr>
        <w:rStyle w:val="PageNumber"/>
        <w:noProof/>
      </w:rPr>
      <w:t>59</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Pr="002F5CE2" w:rsidRDefault="00907149">
    <w:pPr>
      <w:pStyle w:val="Footer"/>
      <w:pBdr>
        <w:top w:val="single" w:sz="4" w:space="1" w:color="auto"/>
      </w:pBdr>
      <w:rPr>
        <w:rStyle w:val="PageNumber"/>
        <w:b/>
      </w:rPr>
    </w:pPr>
    <w:r w:rsidRPr="002F5CE2">
      <w:rPr>
        <w:rStyle w:val="PageNumber"/>
      </w:rPr>
      <w:fldChar w:fldCharType="begin"/>
    </w:r>
    <w:r w:rsidRPr="002F5CE2">
      <w:rPr>
        <w:rStyle w:val="PageNumber"/>
      </w:rPr>
      <w:instrText xml:space="preserve"> PAGE </w:instrText>
    </w:r>
    <w:r w:rsidRPr="002F5CE2">
      <w:rPr>
        <w:rStyle w:val="PageNumber"/>
      </w:rPr>
      <w:fldChar w:fldCharType="separate"/>
    </w:r>
    <w:r w:rsidR="007D3DFF">
      <w:rPr>
        <w:rStyle w:val="PageNumber"/>
        <w:noProof/>
      </w:rPr>
      <w:t>28</w:t>
    </w:r>
    <w:r w:rsidRPr="002F5CE2">
      <w:rPr>
        <w:rStyle w:val="PageNumber"/>
      </w:rPr>
      <w:fldChar w:fldCharType="end"/>
    </w:r>
    <w:r w:rsidRPr="002F5CE2">
      <w:rPr>
        <w:rStyle w:val="PageNumber"/>
      </w:rPr>
      <w:tab/>
    </w:r>
    <w:r>
      <w:rPr>
        <w:rStyle w:val="PageNumber"/>
      </w:rPr>
      <w:tab/>
    </w:r>
    <w:r w:rsidRPr="002F5CE2">
      <w:rPr>
        <w:b w:val="0"/>
      </w:rPr>
      <w:t xml:space="preserve">Automation &amp; </w:t>
    </w:r>
    <w:r w:rsidRPr="00BB76D8">
      <w:rPr>
        <w:b w:val="0"/>
      </w:rPr>
      <w:t>LBC</w:t>
    </w:r>
    <w:r w:rsidRPr="002F5CE2">
      <w:rPr>
        <w:b w:val="0"/>
      </w:rPr>
      <w:t xml:space="preserve"> for cervical cancer screening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Pr="002F5CE2" w:rsidRDefault="00907149">
    <w:pPr>
      <w:pStyle w:val="Footer"/>
      <w:pBdr>
        <w:top w:val="single" w:sz="4" w:space="1" w:color="auto"/>
      </w:pBdr>
      <w:rPr>
        <w:rStyle w:val="PageNumber"/>
        <w:b/>
      </w:rPr>
    </w:pPr>
    <w:r>
      <w:rPr>
        <w:rStyle w:val="PageNumber"/>
      </w:rPr>
      <w:fldChar w:fldCharType="begin"/>
    </w:r>
    <w:r>
      <w:rPr>
        <w:rStyle w:val="PageNumber"/>
      </w:rPr>
      <w:instrText xml:space="preserve"> PAGE </w:instrText>
    </w:r>
    <w:r>
      <w:rPr>
        <w:rStyle w:val="PageNumber"/>
      </w:rPr>
      <w:fldChar w:fldCharType="separate"/>
    </w:r>
    <w:r w:rsidR="007D3DFF">
      <w:rPr>
        <w:rStyle w:val="PageNumber"/>
        <w:noProof/>
      </w:rPr>
      <w:t>42</w:t>
    </w:r>
    <w:r>
      <w:rPr>
        <w:rStyle w:val="PageNumber"/>
      </w:rPr>
      <w:fldChar w:fldCharType="end"/>
    </w:r>
    <w:r>
      <w:rPr>
        <w:rStyle w:val="PageNumber"/>
      </w:rPr>
      <w:tab/>
    </w:r>
    <w:r w:rsidRPr="002F5CE2">
      <w:rPr>
        <w:b w:val="0"/>
      </w:rPr>
      <w:t xml:space="preserve">Automation &amp; </w:t>
    </w:r>
    <w:r w:rsidRPr="00BB76D8">
      <w:rPr>
        <w:b w:val="0"/>
      </w:rPr>
      <w:t>LBC</w:t>
    </w:r>
    <w:r w:rsidRPr="002F5CE2">
      <w:rPr>
        <w:b w:val="0"/>
      </w:rPr>
      <w:t xml:space="preserve"> for cervical cancer screening</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Footer"/>
      <w:pBdr>
        <w:top w:val="single" w:sz="4" w:space="1" w:color="auto"/>
      </w:pBdr>
      <w:rPr>
        <w:rStyle w:val="PageNumber"/>
      </w:rPr>
    </w:pPr>
    <w:r>
      <w:rPr>
        <w:rStyle w:val="PageNumber"/>
      </w:rPr>
      <w:fldChar w:fldCharType="begin"/>
    </w:r>
    <w:r>
      <w:rPr>
        <w:rStyle w:val="PageNumber"/>
      </w:rPr>
      <w:instrText xml:space="preserve"> PAGE </w:instrText>
    </w:r>
    <w:r>
      <w:rPr>
        <w:rStyle w:val="PageNumber"/>
      </w:rPr>
      <w:fldChar w:fldCharType="separate"/>
    </w:r>
    <w:r w:rsidR="007D3DFF">
      <w:rPr>
        <w:rStyle w:val="PageNumber"/>
        <w:noProof/>
      </w:rPr>
      <w:t>44</w:t>
    </w:r>
    <w:r>
      <w:rPr>
        <w:rStyle w:val="PageNumber"/>
      </w:rPr>
      <w:fldChar w:fldCharType="end"/>
    </w:r>
    <w:r>
      <w:rPr>
        <w:rStyle w:val="PageNumber"/>
      </w:rPr>
      <w:tab/>
    </w:r>
    <w:r w:rsidRPr="002F5CE2">
      <w:rPr>
        <w:b w:val="0"/>
      </w:rPr>
      <w:t xml:space="preserve">Automation &amp; </w:t>
    </w:r>
    <w:r w:rsidRPr="00BB76D8">
      <w:rPr>
        <w:b w:val="0"/>
      </w:rPr>
      <w:t>LBC</w:t>
    </w:r>
    <w:r w:rsidRPr="002F5CE2">
      <w:rPr>
        <w:b w:val="0"/>
      </w:rPr>
      <w:t xml:space="preserve"> for cervical cancer screening</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Pr="002F5CE2" w:rsidRDefault="00907149">
    <w:pPr>
      <w:pStyle w:val="Footer"/>
      <w:pBdr>
        <w:top w:val="single" w:sz="4" w:space="1" w:color="auto"/>
      </w:pBdr>
      <w:rPr>
        <w:rStyle w:val="PageNumber"/>
        <w:b/>
      </w:rPr>
    </w:pPr>
    <w:r>
      <w:rPr>
        <w:rStyle w:val="PageNumber"/>
      </w:rPr>
      <w:fldChar w:fldCharType="begin"/>
    </w:r>
    <w:r>
      <w:rPr>
        <w:rStyle w:val="PageNumber"/>
      </w:rPr>
      <w:instrText xml:space="preserve"> PAGE </w:instrText>
    </w:r>
    <w:r>
      <w:rPr>
        <w:rStyle w:val="PageNumber"/>
      </w:rPr>
      <w:fldChar w:fldCharType="separate"/>
    </w:r>
    <w:r w:rsidR="007D3DFF">
      <w:rPr>
        <w:rStyle w:val="PageNumber"/>
        <w:noProof/>
      </w:rPr>
      <w:t>50</w:t>
    </w:r>
    <w:r>
      <w:rPr>
        <w:rStyle w:val="PageNumber"/>
      </w:rPr>
      <w:fldChar w:fldCharType="end"/>
    </w:r>
    <w:r>
      <w:rPr>
        <w:rStyle w:val="PageNumber"/>
      </w:rPr>
      <w:tab/>
    </w:r>
    <w:r w:rsidRPr="002F5CE2">
      <w:rPr>
        <w:b w:val="0"/>
      </w:rPr>
      <w:t xml:space="preserve">Automation &amp; </w:t>
    </w:r>
    <w:r w:rsidRPr="00BB76D8">
      <w:rPr>
        <w:b w:val="0"/>
      </w:rPr>
      <w:t>LBC</w:t>
    </w:r>
    <w:r w:rsidRPr="002F5CE2">
      <w:rPr>
        <w:b w:val="0"/>
      </w:rPr>
      <w:t xml:space="preserve"> for cervical cancer screening</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Footer"/>
      <w:pBdr>
        <w:top w:val="single" w:sz="4" w:space="1" w:color="auto"/>
      </w:pBdr>
      <w:rPr>
        <w:rStyle w:val="PageNumber"/>
      </w:rPr>
    </w:pPr>
    <w:r>
      <w:rPr>
        <w:rStyle w:val="PageNumber"/>
      </w:rPr>
      <w:fldChar w:fldCharType="begin"/>
    </w:r>
    <w:r>
      <w:rPr>
        <w:rStyle w:val="PageNumber"/>
      </w:rPr>
      <w:instrText xml:space="preserve"> PAGE </w:instrText>
    </w:r>
    <w:r>
      <w:rPr>
        <w:rStyle w:val="PageNumber"/>
      </w:rPr>
      <w:fldChar w:fldCharType="separate"/>
    </w:r>
    <w:r w:rsidR="007D3DFF">
      <w:rPr>
        <w:rStyle w:val="PageNumber"/>
        <w:noProof/>
      </w:rPr>
      <w:t>54</w:t>
    </w:r>
    <w:r>
      <w:rPr>
        <w:rStyle w:val="PageNumber"/>
      </w:rPr>
      <w:fldChar w:fldCharType="end"/>
    </w:r>
    <w:r>
      <w:rPr>
        <w:rStyle w:val="PageNumber"/>
      </w:rPr>
      <w:tab/>
    </w:r>
    <w:r w:rsidRPr="002F5CE2">
      <w:rPr>
        <w:b w:val="0"/>
      </w:rPr>
      <w:t xml:space="preserve">Automation &amp; </w:t>
    </w:r>
    <w:r w:rsidRPr="00BB76D8">
      <w:rPr>
        <w:b w:val="0"/>
      </w:rPr>
      <w:t>LBC</w:t>
    </w:r>
    <w:r w:rsidRPr="002F5CE2">
      <w:rPr>
        <w:b w:val="0"/>
      </w:rPr>
      <w:t xml:space="preserve"> for cervical cancer screening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149" w:rsidRDefault="00907149">
      <w:r>
        <w:separator/>
      </w:r>
    </w:p>
  </w:footnote>
  <w:footnote w:type="continuationSeparator" w:id="0">
    <w:p w:rsidR="00907149" w:rsidRDefault="00907149">
      <w:r>
        <w:continuationSeparator/>
      </w:r>
    </w:p>
  </w:footnote>
  <w:footnote w:id="1">
    <w:p w:rsidR="00907149" w:rsidRDefault="00907149" w:rsidP="008E03A7">
      <w:pPr>
        <w:pStyle w:val="FootnoteText"/>
      </w:pPr>
      <w:r w:rsidRPr="00C35D58">
        <w:rPr>
          <w:rStyle w:val="FootnoteReference"/>
        </w:rPr>
        <w:footnoteRef/>
      </w:r>
      <w:r w:rsidRPr="00C35D58">
        <w:t xml:space="preserve"> Victoria 2007, 2.1% (11 259/546 012) unsatisfactory (pers. comm., Cathryn Wharton, Victorian Cervical Cytology Register). </w:t>
      </w:r>
      <w:r w:rsidRPr="00BB76D8">
        <w:t>NSW</w:t>
      </w:r>
      <w:r w:rsidRPr="00C35D58">
        <w:t xml:space="preserve">, fourth quarter of 2006, 2.3% (3843/163 568) unsatisfactory (pers. comm., Grace Kwan, Cancer Institute </w:t>
      </w:r>
      <w:r w:rsidRPr="00BB76D8">
        <w:t>NSW</w:t>
      </w:r>
      <w:r w:rsidRPr="00C35D58">
        <w:t>).</w:t>
      </w:r>
    </w:p>
  </w:footnote>
  <w:footnote w:id="2">
    <w:p w:rsidR="00907149" w:rsidRPr="007A3B60" w:rsidRDefault="00907149">
      <w:pPr>
        <w:pStyle w:val="FootnoteText"/>
      </w:pPr>
      <w:r>
        <w:rPr>
          <w:rStyle w:val="FootnoteReference"/>
        </w:rPr>
        <w:footnoteRef/>
      </w:r>
      <w:r>
        <w:t xml:space="preserve"> </w:t>
      </w:r>
      <w:r w:rsidRPr="00537C3C">
        <w:t xml:space="preserve">Page </w:t>
      </w:r>
      <w:r w:rsidRPr="007A3B60">
        <w:t xml:space="preserve">numbers in [ ] refer to the 2005 Guidelines </w:t>
      </w:r>
      <w:r w:rsidRPr="007A3B60">
        <w:fldChar w:fldCharType="begin"/>
      </w:r>
      <w:r w:rsidRPr="007A3B60">
        <w:instrText xml:space="preserve"> ADDIN REFMGR.CITE &lt;Refman&gt;&lt;Cite&gt;&lt;Author&gt;NHMRC&lt;/Author&gt;&lt;Year&gt;2005&lt;/Year&gt;&lt;RecNum&gt;321&lt;/RecNum&gt;&lt;IDText&gt;Screening to prevent cervical cancer: Guidelines for the management of asymptomatic women with screen detected abnormalities&lt;/IDText&gt;&lt;MDL Ref_Type="Report"&gt;&lt;Ref_Type&gt;Report&lt;/Ref_Type&gt;&lt;Ref_ID&gt;321&lt;/Ref_ID&gt;&lt;Title_Primary&gt;Screening to prevent cervical cancer: Guidelines for the management of asymptomatic women with screen detected abnormalities&lt;/Title_Primary&gt;&lt;Authors_Primary&gt;NHMRC&lt;/Authors_Primary&gt;&lt;Date_Primary&gt;2005&lt;/Date_Primary&gt;&lt;Reprint&gt;In File&lt;/Reprint&gt;&lt;Pub_Place&gt;Canberra, ACT&lt;/Pub_Place&gt;&lt;Publisher&gt;National Health and Medical Research Council, Commonwealth of Australia&lt;/Publisher&gt;&lt;Web_URL&gt;&lt;u&gt;www.nhmrc.gov.au/publications&lt;/u&gt;&lt;/Web_URL&gt;&lt;ZZ_WorkformID&gt;24&lt;/ZZ_WorkformID&gt;&lt;/MDL&gt;&lt;/Cite&gt;&lt;/Refman&gt;</w:instrText>
      </w:r>
      <w:r w:rsidRPr="007A3B60">
        <w:fldChar w:fldCharType="separate"/>
      </w:r>
      <w:r w:rsidRPr="007A3B60">
        <w:t>(NHMRC 2005)</w:t>
      </w:r>
      <w:r w:rsidRPr="007A3B60">
        <w:fldChar w:fldCharType="end"/>
      </w:r>
      <w:r w:rsidRPr="007A3B60">
        <w:t>.</w:t>
      </w:r>
    </w:p>
  </w:footnote>
  <w:footnote w:id="3">
    <w:p w:rsidR="00907149" w:rsidRPr="007A3B60" w:rsidRDefault="00907149">
      <w:pPr>
        <w:pStyle w:val="FootnoteText"/>
      </w:pPr>
      <w:r w:rsidRPr="007A3B60">
        <w:rPr>
          <w:rStyle w:val="FootnoteReference"/>
        </w:rPr>
        <w:footnoteRef/>
      </w:r>
      <w:r w:rsidRPr="007A3B60">
        <w:t xml:space="preserve"> LSIL refers to both possible and definite low-grade squamous intraepithelial lesions</w:t>
      </w:r>
    </w:p>
  </w:footnote>
  <w:footnote w:id="4">
    <w:p w:rsidR="00907149" w:rsidRDefault="00907149">
      <w:pPr>
        <w:pStyle w:val="FootnoteText"/>
      </w:pPr>
      <w:r w:rsidRPr="007A3B60">
        <w:rPr>
          <w:rStyle w:val="FootnoteReference"/>
        </w:rPr>
        <w:footnoteRef/>
      </w:r>
      <w:r w:rsidRPr="007A3B60">
        <w:t xml:space="preserve"> HSIL refers to both possible and definite high-grade squamous intraepithelial lesions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rsidP="008E03A7">
    <w:pPr>
      <w:pStyle w:val="Header"/>
      <w:tabs>
        <w:tab w:val="clear" w:pos="4153"/>
        <w:tab w:val="clear" w:pos="8306"/>
        <w:tab w:val="left" w:pos="6450"/>
      </w:tabs>
    </w:pPr>
    <w: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rsidP="008E03A7">
    <w:pPr>
      <w:pStyle w:val="Header"/>
      <w:tabs>
        <w:tab w:val="clear" w:pos="4153"/>
        <w:tab w:val="clear" w:pos="8306"/>
        <w:tab w:val="left" w:pos="645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rsidP="008E03A7">
    <w:pPr>
      <w:pStyle w:val="Header"/>
      <w:tabs>
        <w:tab w:val="clear" w:pos="4153"/>
        <w:tab w:val="clear" w:pos="8306"/>
        <w:tab w:val="left" w:pos="6450"/>
      </w:tabs>
    </w:pPr>
    <w: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149" w:rsidRDefault="009071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57C6940"/>
    <w:lvl w:ilvl="0">
      <w:start w:val="1"/>
      <w:numFmt w:val="decimal"/>
      <w:lvlText w:val="%1."/>
      <w:lvlJc w:val="left"/>
      <w:pPr>
        <w:tabs>
          <w:tab w:val="num" w:pos="1440"/>
        </w:tabs>
        <w:ind w:left="1440" w:hanging="720"/>
      </w:pPr>
      <w:rPr>
        <w:rFonts w:cs="Times New Roman" w:hint="default"/>
      </w:rPr>
    </w:lvl>
  </w:abstractNum>
  <w:abstractNum w:abstractNumId="1">
    <w:nsid w:val="001F5607"/>
    <w:multiLevelType w:val="hybridMultilevel"/>
    <w:tmpl w:val="0DD023C4"/>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
    <w:nsid w:val="018C751B"/>
    <w:multiLevelType w:val="hybridMultilevel"/>
    <w:tmpl w:val="B76C2D72"/>
    <w:lvl w:ilvl="0" w:tplc="BE2073FA">
      <w:start w:val="1"/>
      <w:numFmt w:val="bullet"/>
      <w:lvlText w:val=""/>
      <w:lvlJc w:val="left"/>
      <w:pPr>
        <w:tabs>
          <w:tab w:val="num" w:pos="360"/>
        </w:tabs>
        <w:ind w:left="360" w:hanging="360"/>
      </w:pPr>
      <w:rPr>
        <w:rFonts w:ascii="Symbol" w:hAnsi="Symbol" w:hint="default"/>
        <w:sz w:val="16"/>
      </w:rPr>
    </w:lvl>
    <w:lvl w:ilvl="1" w:tplc="8982E26A">
      <w:start w:val="2"/>
      <w:numFmt w:val="bullet"/>
      <w:lvlText w:val="-"/>
      <w:lvlJc w:val="left"/>
      <w:pPr>
        <w:tabs>
          <w:tab w:val="num" w:pos="1440"/>
        </w:tabs>
        <w:ind w:left="1440" w:hanging="360"/>
      </w:pPr>
      <w:rPr>
        <w:rFonts w:ascii="Arial Narrow" w:eastAsia="Times New Roman" w:hAnsi="Arial Narro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F5139EC"/>
    <w:multiLevelType w:val="hybridMultilevel"/>
    <w:tmpl w:val="A13E32D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5">
    <w:nsid w:val="12601AFF"/>
    <w:multiLevelType w:val="hybridMultilevel"/>
    <w:tmpl w:val="C16A789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
    <w:nsid w:val="1CE3782D"/>
    <w:multiLevelType w:val="hybridMultilevel"/>
    <w:tmpl w:val="99721C04"/>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
    <w:nsid w:val="23250193"/>
    <w:multiLevelType w:val="hybridMultilevel"/>
    <w:tmpl w:val="E15C03E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nsid w:val="27D4271B"/>
    <w:multiLevelType w:val="hybridMultilevel"/>
    <w:tmpl w:val="4BA696FA"/>
    <w:lvl w:ilvl="0" w:tplc="8B56CEF0">
      <w:start w:val="1"/>
      <w:numFmt w:val="lowerRoman"/>
      <w:lvlText w:val="(%1)"/>
      <w:lvlJc w:val="left"/>
      <w:pPr>
        <w:tabs>
          <w:tab w:val="num" w:pos="1440"/>
        </w:tabs>
        <w:ind w:left="1440" w:hanging="720"/>
      </w:pPr>
      <w:rPr>
        <w:rFonts w:cs="Times New Roman" w:hint="default"/>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9">
    <w:nsid w:val="29EE5BBD"/>
    <w:multiLevelType w:val="hybridMultilevel"/>
    <w:tmpl w:val="44000C0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nsid w:val="2E6A5B01"/>
    <w:multiLevelType w:val="hybridMultilevel"/>
    <w:tmpl w:val="FD347F60"/>
    <w:lvl w:ilvl="0" w:tplc="CF1E57D0">
      <w:start w:val="1"/>
      <w:numFmt w:val="bullet"/>
      <w:lvlText w:val=""/>
      <w:lvlJc w:val="left"/>
      <w:pPr>
        <w:tabs>
          <w:tab w:val="num" w:pos="170"/>
        </w:tabs>
        <w:ind w:left="360" w:hanging="360"/>
      </w:pPr>
      <w:rPr>
        <w:rFonts w:ascii="Symbol" w:hAnsi="Symbol" w:hint="default"/>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97E6105"/>
    <w:multiLevelType w:val="hybridMultilevel"/>
    <w:tmpl w:val="792634E0"/>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nsid w:val="3A2440D9"/>
    <w:multiLevelType w:val="hybridMultilevel"/>
    <w:tmpl w:val="FFBA06EC"/>
    <w:lvl w:ilvl="0" w:tplc="0C09000F">
      <w:start w:val="1"/>
      <w:numFmt w:val="decimal"/>
      <w:lvlText w:val="%1."/>
      <w:lvlJc w:val="left"/>
      <w:pPr>
        <w:tabs>
          <w:tab w:val="num" w:pos="1560"/>
        </w:tabs>
        <w:ind w:left="1560" w:hanging="360"/>
      </w:pPr>
      <w:rPr>
        <w:rFonts w:cs="Times New Roman"/>
      </w:rPr>
    </w:lvl>
    <w:lvl w:ilvl="1" w:tplc="0C090019" w:tentative="1">
      <w:start w:val="1"/>
      <w:numFmt w:val="lowerLetter"/>
      <w:lvlText w:val="%2."/>
      <w:lvlJc w:val="left"/>
      <w:pPr>
        <w:tabs>
          <w:tab w:val="num" w:pos="2280"/>
        </w:tabs>
        <w:ind w:left="2280" w:hanging="360"/>
      </w:pPr>
      <w:rPr>
        <w:rFonts w:cs="Times New Roman"/>
      </w:rPr>
    </w:lvl>
    <w:lvl w:ilvl="2" w:tplc="0C09001B" w:tentative="1">
      <w:start w:val="1"/>
      <w:numFmt w:val="lowerRoman"/>
      <w:lvlText w:val="%3."/>
      <w:lvlJc w:val="right"/>
      <w:pPr>
        <w:tabs>
          <w:tab w:val="num" w:pos="3000"/>
        </w:tabs>
        <w:ind w:left="3000" w:hanging="180"/>
      </w:pPr>
      <w:rPr>
        <w:rFonts w:cs="Times New Roman"/>
      </w:rPr>
    </w:lvl>
    <w:lvl w:ilvl="3" w:tplc="0C09000F" w:tentative="1">
      <w:start w:val="1"/>
      <w:numFmt w:val="decimal"/>
      <w:lvlText w:val="%4."/>
      <w:lvlJc w:val="left"/>
      <w:pPr>
        <w:tabs>
          <w:tab w:val="num" w:pos="3720"/>
        </w:tabs>
        <w:ind w:left="3720" w:hanging="360"/>
      </w:pPr>
      <w:rPr>
        <w:rFonts w:cs="Times New Roman"/>
      </w:rPr>
    </w:lvl>
    <w:lvl w:ilvl="4" w:tplc="0C090019" w:tentative="1">
      <w:start w:val="1"/>
      <w:numFmt w:val="lowerLetter"/>
      <w:lvlText w:val="%5."/>
      <w:lvlJc w:val="left"/>
      <w:pPr>
        <w:tabs>
          <w:tab w:val="num" w:pos="4440"/>
        </w:tabs>
        <w:ind w:left="4440" w:hanging="360"/>
      </w:pPr>
      <w:rPr>
        <w:rFonts w:cs="Times New Roman"/>
      </w:rPr>
    </w:lvl>
    <w:lvl w:ilvl="5" w:tplc="0C09001B" w:tentative="1">
      <w:start w:val="1"/>
      <w:numFmt w:val="lowerRoman"/>
      <w:lvlText w:val="%6."/>
      <w:lvlJc w:val="right"/>
      <w:pPr>
        <w:tabs>
          <w:tab w:val="num" w:pos="5160"/>
        </w:tabs>
        <w:ind w:left="5160" w:hanging="180"/>
      </w:pPr>
      <w:rPr>
        <w:rFonts w:cs="Times New Roman"/>
      </w:rPr>
    </w:lvl>
    <w:lvl w:ilvl="6" w:tplc="0C09000F" w:tentative="1">
      <w:start w:val="1"/>
      <w:numFmt w:val="decimal"/>
      <w:lvlText w:val="%7."/>
      <w:lvlJc w:val="left"/>
      <w:pPr>
        <w:tabs>
          <w:tab w:val="num" w:pos="5880"/>
        </w:tabs>
        <w:ind w:left="5880" w:hanging="360"/>
      </w:pPr>
      <w:rPr>
        <w:rFonts w:cs="Times New Roman"/>
      </w:rPr>
    </w:lvl>
    <w:lvl w:ilvl="7" w:tplc="0C090019" w:tentative="1">
      <w:start w:val="1"/>
      <w:numFmt w:val="lowerLetter"/>
      <w:lvlText w:val="%8."/>
      <w:lvlJc w:val="left"/>
      <w:pPr>
        <w:tabs>
          <w:tab w:val="num" w:pos="6600"/>
        </w:tabs>
        <w:ind w:left="6600" w:hanging="360"/>
      </w:pPr>
      <w:rPr>
        <w:rFonts w:cs="Times New Roman"/>
      </w:rPr>
    </w:lvl>
    <w:lvl w:ilvl="8" w:tplc="0C09001B" w:tentative="1">
      <w:start w:val="1"/>
      <w:numFmt w:val="lowerRoman"/>
      <w:lvlText w:val="%9."/>
      <w:lvlJc w:val="right"/>
      <w:pPr>
        <w:tabs>
          <w:tab w:val="num" w:pos="7320"/>
        </w:tabs>
        <w:ind w:left="7320" w:hanging="180"/>
      </w:pPr>
      <w:rPr>
        <w:rFonts w:cs="Times New Roman"/>
      </w:rPr>
    </w:lvl>
  </w:abstractNum>
  <w:abstractNum w:abstractNumId="13">
    <w:nsid w:val="3BA60CD9"/>
    <w:multiLevelType w:val="hybridMultilevel"/>
    <w:tmpl w:val="1B364EB8"/>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nsid w:val="3C07068C"/>
    <w:multiLevelType w:val="hybridMultilevel"/>
    <w:tmpl w:val="B02E8B5A"/>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nsid w:val="3C8D2A9B"/>
    <w:multiLevelType w:val="hybridMultilevel"/>
    <w:tmpl w:val="49A009D6"/>
    <w:lvl w:ilvl="0" w:tplc="FFFFFFFF">
      <w:start w:val="1"/>
      <w:numFmt w:val="bullet"/>
      <w:lvlText w:val=""/>
      <w:lvlJc w:val="left"/>
      <w:pPr>
        <w:tabs>
          <w:tab w:val="num" w:pos="1312"/>
        </w:tabs>
        <w:ind w:left="1312" w:hanging="360"/>
      </w:pPr>
      <w:rPr>
        <w:rFonts w:ascii="Wingdings" w:hAnsi="Wingdings" w:hint="default"/>
        <w:sz w:val="24"/>
      </w:rPr>
    </w:lvl>
    <w:lvl w:ilvl="1" w:tplc="FFFFFFFF">
      <w:start w:val="1"/>
      <w:numFmt w:val="bullet"/>
      <w:lvlText w:val="o"/>
      <w:lvlJc w:val="left"/>
      <w:pPr>
        <w:tabs>
          <w:tab w:val="num" w:pos="412"/>
        </w:tabs>
        <w:ind w:left="412" w:hanging="360"/>
      </w:pPr>
      <w:rPr>
        <w:rFonts w:ascii="Courier New" w:hAnsi="Courier New" w:hint="default"/>
      </w:rPr>
    </w:lvl>
    <w:lvl w:ilvl="2" w:tplc="FFFFFFFF">
      <w:start w:val="1"/>
      <w:numFmt w:val="bullet"/>
      <w:lvlText w:val=""/>
      <w:lvlJc w:val="left"/>
      <w:pPr>
        <w:tabs>
          <w:tab w:val="num" w:pos="1132"/>
        </w:tabs>
        <w:ind w:left="1132" w:hanging="360"/>
      </w:pPr>
      <w:rPr>
        <w:rFonts w:ascii="Wingdings" w:hAnsi="Wingdings" w:hint="default"/>
      </w:rPr>
    </w:lvl>
    <w:lvl w:ilvl="3" w:tplc="FFFFFFFF">
      <w:start w:val="1"/>
      <w:numFmt w:val="bullet"/>
      <w:lvlText w:val=""/>
      <w:lvlJc w:val="left"/>
      <w:pPr>
        <w:tabs>
          <w:tab w:val="num" w:pos="1852"/>
        </w:tabs>
        <w:ind w:left="1852" w:hanging="360"/>
      </w:pPr>
      <w:rPr>
        <w:rFonts w:ascii="Symbol" w:hAnsi="Symbol" w:hint="default"/>
      </w:rPr>
    </w:lvl>
    <w:lvl w:ilvl="4" w:tplc="FFFFFFFF" w:tentative="1">
      <w:start w:val="1"/>
      <w:numFmt w:val="bullet"/>
      <w:lvlText w:val="o"/>
      <w:lvlJc w:val="left"/>
      <w:pPr>
        <w:tabs>
          <w:tab w:val="num" w:pos="2572"/>
        </w:tabs>
        <w:ind w:left="2572" w:hanging="360"/>
      </w:pPr>
      <w:rPr>
        <w:rFonts w:ascii="Courier New" w:hAnsi="Courier New" w:hint="default"/>
      </w:rPr>
    </w:lvl>
    <w:lvl w:ilvl="5" w:tplc="FFFFFFFF" w:tentative="1">
      <w:start w:val="1"/>
      <w:numFmt w:val="bullet"/>
      <w:lvlText w:val=""/>
      <w:lvlJc w:val="left"/>
      <w:pPr>
        <w:tabs>
          <w:tab w:val="num" w:pos="3292"/>
        </w:tabs>
        <w:ind w:left="3292" w:hanging="360"/>
      </w:pPr>
      <w:rPr>
        <w:rFonts w:ascii="Wingdings" w:hAnsi="Wingdings" w:hint="default"/>
      </w:rPr>
    </w:lvl>
    <w:lvl w:ilvl="6" w:tplc="FFFFFFFF" w:tentative="1">
      <w:start w:val="1"/>
      <w:numFmt w:val="bullet"/>
      <w:lvlText w:val=""/>
      <w:lvlJc w:val="left"/>
      <w:pPr>
        <w:tabs>
          <w:tab w:val="num" w:pos="4012"/>
        </w:tabs>
        <w:ind w:left="4012" w:hanging="360"/>
      </w:pPr>
      <w:rPr>
        <w:rFonts w:ascii="Symbol" w:hAnsi="Symbol" w:hint="default"/>
      </w:rPr>
    </w:lvl>
    <w:lvl w:ilvl="7" w:tplc="FFFFFFFF" w:tentative="1">
      <w:start w:val="1"/>
      <w:numFmt w:val="bullet"/>
      <w:lvlText w:val="o"/>
      <w:lvlJc w:val="left"/>
      <w:pPr>
        <w:tabs>
          <w:tab w:val="num" w:pos="4732"/>
        </w:tabs>
        <w:ind w:left="4732" w:hanging="360"/>
      </w:pPr>
      <w:rPr>
        <w:rFonts w:ascii="Courier New" w:hAnsi="Courier New" w:hint="default"/>
      </w:rPr>
    </w:lvl>
    <w:lvl w:ilvl="8" w:tplc="FFFFFFFF" w:tentative="1">
      <w:start w:val="1"/>
      <w:numFmt w:val="bullet"/>
      <w:lvlText w:val=""/>
      <w:lvlJc w:val="left"/>
      <w:pPr>
        <w:tabs>
          <w:tab w:val="num" w:pos="5452"/>
        </w:tabs>
        <w:ind w:left="5452" w:hanging="360"/>
      </w:pPr>
      <w:rPr>
        <w:rFonts w:ascii="Wingdings" w:hAnsi="Wingdings" w:hint="default"/>
      </w:rPr>
    </w:lvl>
  </w:abstractNum>
  <w:abstractNum w:abstractNumId="16">
    <w:nsid w:val="3D301E35"/>
    <w:multiLevelType w:val="hybridMultilevel"/>
    <w:tmpl w:val="1AD4A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67776C"/>
    <w:multiLevelType w:val="hybridMultilevel"/>
    <w:tmpl w:val="38403978"/>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nsid w:val="45214C6A"/>
    <w:multiLevelType w:val="hybridMultilevel"/>
    <w:tmpl w:val="6E44C780"/>
    <w:lvl w:ilvl="0" w:tplc="0C09000F">
      <w:start w:val="1"/>
      <w:numFmt w:val="decimal"/>
      <w:lvlText w:val="%1."/>
      <w:lvlJc w:val="left"/>
      <w:pPr>
        <w:tabs>
          <w:tab w:val="num" w:pos="1440"/>
        </w:tabs>
        <w:ind w:left="1440" w:hanging="360"/>
      </w:pPr>
      <w:rPr>
        <w:rFonts w:cs="Times New Roman"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9">
    <w:nsid w:val="4DE45A76"/>
    <w:multiLevelType w:val="hybridMultilevel"/>
    <w:tmpl w:val="586EF1F0"/>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53CE4524"/>
    <w:multiLevelType w:val="hybridMultilevel"/>
    <w:tmpl w:val="96FA83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4B97B3C"/>
    <w:multiLevelType w:val="hybridMultilevel"/>
    <w:tmpl w:val="F406404E"/>
    <w:lvl w:ilvl="0" w:tplc="ECC62E30">
      <w:start w:val="1"/>
      <w:numFmt w:val="bullet"/>
      <w:lvlText w:val=""/>
      <w:lvlJc w:val="left"/>
      <w:pPr>
        <w:tabs>
          <w:tab w:val="num" w:pos="950"/>
        </w:tabs>
        <w:ind w:left="950" w:hanging="170"/>
      </w:pPr>
      <w:rPr>
        <w:rFonts w:ascii="Symbol" w:hAnsi="Symbol" w:hint="default"/>
      </w:rPr>
    </w:lvl>
    <w:lvl w:ilvl="1" w:tplc="0C090003" w:tentative="1">
      <w:start w:val="1"/>
      <w:numFmt w:val="bullet"/>
      <w:lvlText w:val="o"/>
      <w:lvlJc w:val="left"/>
      <w:pPr>
        <w:tabs>
          <w:tab w:val="num" w:pos="2220"/>
        </w:tabs>
        <w:ind w:left="2220" w:hanging="360"/>
      </w:pPr>
      <w:rPr>
        <w:rFonts w:ascii="Courier New" w:hAnsi="Courier New" w:hint="default"/>
      </w:rPr>
    </w:lvl>
    <w:lvl w:ilvl="2" w:tplc="0C090005" w:tentative="1">
      <w:start w:val="1"/>
      <w:numFmt w:val="bullet"/>
      <w:lvlText w:val=""/>
      <w:lvlJc w:val="left"/>
      <w:pPr>
        <w:tabs>
          <w:tab w:val="num" w:pos="2940"/>
        </w:tabs>
        <w:ind w:left="2940" w:hanging="360"/>
      </w:pPr>
      <w:rPr>
        <w:rFonts w:ascii="Wingdings" w:hAnsi="Wingdings" w:hint="default"/>
      </w:rPr>
    </w:lvl>
    <w:lvl w:ilvl="3" w:tplc="0C090001" w:tentative="1">
      <w:start w:val="1"/>
      <w:numFmt w:val="bullet"/>
      <w:lvlText w:val=""/>
      <w:lvlJc w:val="left"/>
      <w:pPr>
        <w:tabs>
          <w:tab w:val="num" w:pos="3660"/>
        </w:tabs>
        <w:ind w:left="3660" w:hanging="360"/>
      </w:pPr>
      <w:rPr>
        <w:rFonts w:ascii="Symbol" w:hAnsi="Symbol" w:hint="default"/>
      </w:rPr>
    </w:lvl>
    <w:lvl w:ilvl="4" w:tplc="0C090003" w:tentative="1">
      <w:start w:val="1"/>
      <w:numFmt w:val="bullet"/>
      <w:lvlText w:val="o"/>
      <w:lvlJc w:val="left"/>
      <w:pPr>
        <w:tabs>
          <w:tab w:val="num" w:pos="4380"/>
        </w:tabs>
        <w:ind w:left="4380" w:hanging="360"/>
      </w:pPr>
      <w:rPr>
        <w:rFonts w:ascii="Courier New" w:hAnsi="Courier New" w:hint="default"/>
      </w:rPr>
    </w:lvl>
    <w:lvl w:ilvl="5" w:tplc="0C090005" w:tentative="1">
      <w:start w:val="1"/>
      <w:numFmt w:val="bullet"/>
      <w:lvlText w:val=""/>
      <w:lvlJc w:val="left"/>
      <w:pPr>
        <w:tabs>
          <w:tab w:val="num" w:pos="5100"/>
        </w:tabs>
        <w:ind w:left="5100" w:hanging="360"/>
      </w:pPr>
      <w:rPr>
        <w:rFonts w:ascii="Wingdings" w:hAnsi="Wingdings" w:hint="default"/>
      </w:rPr>
    </w:lvl>
    <w:lvl w:ilvl="6" w:tplc="0C090001" w:tentative="1">
      <w:start w:val="1"/>
      <w:numFmt w:val="bullet"/>
      <w:lvlText w:val=""/>
      <w:lvlJc w:val="left"/>
      <w:pPr>
        <w:tabs>
          <w:tab w:val="num" w:pos="5820"/>
        </w:tabs>
        <w:ind w:left="5820" w:hanging="360"/>
      </w:pPr>
      <w:rPr>
        <w:rFonts w:ascii="Symbol" w:hAnsi="Symbol" w:hint="default"/>
      </w:rPr>
    </w:lvl>
    <w:lvl w:ilvl="7" w:tplc="0C090003" w:tentative="1">
      <w:start w:val="1"/>
      <w:numFmt w:val="bullet"/>
      <w:lvlText w:val="o"/>
      <w:lvlJc w:val="left"/>
      <w:pPr>
        <w:tabs>
          <w:tab w:val="num" w:pos="6540"/>
        </w:tabs>
        <w:ind w:left="6540" w:hanging="360"/>
      </w:pPr>
      <w:rPr>
        <w:rFonts w:ascii="Courier New" w:hAnsi="Courier New" w:hint="default"/>
      </w:rPr>
    </w:lvl>
    <w:lvl w:ilvl="8" w:tplc="0C090005" w:tentative="1">
      <w:start w:val="1"/>
      <w:numFmt w:val="bullet"/>
      <w:lvlText w:val=""/>
      <w:lvlJc w:val="left"/>
      <w:pPr>
        <w:tabs>
          <w:tab w:val="num" w:pos="7260"/>
        </w:tabs>
        <w:ind w:left="7260" w:hanging="360"/>
      </w:pPr>
      <w:rPr>
        <w:rFonts w:ascii="Wingdings" w:hAnsi="Wingdings" w:hint="default"/>
      </w:rPr>
    </w:lvl>
  </w:abstractNum>
  <w:abstractNum w:abstractNumId="22">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23">
    <w:nsid w:val="61BC2C30"/>
    <w:multiLevelType w:val="hybridMultilevel"/>
    <w:tmpl w:val="63680D1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66B33C31"/>
    <w:multiLevelType w:val="hybridMultilevel"/>
    <w:tmpl w:val="20CC8260"/>
    <w:lvl w:ilvl="0" w:tplc="0CE0535E">
      <w:start w:val="1"/>
      <w:numFmt w:val="bullet"/>
      <w:lvlText w:val=""/>
      <w:lvlJc w:val="left"/>
      <w:pPr>
        <w:tabs>
          <w:tab w:val="num" w:pos="360"/>
        </w:tabs>
        <w:ind w:left="360" w:hanging="360"/>
      </w:pPr>
      <w:rPr>
        <w:rFonts w:ascii="Symbol" w:hAnsi="Symbol" w:hint="default"/>
        <w:sz w:val="18"/>
      </w:rPr>
    </w:lvl>
    <w:lvl w:ilvl="1" w:tplc="0C090003">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66FA5517"/>
    <w:multiLevelType w:val="singleLevel"/>
    <w:tmpl w:val="BCC203B0"/>
    <w:lvl w:ilvl="0">
      <w:numFmt w:val="bullet"/>
      <w:pStyle w:val="QuoteBullet"/>
      <w:lvlText w:val=""/>
      <w:lvlJc w:val="left"/>
      <w:pPr>
        <w:tabs>
          <w:tab w:val="num" w:pos="2160"/>
        </w:tabs>
        <w:ind w:left="2160" w:hanging="720"/>
      </w:pPr>
      <w:rPr>
        <w:rFonts w:ascii="Symbol" w:hAnsi="Symbol" w:hint="default"/>
      </w:rPr>
    </w:lvl>
  </w:abstractNum>
  <w:abstractNum w:abstractNumId="26">
    <w:nsid w:val="6934493F"/>
    <w:multiLevelType w:val="hybridMultilevel"/>
    <w:tmpl w:val="96E446E4"/>
    <w:lvl w:ilvl="0" w:tplc="0C090001">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97A435C"/>
    <w:multiLevelType w:val="hybridMultilevel"/>
    <w:tmpl w:val="B978E248"/>
    <w:lvl w:ilvl="0" w:tplc="0C090011">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28">
    <w:nsid w:val="70070276"/>
    <w:multiLevelType w:val="hybridMultilevel"/>
    <w:tmpl w:val="513AAB96"/>
    <w:lvl w:ilvl="0" w:tplc="0C090001">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769A520F"/>
    <w:multiLevelType w:val="multilevel"/>
    <w:tmpl w:val="9E7A25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CF93B92"/>
    <w:multiLevelType w:val="hybridMultilevel"/>
    <w:tmpl w:val="2D941572"/>
    <w:lvl w:ilvl="0" w:tplc="0C090001">
      <w:start w:val="1"/>
      <w:numFmt w:val="bullet"/>
      <w:lvlText w:val=""/>
      <w:lvlJc w:val="left"/>
      <w:pPr>
        <w:tabs>
          <w:tab w:val="num" w:pos="360"/>
        </w:tabs>
        <w:ind w:left="360" w:hanging="360"/>
      </w:pPr>
      <w:rPr>
        <w:rFonts w:ascii="Symbol" w:hAnsi="Symbol" w:hint="default"/>
        <w:sz w:val="18"/>
      </w:rPr>
    </w:lvl>
    <w:lvl w:ilvl="1" w:tplc="CF1E57D0">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E6535BB"/>
    <w:multiLevelType w:val="hybridMultilevel"/>
    <w:tmpl w:val="21622B8E"/>
    <w:lvl w:ilvl="0" w:tplc="054236A8">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8618DD"/>
    <w:multiLevelType w:val="hybridMultilevel"/>
    <w:tmpl w:val="1F7C1F6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num w:numId="1">
    <w:abstractNumId w:val="22"/>
  </w:num>
  <w:num w:numId="2">
    <w:abstractNumId w:val="4"/>
  </w:num>
  <w:num w:numId="3">
    <w:abstractNumId w:val="25"/>
  </w:num>
  <w:num w:numId="4">
    <w:abstractNumId w:val="10"/>
  </w:num>
  <w:num w:numId="5">
    <w:abstractNumId w:val="30"/>
  </w:num>
  <w:num w:numId="6">
    <w:abstractNumId w:val="3"/>
  </w:num>
  <w:num w:numId="7">
    <w:abstractNumId w:val="15"/>
  </w:num>
  <w:num w:numId="8">
    <w:abstractNumId w:val="19"/>
  </w:num>
  <w:num w:numId="9">
    <w:abstractNumId w:val="14"/>
  </w:num>
  <w:num w:numId="10">
    <w:abstractNumId w:val="7"/>
  </w:num>
  <w:num w:numId="11">
    <w:abstractNumId w:val="1"/>
  </w:num>
  <w:num w:numId="12">
    <w:abstractNumId w:val="13"/>
  </w:num>
  <w:num w:numId="13">
    <w:abstractNumId w:val="6"/>
  </w:num>
  <w:num w:numId="14">
    <w:abstractNumId w:val="17"/>
  </w:num>
  <w:num w:numId="15">
    <w:abstractNumId w:val="11"/>
  </w:num>
  <w:num w:numId="16">
    <w:abstractNumId w:val="24"/>
  </w:num>
  <w:num w:numId="17">
    <w:abstractNumId w:val="2"/>
  </w:num>
  <w:num w:numId="18">
    <w:abstractNumId w:val="31"/>
  </w:num>
  <w:num w:numId="19">
    <w:abstractNumId w:val="26"/>
  </w:num>
  <w:num w:numId="20">
    <w:abstractNumId w:val="28"/>
  </w:num>
  <w:num w:numId="21">
    <w:abstractNumId w:val="20"/>
  </w:num>
  <w:num w:numId="22">
    <w:abstractNumId w:val="16"/>
  </w:num>
  <w:num w:numId="23">
    <w:abstractNumId w:val="27"/>
  </w:num>
  <w:num w:numId="24">
    <w:abstractNumId w:val="32"/>
  </w:num>
  <w:num w:numId="25">
    <w:abstractNumId w:val="21"/>
  </w:num>
  <w:num w:numId="26">
    <w:abstractNumId w:val="9"/>
  </w:num>
  <w:num w:numId="27">
    <w:abstractNumId w:val="12"/>
  </w:num>
  <w:num w:numId="28">
    <w:abstractNumId w:val="8"/>
  </w:num>
  <w:num w:numId="29">
    <w:abstractNumId w:val="18"/>
  </w:num>
  <w:num w:numId="30">
    <w:abstractNumId w:val="23"/>
  </w:num>
  <w:num w:numId="31">
    <w:abstractNumId w:val="0"/>
  </w:num>
  <w:num w:numId="32">
    <w:abstractNumId w:val="0"/>
    <w:lvlOverride w:ilvl="0">
      <w:startOverride w:val="1"/>
    </w:lvlOverride>
  </w:num>
  <w:num w:numId="33">
    <w:abstractNumId w:val="5"/>
  </w:num>
  <w:num w:numId="34">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C:\Program Files\Reference Manager 11\Styles\harvard_msac2.1.os&lt;/StartingRefnum&gt;&lt;FontName&gt;Garamond&lt;/FontName&gt;&lt;FontSize&gt;12&lt;/FontSize&gt;&lt;ReflistTitle&gt;&lt;/ReflistTitle&gt;&lt;SpaceAfter&gt;1&lt;/SpaceAfter&gt;&lt;ReflistOrder&gt;1&lt;/ReflistOrder&gt;&lt;CitationOrder&gt;1&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Bkgd_LBC&amp;amp;Auto&lt;/item&gt;&lt;item&gt;HPV_background&lt;/item&gt;&lt;item&gt;LBC060208_exDupl&lt;/item&gt;&lt;item&gt;HTA2_LBC&amp;amp;auto&lt;/item&gt;&lt;item&gt;LBC150108&lt;/item&gt;&lt;item&gt;LBC&amp;amp;auto150108&lt;/item&gt;&lt;item&gt;MSAC2&lt;/item&gt;&lt;/Libraries&gt;&lt;/Databases&gt;"/>
  </w:docVars>
  <w:rsids>
    <w:rsidRoot w:val="00597259"/>
    <w:rsid w:val="00000802"/>
    <w:rsid w:val="00002AF9"/>
    <w:rsid w:val="00014112"/>
    <w:rsid w:val="00025F31"/>
    <w:rsid w:val="00027779"/>
    <w:rsid w:val="00031F2E"/>
    <w:rsid w:val="00033CF8"/>
    <w:rsid w:val="00041544"/>
    <w:rsid w:val="000509B3"/>
    <w:rsid w:val="0006068E"/>
    <w:rsid w:val="000746D8"/>
    <w:rsid w:val="0008651B"/>
    <w:rsid w:val="00092068"/>
    <w:rsid w:val="00096644"/>
    <w:rsid w:val="00097769"/>
    <w:rsid w:val="000C3786"/>
    <w:rsid w:val="000C5F66"/>
    <w:rsid w:val="000D7630"/>
    <w:rsid w:val="000F7617"/>
    <w:rsid w:val="00104199"/>
    <w:rsid w:val="001068C2"/>
    <w:rsid w:val="00110B9C"/>
    <w:rsid w:val="00123A96"/>
    <w:rsid w:val="00133845"/>
    <w:rsid w:val="001436B2"/>
    <w:rsid w:val="00181ED0"/>
    <w:rsid w:val="00185EF4"/>
    <w:rsid w:val="001A381C"/>
    <w:rsid w:val="001A4F7A"/>
    <w:rsid w:val="001B3D73"/>
    <w:rsid w:val="001C3BB6"/>
    <w:rsid w:val="001C662F"/>
    <w:rsid w:val="001D1ECE"/>
    <w:rsid w:val="001D3057"/>
    <w:rsid w:val="001E08C1"/>
    <w:rsid w:val="001E6D1E"/>
    <w:rsid w:val="001F4398"/>
    <w:rsid w:val="001F4C22"/>
    <w:rsid w:val="00215516"/>
    <w:rsid w:val="00224BAB"/>
    <w:rsid w:val="00234376"/>
    <w:rsid w:val="00250190"/>
    <w:rsid w:val="0025381D"/>
    <w:rsid w:val="00265D17"/>
    <w:rsid w:val="002A0DE9"/>
    <w:rsid w:val="002B155C"/>
    <w:rsid w:val="002D11C3"/>
    <w:rsid w:val="002E3E59"/>
    <w:rsid w:val="002E52FA"/>
    <w:rsid w:val="002F5CE2"/>
    <w:rsid w:val="0030078D"/>
    <w:rsid w:val="00304F70"/>
    <w:rsid w:val="003068CA"/>
    <w:rsid w:val="0031643D"/>
    <w:rsid w:val="00333EE0"/>
    <w:rsid w:val="003406D6"/>
    <w:rsid w:val="003703EF"/>
    <w:rsid w:val="00371687"/>
    <w:rsid w:val="0038541A"/>
    <w:rsid w:val="00386582"/>
    <w:rsid w:val="00396BB3"/>
    <w:rsid w:val="003A3624"/>
    <w:rsid w:val="003B5AC9"/>
    <w:rsid w:val="003C2641"/>
    <w:rsid w:val="003C3632"/>
    <w:rsid w:val="003C38AB"/>
    <w:rsid w:val="003C460C"/>
    <w:rsid w:val="003C5FD6"/>
    <w:rsid w:val="003D34F2"/>
    <w:rsid w:val="003D5466"/>
    <w:rsid w:val="003D7795"/>
    <w:rsid w:val="00404298"/>
    <w:rsid w:val="004150A7"/>
    <w:rsid w:val="00425BBF"/>
    <w:rsid w:val="00427841"/>
    <w:rsid w:val="00433D33"/>
    <w:rsid w:val="00441AF4"/>
    <w:rsid w:val="00442326"/>
    <w:rsid w:val="00447629"/>
    <w:rsid w:val="00455557"/>
    <w:rsid w:val="004679BA"/>
    <w:rsid w:val="0047731C"/>
    <w:rsid w:val="004914C4"/>
    <w:rsid w:val="004A24EE"/>
    <w:rsid w:val="004A4E07"/>
    <w:rsid w:val="004C3FD3"/>
    <w:rsid w:val="004D410E"/>
    <w:rsid w:val="004D4A69"/>
    <w:rsid w:val="004D5DFE"/>
    <w:rsid w:val="004E7158"/>
    <w:rsid w:val="00510A55"/>
    <w:rsid w:val="0051277B"/>
    <w:rsid w:val="00524EC0"/>
    <w:rsid w:val="00526C34"/>
    <w:rsid w:val="00537C3C"/>
    <w:rsid w:val="00541797"/>
    <w:rsid w:val="0055726B"/>
    <w:rsid w:val="005660D8"/>
    <w:rsid w:val="00574DA5"/>
    <w:rsid w:val="00575CF6"/>
    <w:rsid w:val="00580E1D"/>
    <w:rsid w:val="00583EDF"/>
    <w:rsid w:val="005900AA"/>
    <w:rsid w:val="00590C3A"/>
    <w:rsid w:val="00597259"/>
    <w:rsid w:val="005C6C0E"/>
    <w:rsid w:val="005E004A"/>
    <w:rsid w:val="00600376"/>
    <w:rsid w:val="00600AC0"/>
    <w:rsid w:val="00606FD6"/>
    <w:rsid w:val="00635075"/>
    <w:rsid w:val="006407D9"/>
    <w:rsid w:val="00646ECC"/>
    <w:rsid w:val="006534D7"/>
    <w:rsid w:val="00686AA1"/>
    <w:rsid w:val="00690C15"/>
    <w:rsid w:val="006977E8"/>
    <w:rsid w:val="006C24DD"/>
    <w:rsid w:val="006D2735"/>
    <w:rsid w:val="006D3596"/>
    <w:rsid w:val="006D41EA"/>
    <w:rsid w:val="006D4EFE"/>
    <w:rsid w:val="006D7AA5"/>
    <w:rsid w:val="006E4528"/>
    <w:rsid w:val="006E731C"/>
    <w:rsid w:val="006F242B"/>
    <w:rsid w:val="00702914"/>
    <w:rsid w:val="0071043C"/>
    <w:rsid w:val="00731B8C"/>
    <w:rsid w:val="0073343B"/>
    <w:rsid w:val="00733570"/>
    <w:rsid w:val="00741183"/>
    <w:rsid w:val="00756D20"/>
    <w:rsid w:val="007601BF"/>
    <w:rsid w:val="00771486"/>
    <w:rsid w:val="00772C61"/>
    <w:rsid w:val="007738AE"/>
    <w:rsid w:val="00796320"/>
    <w:rsid w:val="007963D7"/>
    <w:rsid w:val="007A3B60"/>
    <w:rsid w:val="007B06DF"/>
    <w:rsid w:val="007D3DFF"/>
    <w:rsid w:val="007F4391"/>
    <w:rsid w:val="007F615E"/>
    <w:rsid w:val="007F69DB"/>
    <w:rsid w:val="007F70FD"/>
    <w:rsid w:val="0082184E"/>
    <w:rsid w:val="008301EA"/>
    <w:rsid w:val="008361E8"/>
    <w:rsid w:val="008419A2"/>
    <w:rsid w:val="008534BF"/>
    <w:rsid w:val="0086584F"/>
    <w:rsid w:val="008828F9"/>
    <w:rsid w:val="0088505B"/>
    <w:rsid w:val="008B0564"/>
    <w:rsid w:val="008B6FDB"/>
    <w:rsid w:val="008D443D"/>
    <w:rsid w:val="008D604B"/>
    <w:rsid w:val="008E03A7"/>
    <w:rsid w:val="008E1C1A"/>
    <w:rsid w:val="008E560F"/>
    <w:rsid w:val="008E5A35"/>
    <w:rsid w:val="008F345A"/>
    <w:rsid w:val="00905416"/>
    <w:rsid w:val="00907149"/>
    <w:rsid w:val="009427F7"/>
    <w:rsid w:val="009558D0"/>
    <w:rsid w:val="009606C1"/>
    <w:rsid w:val="009642B5"/>
    <w:rsid w:val="00970FA4"/>
    <w:rsid w:val="0098213C"/>
    <w:rsid w:val="00985FDF"/>
    <w:rsid w:val="00987036"/>
    <w:rsid w:val="00994AE5"/>
    <w:rsid w:val="009A22FD"/>
    <w:rsid w:val="009A47B0"/>
    <w:rsid w:val="009B4BF1"/>
    <w:rsid w:val="009C7C2E"/>
    <w:rsid w:val="009E6BC9"/>
    <w:rsid w:val="009F35A3"/>
    <w:rsid w:val="009F56FB"/>
    <w:rsid w:val="00A03ACB"/>
    <w:rsid w:val="00A17E2F"/>
    <w:rsid w:val="00A316F5"/>
    <w:rsid w:val="00A34DD9"/>
    <w:rsid w:val="00A40693"/>
    <w:rsid w:val="00A43AA1"/>
    <w:rsid w:val="00A82928"/>
    <w:rsid w:val="00A87933"/>
    <w:rsid w:val="00A95778"/>
    <w:rsid w:val="00A97758"/>
    <w:rsid w:val="00AA1563"/>
    <w:rsid w:val="00AB427B"/>
    <w:rsid w:val="00AC39E0"/>
    <w:rsid w:val="00AC5ABD"/>
    <w:rsid w:val="00AE195E"/>
    <w:rsid w:val="00AF7AD9"/>
    <w:rsid w:val="00B12E00"/>
    <w:rsid w:val="00B24D12"/>
    <w:rsid w:val="00B36721"/>
    <w:rsid w:val="00B500D0"/>
    <w:rsid w:val="00B653A7"/>
    <w:rsid w:val="00B66B71"/>
    <w:rsid w:val="00B747A5"/>
    <w:rsid w:val="00B77BAE"/>
    <w:rsid w:val="00B92A30"/>
    <w:rsid w:val="00B94BF8"/>
    <w:rsid w:val="00BA0475"/>
    <w:rsid w:val="00BA595E"/>
    <w:rsid w:val="00BA5E60"/>
    <w:rsid w:val="00BB366E"/>
    <w:rsid w:val="00BB6534"/>
    <w:rsid w:val="00BB76D8"/>
    <w:rsid w:val="00BB77DC"/>
    <w:rsid w:val="00BC1850"/>
    <w:rsid w:val="00BE420C"/>
    <w:rsid w:val="00BF09C4"/>
    <w:rsid w:val="00BF395C"/>
    <w:rsid w:val="00C24392"/>
    <w:rsid w:val="00C27998"/>
    <w:rsid w:val="00C27CD6"/>
    <w:rsid w:val="00C319E9"/>
    <w:rsid w:val="00C31CF7"/>
    <w:rsid w:val="00C35D58"/>
    <w:rsid w:val="00C366D3"/>
    <w:rsid w:val="00C40B00"/>
    <w:rsid w:val="00C4699C"/>
    <w:rsid w:val="00C54979"/>
    <w:rsid w:val="00C56406"/>
    <w:rsid w:val="00C931CA"/>
    <w:rsid w:val="00C97E47"/>
    <w:rsid w:val="00CA0BA5"/>
    <w:rsid w:val="00CA3C8D"/>
    <w:rsid w:val="00CB0171"/>
    <w:rsid w:val="00CB16F3"/>
    <w:rsid w:val="00CC20E1"/>
    <w:rsid w:val="00CC265E"/>
    <w:rsid w:val="00CC3BE5"/>
    <w:rsid w:val="00CE563B"/>
    <w:rsid w:val="00D011CC"/>
    <w:rsid w:val="00D025DC"/>
    <w:rsid w:val="00D0290F"/>
    <w:rsid w:val="00D06DB3"/>
    <w:rsid w:val="00D141F3"/>
    <w:rsid w:val="00D23CD7"/>
    <w:rsid w:val="00D532BF"/>
    <w:rsid w:val="00D70CF7"/>
    <w:rsid w:val="00D829FD"/>
    <w:rsid w:val="00D90E28"/>
    <w:rsid w:val="00DA3A2E"/>
    <w:rsid w:val="00DD13C2"/>
    <w:rsid w:val="00DD6388"/>
    <w:rsid w:val="00DE0B54"/>
    <w:rsid w:val="00DE79DC"/>
    <w:rsid w:val="00DF084C"/>
    <w:rsid w:val="00DF1AB9"/>
    <w:rsid w:val="00DF5A41"/>
    <w:rsid w:val="00E0071D"/>
    <w:rsid w:val="00E11416"/>
    <w:rsid w:val="00E22417"/>
    <w:rsid w:val="00E31828"/>
    <w:rsid w:val="00E33321"/>
    <w:rsid w:val="00E4358A"/>
    <w:rsid w:val="00E5797A"/>
    <w:rsid w:val="00E749E7"/>
    <w:rsid w:val="00E801E6"/>
    <w:rsid w:val="00E86A6D"/>
    <w:rsid w:val="00EA6111"/>
    <w:rsid w:val="00EC051B"/>
    <w:rsid w:val="00EC185B"/>
    <w:rsid w:val="00EC190D"/>
    <w:rsid w:val="00EC539C"/>
    <w:rsid w:val="00EF51D5"/>
    <w:rsid w:val="00F0319A"/>
    <w:rsid w:val="00F1732D"/>
    <w:rsid w:val="00F20618"/>
    <w:rsid w:val="00F26D6F"/>
    <w:rsid w:val="00F30AE9"/>
    <w:rsid w:val="00F31DB0"/>
    <w:rsid w:val="00F41424"/>
    <w:rsid w:val="00F43227"/>
    <w:rsid w:val="00F5257D"/>
    <w:rsid w:val="00F624CD"/>
    <w:rsid w:val="00F658CB"/>
    <w:rsid w:val="00F65C70"/>
    <w:rsid w:val="00F72D1A"/>
    <w:rsid w:val="00F81238"/>
    <w:rsid w:val="00F91C6A"/>
    <w:rsid w:val="00F93CFD"/>
    <w:rsid w:val="00F97C27"/>
    <w:rsid w:val="00FA712F"/>
    <w:rsid w:val="00FB1277"/>
    <w:rsid w:val="00FB56F0"/>
    <w:rsid w:val="00FC4214"/>
    <w:rsid w:val="00FD26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able of figures"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595E"/>
    <w:pPr>
      <w:spacing w:after="240"/>
      <w:ind w:left="720"/>
    </w:pPr>
    <w:rPr>
      <w:rFonts w:ascii="Garamond" w:hAnsi="Garamond"/>
      <w:sz w:val="24"/>
      <w:lang w:eastAsia="en-US"/>
    </w:rPr>
  </w:style>
  <w:style w:type="paragraph" w:styleId="Heading1">
    <w:name w:val="heading 1"/>
    <w:basedOn w:val="Normal"/>
    <w:next w:val="Normal"/>
    <w:link w:val="Heading1Char1"/>
    <w:qFormat/>
    <w:rsid w:val="00BA595E"/>
    <w:pPr>
      <w:keepNext/>
      <w:pageBreakBefore/>
      <w:pBdr>
        <w:bottom w:val="single" w:sz="4" w:space="1" w:color="auto"/>
      </w:pBdr>
      <w:spacing w:after="360"/>
      <w:outlineLvl w:val="0"/>
    </w:pPr>
    <w:rPr>
      <w:rFonts w:ascii="Tahoma" w:hAnsi="Tahoma"/>
      <w:b/>
      <w:sz w:val="40"/>
    </w:rPr>
  </w:style>
  <w:style w:type="paragraph" w:styleId="Heading2">
    <w:name w:val="heading 2"/>
    <w:aliases w:val="Heading 2 Char"/>
    <w:basedOn w:val="Normal"/>
    <w:next w:val="Normal"/>
    <w:link w:val="Heading2Char2"/>
    <w:qFormat/>
    <w:rsid w:val="00BA595E"/>
    <w:pPr>
      <w:keepNext/>
      <w:spacing w:before="240"/>
      <w:outlineLvl w:val="1"/>
    </w:pPr>
    <w:rPr>
      <w:rFonts w:ascii="Tahoma" w:hAnsi="Tahoma"/>
      <w:b/>
      <w:sz w:val="28"/>
    </w:rPr>
  </w:style>
  <w:style w:type="paragraph" w:styleId="Heading3">
    <w:name w:val="heading 3"/>
    <w:basedOn w:val="Normal"/>
    <w:next w:val="Normal"/>
    <w:link w:val="Heading3Char1"/>
    <w:autoRedefine/>
    <w:qFormat/>
    <w:rsid w:val="00BA595E"/>
    <w:pPr>
      <w:keepNext/>
      <w:keepLines/>
      <w:spacing w:before="240"/>
      <w:ind w:left="710"/>
      <w:outlineLvl w:val="2"/>
    </w:pPr>
    <w:rPr>
      <w:rFonts w:ascii="Tahoma" w:hAnsi="Tahoma" w:cs="Tahoma"/>
      <w:b/>
      <w:bCs/>
      <w:sz w:val="22"/>
      <w:szCs w:val="24"/>
    </w:rPr>
  </w:style>
  <w:style w:type="paragraph" w:styleId="Heading4">
    <w:name w:val="heading 4"/>
    <w:basedOn w:val="Normal"/>
    <w:next w:val="Normal"/>
    <w:link w:val="Heading4Char1"/>
    <w:qFormat/>
    <w:rsid w:val="00BA595E"/>
    <w:pPr>
      <w:keepNext/>
      <w:spacing w:before="120" w:after="120"/>
      <w:outlineLvl w:val="3"/>
    </w:pPr>
    <w:rPr>
      <w:rFonts w:ascii="Tahoma" w:hAnsi="Tahoma"/>
      <w:b/>
      <w:sz w:val="20"/>
    </w:rPr>
  </w:style>
  <w:style w:type="paragraph" w:styleId="Heading5">
    <w:name w:val="heading 5"/>
    <w:basedOn w:val="Normal"/>
    <w:next w:val="Normal"/>
    <w:link w:val="Heading5Char1"/>
    <w:qFormat/>
    <w:rsid w:val="00BA595E"/>
    <w:pPr>
      <w:keepNext/>
      <w:spacing w:after="60"/>
      <w:outlineLvl w:val="4"/>
    </w:pPr>
    <w:rPr>
      <w:b/>
    </w:rPr>
  </w:style>
  <w:style w:type="paragraph" w:styleId="Heading6">
    <w:name w:val="heading 6"/>
    <w:basedOn w:val="Normal"/>
    <w:next w:val="Normal"/>
    <w:link w:val="Heading6Char1"/>
    <w:qFormat/>
    <w:rsid w:val="00BA595E"/>
    <w:pPr>
      <w:keepNext/>
      <w:outlineLvl w:val="5"/>
    </w:pPr>
    <w:rPr>
      <w:b/>
      <w:i/>
    </w:rPr>
  </w:style>
  <w:style w:type="paragraph" w:styleId="Heading7">
    <w:name w:val="heading 7"/>
    <w:basedOn w:val="Normal"/>
    <w:next w:val="Normal"/>
    <w:link w:val="Heading7Char1"/>
    <w:qFormat/>
    <w:rsid w:val="00BA595E"/>
    <w:pPr>
      <w:keepNext/>
      <w:outlineLvl w:val="6"/>
    </w:pPr>
    <w:rPr>
      <w:i/>
    </w:rPr>
  </w:style>
  <w:style w:type="paragraph" w:styleId="Heading8">
    <w:name w:val="heading 8"/>
    <w:basedOn w:val="Normal"/>
    <w:next w:val="Normal"/>
    <w:link w:val="Heading8Char1"/>
    <w:qFormat/>
    <w:rsid w:val="00BA595E"/>
    <w:pPr>
      <w:keepNext/>
      <w:outlineLvl w:val="7"/>
    </w:pPr>
    <w:rPr>
      <w:u w:val="single"/>
    </w:rPr>
  </w:style>
  <w:style w:type="paragraph" w:styleId="Heading9">
    <w:name w:val="heading 9"/>
    <w:basedOn w:val="Normal"/>
    <w:next w:val="Normal"/>
    <w:link w:val="Heading9Char1"/>
    <w:qFormat/>
    <w:rsid w:val="00BA595E"/>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Pr>
      <w:rFonts w:ascii="Cambria" w:hAnsi="Cambria" w:cs="Times New Roman"/>
      <w:b/>
      <w:bCs/>
      <w:kern w:val="32"/>
      <w:sz w:val="32"/>
      <w:szCs w:val="32"/>
      <w:lang w:val="x-none" w:eastAsia="en-US"/>
    </w:rPr>
  </w:style>
  <w:style w:type="character" w:customStyle="1" w:styleId="Heading2Char2">
    <w:name w:val="Heading 2 Char2"/>
    <w:aliases w:val="Heading 2 Char Char1"/>
    <w:link w:val="Heading2"/>
    <w:semiHidden/>
    <w:locked/>
    <w:rPr>
      <w:rFonts w:ascii="Cambria" w:hAnsi="Cambria" w:cs="Times New Roman"/>
      <w:b/>
      <w:bCs/>
      <w:i/>
      <w:iCs/>
      <w:sz w:val="28"/>
      <w:szCs w:val="28"/>
      <w:lang w:val="x-none" w:eastAsia="en-US"/>
    </w:rPr>
  </w:style>
  <w:style w:type="character" w:customStyle="1" w:styleId="Heading3Char1">
    <w:name w:val="Heading 3 Char1"/>
    <w:link w:val="Heading3"/>
    <w:semiHidden/>
    <w:locked/>
    <w:rPr>
      <w:rFonts w:ascii="Cambria" w:hAnsi="Cambria" w:cs="Times New Roman"/>
      <w:b/>
      <w:bCs/>
      <w:sz w:val="26"/>
      <w:szCs w:val="26"/>
      <w:lang w:val="x-none" w:eastAsia="en-US"/>
    </w:rPr>
  </w:style>
  <w:style w:type="character" w:customStyle="1" w:styleId="Heading4Char1">
    <w:name w:val="Heading 4 Char1"/>
    <w:link w:val="Heading4"/>
    <w:semiHidden/>
    <w:locked/>
    <w:rPr>
      <w:rFonts w:ascii="Calibri" w:hAnsi="Calibri" w:cs="Times New Roman"/>
      <w:b/>
      <w:bCs/>
      <w:sz w:val="28"/>
      <w:szCs w:val="28"/>
      <w:lang w:val="x-none" w:eastAsia="en-US"/>
    </w:rPr>
  </w:style>
  <w:style w:type="character" w:customStyle="1" w:styleId="Heading5Char1">
    <w:name w:val="Heading 5 Char1"/>
    <w:link w:val="Heading5"/>
    <w:semiHidden/>
    <w:locked/>
    <w:rPr>
      <w:rFonts w:ascii="Calibri" w:hAnsi="Calibri" w:cs="Times New Roman"/>
      <w:b/>
      <w:bCs/>
      <w:i/>
      <w:iCs/>
      <w:sz w:val="26"/>
      <w:szCs w:val="26"/>
      <w:lang w:val="x-none" w:eastAsia="en-US"/>
    </w:rPr>
  </w:style>
  <w:style w:type="character" w:customStyle="1" w:styleId="Heading6Char1">
    <w:name w:val="Heading 6 Char1"/>
    <w:link w:val="Heading6"/>
    <w:semiHidden/>
    <w:locked/>
    <w:rPr>
      <w:rFonts w:ascii="Calibri" w:hAnsi="Calibri" w:cs="Times New Roman"/>
      <w:b/>
      <w:bCs/>
      <w:sz w:val="22"/>
      <w:szCs w:val="22"/>
      <w:lang w:val="x-none" w:eastAsia="en-US"/>
    </w:rPr>
  </w:style>
  <w:style w:type="character" w:customStyle="1" w:styleId="Heading7Char1">
    <w:name w:val="Heading 7 Char1"/>
    <w:link w:val="Heading7"/>
    <w:semiHidden/>
    <w:locked/>
    <w:rPr>
      <w:rFonts w:ascii="Calibri" w:hAnsi="Calibri" w:cs="Times New Roman"/>
      <w:sz w:val="24"/>
      <w:szCs w:val="24"/>
      <w:lang w:val="x-none" w:eastAsia="en-US"/>
    </w:rPr>
  </w:style>
  <w:style w:type="character" w:customStyle="1" w:styleId="Heading8Char1">
    <w:name w:val="Heading 8 Char1"/>
    <w:link w:val="Heading8"/>
    <w:semiHidden/>
    <w:locked/>
    <w:rPr>
      <w:rFonts w:ascii="Calibri" w:hAnsi="Calibri" w:cs="Times New Roman"/>
      <w:i/>
      <w:iCs/>
      <w:sz w:val="24"/>
      <w:szCs w:val="24"/>
      <w:lang w:val="x-none" w:eastAsia="en-US"/>
    </w:rPr>
  </w:style>
  <w:style w:type="character" w:customStyle="1" w:styleId="Heading9Char1">
    <w:name w:val="Heading 9 Char1"/>
    <w:link w:val="Heading9"/>
    <w:semiHidden/>
    <w:locked/>
    <w:rPr>
      <w:rFonts w:ascii="Cambria" w:hAnsi="Cambria" w:cs="Times New Roman"/>
      <w:sz w:val="22"/>
      <w:szCs w:val="22"/>
      <w:lang w:val="x-none" w:eastAsia="en-US"/>
    </w:rPr>
  </w:style>
  <w:style w:type="paragraph" w:customStyle="1" w:styleId="Bullet">
    <w:name w:val="Bullet"/>
    <w:basedOn w:val="Normal"/>
    <w:rsid w:val="00BA595E"/>
    <w:pPr>
      <w:numPr>
        <w:numId w:val="1"/>
      </w:numPr>
    </w:pPr>
  </w:style>
  <w:style w:type="character" w:styleId="CommentReference">
    <w:name w:val="annotation reference"/>
    <w:semiHidden/>
    <w:rsid w:val="00BA595E"/>
    <w:rPr>
      <w:rFonts w:cs="Times New Roman"/>
      <w:sz w:val="16"/>
    </w:rPr>
  </w:style>
  <w:style w:type="paragraph" w:styleId="CommentText">
    <w:name w:val="annotation text"/>
    <w:basedOn w:val="Normal"/>
    <w:link w:val="CommentTextChar1"/>
    <w:semiHidden/>
    <w:rsid w:val="00BA595E"/>
    <w:rPr>
      <w:sz w:val="20"/>
    </w:rPr>
  </w:style>
  <w:style w:type="character" w:customStyle="1" w:styleId="CommentTextChar1">
    <w:name w:val="Comment Text Char1"/>
    <w:link w:val="CommentText"/>
    <w:semiHidden/>
    <w:locked/>
    <w:rPr>
      <w:rFonts w:ascii="Garamond" w:hAnsi="Garamond" w:cs="Times New Roman"/>
      <w:lang w:val="x-none" w:eastAsia="en-US"/>
    </w:rPr>
  </w:style>
  <w:style w:type="paragraph" w:styleId="Date">
    <w:name w:val="Date"/>
    <w:basedOn w:val="Normal"/>
    <w:next w:val="Normal"/>
    <w:link w:val="DateChar1"/>
    <w:rsid w:val="00BA595E"/>
    <w:pPr>
      <w:ind w:right="113"/>
      <w:jc w:val="right"/>
    </w:pPr>
    <w:rPr>
      <w:rFonts w:ascii="Arial" w:hAnsi="Arial"/>
      <w:b/>
      <w:sz w:val="36"/>
    </w:rPr>
  </w:style>
  <w:style w:type="character" w:customStyle="1" w:styleId="DateChar1">
    <w:name w:val="Date Char1"/>
    <w:link w:val="Date"/>
    <w:semiHidden/>
    <w:locked/>
    <w:rPr>
      <w:rFonts w:ascii="Garamond" w:hAnsi="Garamond" w:cs="Times New Roman"/>
      <w:sz w:val="24"/>
      <w:lang w:val="x-none" w:eastAsia="en-US"/>
    </w:rPr>
  </w:style>
  <w:style w:type="paragraph" w:styleId="DocumentMap">
    <w:name w:val="Document Map"/>
    <w:basedOn w:val="Normal"/>
    <w:link w:val="DocumentMapChar1"/>
    <w:semiHidden/>
    <w:rsid w:val="00BA595E"/>
    <w:pPr>
      <w:shd w:val="clear" w:color="auto" w:fill="000080"/>
    </w:pPr>
    <w:rPr>
      <w:rFonts w:ascii="Tahoma" w:hAnsi="Tahoma"/>
    </w:rPr>
  </w:style>
  <w:style w:type="character" w:customStyle="1" w:styleId="DocumentMapChar1">
    <w:name w:val="Document Map Char1"/>
    <w:link w:val="DocumentMap"/>
    <w:semiHidden/>
    <w:locked/>
    <w:rPr>
      <w:rFonts w:cs="Times New Roman"/>
      <w:sz w:val="2"/>
      <w:lang w:val="x-none" w:eastAsia="en-US"/>
    </w:rPr>
  </w:style>
  <w:style w:type="paragraph" w:styleId="Footer">
    <w:name w:val="footer"/>
    <w:basedOn w:val="Normal"/>
    <w:link w:val="FooterChar1"/>
    <w:rsid w:val="00BA595E"/>
    <w:pPr>
      <w:pBdr>
        <w:top w:val="single" w:sz="4" w:space="9" w:color="auto"/>
      </w:pBdr>
      <w:tabs>
        <w:tab w:val="right" w:pos="9000"/>
      </w:tabs>
    </w:pPr>
    <w:rPr>
      <w:rFonts w:ascii="Arial" w:hAnsi="Arial"/>
      <w:b/>
      <w:sz w:val="20"/>
    </w:rPr>
  </w:style>
  <w:style w:type="character" w:customStyle="1" w:styleId="FooterChar1">
    <w:name w:val="Footer Char1"/>
    <w:link w:val="Footer"/>
    <w:semiHidden/>
    <w:locked/>
    <w:rPr>
      <w:rFonts w:ascii="Garamond" w:hAnsi="Garamond" w:cs="Times New Roman"/>
      <w:sz w:val="24"/>
      <w:lang w:val="x-none" w:eastAsia="en-US"/>
    </w:rPr>
  </w:style>
  <w:style w:type="character" w:styleId="FootnoteReference">
    <w:name w:val="footnote reference"/>
    <w:semiHidden/>
    <w:rsid w:val="00BA595E"/>
    <w:rPr>
      <w:rFonts w:cs="Times New Roman"/>
      <w:vertAlign w:val="superscript"/>
    </w:rPr>
  </w:style>
  <w:style w:type="paragraph" w:styleId="FootnoteText">
    <w:name w:val="footnote text"/>
    <w:basedOn w:val="Normal"/>
    <w:link w:val="FootnoteTextChar1"/>
    <w:semiHidden/>
    <w:rsid w:val="00BA595E"/>
    <w:rPr>
      <w:sz w:val="20"/>
    </w:rPr>
  </w:style>
  <w:style w:type="character" w:customStyle="1" w:styleId="FootnoteTextChar1">
    <w:name w:val="Footnote Text Char1"/>
    <w:link w:val="FootnoteText"/>
    <w:semiHidden/>
    <w:locked/>
    <w:rPr>
      <w:rFonts w:ascii="Garamond" w:hAnsi="Garamond" w:cs="Times New Roman"/>
      <w:lang w:val="x-none" w:eastAsia="en-US"/>
    </w:rPr>
  </w:style>
  <w:style w:type="paragraph" w:styleId="Header">
    <w:name w:val="header"/>
    <w:basedOn w:val="Normal"/>
    <w:link w:val="HeaderChar1"/>
    <w:rsid w:val="00BA595E"/>
    <w:pPr>
      <w:tabs>
        <w:tab w:val="center" w:pos="4153"/>
        <w:tab w:val="right" w:pos="8306"/>
      </w:tabs>
    </w:pPr>
  </w:style>
  <w:style w:type="character" w:customStyle="1" w:styleId="HeaderChar1">
    <w:name w:val="Header Char1"/>
    <w:link w:val="Header"/>
    <w:semiHidden/>
    <w:locked/>
    <w:rPr>
      <w:rFonts w:ascii="Garamond" w:hAnsi="Garamond" w:cs="Times New Roman"/>
      <w:sz w:val="24"/>
      <w:lang w:val="x-none" w:eastAsia="en-US"/>
    </w:rPr>
  </w:style>
  <w:style w:type="paragraph" w:customStyle="1" w:styleId="Heading1a">
    <w:name w:val="Heading 1a"/>
    <w:basedOn w:val="Heading1"/>
    <w:rsid w:val="00BA595E"/>
    <w:pPr>
      <w:outlineLvl w:val="9"/>
    </w:pPr>
  </w:style>
  <w:style w:type="paragraph" w:customStyle="1" w:styleId="Heading2a">
    <w:name w:val="Heading 2a"/>
    <w:basedOn w:val="Heading2"/>
    <w:rsid w:val="00BA595E"/>
    <w:pPr>
      <w:outlineLvl w:val="9"/>
    </w:pPr>
  </w:style>
  <w:style w:type="paragraph" w:customStyle="1" w:styleId="Heading3a">
    <w:name w:val="Heading 3a"/>
    <w:basedOn w:val="Heading3"/>
    <w:rsid w:val="00BA595E"/>
    <w:pPr>
      <w:outlineLvl w:val="9"/>
    </w:pPr>
  </w:style>
  <w:style w:type="character" w:styleId="PageNumber">
    <w:name w:val="page number"/>
    <w:rsid w:val="00BA595E"/>
    <w:rPr>
      <w:rFonts w:ascii="Tahoma" w:hAnsi="Tahoma" w:cs="Times New Roman"/>
      <w:b/>
      <w:sz w:val="18"/>
    </w:rPr>
  </w:style>
  <w:style w:type="paragraph" w:customStyle="1" w:styleId="PublicationTitle">
    <w:name w:val="PublicationTitle"/>
    <w:basedOn w:val="Normal"/>
    <w:rsid w:val="00BA595E"/>
    <w:pPr>
      <w:spacing w:line="480" w:lineRule="exact"/>
      <w:ind w:left="0" w:right="113"/>
      <w:jc w:val="right"/>
    </w:pPr>
    <w:rPr>
      <w:rFonts w:ascii="Arial" w:hAnsi="Arial"/>
      <w:b/>
      <w:i/>
      <w:sz w:val="44"/>
    </w:rPr>
  </w:style>
  <w:style w:type="paragraph" w:customStyle="1" w:styleId="QuoteBullet">
    <w:name w:val="Quote Bullet"/>
    <w:basedOn w:val="Normal"/>
    <w:rsid w:val="00BA595E"/>
    <w:pPr>
      <w:numPr>
        <w:numId w:val="3"/>
      </w:numPr>
    </w:pPr>
  </w:style>
  <w:style w:type="paragraph" w:customStyle="1" w:styleId="References">
    <w:name w:val="References"/>
    <w:basedOn w:val="Normal"/>
    <w:rsid w:val="00BA595E"/>
    <w:pPr>
      <w:keepLines/>
      <w:ind w:left="1440" w:hanging="720"/>
    </w:pPr>
  </w:style>
  <w:style w:type="paragraph" w:customStyle="1" w:styleId="Sub-title">
    <w:name w:val="Sub-title"/>
    <w:basedOn w:val="Normal"/>
    <w:rsid w:val="00BA595E"/>
    <w:pPr>
      <w:ind w:left="0" w:right="113"/>
      <w:jc w:val="right"/>
    </w:pPr>
    <w:rPr>
      <w:rFonts w:ascii="Arial" w:hAnsi="Arial"/>
      <w:b/>
      <w:sz w:val="32"/>
    </w:rPr>
  </w:style>
  <w:style w:type="paragraph" w:styleId="TableofFigures">
    <w:name w:val="table of figures"/>
    <w:basedOn w:val="Normal"/>
    <w:next w:val="Normal"/>
    <w:uiPriority w:val="99"/>
    <w:rsid w:val="00BA595E"/>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BA595E"/>
    <w:pPr>
      <w:keepNext/>
      <w:spacing w:before="40" w:after="40"/>
      <w:ind w:left="0"/>
    </w:pPr>
    <w:rPr>
      <w:rFonts w:ascii="Arial Narrow" w:hAnsi="Arial Narrow"/>
      <w:sz w:val="18"/>
    </w:rPr>
  </w:style>
  <w:style w:type="paragraph" w:customStyle="1" w:styleId="TableHeading">
    <w:name w:val="TableHeading"/>
    <w:basedOn w:val="TableText"/>
    <w:rsid w:val="00BA595E"/>
    <w:rPr>
      <w:b/>
    </w:rPr>
  </w:style>
  <w:style w:type="paragraph" w:customStyle="1" w:styleId="TableName">
    <w:name w:val="TableName"/>
    <w:basedOn w:val="TableText"/>
    <w:rsid w:val="00BA595E"/>
    <w:pPr>
      <w:spacing w:before="120" w:after="120"/>
      <w:ind w:left="1800" w:hanging="1080"/>
    </w:pPr>
    <w:rPr>
      <w:b/>
      <w:sz w:val="20"/>
    </w:rPr>
  </w:style>
  <w:style w:type="paragraph" w:customStyle="1" w:styleId="TableNotes">
    <w:name w:val="TableNotes"/>
    <w:basedOn w:val="TableText"/>
    <w:link w:val="TableNotesChar1"/>
    <w:rsid w:val="00BA595E"/>
    <w:pPr>
      <w:keepNext w:val="0"/>
      <w:keepLines/>
      <w:spacing w:before="0" w:after="360"/>
      <w:ind w:left="1440" w:hanging="720"/>
    </w:pPr>
    <w:rPr>
      <w:sz w:val="16"/>
    </w:rPr>
  </w:style>
  <w:style w:type="paragraph" w:styleId="Title">
    <w:name w:val="Title"/>
    <w:basedOn w:val="Normal"/>
    <w:link w:val="TitleChar1"/>
    <w:qFormat/>
    <w:rsid w:val="00BA595E"/>
    <w:pPr>
      <w:ind w:left="0"/>
      <w:jc w:val="center"/>
    </w:pPr>
    <w:rPr>
      <w:rFonts w:ascii="Arial" w:hAnsi="Arial"/>
      <w:b/>
      <w:smallCaps/>
      <w:sz w:val="44"/>
    </w:rPr>
  </w:style>
  <w:style w:type="character" w:customStyle="1" w:styleId="TitleChar1">
    <w:name w:val="Title Char1"/>
    <w:link w:val="Title"/>
    <w:locked/>
    <w:rPr>
      <w:rFonts w:ascii="Cambria" w:hAnsi="Cambria" w:cs="Times New Roman"/>
      <w:b/>
      <w:bCs/>
      <w:kern w:val="28"/>
      <w:sz w:val="32"/>
      <w:szCs w:val="32"/>
      <w:lang w:val="x-none" w:eastAsia="en-US"/>
    </w:rPr>
  </w:style>
  <w:style w:type="paragraph" w:styleId="TOC1">
    <w:name w:val="toc 1"/>
    <w:basedOn w:val="Normal"/>
    <w:next w:val="Normal"/>
    <w:autoRedefine/>
    <w:uiPriority w:val="39"/>
    <w:rsid w:val="00BA595E"/>
    <w:pPr>
      <w:tabs>
        <w:tab w:val="left" w:pos="1276"/>
        <w:tab w:val="right" w:leader="dot" w:pos="9017"/>
      </w:tabs>
      <w:spacing w:before="120" w:after="60"/>
      <w:ind w:right="720"/>
    </w:pPr>
    <w:rPr>
      <w:b/>
      <w:noProof/>
    </w:rPr>
  </w:style>
  <w:style w:type="paragraph" w:styleId="TOC2">
    <w:name w:val="toc 2"/>
    <w:basedOn w:val="Normal"/>
    <w:next w:val="Normal"/>
    <w:autoRedefine/>
    <w:uiPriority w:val="39"/>
    <w:rsid w:val="00BA595E"/>
    <w:pPr>
      <w:tabs>
        <w:tab w:val="right" w:leader="dot" w:pos="9017"/>
      </w:tabs>
      <w:spacing w:after="60"/>
      <w:ind w:left="1440" w:right="720"/>
    </w:pPr>
    <w:rPr>
      <w:noProof/>
    </w:rPr>
  </w:style>
  <w:style w:type="paragraph" w:styleId="TOC3">
    <w:name w:val="toc 3"/>
    <w:basedOn w:val="Normal"/>
    <w:next w:val="Normal"/>
    <w:autoRedefine/>
    <w:semiHidden/>
    <w:rsid w:val="00BA595E"/>
    <w:pPr>
      <w:tabs>
        <w:tab w:val="right" w:leader="dot" w:pos="9016"/>
      </w:tabs>
      <w:spacing w:after="0"/>
      <w:ind w:left="1418"/>
    </w:pPr>
    <w:rPr>
      <w:noProof/>
    </w:rPr>
  </w:style>
  <w:style w:type="paragraph" w:styleId="TOC4">
    <w:name w:val="toc 4"/>
    <w:basedOn w:val="Normal"/>
    <w:next w:val="Normal"/>
    <w:autoRedefine/>
    <w:semiHidden/>
    <w:rsid w:val="00BA595E"/>
    <w:pPr>
      <w:ind w:left="660"/>
    </w:pPr>
  </w:style>
  <w:style w:type="paragraph" w:styleId="TOC5">
    <w:name w:val="toc 5"/>
    <w:basedOn w:val="Normal"/>
    <w:next w:val="Normal"/>
    <w:autoRedefine/>
    <w:semiHidden/>
    <w:rsid w:val="00BA595E"/>
    <w:pPr>
      <w:ind w:left="880"/>
    </w:pPr>
  </w:style>
  <w:style w:type="paragraph" w:styleId="TOC6">
    <w:name w:val="toc 6"/>
    <w:basedOn w:val="Normal"/>
    <w:next w:val="Normal"/>
    <w:autoRedefine/>
    <w:semiHidden/>
    <w:rsid w:val="00BA595E"/>
    <w:pPr>
      <w:ind w:left="1100"/>
    </w:pPr>
  </w:style>
  <w:style w:type="paragraph" w:styleId="TOC7">
    <w:name w:val="toc 7"/>
    <w:basedOn w:val="Normal"/>
    <w:next w:val="Normal"/>
    <w:autoRedefine/>
    <w:semiHidden/>
    <w:rsid w:val="00BA595E"/>
    <w:pPr>
      <w:ind w:left="1320"/>
    </w:pPr>
  </w:style>
  <w:style w:type="paragraph" w:styleId="TOC8">
    <w:name w:val="toc 8"/>
    <w:basedOn w:val="Normal"/>
    <w:next w:val="Normal"/>
    <w:autoRedefine/>
    <w:semiHidden/>
    <w:rsid w:val="00BA595E"/>
    <w:pPr>
      <w:ind w:left="1540"/>
    </w:pPr>
  </w:style>
  <w:style w:type="paragraph" w:styleId="TOC9">
    <w:name w:val="toc 9"/>
    <w:basedOn w:val="Normal"/>
    <w:next w:val="Normal"/>
    <w:autoRedefine/>
    <w:semiHidden/>
    <w:rsid w:val="00BA595E"/>
    <w:pPr>
      <w:ind w:left="1760"/>
    </w:pPr>
  </w:style>
  <w:style w:type="paragraph" w:styleId="BodyText">
    <w:name w:val="Body Text"/>
    <w:basedOn w:val="Normal"/>
    <w:link w:val="BodyTextChar1"/>
    <w:rsid w:val="00BA595E"/>
    <w:rPr>
      <w:vanish/>
      <w:color w:val="0000FF"/>
    </w:rPr>
  </w:style>
  <w:style w:type="character" w:customStyle="1" w:styleId="BodyTextChar1">
    <w:name w:val="Body Text Char1"/>
    <w:link w:val="BodyText"/>
    <w:semiHidden/>
    <w:locked/>
    <w:rPr>
      <w:rFonts w:ascii="Garamond" w:hAnsi="Garamond" w:cs="Times New Roman"/>
      <w:sz w:val="24"/>
      <w:lang w:val="x-none" w:eastAsia="en-US"/>
    </w:rPr>
  </w:style>
  <w:style w:type="paragraph" w:styleId="BodyTextIndent">
    <w:name w:val="Body Text Indent"/>
    <w:basedOn w:val="Normal"/>
    <w:link w:val="BodyTextIndentChar1"/>
    <w:rsid w:val="00BA595E"/>
  </w:style>
  <w:style w:type="character" w:customStyle="1" w:styleId="BodyTextIndentChar1">
    <w:name w:val="Body Text Indent Char1"/>
    <w:link w:val="BodyTextIndent"/>
    <w:semiHidden/>
    <w:locked/>
    <w:rPr>
      <w:rFonts w:ascii="Garamond" w:hAnsi="Garamond" w:cs="Times New Roman"/>
      <w:sz w:val="24"/>
      <w:lang w:val="x-none" w:eastAsia="en-US"/>
    </w:rPr>
  </w:style>
  <w:style w:type="paragraph" w:styleId="BodyTextIndent2">
    <w:name w:val="Body Text Indent 2"/>
    <w:basedOn w:val="Normal"/>
    <w:link w:val="BodyTextIndent2Char1"/>
    <w:rsid w:val="00BA595E"/>
    <w:rPr>
      <w:sz w:val="22"/>
    </w:rPr>
  </w:style>
  <w:style w:type="character" w:customStyle="1" w:styleId="BodyTextIndent2Char1">
    <w:name w:val="Body Text Indent 2 Char1"/>
    <w:link w:val="BodyTextIndent2"/>
    <w:semiHidden/>
    <w:locked/>
    <w:rPr>
      <w:rFonts w:ascii="Garamond" w:hAnsi="Garamond" w:cs="Times New Roman"/>
      <w:sz w:val="24"/>
      <w:lang w:val="x-none" w:eastAsia="en-US"/>
    </w:rPr>
  </w:style>
  <w:style w:type="paragraph" w:styleId="BodyTextIndent3">
    <w:name w:val="Body Text Indent 3"/>
    <w:basedOn w:val="Normal"/>
    <w:link w:val="BodyTextIndent3Char1"/>
    <w:rsid w:val="00BA595E"/>
    <w:rPr>
      <w:sz w:val="20"/>
    </w:rPr>
  </w:style>
  <w:style w:type="character" w:customStyle="1" w:styleId="BodyTextIndent3Char1">
    <w:name w:val="Body Text Indent 3 Char1"/>
    <w:link w:val="BodyTextIndent3"/>
    <w:semiHidden/>
    <w:locked/>
    <w:rPr>
      <w:rFonts w:ascii="Garamond" w:hAnsi="Garamond" w:cs="Times New Roman"/>
      <w:sz w:val="16"/>
      <w:szCs w:val="16"/>
      <w:lang w:val="x-none" w:eastAsia="en-US"/>
    </w:rPr>
  </w:style>
  <w:style w:type="paragraph" w:customStyle="1" w:styleId="Dash">
    <w:name w:val="Dash"/>
    <w:basedOn w:val="Normal"/>
    <w:rsid w:val="00BA595E"/>
    <w:pPr>
      <w:numPr>
        <w:numId w:val="2"/>
      </w:numPr>
    </w:pPr>
  </w:style>
  <w:style w:type="paragraph" w:styleId="Quote">
    <w:name w:val="Quote"/>
    <w:basedOn w:val="Normal"/>
    <w:link w:val="QuoteChar"/>
    <w:qFormat/>
    <w:rsid w:val="00BA595E"/>
    <w:pPr>
      <w:keepLines/>
      <w:ind w:left="1440" w:right="720"/>
    </w:pPr>
    <w:rPr>
      <w:sz w:val="22"/>
    </w:rPr>
  </w:style>
  <w:style w:type="character" w:customStyle="1" w:styleId="QuoteChar">
    <w:name w:val="Quote Char"/>
    <w:link w:val="Quote"/>
    <w:locked/>
    <w:rPr>
      <w:rFonts w:ascii="Garamond" w:hAnsi="Garamond" w:cs="Times New Roman"/>
      <w:i/>
      <w:iCs/>
      <w:color w:val="000000"/>
      <w:sz w:val="24"/>
      <w:lang w:val="x-none" w:eastAsia="en-US"/>
    </w:rPr>
  </w:style>
  <w:style w:type="paragraph" w:customStyle="1" w:styleId="TableText0">
    <w:name w:val="Table Text"/>
    <w:basedOn w:val="Normal"/>
    <w:rsid w:val="00BA595E"/>
    <w:pPr>
      <w:keepNext/>
      <w:spacing w:before="40" w:after="40"/>
      <w:ind w:left="0"/>
    </w:pPr>
    <w:rPr>
      <w:rFonts w:ascii="Arial" w:hAnsi="Arial"/>
      <w:sz w:val="18"/>
    </w:rPr>
  </w:style>
  <w:style w:type="paragraph" w:customStyle="1" w:styleId="TableHeading0">
    <w:name w:val="Table Heading"/>
    <w:basedOn w:val="TableText0"/>
    <w:next w:val="TableText0"/>
    <w:rsid w:val="00BA595E"/>
    <w:rPr>
      <w:b/>
    </w:rPr>
  </w:style>
  <w:style w:type="paragraph" w:customStyle="1" w:styleId="TableNamea">
    <w:name w:val="Table Name(a)"/>
    <w:basedOn w:val="Normal"/>
    <w:rsid w:val="00BA595E"/>
    <w:pPr>
      <w:keepNext/>
      <w:spacing w:before="120" w:after="120"/>
      <w:ind w:left="1077" w:hanging="1077"/>
    </w:pPr>
    <w:rPr>
      <w:rFonts w:ascii="Arial" w:hAnsi="Arial"/>
      <w:b/>
      <w:sz w:val="20"/>
    </w:rPr>
  </w:style>
  <w:style w:type="paragraph" w:styleId="BlockText">
    <w:name w:val="Block Text"/>
    <w:basedOn w:val="Normal"/>
    <w:rsid w:val="00BA595E"/>
    <w:pPr>
      <w:ind w:right="-188"/>
    </w:pPr>
  </w:style>
  <w:style w:type="paragraph" w:styleId="NormalWeb">
    <w:name w:val="Normal (Web)"/>
    <w:basedOn w:val="Normal"/>
    <w:link w:val="NormalWebChar1"/>
    <w:rsid w:val="00BA595E"/>
    <w:pPr>
      <w:spacing w:before="100" w:beforeAutospacing="1" w:after="100" w:afterAutospacing="1"/>
      <w:ind w:left="0"/>
    </w:pPr>
    <w:rPr>
      <w:rFonts w:ascii="Times New Roman" w:hAnsi="Times New Roman"/>
      <w:color w:val="000000"/>
      <w:szCs w:val="24"/>
      <w:lang w:val="en-US"/>
    </w:rPr>
  </w:style>
  <w:style w:type="paragraph" w:styleId="BalloonText">
    <w:name w:val="Balloon Text"/>
    <w:basedOn w:val="Normal"/>
    <w:link w:val="BalloonTextChar1"/>
    <w:semiHidden/>
    <w:rsid w:val="00BA595E"/>
    <w:rPr>
      <w:rFonts w:ascii="Tahoma" w:hAnsi="Tahoma" w:cs="Tahoma"/>
      <w:sz w:val="16"/>
      <w:szCs w:val="16"/>
    </w:rPr>
  </w:style>
  <w:style w:type="character" w:customStyle="1" w:styleId="BalloonTextChar1">
    <w:name w:val="Balloon Text Char1"/>
    <w:link w:val="BalloonText"/>
    <w:semiHidden/>
    <w:locked/>
    <w:rPr>
      <w:rFonts w:cs="Times New Roman"/>
      <w:sz w:val="2"/>
      <w:lang w:val="x-none" w:eastAsia="en-US"/>
    </w:rPr>
  </w:style>
  <w:style w:type="paragraph" w:styleId="BodyText2">
    <w:name w:val="Body Text 2"/>
    <w:basedOn w:val="Normal"/>
    <w:link w:val="BodyText2Char1"/>
    <w:rsid w:val="00BA595E"/>
    <w:pPr>
      <w:spacing w:after="120" w:line="480" w:lineRule="auto"/>
    </w:pPr>
  </w:style>
  <w:style w:type="character" w:customStyle="1" w:styleId="BodyText2Char1">
    <w:name w:val="Body Text 2 Char1"/>
    <w:link w:val="BodyText2"/>
    <w:semiHidden/>
    <w:locked/>
    <w:rPr>
      <w:rFonts w:ascii="Garamond" w:hAnsi="Garamond" w:cs="Times New Roman"/>
      <w:sz w:val="24"/>
      <w:lang w:val="x-none" w:eastAsia="en-US"/>
    </w:rPr>
  </w:style>
  <w:style w:type="character" w:styleId="Hyperlink">
    <w:name w:val="Hyperlink"/>
    <w:uiPriority w:val="99"/>
    <w:rsid w:val="00BA595E"/>
    <w:rPr>
      <w:rFonts w:cs="Times New Roman"/>
      <w:color w:val="0000FF"/>
      <w:u w:val="single"/>
    </w:rPr>
  </w:style>
  <w:style w:type="character" w:styleId="FollowedHyperlink">
    <w:name w:val="FollowedHyperlink"/>
    <w:rsid w:val="00BA595E"/>
    <w:rPr>
      <w:rFonts w:cs="Times New Roman"/>
      <w:color w:val="800080"/>
      <w:u w:val="single"/>
    </w:rPr>
  </w:style>
  <w:style w:type="table" w:styleId="TableGrid">
    <w:name w:val="Table Grid"/>
    <w:basedOn w:val="TableNormal"/>
    <w:rsid w:val="00BA595E"/>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3,Caption Char2 Char,Caption Char Char1 Char,Char1 Char Char1 Char,Caption Char1 Char Char,Char1 Char Char Char Char,Char1 Char1 Char Char,Char1 Char2 Char,Caption Char Char2,Char1 Char Char2"/>
    <w:basedOn w:val="Normal"/>
    <w:next w:val="BodyText"/>
    <w:link w:val="CaptionChar"/>
    <w:qFormat/>
    <w:rsid w:val="00BA595E"/>
    <w:pPr>
      <w:keepNext/>
      <w:spacing w:after="100"/>
      <w:ind w:left="1684" w:hanging="964"/>
    </w:pPr>
    <w:rPr>
      <w:rFonts w:ascii="Arial" w:hAnsi="Arial"/>
      <w:b/>
      <w:bCs/>
      <w:sz w:val="20"/>
      <w:lang w:eastAsia="en-AU"/>
    </w:rPr>
  </w:style>
  <w:style w:type="paragraph" w:customStyle="1" w:styleId="TableText10pt">
    <w:name w:val="TableText10pt"/>
    <w:basedOn w:val="Normal"/>
    <w:rsid w:val="00BA595E"/>
    <w:pPr>
      <w:keepNext/>
      <w:suppressAutoHyphens/>
      <w:spacing w:before="40" w:after="40"/>
      <w:ind w:left="0"/>
    </w:pPr>
    <w:rPr>
      <w:rFonts w:ascii="Arial Narrow" w:hAnsi="Arial Narrow"/>
      <w:sz w:val="20"/>
      <w:lang w:eastAsia="en-AU"/>
    </w:rPr>
  </w:style>
  <w:style w:type="paragraph" w:customStyle="1" w:styleId="TableTextCharCharChar">
    <w:name w:val="TableText Char Char Char"/>
    <w:basedOn w:val="Normal"/>
    <w:link w:val="TableTextCharCharCharChar1"/>
    <w:rsid w:val="00BA595E"/>
    <w:pPr>
      <w:keepNext/>
      <w:spacing w:before="40" w:after="40"/>
      <w:ind w:left="0"/>
    </w:pPr>
    <w:rPr>
      <w:rFonts w:ascii="Arial Narrow" w:hAnsi="Arial Narrow"/>
      <w:sz w:val="18"/>
      <w:lang w:eastAsia="en-AU"/>
    </w:rPr>
  </w:style>
  <w:style w:type="character" w:customStyle="1" w:styleId="TableTextCharCharCharChar1">
    <w:name w:val="TableText Char Char Char Char1"/>
    <w:link w:val="TableTextCharCharChar"/>
    <w:locked/>
    <w:rsid w:val="00BA595E"/>
    <w:rPr>
      <w:rFonts w:ascii="Arial Narrow" w:hAnsi="Arial Narrow" w:cs="Times New Roman"/>
      <w:sz w:val="18"/>
      <w:lang w:val="en-AU" w:eastAsia="en-AU" w:bidi="ar-SA"/>
    </w:rPr>
  </w:style>
  <w:style w:type="character" w:customStyle="1" w:styleId="CaptionChar">
    <w:name w:val="Caption Char"/>
    <w:aliases w:val="Caption Char1 Char,Caption Char Char Char,Caption Char3 Char1,Caption Char2 Char Char1,Caption Char Char1 Char Char1,Char1 Char Char1 Char Char1,Caption Char1 Char Char Char1,Char1 Char Char Char Char Char1,Char1 Char1 Char Char Char1"/>
    <w:link w:val="Caption"/>
    <w:locked/>
    <w:rsid w:val="00BA595E"/>
    <w:rPr>
      <w:rFonts w:ascii="Arial" w:hAnsi="Arial" w:cs="Times New Roman"/>
      <w:b/>
      <w:bCs/>
      <w:lang w:val="en-AU" w:eastAsia="en-AU" w:bidi="ar-SA"/>
    </w:rPr>
  </w:style>
  <w:style w:type="paragraph" w:styleId="CommentSubject">
    <w:name w:val="annotation subject"/>
    <w:basedOn w:val="CommentText"/>
    <w:next w:val="CommentText"/>
    <w:link w:val="CommentSubjectChar1"/>
    <w:semiHidden/>
    <w:rsid w:val="00BA595E"/>
    <w:rPr>
      <w:b/>
      <w:bCs/>
    </w:rPr>
  </w:style>
  <w:style w:type="character" w:customStyle="1" w:styleId="CommentSubjectChar1">
    <w:name w:val="Comment Subject Char1"/>
    <w:link w:val="CommentSubject"/>
    <w:semiHidden/>
    <w:locked/>
    <w:rPr>
      <w:rFonts w:ascii="Garamond" w:hAnsi="Garamond" w:cs="Times New Roman"/>
      <w:b/>
      <w:bCs/>
      <w:lang w:val="x-none" w:eastAsia="en-US"/>
    </w:rPr>
  </w:style>
  <w:style w:type="paragraph" w:customStyle="1" w:styleId="TableNameCharChar1">
    <w:name w:val="TableName Char Char1"/>
    <w:basedOn w:val="Normal"/>
    <w:link w:val="TableNameCharChar1Char"/>
    <w:rsid w:val="00BA595E"/>
    <w:pPr>
      <w:keepNext/>
      <w:spacing w:before="120" w:after="120"/>
      <w:ind w:left="1800" w:hanging="1080"/>
    </w:pPr>
    <w:rPr>
      <w:rFonts w:ascii="Arial Narrow" w:hAnsi="Arial Narrow"/>
      <w:b/>
      <w:sz w:val="20"/>
    </w:rPr>
  </w:style>
  <w:style w:type="character" w:customStyle="1" w:styleId="TableNameCharChar1Char">
    <w:name w:val="TableName Char Char1 Char"/>
    <w:link w:val="TableNameCharChar1"/>
    <w:locked/>
    <w:rsid w:val="00BA595E"/>
    <w:rPr>
      <w:rFonts w:ascii="Arial Narrow" w:hAnsi="Arial Narrow" w:cs="Times New Roman"/>
      <w:b/>
      <w:lang w:val="en-AU" w:eastAsia="en-US" w:bidi="ar-SA"/>
    </w:rPr>
  </w:style>
  <w:style w:type="character" w:customStyle="1" w:styleId="CaptionChar3Char">
    <w:name w:val="Caption Char3 Char"/>
    <w:aliases w:val="Caption Char2 Char Char,Caption Char Char1 Char Char,Char1 Char Char1 Char Char,Caption Char Char Char Char Char,Caption Char1 Char Char Char,Char1 Char Char Char Char Char,Char1 Char1 Char Char Char,Char1 Char2 Char Char"/>
    <w:rsid w:val="00BA595E"/>
    <w:rPr>
      <w:rFonts w:ascii="Arial" w:hAnsi="Arial" w:cs="Times New Roman"/>
      <w:b/>
      <w:bCs/>
      <w:sz w:val="24"/>
      <w:lang w:val="en-AU" w:eastAsia="en-AU" w:bidi="ar-SA"/>
    </w:rPr>
  </w:style>
  <w:style w:type="paragraph" w:customStyle="1" w:styleId="TableTextCharChar">
    <w:name w:val="TableText Char Char"/>
    <w:basedOn w:val="Normal"/>
    <w:rsid w:val="00BA595E"/>
    <w:pPr>
      <w:keepNext/>
      <w:suppressAutoHyphens/>
      <w:spacing w:before="40" w:after="40"/>
      <w:ind w:left="0"/>
    </w:pPr>
    <w:rPr>
      <w:rFonts w:ascii="Arial Narrow" w:hAnsi="Arial Narrow"/>
      <w:sz w:val="18"/>
      <w:lang w:eastAsia="en-AU"/>
    </w:rPr>
  </w:style>
  <w:style w:type="paragraph" w:customStyle="1" w:styleId="TableNotesMiddle">
    <w:name w:val="TableNotesMiddle"/>
    <w:basedOn w:val="TableNotes"/>
    <w:rsid w:val="00BA595E"/>
    <w:pPr>
      <w:spacing w:before="80" w:after="0"/>
      <w:ind w:left="850" w:hanging="130"/>
    </w:pPr>
    <w:rPr>
      <w:szCs w:val="16"/>
      <w:lang w:eastAsia="en-AU"/>
    </w:rPr>
  </w:style>
  <w:style w:type="paragraph" w:customStyle="1" w:styleId="TableNotesLast">
    <w:name w:val="TableNotesLast"/>
    <w:basedOn w:val="TableNotes"/>
    <w:rsid w:val="00BA595E"/>
    <w:pPr>
      <w:spacing w:before="80"/>
      <w:ind w:left="850" w:hanging="130"/>
    </w:pPr>
    <w:rPr>
      <w:szCs w:val="16"/>
      <w:lang w:eastAsia="en-AU"/>
    </w:rPr>
  </w:style>
  <w:style w:type="paragraph" w:customStyle="1" w:styleId="TableTextLessSpaceCharCharCharCharCharCharCharChar">
    <w:name w:val="TableTextLessSpace Char Char Char Char Char Char Char Char"/>
    <w:basedOn w:val="TableTextCharChar"/>
    <w:link w:val="TableTextLessSpaceCharCharCharCharCharCharCharCharChar"/>
    <w:rsid w:val="00BA595E"/>
    <w:pPr>
      <w:spacing w:before="20" w:after="20"/>
    </w:pPr>
    <w:rPr>
      <w:rFonts w:eastAsia="Arial Unicode MS"/>
    </w:rPr>
  </w:style>
  <w:style w:type="character" w:customStyle="1" w:styleId="TableTextLessSpaceCharCharCharCharCharCharCharCharChar">
    <w:name w:val="TableTextLessSpace Char Char Char Char Char Char Char Char Char"/>
    <w:link w:val="TableTextLessSpaceCharCharCharCharCharCharCharChar"/>
    <w:locked/>
    <w:rsid w:val="00BA595E"/>
    <w:rPr>
      <w:rFonts w:ascii="Arial Narrow" w:eastAsia="Arial Unicode MS" w:hAnsi="Arial Narrow" w:cs="Times New Roman"/>
      <w:sz w:val="18"/>
      <w:lang w:val="en-AU" w:eastAsia="en-AU" w:bidi="ar-SA"/>
    </w:rPr>
  </w:style>
  <w:style w:type="paragraph" w:customStyle="1" w:styleId="CaptionNoIndent">
    <w:name w:val="Caption No Indent"/>
    <w:basedOn w:val="Caption"/>
    <w:next w:val="BodyText"/>
    <w:rsid w:val="00BA595E"/>
    <w:pPr>
      <w:ind w:left="964"/>
    </w:pPr>
  </w:style>
  <w:style w:type="paragraph" w:customStyle="1" w:styleId="TableHeading10pt">
    <w:name w:val="TableHeading10pt"/>
    <w:basedOn w:val="TableHeading"/>
    <w:rsid w:val="00BA595E"/>
    <w:pPr>
      <w:spacing w:after="60"/>
    </w:pPr>
    <w:rPr>
      <w:sz w:val="20"/>
      <w:lang w:eastAsia="en-AU"/>
    </w:rPr>
  </w:style>
  <w:style w:type="character" w:customStyle="1" w:styleId="TableTextCharCharCharChar">
    <w:name w:val="TableText Char Char Char Char"/>
    <w:rsid w:val="00BA595E"/>
    <w:rPr>
      <w:rFonts w:ascii="Arial Narrow" w:hAnsi="Arial Narrow" w:cs="Times New Roman"/>
      <w:sz w:val="18"/>
      <w:lang w:val="en-AU" w:eastAsia="en-AU" w:bidi="ar-SA"/>
    </w:rPr>
  </w:style>
  <w:style w:type="paragraph" w:customStyle="1" w:styleId="TableNameCharCharChar">
    <w:name w:val="TableName Char Char Char"/>
    <w:basedOn w:val="Normal"/>
    <w:link w:val="TableNameCharCharCharChar"/>
    <w:rsid w:val="00BA595E"/>
    <w:pPr>
      <w:keepNext/>
      <w:spacing w:before="120" w:after="120"/>
      <w:ind w:left="1800" w:hanging="1080"/>
    </w:pPr>
    <w:rPr>
      <w:rFonts w:ascii="Arial Narrow" w:hAnsi="Arial Narrow"/>
      <w:b/>
      <w:sz w:val="20"/>
      <w:lang w:eastAsia="en-AU"/>
    </w:rPr>
  </w:style>
  <w:style w:type="character" w:customStyle="1" w:styleId="TableNameCharCharCharChar">
    <w:name w:val="TableName Char Char Char Char"/>
    <w:link w:val="TableNameCharCharChar"/>
    <w:locked/>
    <w:rsid w:val="00BA595E"/>
    <w:rPr>
      <w:rFonts w:ascii="Arial Narrow" w:hAnsi="Arial Narrow" w:cs="Times New Roman"/>
      <w:b/>
      <w:lang w:val="en-AU" w:eastAsia="en-AU" w:bidi="ar-SA"/>
    </w:rPr>
  </w:style>
  <w:style w:type="paragraph" w:customStyle="1" w:styleId="TableNotesFirst">
    <w:name w:val="TableNotesFirst"/>
    <w:basedOn w:val="TableNotes"/>
    <w:rsid w:val="00BA595E"/>
    <w:pPr>
      <w:spacing w:before="80" w:after="0"/>
      <w:ind w:left="720" w:firstLine="0"/>
    </w:pPr>
    <w:rPr>
      <w:lang w:eastAsia="en-AU"/>
    </w:rPr>
  </w:style>
  <w:style w:type="paragraph" w:customStyle="1" w:styleId="TableNotesCharCharChar">
    <w:name w:val="TableNotes Char Char Char"/>
    <w:basedOn w:val="Normal"/>
    <w:rsid w:val="00BA595E"/>
    <w:pPr>
      <w:keepLines/>
      <w:spacing w:after="360"/>
      <w:ind w:left="1440" w:hanging="720"/>
    </w:pPr>
    <w:rPr>
      <w:rFonts w:ascii="Arial Narrow" w:hAnsi="Arial Narrow"/>
      <w:sz w:val="16"/>
    </w:rPr>
  </w:style>
  <w:style w:type="paragraph" w:customStyle="1" w:styleId="TableNotesChar">
    <w:name w:val="TableNotes Char"/>
    <w:basedOn w:val="Normal"/>
    <w:rsid w:val="00BA595E"/>
    <w:pPr>
      <w:keepLines/>
      <w:spacing w:after="360"/>
      <w:ind w:left="1440" w:hanging="720"/>
    </w:pPr>
    <w:rPr>
      <w:rFonts w:ascii="Arial Narrow" w:hAnsi="Arial Narrow"/>
      <w:sz w:val="16"/>
    </w:rPr>
  </w:style>
  <w:style w:type="character" w:customStyle="1" w:styleId="TableTextCharCharCharCharChar">
    <w:name w:val="TableText Char Char Char Char Char"/>
    <w:rsid w:val="00BA595E"/>
    <w:rPr>
      <w:rFonts w:ascii="Arial Narrow" w:hAnsi="Arial Narrow" w:cs="Times New Roman"/>
      <w:sz w:val="18"/>
      <w:lang w:val="en-AU" w:eastAsia="en-AU" w:bidi="ar-SA"/>
    </w:rPr>
  </w:style>
  <w:style w:type="character" w:customStyle="1" w:styleId="TableTextChar">
    <w:name w:val="TableText Char"/>
    <w:link w:val="TableText"/>
    <w:locked/>
    <w:rsid w:val="00BA595E"/>
    <w:rPr>
      <w:rFonts w:ascii="Arial Narrow" w:hAnsi="Arial Narrow" w:cs="Times New Roman"/>
      <w:sz w:val="18"/>
      <w:lang w:val="en-AU" w:eastAsia="en-US" w:bidi="ar-SA"/>
    </w:rPr>
  </w:style>
  <w:style w:type="character" w:customStyle="1" w:styleId="TableNotesChar1">
    <w:name w:val="TableNotes Char1"/>
    <w:link w:val="TableNotes"/>
    <w:locked/>
    <w:rsid w:val="00BA595E"/>
    <w:rPr>
      <w:rFonts w:ascii="Arial Narrow" w:hAnsi="Arial Narrow" w:cs="Times New Roman"/>
      <w:sz w:val="16"/>
      <w:lang w:val="en-AU" w:eastAsia="en-US" w:bidi="ar-SA"/>
    </w:rPr>
  </w:style>
  <w:style w:type="paragraph" w:customStyle="1" w:styleId="FigureBodyTextLeft0cm">
    <w:name w:val="Figure: Body Text + Left:  0 cm"/>
    <w:basedOn w:val="BodyText"/>
    <w:rsid w:val="00BA595E"/>
    <w:pPr>
      <w:ind w:left="0"/>
    </w:pPr>
    <w:rPr>
      <w:vanish w:val="0"/>
      <w:lang w:eastAsia="en-AU"/>
    </w:rPr>
  </w:style>
  <w:style w:type="paragraph" w:customStyle="1" w:styleId="TableTest">
    <w:name w:val="Table Test"/>
    <w:basedOn w:val="TableText0"/>
    <w:rsid w:val="00BA595E"/>
    <w:pPr>
      <w:framePr w:hSpace="180" w:wrap="around" w:vAnchor="page" w:hAnchor="margin" w:y="3605"/>
      <w:spacing w:before="120" w:after="120"/>
    </w:pPr>
    <w:rPr>
      <w:rFonts w:cs="Arial"/>
      <w:b/>
      <w:sz w:val="24"/>
      <w:szCs w:val="24"/>
    </w:rPr>
  </w:style>
  <w:style w:type="paragraph" w:styleId="ListNumber">
    <w:name w:val="List Number"/>
    <w:basedOn w:val="BodyText"/>
    <w:rsid w:val="00BA595E"/>
    <w:pPr>
      <w:tabs>
        <w:tab w:val="num" w:pos="1440"/>
      </w:tabs>
      <w:ind w:left="1440" w:hanging="720"/>
    </w:pPr>
    <w:rPr>
      <w:vanish w:val="0"/>
      <w:color w:val="auto"/>
      <w:szCs w:val="24"/>
      <w:lang w:eastAsia="en-AU"/>
    </w:rPr>
  </w:style>
  <w:style w:type="character" w:customStyle="1" w:styleId="apple-converted-space">
    <w:name w:val="apple-converted-space"/>
    <w:basedOn w:val="DefaultParagraphFont"/>
    <w:rsid w:val="00D23CD7"/>
  </w:style>
  <w:style w:type="character" w:customStyle="1" w:styleId="NormalWebChar1">
    <w:name w:val="Normal (Web) Char1"/>
    <w:link w:val="NormalWeb"/>
    <w:rsid w:val="00185EF4"/>
    <w:rPr>
      <w:rFonts w:eastAsia="SimSun"/>
      <w:color w:val="000000"/>
      <w:sz w:val="24"/>
      <w:szCs w:val="24"/>
      <w:lang w:val="en-US" w:eastAsia="en-US" w:bidi="ar-SA"/>
    </w:rPr>
  </w:style>
  <w:style w:type="character" w:customStyle="1" w:styleId="apple-style-span">
    <w:name w:val="apple-style-span"/>
    <w:basedOn w:val="DefaultParagraphFont"/>
    <w:rsid w:val="00404298"/>
  </w:style>
  <w:style w:type="character" w:customStyle="1" w:styleId="NHMRCClinicalTrialsCentre">
    <w:name w:val="NHMRC Clinical Trials Centre"/>
    <w:semiHidden/>
    <w:rsid w:val="00D0290F"/>
    <w:rPr>
      <w:rFonts w:ascii="Arial" w:hAnsi="Arial" w:cs="Arial"/>
      <w:color w:val="000080"/>
      <w:sz w:val="20"/>
      <w:szCs w:val="20"/>
    </w:rPr>
  </w:style>
  <w:style w:type="paragraph" w:customStyle="1" w:styleId="CharCharChar">
    <w:name w:val="Char Char Char"/>
    <w:basedOn w:val="Normal"/>
    <w:rsid w:val="001F4398"/>
    <w:pPr>
      <w:spacing w:after="160" w:line="240" w:lineRule="exact"/>
      <w:ind w:left="0"/>
    </w:pPr>
    <w:rPr>
      <w:rFonts w:ascii="Tahoma" w:eastAsia="Times New Roman" w:hAnsi="Tahoma" w:cs="Tahoma"/>
      <w:sz w:val="20"/>
      <w:lang w:val="en-US"/>
    </w:rPr>
  </w:style>
  <w:style w:type="character" w:customStyle="1" w:styleId="Heading1Char">
    <w:name w:val="Heading 1 Char"/>
    <w:locked/>
    <w:rsid w:val="00E5797A"/>
    <w:rPr>
      <w:rFonts w:ascii="Cambria" w:hAnsi="Cambria" w:cs="Times New Roman"/>
      <w:b/>
      <w:bCs/>
      <w:kern w:val="32"/>
      <w:sz w:val="32"/>
      <w:szCs w:val="32"/>
      <w:lang w:val="x-none" w:eastAsia="en-US"/>
    </w:rPr>
  </w:style>
  <w:style w:type="character" w:customStyle="1" w:styleId="Heading2Char1">
    <w:name w:val="Heading 2 Char1"/>
    <w:aliases w:val="Heading 2 Char Char"/>
    <w:semiHidden/>
    <w:locked/>
    <w:rsid w:val="00E5797A"/>
    <w:rPr>
      <w:rFonts w:ascii="Cambria" w:hAnsi="Cambria" w:cs="Times New Roman"/>
      <w:b/>
      <w:bCs/>
      <w:i/>
      <w:iCs/>
      <w:sz w:val="28"/>
      <w:szCs w:val="28"/>
      <w:lang w:val="x-none" w:eastAsia="en-US"/>
    </w:rPr>
  </w:style>
  <w:style w:type="character" w:customStyle="1" w:styleId="Heading3Char">
    <w:name w:val="Heading 3 Char"/>
    <w:semiHidden/>
    <w:locked/>
    <w:rsid w:val="00E5797A"/>
    <w:rPr>
      <w:rFonts w:ascii="Cambria" w:hAnsi="Cambria" w:cs="Times New Roman"/>
      <w:b/>
      <w:bCs/>
      <w:sz w:val="26"/>
      <w:szCs w:val="26"/>
      <w:lang w:val="x-none" w:eastAsia="en-US"/>
    </w:rPr>
  </w:style>
  <w:style w:type="character" w:customStyle="1" w:styleId="Heading4Char">
    <w:name w:val="Heading 4 Char"/>
    <w:semiHidden/>
    <w:locked/>
    <w:rsid w:val="00E5797A"/>
    <w:rPr>
      <w:rFonts w:ascii="Calibri" w:hAnsi="Calibri" w:cs="Times New Roman"/>
      <w:b/>
      <w:bCs/>
      <w:sz w:val="28"/>
      <w:szCs w:val="28"/>
      <w:lang w:val="x-none" w:eastAsia="en-US"/>
    </w:rPr>
  </w:style>
  <w:style w:type="character" w:customStyle="1" w:styleId="Heading5Char">
    <w:name w:val="Heading 5 Char"/>
    <w:semiHidden/>
    <w:locked/>
    <w:rsid w:val="00E5797A"/>
    <w:rPr>
      <w:rFonts w:ascii="Calibri" w:hAnsi="Calibri" w:cs="Times New Roman"/>
      <w:b/>
      <w:bCs/>
      <w:i/>
      <w:iCs/>
      <w:sz w:val="26"/>
      <w:szCs w:val="26"/>
      <w:lang w:val="x-none" w:eastAsia="en-US"/>
    </w:rPr>
  </w:style>
  <w:style w:type="character" w:customStyle="1" w:styleId="Heading6Char">
    <w:name w:val="Heading 6 Char"/>
    <w:semiHidden/>
    <w:locked/>
    <w:rsid w:val="00E5797A"/>
    <w:rPr>
      <w:rFonts w:ascii="Calibri" w:hAnsi="Calibri" w:cs="Times New Roman"/>
      <w:b/>
      <w:bCs/>
      <w:sz w:val="22"/>
      <w:szCs w:val="22"/>
      <w:lang w:val="x-none" w:eastAsia="en-US"/>
    </w:rPr>
  </w:style>
  <w:style w:type="character" w:customStyle="1" w:styleId="Heading7Char">
    <w:name w:val="Heading 7 Char"/>
    <w:semiHidden/>
    <w:locked/>
    <w:rsid w:val="00E5797A"/>
    <w:rPr>
      <w:rFonts w:ascii="Calibri" w:hAnsi="Calibri" w:cs="Times New Roman"/>
      <w:sz w:val="24"/>
      <w:szCs w:val="24"/>
      <w:lang w:val="x-none" w:eastAsia="en-US"/>
    </w:rPr>
  </w:style>
  <w:style w:type="character" w:customStyle="1" w:styleId="Heading8Char">
    <w:name w:val="Heading 8 Char"/>
    <w:semiHidden/>
    <w:locked/>
    <w:rsid w:val="00E5797A"/>
    <w:rPr>
      <w:rFonts w:ascii="Calibri" w:hAnsi="Calibri" w:cs="Times New Roman"/>
      <w:i/>
      <w:iCs/>
      <w:sz w:val="24"/>
      <w:szCs w:val="24"/>
      <w:lang w:val="x-none" w:eastAsia="en-US"/>
    </w:rPr>
  </w:style>
  <w:style w:type="character" w:customStyle="1" w:styleId="Heading9Char">
    <w:name w:val="Heading 9 Char"/>
    <w:semiHidden/>
    <w:locked/>
    <w:rsid w:val="00E5797A"/>
    <w:rPr>
      <w:rFonts w:ascii="Cambria" w:hAnsi="Cambria" w:cs="Times New Roman"/>
      <w:sz w:val="22"/>
      <w:szCs w:val="22"/>
      <w:lang w:val="x-none" w:eastAsia="en-US"/>
    </w:rPr>
  </w:style>
  <w:style w:type="character" w:customStyle="1" w:styleId="CommentTextChar">
    <w:name w:val="Comment Text Char"/>
    <w:semiHidden/>
    <w:locked/>
    <w:rsid w:val="00E5797A"/>
    <w:rPr>
      <w:rFonts w:ascii="Garamond" w:hAnsi="Garamond" w:cs="Times New Roman"/>
      <w:lang w:val="x-none" w:eastAsia="en-US"/>
    </w:rPr>
  </w:style>
  <w:style w:type="character" w:customStyle="1" w:styleId="DateChar">
    <w:name w:val="Date Char"/>
    <w:semiHidden/>
    <w:locked/>
    <w:rsid w:val="00E5797A"/>
    <w:rPr>
      <w:rFonts w:ascii="Garamond" w:hAnsi="Garamond" w:cs="Times New Roman"/>
      <w:sz w:val="24"/>
      <w:lang w:val="x-none" w:eastAsia="en-US"/>
    </w:rPr>
  </w:style>
  <w:style w:type="character" w:customStyle="1" w:styleId="DocumentMapChar">
    <w:name w:val="Document Map Char"/>
    <w:semiHidden/>
    <w:locked/>
    <w:rsid w:val="00E5797A"/>
    <w:rPr>
      <w:rFonts w:cs="Times New Roman"/>
      <w:sz w:val="2"/>
      <w:lang w:val="x-none" w:eastAsia="en-US"/>
    </w:rPr>
  </w:style>
  <w:style w:type="character" w:customStyle="1" w:styleId="FooterChar">
    <w:name w:val="Footer Char"/>
    <w:semiHidden/>
    <w:locked/>
    <w:rsid w:val="00E5797A"/>
    <w:rPr>
      <w:rFonts w:ascii="Garamond" w:hAnsi="Garamond" w:cs="Times New Roman"/>
      <w:sz w:val="24"/>
      <w:lang w:val="x-none" w:eastAsia="en-US"/>
    </w:rPr>
  </w:style>
  <w:style w:type="character" w:customStyle="1" w:styleId="FootnoteTextChar">
    <w:name w:val="Footnote Text Char"/>
    <w:semiHidden/>
    <w:locked/>
    <w:rsid w:val="00E5797A"/>
    <w:rPr>
      <w:rFonts w:ascii="Garamond" w:hAnsi="Garamond" w:cs="Times New Roman"/>
      <w:lang w:val="x-none" w:eastAsia="en-US"/>
    </w:rPr>
  </w:style>
  <w:style w:type="character" w:customStyle="1" w:styleId="HeaderChar">
    <w:name w:val="Header Char"/>
    <w:semiHidden/>
    <w:locked/>
    <w:rsid w:val="00E5797A"/>
    <w:rPr>
      <w:rFonts w:ascii="Garamond" w:hAnsi="Garamond" w:cs="Times New Roman"/>
      <w:sz w:val="24"/>
      <w:lang w:val="x-none" w:eastAsia="en-US"/>
    </w:rPr>
  </w:style>
  <w:style w:type="character" w:customStyle="1" w:styleId="TitleChar">
    <w:name w:val="Title Char"/>
    <w:locked/>
    <w:rsid w:val="00E5797A"/>
    <w:rPr>
      <w:rFonts w:ascii="Cambria" w:hAnsi="Cambria" w:cs="Times New Roman"/>
      <w:b/>
      <w:bCs/>
      <w:kern w:val="28"/>
      <w:sz w:val="32"/>
      <w:szCs w:val="32"/>
      <w:lang w:val="x-none" w:eastAsia="en-US"/>
    </w:rPr>
  </w:style>
  <w:style w:type="character" w:customStyle="1" w:styleId="BodyTextChar">
    <w:name w:val="Body Text Char"/>
    <w:semiHidden/>
    <w:locked/>
    <w:rsid w:val="00E5797A"/>
    <w:rPr>
      <w:rFonts w:ascii="Garamond" w:hAnsi="Garamond" w:cs="Times New Roman"/>
      <w:sz w:val="24"/>
      <w:lang w:val="x-none" w:eastAsia="en-US"/>
    </w:rPr>
  </w:style>
  <w:style w:type="character" w:customStyle="1" w:styleId="BodyTextIndentChar">
    <w:name w:val="Body Text Indent Char"/>
    <w:semiHidden/>
    <w:locked/>
    <w:rsid w:val="00E5797A"/>
    <w:rPr>
      <w:rFonts w:ascii="Garamond" w:hAnsi="Garamond" w:cs="Times New Roman"/>
      <w:sz w:val="24"/>
      <w:lang w:val="x-none" w:eastAsia="en-US"/>
    </w:rPr>
  </w:style>
  <w:style w:type="character" w:customStyle="1" w:styleId="BodyTextIndent2Char">
    <w:name w:val="Body Text Indent 2 Char"/>
    <w:semiHidden/>
    <w:locked/>
    <w:rsid w:val="00E5797A"/>
    <w:rPr>
      <w:rFonts w:ascii="Garamond" w:hAnsi="Garamond" w:cs="Times New Roman"/>
      <w:sz w:val="24"/>
      <w:lang w:val="x-none" w:eastAsia="en-US"/>
    </w:rPr>
  </w:style>
  <w:style w:type="character" w:customStyle="1" w:styleId="BodyTextIndent3Char">
    <w:name w:val="Body Text Indent 3 Char"/>
    <w:semiHidden/>
    <w:locked/>
    <w:rsid w:val="00E5797A"/>
    <w:rPr>
      <w:rFonts w:ascii="Garamond" w:hAnsi="Garamond" w:cs="Times New Roman"/>
      <w:sz w:val="16"/>
      <w:szCs w:val="16"/>
      <w:lang w:val="x-none" w:eastAsia="en-US"/>
    </w:rPr>
  </w:style>
  <w:style w:type="character" w:customStyle="1" w:styleId="BalloonTextChar">
    <w:name w:val="Balloon Text Char"/>
    <w:semiHidden/>
    <w:locked/>
    <w:rsid w:val="00E5797A"/>
    <w:rPr>
      <w:rFonts w:cs="Times New Roman"/>
      <w:sz w:val="2"/>
      <w:lang w:val="x-none" w:eastAsia="en-US"/>
    </w:rPr>
  </w:style>
  <w:style w:type="character" w:customStyle="1" w:styleId="BodyText2Char">
    <w:name w:val="Body Text 2 Char"/>
    <w:semiHidden/>
    <w:locked/>
    <w:rsid w:val="00E5797A"/>
    <w:rPr>
      <w:rFonts w:ascii="Garamond" w:hAnsi="Garamond" w:cs="Times New Roman"/>
      <w:sz w:val="24"/>
      <w:lang w:val="x-none" w:eastAsia="en-US"/>
    </w:rPr>
  </w:style>
  <w:style w:type="character" w:customStyle="1" w:styleId="CommentSubjectChar">
    <w:name w:val="Comment Subject Char"/>
    <w:semiHidden/>
    <w:locked/>
    <w:rsid w:val="00E5797A"/>
    <w:rPr>
      <w:rFonts w:ascii="Garamond" w:hAnsi="Garamond" w:cs="Times New Roman"/>
      <w:b/>
      <w:bCs/>
      <w:lang w:val="x-none" w:eastAsia="en-US"/>
    </w:rPr>
  </w:style>
  <w:style w:type="character" w:customStyle="1" w:styleId="NormalWebChar">
    <w:name w:val="Normal (Web) Char"/>
    <w:rsid w:val="00E5797A"/>
    <w:rPr>
      <w:rFonts w:eastAsia="SimSun"/>
      <w:color w:val="000000"/>
      <w:sz w:val="24"/>
      <w:szCs w:val="24"/>
      <w:lang w:val="en-US" w:eastAsia="en-US" w:bidi="ar-SA"/>
    </w:rPr>
  </w:style>
  <w:style w:type="character" w:styleId="Emphasis">
    <w:name w:val="Emphasis"/>
    <w:basedOn w:val="DefaultParagraphFont"/>
    <w:qFormat/>
    <w:locked/>
    <w:rsid w:val="00C97E4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able of figures"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595E"/>
    <w:pPr>
      <w:spacing w:after="240"/>
      <w:ind w:left="720"/>
    </w:pPr>
    <w:rPr>
      <w:rFonts w:ascii="Garamond" w:hAnsi="Garamond"/>
      <w:sz w:val="24"/>
      <w:lang w:eastAsia="en-US"/>
    </w:rPr>
  </w:style>
  <w:style w:type="paragraph" w:styleId="Heading1">
    <w:name w:val="heading 1"/>
    <w:basedOn w:val="Normal"/>
    <w:next w:val="Normal"/>
    <w:link w:val="Heading1Char1"/>
    <w:qFormat/>
    <w:rsid w:val="00BA595E"/>
    <w:pPr>
      <w:keepNext/>
      <w:pageBreakBefore/>
      <w:pBdr>
        <w:bottom w:val="single" w:sz="4" w:space="1" w:color="auto"/>
      </w:pBdr>
      <w:spacing w:after="360"/>
      <w:outlineLvl w:val="0"/>
    </w:pPr>
    <w:rPr>
      <w:rFonts w:ascii="Tahoma" w:hAnsi="Tahoma"/>
      <w:b/>
      <w:sz w:val="40"/>
    </w:rPr>
  </w:style>
  <w:style w:type="paragraph" w:styleId="Heading2">
    <w:name w:val="heading 2"/>
    <w:aliases w:val="Heading 2 Char"/>
    <w:basedOn w:val="Normal"/>
    <w:next w:val="Normal"/>
    <w:link w:val="Heading2Char2"/>
    <w:qFormat/>
    <w:rsid w:val="00BA595E"/>
    <w:pPr>
      <w:keepNext/>
      <w:spacing w:before="240"/>
      <w:outlineLvl w:val="1"/>
    </w:pPr>
    <w:rPr>
      <w:rFonts w:ascii="Tahoma" w:hAnsi="Tahoma"/>
      <w:b/>
      <w:sz w:val="28"/>
    </w:rPr>
  </w:style>
  <w:style w:type="paragraph" w:styleId="Heading3">
    <w:name w:val="heading 3"/>
    <w:basedOn w:val="Normal"/>
    <w:next w:val="Normal"/>
    <w:link w:val="Heading3Char1"/>
    <w:autoRedefine/>
    <w:qFormat/>
    <w:rsid w:val="00BA595E"/>
    <w:pPr>
      <w:keepNext/>
      <w:keepLines/>
      <w:spacing w:before="240"/>
      <w:ind w:left="710"/>
      <w:outlineLvl w:val="2"/>
    </w:pPr>
    <w:rPr>
      <w:rFonts w:ascii="Tahoma" w:hAnsi="Tahoma" w:cs="Tahoma"/>
      <w:b/>
      <w:bCs/>
      <w:sz w:val="22"/>
      <w:szCs w:val="24"/>
    </w:rPr>
  </w:style>
  <w:style w:type="paragraph" w:styleId="Heading4">
    <w:name w:val="heading 4"/>
    <w:basedOn w:val="Normal"/>
    <w:next w:val="Normal"/>
    <w:link w:val="Heading4Char1"/>
    <w:qFormat/>
    <w:rsid w:val="00BA595E"/>
    <w:pPr>
      <w:keepNext/>
      <w:spacing w:before="120" w:after="120"/>
      <w:outlineLvl w:val="3"/>
    </w:pPr>
    <w:rPr>
      <w:rFonts w:ascii="Tahoma" w:hAnsi="Tahoma"/>
      <w:b/>
      <w:sz w:val="20"/>
    </w:rPr>
  </w:style>
  <w:style w:type="paragraph" w:styleId="Heading5">
    <w:name w:val="heading 5"/>
    <w:basedOn w:val="Normal"/>
    <w:next w:val="Normal"/>
    <w:link w:val="Heading5Char1"/>
    <w:qFormat/>
    <w:rsid w:val="00BA595E"/>
    <w:pPr>
      <w:keepNext/>
      <w:spacing w:after="60"/>
      <w:outlineLvl w:val="4"/>
    </w:pPr>
    <w:rPr>
      <w:b/>
    </w:rPr>
  </w:style>
  <w:style w:type="paragraph" w:styleId="Heading6">
    <w:name w:val="heading 6"/>
    <w:basedOn w:val="Normal"/>
    <w:next w:val="Normal"/>
    <w:link w:val="Heading6Char1"/>
    <w:qFormat/>
    <w:rsid w:val="00BA595E"/>
    <w:pPr>
      <w:keepNext/>
      <w:outlineLvl w:val="5"/>
    </w:pPr>
    <w:rPr>
      <w:b/>
      <w:i/>
    </w:rPr>
  </w:style>
  <w:style w:type="paragraph" w:styleId="Heading7">
    <w:name w:val="heading 7"/>
    <w:basedOn w:val="Normal"/>
    <w:next w:val="Normal"/>
    <w:link w:val="Heading7Char1"/>
    <w:qFormat/>
    <w:rsid w:val="00BA595E"/>
    <w:pPr>
      <w:keepNext/>
      <w:outlineLvl w:val="6"/>
    </w:pPr>
    <w:rPr>
      <w:i/>
    </w:rPr>
  </w:style>
  <w:style w:type="paragraph" w:styleId="Heading8">
    <w:name w:val="heading 8"/>
    <w:basedOn w:val="Normal"/>
    <w:next w:val="Normal"/>
    <w:link w:val="Heading8Char1"/>
    <w:qFormat/>
    <w:rsid w:val="00BA595E"/>
    <w:pPr>
      <w:keepNext/>
      <w:outlineLvl w:val="7"/>
    </w:pPr>
    <w:rPr>
      <w:u w:val="single"/>
    </w:rPr>
  </w:style>
  <w:style w:type="paragraph" w:styleId="Heading9">
    <w:name w:val="heading 9"/>
    <w:basedOn w:val="Normal"/>
    <w:next w:val="Normal"/>
    <w:link w:val="Heading9Char1"/>
    <w:qFormat/>
    <w:rsid w:val="00BA595E"/>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Pr>
      <w:rFonts w:ascii="Cambria" w:hAnsi="Cambria" w:cs="Times New Roman"/>
      <w:b/>
      <w:bCs/>
      <w:kern w:val="32"/>
      <w:sz w:val="32"/>
      <w:szCs w:val="32"/>
      <w:lang w:val="x-none" w:eastAsia="en-US"/>
    </w:rPr>
  </w:style>
  <w:style w:type="character" w:customStyle="1" w:styleId="Heading2Char2">
    <w:name w:val="Heading 2 Char2"/>
    <w:aliases w:val="Heading 2 Char Char1"/>
    <w:link w:val="Heading2"/>
    <w:semiHidden/>
    <w:locked/>
    <w:rPr>
      <w:rFonts w:ascii="Cambria" w:hAnsi="Cambria" w:cs="Times New Roman"/>
      <w:b/>
      <w:bCs/>
      <w:i/>
      <w:iCs/>
      <w:sz w:val="28"/>
      <w:szCs w:val="28"/>
      <w:lang w:val="x-none" w:eastAsia="en-US"/>
    </w:rPr>
  </w:style>
  <w:style w:type="character" w:customStyle="1" w:styleId="Heading3Char1">
    <w:name w:val="Heading 3 Char1"/>
    <w:link w:val="Heading3"/>
    <w:semiHidden/>
    <w:locked/>
    <w:rPr>
      <w:rFonts w:ascii="Cambria" w:hAnsi="Cambria" w:cs="Times New Roman"/>
      <w:b/>
      <w:bCs/>
      <w:sz w:val="26"/>
      <w:szCs w:val="26"/>
      <w:lang w:val="x-none" w:eastAsia="en-US"/>
    </w:rPr>
  </w:style>
  <w:style w:type="character" w:customStyle="1" w:styleId="Heading4Char1">
    <w:name w:val="Heading 4 Char1"/>
    <w:link w:val="Heading4"/>
    <w:semiHidden/>
    <w:locked/>
    <w:rPr>
      <w:rFonts w:ascii="Calibri" w:hAnsi="Calibri" w:cs="Times New Roman"/>
      <w:b/>
      <w:bCs/>
      <w:sz w:val="28"/>
      <w:szCs w:val="28"/>
      <w:lang w:val="x-none" w:eastAsia="en-US"/>
    </w:rPr>
  </w:style>
  <w:style w:type="character" w:customStyle="1" w:styleId="Heading5Char1">
    <w:name w:val="Heading 5 Char1"/>
    <w:link w:val="Heading5"/>
    <w:semiHidden/>
    <w:locked/>
    <w:rPr>
      <w:rFonts w:ascii="Calibri" w:hAnsi="Calibri" w:cs="Times New Roman"/>
      <w:b/>
      <w:bCs/>
      <w:i/>
      <w:iCs/>
      <w:sz w:val="26"/>
      <w:szCs w:val="26"/>
      <w:lang w:val="x-none" w:eastAsia="en-US"/>
    </w:rPr>
  </w:style>
  <w:style w:type="character" w:customStyle="1" w:styleId="Heading6Char1">
    <w:name w:val="Heading 6 Char1"/>
    <w:link w:val="Heading6"/>
    <w:semiHidden/>
    <w:locked/>
    <w:rPr>
      <w:rFonts w:ascii="Calibri" w:hAnsi="Calibri" w:cs="Times New Roman"/>
      <w:b/>
      <w:bCs/>
      <w:sz w:val="22"/>
      <w:szCs w:val="22"/>
      <w:lang w:val="x-none" w:eastAsia="en-US"/>
    </w:rPr>
  </w:style>
  <w:style w:type="character" w:customStyle="1" w:styleId="Heading7Char1">
    <w:name w:val="Heading 7 Char1"/>
    <w:link w:val="Heading7"/>
    <w:semiHidden/>
    <w:locked/>
    <w:rPr>
      <w:rFonts w:ascii="Calibri" w:hAnsi="Calibri" w:cs="Times New Roman"/>
      <w:sz w:val="24"/>
      <w:szCs w:val="24"/>
      <w:lang w:val="x-none" w:eastAsia="en-US"/>
    </w:rPr>
  </w:style>
  <w:style w:type="character" w:customStyle="1" w:styleId="Heading8Char1">
    <w:name w:val="Heading 8 Char1"/>
    <w:link w:val="Heading8"/>
    <w:semiHidden/>
    <w:locked/>
    <w:rPr>
      <w:rFonts w:ascii="Calibri" w:hAnsi="Calibri" w:cs="Times New Roman"/>
      <w:i/>
      <w:iCs/>
      <w:sz w:val="24"/>
      <w:szCs w:val="24"/>
      <w:lang w:val="x-none" w:eastAsia="en-US"/>
    </w:rPr>
  </w:style>
  <w:style w:type="character" w:customStyle="1" w:styleId="Heading9Char1">
    <w:name w:val="Heading 9 Char1"/>
    <w:link w:val="Heading9"/>
    <w:semiHidden/>
    <w:locked/>
    <w:rPr>
      <w:rFonts w:ascii="Cambria" w:hAnsi="Cambria" w:cs="Times New Roman"/>
      <w:sz w:val="22"/>
      <w:szCs w:val="22"/>
      <w:lang w:val="x-none" w:eastAsia="en-US"/>
    </w:rPr>
  </w:style>
  <w:style w:type="paragraph" w:customStyle="1" w:styleId="Bullet">
    <w:name w:val="Bullet"/>
    <w:basedOn w:val="Normal"/>
    <w:rsid w:val="00BA595E"/>
    <w:pPr>
      <w:numPr>
        <w:numId w:val="1"/>
      </w:numPr>
    </w:pPr>
  </w:style>
  <w:style w:type="character" w:styleId="CommentReference">
    <w:name w:val="annotation reference"/>
    <w:semiHidden/>
    <w:rsid w:val="00BA595E"/>
    <w:rPr>
      <w:rFonts w:cs="Times New Roman"/>
      <w:sz w:val="16"/>
    </w:rPr>
  </w:style>
  <w:style w:type="paragraph" w:styleId="CommentText">
    <w:name w:val="annotation text"/>
    <w:basedOn w:val="Normal"/>
    <w:link w:val="CommentTextChar1"/>
    <w:semiHidden/>
    <w:rsid w:val="00BA595E"/>
    <w:rPr>
      <w:sz w:val="20"/>
    </w:rPr>
  </w:style>
  <w:style w:type="character" w:customStyle="1" w:styleId="CommentTextChar1">
    <w:name w:val="Comment Text Char1"/>
    <w:link w:val="CommentText"/>
    <w:semiHidden/>
    <w:locked/>
    <w:rPr>
      <w:rFonts w:ascii="Garamond" w:hAnsi="Garamond" w:cs="Times New Roman"/>
      <w:lang w:val="x-none" w:eastAsia="en-US"/>
    </w:rPr>
  </w:style>
  <w:style w:type="paragraph" w:styleId="Date">
    <w:name w:val="Date"/>
    <w:basedOn w:val="Normal"/>
    <w:next w:val="Normal"/>
    <w:link w:val="DateChar1"/>
    <w:rsid w:val="00BA595E"/>
    <w:pPr>
      <w:ind w:right="113"/>
      <w:jc w:val="right"/>
    </w:pPr>
    <w:rPr>
      <w:rFonts w:ascii="Arial" w:hAnsi="Arial"/>
      <w:b/>
      <w:sz w:val="36"/>
    </w:rPr>
  </w:style>
  <w:style w:type="character" w:customStyle="1" w:styleId="DateChar1">
    <w:name w:val="Date Char1"/>
    <w:link w:val="Date"/>
    <w:semiHidden/>
    <w:locked/>
    <w:rPr>
      <w:rFonts w:ascii="Garamond" w:hAnsi="Garamond" w:cs="Times New Roman"/>
      <w:sz w:val="24"/>
      <w:lang w:val="x-none" w:eastAsia="en-US"/>
    </w:rPr>
  </w:style>
  <w:style w:type="paragraph" w:styleId="DocumentMap">
    <w:name w:val="Document Map"/>
    <w:basedOn w:val="Normal"/>
    <w:link w:val="DocumentMapChar1"/>
    <w:semiHidden/>
    <w:rsid w:val="00BA595E"/>
    <w:pPr>
      <w:shd w:val="clear" w:color="auto" w:fill="000080"/>
    </w:pPr>
    <w:rPr>
      <w:rFonts w:ascii="Tahoma" w:hAnsi="Tahoma"/>
    </w:rPr>
  </w:style>
  <w:style w:type="character" w:customStyle="1" w:styleId="DocumentMapChar1">
    <w:name w:val="Document Map Char1"/>
    <w:link w:val="DocumentMap"/>
    <w:semiHidden/>
    <w:locked/>
    <w:rPr>
      <w:rFonts w:cs="Times New Roman"/>
      <w:sz w:val="2"/>
      <w:lang w:val="x-none" w:eastAsia="en-US"/>
    </w:rPr>
  </w:style>
  <w:style w:type="paragraph" w:styleId="Footer">
    <w:name w:val="footer"/>
    <w:basedOn w:val="Normal"/>
    <w:link w:val="FooterChar1"/>
    <w:rsid w:val="00BA595E"/>
    <w:pPr>
      <w:pBdr>
        <w:top w:val="single" w:sz="4" w:space="9" w:color="auto"/>
      </w:pBdr>
      <w:tabs>
        <w:tab w:val="right" w:pos="9000"/>
      </w:tabs>
    </w:pPr>
    <w:rPr>
      <w:rFonts w:ascii="Arial" w:hAnsi="Arial"/>
      <w:b/>
      <w:sz w:val="20"/>
    </w:rPr>
  </w:style>
  <w:style w:type="character" w:customStyle="1" w:styleId="FooterChar1">
    <w:name w:val="Footer Char1"/>
    <w:link w:val="Footer"/>
    <w:semiHidden/>
    <w:locked/>
    <w:rPr>
      <w:rFonts w:ascii="Garamond" w:hAnsi="Garamond" w:cs="Times New Roman"/>
      <w:sz w:val="24"/>
      <w:lang w:val="x-none" w:eastAsia="en-US"/>
    </w:rPr>
  </w:style>
  <w:style w:type="character" w:styleId="FootnoteReference">
    <w:name w:val="footnote reference"/>
    <w:semiHidden/>
    <w:rsid w:val="00BA595E"/>
    <w:rPr>
      <w:rFonts w:cs="Times New Roman"/>
      <w:vertAlign w:val="superscript"/>
    </w:rPr>
  </w:style>
  <w:style w:type="paragraph" w:styleId="FootnoteText">
    <w:name w:val="footnote text"/>
    <w:basedOn w:val="Normal"/>
    <w:link w:val="FootnoteTextChar1"/>
    <w:semiHidden/>
    <w:rsid w:val="00BA595E"/>
    <w:rPr>
      <w:sz w:val="20"/>
    </w:rPr>
  </w:style>
  <w:style w:type="character" w:customStyle="1" w:styleId="FootnoteTextChar1">
    <w:name w:val="Footnote Text Char1"/>
    <w:link w:val="FootnoteText"/>
    <w:semiHidden/>
    <w:locked/>
    <w:rPr>
      <w:rFonts w:ascii="Garamond" w:hAnsi="Garamond" w:cs="Times New Roman"/>
      <w:lang w:val="x-none" w:eastAsia="en-US"/>
    </w:rPr>
  </w:style>
  <w:style w:type="paragraph" w:styleId="Header">
    <w:name w:val="header"/>
    <w:basedOn w:val="Normal"/>
    <w:link w:val="HeaderChar1"/>
    <w:rsid w:val="00BA595E"/>
    <w:pPr>
      <w:tabs>
        <w:tab w:val="center" w:pos="4153"/>
        <w:tab w:val="right" w:pos="8306"/>
      </w:tabs>
    </w:pPr>
  </w:style>
  <w:style w:type="character" w:customStyle="1" w:styleId="HeaderChar1">
    <w:name w:val="Header Char1"/>
    <w:link w:val="Header"/>
    <w:semiHidden/>
    <w:locked/>
    <w:rPr>
      <w:rFonts w:ascii="Garamond" w:hAnsi="Garamond" w:cs="Times New Roman"/>
      <w:sz w:val="24"/>
      <w:lang w:val="x-none" w:eastAsia="en-US"/>
    </w:rPr>
  </w:style>
  <w:style w:type="paragraph" w:customStyle="1" w:styleId="Heading1a">
    <w:name w:val="Heading 1a"/>
    <w:basedOn w:val="Heading1"/>
    <w:rsid w:val="00BA595E"/>
    <w:pPr>
      <w:outlineLvl w:val="9"/>
    </w:pPr>
  </w:style>
  <w:style w:type="paragraph" w:customStyle="1" w:styleId="Heading2a">
    <w:name w:val="Heading 2a"/>
    <w:basedOn w:val="Heading2"/>
    <w:rsid w:val="00BA595E"/>
    <w:pPr>
      <w:outlineLvl w:val="9"/>
    </w:pPr>
  </w:style>
  <w:style w:type="paragraph" w:customStyle="1" w:styleId="Heading3a">
    <w:name w:val="Heading 3a"/>
    <w:basedOn w:val="Heading3"/>
    <w:rsid w:val="00BA595E"/>
    <w:pPr>
      <w:outlineLvl w:val="9"/>
    </w:pPr>
  </w:style>
  <w:style w:type="character" w:styleId="PageNumber">
    <w:name w:val="page number"/>
    <w:rsid w:val="00BA595E"/>
    <w:rPr>
      <w:rFonts w:ascii="Tahoma" w:hAnsi="Tahoma" w:cs="Times New Roman"/>
      <w:b/>
      <w:sz w:val="18"/>
    </w:rPr>
  </w:style>
  <w:style w:type="paragraph" w:customStyle="1" w:styleId="PublicationTitle">
    <w:name w:val="PublicationTitle"/>
    <w:basedOn w:val="Normal"/>
    <w:rsid w:val="00BA595E"/>
    <w:pPr>
      <w:spacing w:line="480" w:lineRule="exact"/>
      <w:ind w:left="0" w:right="113"/>
      <w:jc w:val="right"/>
    </w:pPr>
    <w:rPr>
      <w:rFonts w:ascii="Arial" w:hAnsi="Arial"/>
      <w:b/>
      <w:i/>
      <w:sz w:val="44"/>
    </w:rPr>
  </w:style>
  <w:style w:type="paragraph" w:customStyle="1" w:styleId="QuoteBullet">
    <w:name w:val="Quote Bullet"/>
    <w:basedOn w:val="Normal"/>
    <w:rsid w:val="00BA595E"/>
    <w:pPr>
      <w:numPr>
        <w:numId w:val="3"/>
      </w:numPr>
    </w:pPr>
  </w:style>
  <w:style w:type="paragraph" w:customStyle="1" w:styleId="References">
    <w:name w:val="References"/>
    <w:basedOn w:val="Normal"/>
    <w:rsid w:val="00BA595E"/>
    <w:pPr>
      <w:keepLines/>
      <w:ind w:left="1440" w:hanging="720"/>
    </w:pPr>
  </w:style>
  <w:style w:type="paragraph" w:customStyle="1" w:styleId="Sub-title">
    <w:name w:val="Sub-title"/>
    <w:basedOn w:val="Normal"/>
    <w:rsid w:val="00BA595E"/>
    <w:pPr>
      <w:ind w:left="0" w:right="113"/>
      <w:jc w:val="right"/>
    </w:pPr>
    <w:rPr>
      <w:rFonts w:ascii="Arial" w:hAnsi="Arial"/>
      <w:b/>
      <w:sz w:val="32"/>
    </w:rPr>
  </w:style>
  <w:style w:type="paragraph" w:styleId="TableofFigures">
    <w:name w:val="table of figures"/>
    <w:basedOn w:val="Normal"/>
    <w:next w:val="Normal"/>
    <w:uiPriority w:val="99"/>
    <w:rsid w:val="00BA595E"/>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BA595E"/>
    <w:pPr>
      <w:keepNext/>
      <w:spacing w:before="40" w:after="40"/>
      <w:ind w:left="0"/>
    </w:pPr>
    <w:rPr>
      <w:rFonts w:ascii="Arial Narrow" w:hAnsi="Arial Narrow"/>
      <w:sz w:val="18"/>
    </w:rPr>
  </w:style>
  <w:style w:type="paragraph" w:customStyle="1" w:styleId="TableHeading">
    <w:name w:val="TableHeading"/>
    <w:basedOn w:val="TableText"/>
    <w:rsid w:val="00BA595E"/>
    <w:rPr>
      <w:b/>
    </w:rPr>
  </w:style>
  <w:style w:type="paragraph" w:customStyle="1" w:styleId="TableName">
    <w:name w:val="TableName"/>
    <w:basedOn w:val="TableText"/>
    <w:rsid w:val="00BA595E"/>
    <w:pPr>
      <w:spacing w:before="120" w:after="120"/>
      <w:ind w:left="1800" w:hanging="1080"/>
    </w:pPr>
    <w:rPr>
      <w:b/>
      <w:sz w:val="20"/>
    </w:rPr>
  </w:style>
  <w:style w:type="paragraph" w:customStyle="1" w:styleId="TableNotes">
    <w:name w:val="TableNotes"/>
    <w:basedOn w:val="TableText"/>
    <w:link w:val="TableNotesChar1"/>
    <w:rsid w:val="00BA595E"/>
    <w:pPr>
      <w:keepNext w:val="0"/>
      <w:keepLines/>
      <w:spacing w:before="0" w:after="360"/>
      <w:ind w:left="1440" w:hanging="720"/>
    </w:pPr>
    <w:rPr>
      <w:sz w:val="16"/>
    </w:rPr>
  </w:style>
  <w:style w:type="paragraph" w:styleId="Title">
    <w:name w:val="Title"/>
    <w:basedOn w:val="Normal"/>
    <w:link w:val="TitleChar1"/>
    <w:qFormat/>
    <w:rsid w:val="00BA595E"/>
    <w:pPr>
      <w:ind w:left="0"/>
      <w:jc w:val="center"/>
    </w:pPr>
    <w:rPr>
      <w:rFonts w:ascii="Arial" w:hAnsi="Arial"/>
      <w:b/>
      <w:smallCaps/>
      <w:sz w:val="44"/>
    </w:rPr>
  </w:style>
  <w:style w:type="character" w:customStyle="1" w:styleId="TitleChar1">
    <w:name w:val="Title Char1"/>
    <w:link w:val="Title"/>
    <w:locked/>
    <w:rPr>
      <w:rFonts w:ascii="Cambria" w:hAnsi="Cambria" w:cs="Times New Roman"/>
      <w:b/>
      <w:bCs/>
      <w:kern w:val="28"/>
      <w:sz w:val="32"/>
      <w:szCs w:val="32"/>
      <w:lang w:val="x-none" w:eastAsia="en-US"/>
    </w:rPr>
  </w:style>
  <w:style w:type="paragraph" w:styleId="TOC1">
    <w:name w:val="toc 1"/>
    <w:basedOn w:val="Normal"/>
    <w:next w:val="Normal"/>
    <w:autoRedefine/>
    <w:uiPriority w:val="39"/>
    <w:rsid w:val="00BA595E"/>
    <w:pPr>
      <w:tabs>
        <w:tab w:val="left" w:pos="1276"/>
        <w:tab w:val="right" w:leader="dot" w:pos="9017"/>
      </w:tabs>
      <w:spacing w:before="120" w:after="60"/>
      <w:ind w:right="720"/>
    </w:pPr>
    <w:rPr>
      <w:b/>
      <w:noProof/>
    </w:rPr>
  </w:style>
  <w:style w:type="paragraph" w:styleId="TOC2">
    <w:name w:val="toc 2"/>
    <w:basedOn w:val="Normal"/>
    <w:next w:val="Normal"/>
    <w:autoRedefine/>
    <w:uiPriority w:val="39"/>
    <w:rsid w:val="00BA595E"/>
    <w:pPr>
      <w:tabs>
        <w:tab w:val="right" w:leader="dot" w:pos="9017"/>
      </w:tabs>
      <w:spacing w:after="60"/>
      <w:ind w:left="1440" w:right="720"/>
    </w:pPr>
    <w:rPr>
      <w:noProof/>
    </w:rPr>
  </w:style>
  <w:style w:type="paragraph" w:styleId="TOC3">
    <w:name w:val="toc 3"/>
    <w:basedOn w:val="Normal"/>
    <w:next w:val="Normal"/>
    <w:autoRedefine/>
    <w:semiHidden/>
    <w:rsid w:val="00BA595E"/>
    <w:pPr>
      <w:tabs>
        <w:tab w:val="right" w:leader="dot" w:pos="9016"/>
      </w:tabs>
      <w:spacing w:after="0"/>
      <w:ind w:left="1418"/>
    </w:pPr>
    <w:rPr>
      <w:noProof/>
    </w:rPr>
  </w:style>
  <w:style w:type="paragraph" w:styleId="TOC4">
    <w:name w:val="toc 4"/>
    <w:basedOn w:val="Normal"/>
    <w:next w:val="Normal"/>
    <w:autoRedefine/>
    <w:semiHidden/>
    <w:rsid w:val="00BA595E"/>
    <w:pPr>
      <w:ind w:left="660"/>
    </w:pPr>
  </w:style>
  <w:style w:type="paragraph" w:styleId="TOC5">
    <w:name w:val="toc 5"/>
    <w:basedOn w:val="Normal"/>
    <w:next w:val="Normal"/>
    <w:autoRedefine/>
    <w:semiHidden/>
    <w:rsid w:val="00BA595E"/>
    <w:pPr>
      <w:ind w:left="880"/>
    </w:pPr>
  </w:style>
  <w:style w:type="paragraph" w:styleId="TOC6">
    <w:name w:val="toc 6"/>
    <w:basedOn w:val="Normal"/>
    <w:next w:val="Normal"/>
    <w:autoRedefine/>
    <w:semiHidden/>
    <w:rsid w:val="00BA595E"/>
    <w:pPr>
      <w:ind w:left="1100"/>
    </w:pPr>
  </w:style>
  <w:style w:type="paragraph" w:styleId="TOC7">
    <w:name w:val="toc 7"/>
    <w:basedOn w:val="Normal"/>
    <w:next w:val="Normal"/>
    <w:autoRedefine/>
    <w:semiHidden/>
    <w:rsid w:val="00BA595E"/>
    <w:pPr>
      <w:ind w:left="1320"/>
    </w:pPr>
  </w:style>
  <w:style w:type="paragraph" w:styleId="TOC8">
    <w:name w:val="toc 8"/>
    <w:basedOn w:val="Normal"/>
    <w:next w:val="Normal"/>
    <w:autoRedefine/>
    <w:semiHidden/>
    <w:rsid w:val="00BA595E"/>
    <w:pPr>
      <w:ind w:left="1540"/>
    </w:pPr>
  </w:style>
  <w:style w:type="paragraph" w:styleId="TOC9">
    <w:name w:val="toc 9"/>
    <w:basedOn w:val="Normal"/>
    <w:next w:val="Normal"/>
    <w:autoRedefine/>
    <w:semiHidden/>
    <w:rsid w:val="00BA595E"/>
    <w:pPr>
      <w:ind w:left="1760"/>
    </w:pPr>
  </w:style>
  <w:style w:type="paragraph" w:styleId="BodyText">
    <w:name w:val="Body Text"/>
    <w:basedOn w:val="Normal"/>
    <w:link w:val="BodyTextChar1"/>
    <w:rsid w:val="00BA595E"/>
    <w:rPr>
      <w:vanish/>
      <w:color w:val="0000FF"/>
    </w:rPr>
  </w:style>
  <w:style w:type="character" w:customStyle="1" w:styleId="BodyTextChar1">
    <w:name w:val="Body Text Char1"/>
    <w:link w:val="BodyText"/>
    <w:semiHidden/>
    <w:locked/>
    <w:rPr>
      <w:rFonts w:ascii="Garamond" w:hAnsi="Garamond" w:cs="Times New Roman"/>
      <w:sz w:val="24"/>
      <w:lang w:val="x-none" w:eastAsia="en-US"/>
    </w:rPr>
  </w:style>
  <w:style w:type="paragraph" w:styleId="BodyTextIndent">
    <w:name w:val="Body Text Indent"/>
    <w:basedOn w:val="Normal"/>
    <w:link w:val="BodyTextIndentChar1"/>
    <w:rsid w:val="00BA595E"/>
  </w:style>
  <w:style w:type="character" w:customStyle="1" w:styleId="BodyTextIndentChar1">
    <w:name w:val="Body Text Indent Char1"/>
    <w:link w:val="BodyTextIndent"/>
    <w:semiHidden/>
    <w:locked/>
    <w:rPr>
      <w:rFonts w:ascii="Garamond" w:hAnsi="Garamond" w:cs="Times New Roman"/>
      <w:sz w:val="24"/>
      <w:lang w:val="x-none" w:eastAsia="en-US"/>
    </w:rPr>
  </w:style>
  <w:style w:type="paragraph" w:styleId="BodyTextIndent2">
    <w:name w:val="Body Text Indent 2"/>
    <w:basedOn w:val="Normal"/>
    <w:link w:val="BodyTextIndent2Char1"/>
    <w:rsid w:val="00BA595E"/>
    <w:rPr>
      <w:sz w:val="22"/>
    </w:rPr>
  </w:style>
  <w:style w:type="character" w:customStyle="1" w:styleId="BodyTextIndent2Char1">
    <w:name w:val="Body Text Indent 2 Char1"/>
    <w:link w:val="BodyTextIndent2"/>
    <w:semiHidden/>
    <w:locked/>
    <w:rPr>
      <w:rFonts w:ascii="Garamond" w:hAnsi="Garamond" w:cs="Times New Roman"/>
      <w:sz w:val="24"/>
      <w:lang w:val="x-none" w:eastAsia="en-US"/>
    </w:rPr>
  </w:style>
  <w:style w:type="paragraph" w:styleId="BodyTextIndent3">
    <w:name w:val="Body Text Indent 3"/>
    <w:basedOn w:val="Normal"/>
    <w:link w:val="BodyTextIndent3Char1"/>
    <w:rsid w:val="00BA595E"/>
    <w:rPr>
      <w:sz w:val="20"/>
    </w:rPr>
  </w:style>
  <w:style w:type="character" w:customStyle="1" w:styleId="BodyTextIndent3Char1">
    <w:name w:val="Body Text Indent 3 Char1"/>
    <w:link w:val="BodyTextIndent3"/>
    <w:semiHidden/>
    <w:locked/>
    <w:rPr>
      <w:rFonts w:ascii="Garamond" w:hAnsi="Garamond" w:cs="Times New Roman"/>
      <w:sz w:val="16"/>
      <w:szCs w:val="16"/>
      <w:lang w:val="x-none" w:eastAsia="en-US"/>
    </w:rPr>
  </w:style>
  <w:style w:type="paragraph" w:customStyle="1" w:styleId="Dash">
    <w:name w:val="Dash"/>
    <w:basedOn w:val="Normal"/>
    <w:rsid w:val="00BA595E"/>
    <w:pPr>
      <w:numPr>
        <w:numId w:val="2"/>
      </w:numPr>
    </w:pPr>
  </w:style>
  <w:style w:type="paragraph" w:styleId="Quote">
    <w:name w:val="Quote"/>
    <w:basedOn w:val="Normal"/>
    <w:link w:val="QuoteChar"/>
    <w:qFormat/>
    <w:rsid w:val="00BA595E"/>
    <w:pPr>
      <w:keepLines/>
      <w:ind w:left="1440" w:right="720"/>
    </w:pPr>
    <w:rPr>
      <w:sz w:val="22"/>
    </w:rPr>
  </w:style>
  <w:style w:type="character" w:customStyle="1" w:styleId="QuoteChar">
    <w:name w:val="Quote Char"/>
    <w:link w:val="Quote"/>
    <w:locked/>
    <w:rPr>
      <w:rFonts w:ascii="Garamond" w:hAnsi="Garamond" w:cs="Times New Roman"/>
      <w:i/>
      <w:iCs/>
      <w:color w:val="000000"/>
      <w:sz w:val="24"/>
      <w:lang w:val="x-none" w:eastAsia="en-US"/>
    </w:rPr>
  </w:style>
  <w:style w:type="paragraph" w:customStyle="1" w:styleId="TableText0">
    <w:name w:val="Table Text"/>
    <w:basedOn w:val="Normal"/>
    <w:rsid w:val="00BA595E"/>
    <w:pPr>
      <w:keepNext/>
      <w:spacing w:before="40" w:after="40"/>
      <w:ind w:left="0"/>
    </w:pPr>
    <w:rPr>
      <w:rFonts w:ascii="Arial" w:hAnsi="Arial"/>
      <w:sz w:val="18"/>
    </w:rPr>
  </w:style>
  <w:style w:type="paragraph" w:customStyle="1" w:styleId="TableHeading0">
    <w:name w:val="Table Heading"/>
    <w:basedOn w:val="TableText0"/>
    <w:next w:val="TableText0"/>
    <w:rsid w:val="00BA595E"/>
    <w:rPr>
      <w:b/>
    </w:rPr>
  </w:style>
  <w:style w:type="paragraph" w:customStyle="1" w:styleId="TableNamea">
    <w:name w:val="Table Name(a)"/>
    <w:basedOn w:val="Normal"/>
    <w:rsid w:val="00BA595E"/>
    <w:pPr>
      <w:keepNext/>
      <w:spacing w:before="120" w:after="120"/>
      <w:ind w:left="1077" w:hanging="1077"/>
    </w:pPr>
    <w:rPr>
      <w:rFonts w:ascii="Arial" w:hAnsi="Arial"/>
      <w:b/>
      <w:sz w:val="20"/>
    </w:rPr>
  </w:style>
  <w:style w:type="paragraph" w:styleId="BlockText">
    <w:name w:val="Block Text"/>
    <w:basedOn w:val="Normal"/>
    <w:rsid w:val="00BA595E"/>
    <w:pPr>
      <w:ind w:right="-188"/>
    </w:pPr>
  </w:style>
  <w:style w:type="paragraph" w:styleId="NormalWeb">
    <w:name w:val="Normal (Web)"/>
    <w:basedOn w:val="Normal"/>
    <w:link w:val="NormalWebChar1"/>
    <w:rsid w:val="00BA595E"/>
    <w:pPr>
      <w:spacing w:before="100" w:beforeAutospacing="1" w:after="100" w:afterAutospacing="1"/>
      <w:ind w:left="0"/>
    </w:pPr>
    <w:rPr>
      <w:rFonts w:ascii="Times New Roman" w:hAnsi="Times New Roman"/>
      <w:color w:val="000000"/>
      <w:szCs w:val="24"/>
      <w:lang w:val="en-US"/>
    </w:rPr>
  </w:style>
  <w:style w:type="paragraph" w:styleId="BalloonText">
    <w:name w:val="Balloon Text"/>
    <w:basedOn w:val="Normal"/>
    <w:link w:val="BalloonTextChar1"/>
    <w:semiHidden/>
    <w:rsid w:val="00BA595E"/>
    <w:rPr>
      <w:rFonts w:ascii="Tahoma" w:hAnsi="Tahoma" w:cs="Tahoma"/>
      <w:sz w:val="16"/>
      <w:szCs w:val="16"/>
    </w:rPr>
  </w:style>
  <w:style w:type="character" w:customStyle="1" w:styleId="BalloonTextChar1">
    <w:name w:val="Balloon Text Char1"/>
    <w:link w:val="BalloonText"/>
    <w:semiHidden/>
    <w:locked/>
    <w:rPr>
      <w:rFonts w:cs="Times New Roman"/>
      <w:sz w:val="2"/>
      <w:lang w:val="x-none" w:eastAsia="en-US"/>
    </w:rPr>
  </w:style>
  <w:style w:type="paragraph" w:styleId="BodyText2">
    <w:name w:val="Body Text 2"/>
    <w:basedOn w:val="Normal"/>
    <w:link w:val="BodyText2Char1"/>
    <w:rsid w:val="00BA595E"/>
    <w:pPr>
      <w:spacing w:after="120" w:line="480" w:lineRule="auto"/>
    </w:pPr>
  </w:style>
  <w:style w:type="character" w:customStyle="1" w:styleId="BodyText2Char1">
    <w:name w:val="Body Text 2 Char1"/>
    <w:link w:val="BodyText2"/>
    <w:semiHidden/>
    <w:locked/>
    <w:rPr>
      <w:rFonts w:ascii="Garamond" w:hAnsi="Garamond" w:cs="Times New Roman"/>
      <w:sz w:val="24"/>
      <w:lang w:val="x-none" w:eastAsia="en-US"/>
    </w:rPr>
  </w:style>
  <w:style w:type="character" w:styleId="Hyperlink">
    <w:name w:val="Hyperlink"/>
    <w:uiPriority w:val="99"/>
    <w:rsid w:val="00BA595E"/>
    <w:rPr>
      <w:rFonts w:cs="Times New Roman"/>
      <w:color w:val="0000FF"/>
      <w:u w:val="single"/>
    </w:rPr>
  </w:style>
  <w:style w:type="character" w:styleId="FollowedHyperlink">
    <w:name w:val="FollowedHyperlink"/>
    <w:rsid w:val="00BA595E"/>
    <w:rPr>
      <w:rFonts w:cs="Times New Roman"/>
      <w:color w:val="800080"/>
      <w:u w:val="single"/>
    </w:rPr>
  </w:style>
  <w:style w:type="table" w:styleId="TableGrid">
    <w:name w:val="Table Grid"/>
    <w:basedOn w:val="TableNormal"/>
    <w:rsid w:val="00BA595E"/>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3,Caption Char2 Char,Caption Char Char1 Char,Char1 Char Char1 Char,Caption Char1 Char Char,Char1 Char Char Char Char,Char1 Char1 Char Char,Char1 Char2 Char,Caption Char Char2,Char1 Char Char2"/>
    <w:basedOn w:val="Normal"/>
    <w:next w:val="BodyText"/>
    <w:link w:val="CaptionChar"/>
    <w:qFormat/>
    <w:rsid w:val="00BA595E"/>
    <w:pPr>
      <w:keepNext/>
      <w:spacing w:after="100"/>
      <w:ind w:left="1684" w:hanging="964"/>
    </w:pPr>
    <w:rPr>
      <w:rFonts w:ascii="Arial" w:hAnsi="Arial"/>
      <w:b/>
      <w:bCs/>
      <w:sz w:val="20"/>
      <w:lang w:eastAsia="en-AU"/>
    </w:rPr>
  </w:style>
  <w:style w:type="paragraph" w:customStyle="1" w:styleId="TableText10pt">
    <w:name w:val="TableText10pt"/>
    <w:basedOn w:val="Normal"/>
    <w:rsid w:val="00BA595E"/>
    <w:pPr>
      <w:keepNext/>
      <w:suppressAutoHyphens/>
      <w:spacing w:before="40" w:after="40"/>
      <w:ind w:left="0"/>
    </w:pPr>
    <w:rPr>
      <w:rFonts w:ascii="Arial Narrow" w:hAnsi="Arial Narrow"/>
      <w:sz w:val="20"/>
      <w:lang w:eastAsia="en-AU"/>
    </w:rPr>
  </w:style>
  <w:style w:type="paragraph" w:customStyle="1" w:styleId="TableTextCharCharChar">
    <w:name w:val="TableText Char Char Char"/>
    <w:basedOn w:val="Normal"/>
    <w:link w:val="TableTextCharCharCharChar1"/>
    <w:rsid w:val="00BA595E"/>
    <w:pPr>
      <w:keepNext/>
      <w:spacing w:before="40" w:after="40"/>
      <w:ind w:left="0"/>
    </w:pPr>
    <w:rPr>
      <w:rFonts w:ascii="Arial Narrow" w:hAnsi="Arial Narrow"/>
      <w:sz w:val="18"/>
      <w:lang w:eastAsia="en-AU"/>
    </w:rPr>
  </w:style>
  <w:style w:type="character" w:customStyle="1" w:styleId="TableTextCharCharCharChar1">
    <w:name w:val="TableText Char Char Char Char1"/>
    <w:link w:val="TableTextCharCharChar"/>
    <w:locked/>
    <w:rsid w:val="00BA595E"/>
    <w:rPr>
      <w:rFonts w:ascii="Arial Narrow" w:hAnsi="Arial Narrow" w:cs="Times New Roman"/>
      <w:sz w:val="18"/>
      <w:lang w:val="en-AU" w:eastAsia="en-AU" w:bidi="ar-SA"/>
    </w:rPr>
  </w:style>
  <w:style w:type="character" w:customStyle="1" w:styleId="CaptionChar">
    <w:name w:val="Caption Char"/>
    <w:aliases w:val="Caption Char1 Char,Caption Char Char Char,Caption Char3 Char1,Caption Char2 Char Char1,Caption Char Char1 Char Char1,Char1 Char Char1 Char Char1,Caption Char1 Char Char Char1,Char1 Char Char Char Char Char1,Char1 Char1 Char Char Char1"/>
    <w:link w:val="Caption"/>
    <w:locked/>
    <w:rsid w:val="00BA595E"/>
    <w:rPr>
      <w:rFonts w:ascii="Arial" w:hAnsi="Arial" w:cs="Times New Roman"/>
      <w:b/>
      <w:bCs/>
      <w:lang w:val="en-AU" w:eastAsia="en-AU" w:bidi="ar-SA"/>
    </w:rPr>
  </w:style>
  <w:style w:type="paragraph" w:styleId="CommentSubject">
    <w:name w:val="annotation subject"/>
    <w:basedOn w:val="CommentText"/>
    <w:next w:val="CommentText"/>
    <w:link w:val="CommentSubjectChar1"/>
    <w:semiHidden/>
    <w:rsid w:val="00BA595E"/>
    <w:rPr>
      <w:b/>
      <w:bCs/>
    </w:rPr>
  </w:style>
  <w:style w:type="character" w:customStyle="1" w:styleId="CommentSubjectChar1">
    <w:name w:val="Comment Subject Char1"/>
    <w:link w:val="CommentSubject"/>
    <w:semiHidden/>
    <w:locked/>
    <w:rPr>
      <w:rFonts w:ascii="Garamond" w:hAnsi="Garamond" w:cs="Times New Roman"/>
      <w:b/>
      <w:bCs/>
      <w:lang w:val="x-none" w:eastAsia="en-US"/>
    </w:rPr>
  </w:style>
  <w:style w:type="paragraph" w:customStyle="1" w:styleId="TableNameCharChar1">
    <w:name w:val="TableName Char Char1"/>
    <w:basedOn w:val="Normal"/>
    <w:link w:val="TableNameCharChar1Char"/>
    <w:rsid w:val="00BA595E"/>
    <w:pPr>
      <w:keepNext/>
      <w:spacing w:before="120" w:after="120"/>
      <w:ind w:left="1800" w:hanging="1080"/>
    </w:pPr>
    <w:rPr>
      <w:rFonts w:ascii="Arial Narrow" w:hAnsi="Arial Narrow"/>
      <w:b/>
      <w:sz w:val="20"/>
    </w:rPr>
  </w:style>
  <w:style w:type="character" w:customStyle="1" w:styleId="TableNameCharChar1Char">
    <w:name w:val="TableName Char Char1 Char"/>
    <w:link w:val="TableNameCharChar1"/>
    <w:locked/>
    <w:rsid w:val="00BA595E"/>
    <w:rPr>
      <w:rFonts w:ascii="Arial Narrow" w:hAnsi="Arial Narrow" w:cs="Times New Roman"/>
      <w:b/>
      <w:lang w:val="en-AU" w:eastAsia="en-US" w:bidi="ar-SA"/>
    </w:rPr>
  </w:style>
  <w:style w:type="character" w:customStyle="1" w:styleId="CaptionChar3Char">
    <w:name w:val="Caption Char3 Char"/>
    <w:aliases w:val="Caption Char2 Char Char,Caption Char Char1 Char Char,Char1 Char Char1 Char Char,Caption Char Char Char Char Char,Caption Char1 Char Char Char,Char1 Char Char Char Char Char,Char1 Char1 Char Char Char,Char1 Char2 Char Char"/>
    <w:rsid w:val="00BA595E"/>
    <w:rPr>
      <w:rFonts w:ascii="Arial" w:hAnsi="Arial" w:cs="Times New Roman"/>
      <w:b/>
      <w:bCs/>
      <w:sz w:val="24"/>
      <w:lang w:val="en-AU" w:eastAsia="en-AU" w:bidi="ar-SA"/>
    </w:rPr>
  </w:style>
  <w:style w:type="paragraph" w:customStyle="1" w:styleId="TableTextCharChar">
    <w:name w:val="TableText Char Char"/>
    <w:basedOn w:val="Normal"/>
    <w:rsid w:val="00BA595E"/>
    <w:pPr>
      <w:keepNext/>
      <w:suppressAutoHyphens/>
      <w:spacing w:before="40" w:after="40"/>
      <w:ind w:left="0"/>
    </w:pPr>
    <w:rPr>
      <w:rFonts w:ascii="Arial Narrow" w:hAnsi="Arial Narrow"/>
      <w:sz w:val="18"/>
      <w:lang w:eastAsia="en-AU"/>
    </w:rPr>
  </w:style>
  <w:style w:type="paragraph" w:customStyle="1" w:styleId="TableNotesMiddle">
    <w:name w:val="TableNotesMiddle"/>
    <w:basedOn w:val="TableNotes"/>
    <w:rsid w:val="00BA595E"/>
    <w:pPr>
      <w:spacing w:before="80" w:after="0"/>
      <w:ind w:left="850" w:hanging="130"/>
    </w:pPr>
    <w:rPr>
      <w:szCs w:val="16"/>
      <w:lang w:eastAsia="en-AU"/>
    </w:rPr>
  </w:style>
  <w:style w:type="paragraph" w:customStyle="1" w:styleId="TableNotesLast">
    <w:name w:val="TableNotesLast"/>
    <w:basedOn w:val="TableNotes"/>
    <w:rsid w:val="00BA595E"/>
    <w:pPr>
      <w:spacing w:before="80"/>
      <w:ind w:left="850" w:hanging="130"/>
    </w:pPr>
    <w:rPr>
      <w:szCs w:val="16"/>
      <w:lang w:eastAsia="en-AU"/>
    </w:rPr>
  </w:style>
  <w:style w:type="paragraph" w:customStyle="1" w:styleId="TableTextLessSpaceCharCharCharCharCharCharCharChar">
    <w:name w:val="TableTextLessSpace Char Char Char Char Char Char Char Char"/>
    <w:basedOn w:val="TableTextCharChar"/>
    <w:link w:val="TableTextLessSpaceCharCharCharCharCharCharCharCharChar"/>
    <w:rsid w:val="00BA595E"/>
    <w:pPr>
      <w:spacing w:before="20" w:after="20"/>
    </w:pPr>
    <w:rPr>
      <w:rFonts w:eastAsia="Arial Unicode MS"/>
    </w:rPr>
  </w:style>
  <w:style w:type="character" w:customStyle="1" w:styleId="TableTextLessSpaceCharCharCharCharCharCharCharCharChar">
    <w:name w:val="TableTextLessSpace Char Char Char Char Char Char Char Char Char"/>
    <w:link w:val="TableTextLessSpaceCharCharCharCharCharCharCharChar"/>
    <w:locked/>
    <w:rsid w:val="00BA595E"/>
    <w:rPr>
      <w:rFonts w:ascii="Arial Narrow" w:eastAsia="Arial Unicode MS" w:hAnsi="Arial Narrow" w:cs="Times New Roman"/>
      <w:sz w:val="18"/>
      <w:lang w:val="en-AU" w:eastAsia="en-AU" w:bidi="ar-SA"/>
    </w:rPr>
  </w:style>
  <w:style w:type="paragraph" w:customStyle="1" w:styleId="CaptionNoIndent">
    <w:name w:val="Caption No Indent"/>
    <w:basedOn w:val="Caption"/>
    <w:next w:val="BodyText"/>
    <w:rsid w:val="00BA595E"/>
    <w:pPr>
      <w:ind w:left="964"/>
    </w:pPr>
  </w:style>
  <w:style w:type="paragraph" w:customStyle="1" w:styleId="TableHeading10pt">
    <w:name w:val="TableHeading10pt"/>
    <w:basedOn w:val="TableHeading"/>
    <w:rsid w:val="00BA595E"/>
    <w:pPr>
      <w:spacing w:after="60"/>
    </w:pPr>
    <w:rPr>
      <w:sz w:val="20"/>
      <w:lang w:eastAsia="en-AU"/>
    </w:rPr>
  </w:style>
  <w:style w:type="character" w:customStyle="1" w:styleId="TableTextCharCharCharChar">
    <w:name w:val="TableText Char Char Char Char"/>
    <w:rsid w:val="00BA595E"/>
    <w:rPr>
      <w:rFonts w:ascii="Arial Narrow" w:hAnsi="Arial Narrow" w:cs="Times New Roman"/>
      <w:sz w:val="18"/>
      <w:lang w:val="en-AU" w:eastAsia="en-AU" w:bidi="ar-SA"/>
    </w:rPr>
  </w:style>
  <w:style w:type="paragraph" w:customStyle="1" w:styleId="TableNameCharCharChar">
    <w:name w:val="TableName Char Char Char"/>
    <w:basedOn w:val="Normal"/>
    <w:link w:val="TableNameCharCharCharChar"/>
    <w:rsid w:val="00BA595E"/>
    <w:pPr>
      <w:keepNext/>
      <w:spacing w:before="120" w:after="120"/>
      <w:ind w:left="1800" w:hanging="1080"/>
    </w:pPr>
    <w:rPr>
      <w:rFonts w:ascii="Arial Narrow" w:hAnsi="Arial Narrow"/>
      <w:b/>
      <w:sz w:val="20"/>
      <w:lang w:eastAsia="en-AU"/>
    </w:rPr>
  </w:style>
  <w:style w:type="character" w:customStyle="1" w:styleId="TableNameCharCharCharChar">
    <w:name w:val="TableName Char Char Char Char"/>
    <w:link w:val="TableNameCharCharChar"/>
    <w:locked/>
    <w:rsid w:val="00BA595E"/>
    <w:rPr>
      <w:rFonts w:ascii="Arial Narrow" w:hAnsi="Arial Narrow" w:cs="Times New Roman"/>
      <w:b/>
      <w:lang w:val="en-AU" w:eastAsia="en-AU" w:bidi="ar-SA"/>
    </w:rPr>
  </w:style>
  <w:style w:type="paragraph" w:customStyle="1" w:styleId="TableNotesFirst">
    <w:name w:val="TableNotesFirst"/>
    <w:basedOn w:val="TableNotes"/>
    <w:rsid w:val="00BA595E"/>
    <w:pPr>
      <w:spacing w:before="80" w:after="0"/>
      <w:ind w:left="720" w:firstLine="0"/>
    </w:pPr>
    <w:rPr>
      <w:lang w:eastAsia="en-AU"/>
    </w:rPr>
  </w:style>
  <w:style w:type="paragraph" w:customStyle="1" w:styleId="TableNotesCharCharChar">
    <w:name w:val="TableNotes Char Char Char"/>
    <w:basedOn w:val="Normal"/>
    <w:rsid w:val="00BA595E"/>
    <w:pPr>
      <w:keepLines/>
      <w:spacing w:after="360"/>
      <w:ind w:left="1440" w:hanging="720"/>
    </w:pPr>
    <w:rPr>
      <w:rFonts w:ascii="Arial Narrow" w:hAnsi="Arial Narrow"/>
      <w:sz w:val="16"/>
    </w:rPr>
  </w:style>
  <w:style w:type="paragraph" w:customStyle="1" w:styleId="TableNotesChar">
    <w:name w:val="TableNotes Char"/>
    <w:basedOn w:val="Normal"/>
    <w:rsid w:val="00BA595E"/>
    <w:pPr>
      <w:keepLines/>
      <w:spacing w:after="360"/>
      <w:ind w:left="1440" w:hanging="720"/>
    </w:pPr>
    <w:rPr>
      <w:rFonts w:ascii="Arial Narrow" w:hAnsi="Arial Narrow"/>
      <w:sz w:val="16"/>
    </w:rPr>
  </w:style>
  <w:style w:type="character" w:customStyle="1" w:styleId="TableTextCharCharCharCharChar">
    <w:name w:val="TableText Char Char Char Char Char"/>
    <w:rsid w:val="00BA595E"/>
    <w:rPr>
      <w:rFonts w:ascii="Arial Narrow" w:hAnsi="Arial Narrow" w:cs="Times New Roman"/>
      <w:sz w:val="18"/>
      <w:lang w:val="en-AU" w:eastAsia="en-AU" w:bidi="ar-SA"/>
    </w:rPr>
  </w:style>
  <w:style w:type="character" w:customStyle="1" w:styleId="TableTextChar">
    <w:name w:val="TableText Char"/>
    <w:link w:val="TableText"/>
    <w:locked/>
    <w:rsid w:val="00BA595E"/>
    <w:rPr>
      <w:rFonts w:ascii="Arial Narrow" w:hAnsi="Arial Narrow" w:cs="Times New Roman"/>
      <w:sz w:val="18"/>
      <w:lang w:val="en-AU" w:eastAsia="en-US" w:bidi="ar-SA"/>
    </w:rPr>
  </w:style>
  <w:style w:type="character" w:customStyle="1" w:styleId="TableNotesChar1">
    <w:name w:val="TableNotes Char1"/>
    <w:link w:val="TableNotes"/>
    <w:locked/>
    <w:rsid w:val="00BA595E"/>
    <w:rPr>
      <w:rFonts w:ascii="Arial Narrow" w:hAnsi="Arial Narrow" w:cs="Times New Roman"/>
      <w:sz w:val="16"/>
      <w:lang w:val="en-AU" w:eastAsia="en-US" w:bidi="ar-SA"/>
    </w:rPr>
  </w:style>
  <w:style w:type="paragraph" w:customStyle="1" w:styleId="FigureBodyTextLeft0cm">
    <w:name w:val="Figure: Body Text + Left:  0 cm"/>
    <w:basedOn w:val="BodyText"/>
    <w:rsid w:val="00BA595E"/>
    <w:pPr>
      <w:ind w:left="0"/>
    </w:pPr>
    <w:rPr>
      <w:vanish w:val="0"/>
      <w:lang w:eastAsia="en-AU"/>
    </w:rPr>
  </w:style>
  <w:style w:type="paragraph" w:customStyle="1" w:styleId="TableTest">
    <w:name w:val="Table Test"/>
    <w:basedOn w:val="TableText0"/>
    <w:rsid w:val="00BA595E"/>
    <w:pPr>
      <w:framePr w:hSpace="180" w:wrap="around" w:vAnchor="page" w:hAnchor="margin" w:y="3605"/>
      <w:spacing w:before="120" w:after="120"/>
    </w:pPr>
    <w:rPr>
      <w:rFonts w:cs="Arial"/>
      <w:b/>
      <w:sz w:val="24"/>
      <w:szCs w:val="24"/>
    </w:rPr>
  </w:style>
  <w:style w:type="paragraph" w:styleId="ListNumber">
    <w:name w:val="List Number"/>
    <w:basedOn w:val="BodyText"/>
    <w:rsid w:val="00BA595E"/>
    <w:pPr>
      <w:tabs>
        <w:tab w:val="num" w:pos="1440"/>
      </w:tabs>
      <w:ind w:left="1440" w:hanging="720"/>
    </w:pPr>
    <w:rPr>
      <w:vanish w:val="0"/>
      <w:color w:val="auto"/>
      <w:szCs w:val="24"/>
      <w:lang w:eastAsia="en-AU"/>
    </w:rPr>
  </w:style>
  <w:style w:type="character" w:customStyle="1" w:styleId="apple-converted-space">
    <w:name w:val="apple-converted-space"/>
    <w:basedOn w:val="DefaultParagraphFont"/>
    <w:rsid w:val="00D23CD7"/>
  </w:style>
  <w:style w:type="character" w:customStyle="1" w:styleId="NormalWebChar1">
    <w:name w:val="Normal (Web) Char1"/>
    <w:link w:val="NormalWeb"/>
    <w:rsid w:val="00185EF4"/>
    <w:rPr>
      <w:rFonts w:eastAsia="SimSun"/>
      <w:color w:val="000000"/>
      <w:sz w:val="24"/>
      <w:szCs w:val="24"/>
      <w:lang w:val="en-US" w:eastAsia="en-US" w:bidi="ar-SA"/>
    </w:rPr>
  </w:style>
  <w:style w:type="character" w:customStyle="1" w:styleId="apple-style-span">
    <w:name w:val="apple-style-span"/>
    <w:basedOn w:val="DefaultParagraphFont"/>
    <w:rsid w:val="00404298"/>
  </w:style>
  <w:style w:type="character" w:customStyle="1" w:styleId="NHMRCClinicalTrialsCentre">
    <w:name w:val="NHMRC Clinical Trials Centre"/>
    <w:semiHidden/>
    <w:rsid w:val="00D0290F"/>
    <w:rPr>
      <w:rFonts w:ascii="Arial" w:hAnsi="Arial" w:cs="Arial"/>
      <w:color w:val="000080"/>
      <w:sz w:val="20"/>
      <w:szCs w:val="20"/>
    </w:rPr>
  </w:style>
  <w:style w:type="paragraph" w:customStyle="1" w:styleId="CharCharChar">
    <w:name w:val="Char Char Char"/>
    <w:basedOn w:val="Normal"/>
    <w:rsid w:val="001F4398"/>
    <w:pPr>
      <w:spacing w:after="160" w:line="240" w:lineRule="exact"/>
      <w:ind w:left="0"/>
    </w:pPr>
    <w:rPr>
      <w:rFonts w:ascii="Tahoma" w:eastAsia="Times New Roman" w:hAnsi="Tahoma" w:cs="Tahoma"/>
      <w:sz w:val="20"/>
      <w:lang w:val="en-US"/>
    </w:rPr>
  </w:style>
  <w:style w:type="character" w:customStyle="1" w:styleId="Heading1Char">
    <w:name w:val="Heading 1 Char"/>
    <w:locked/>
    <w:rsid w:val="00E5797A"/>
    <w:rPr>
      <w:rFonts w:ascii="Cambria" w:hAnsi="Cambria" w:cs="Times New Roman"/>
      <w:b/>
      <w:bCs/>
      <w:kern w:val="32"/>
      <w:sz w:val="32"/>
      <w:szCs w:val="32"/>
      <w:lang w:val="x-none" w:eastAsia="en-US"/>
    </w:rPr>
  </w:style>
  <w:style w:type="character" w:customStyle="1" w:styleId="Heading2Char1">
    <w:name w:val="Heading 2 Char1"/>
    <w:aliases w:val="Heading 2 Char Char"/>
    <w:semiHidden/>
    <w:locked/>
    <w:rsid w:val="00E5797A"/>
    <w:rPr>
      <w:rFonts w:ascii="Cambria" w:hAnsi="Cambria" w:cs="Times New Roman"/>
      <w:b/>
      <w:bCs/>
      <w:i/>
      <w:iCs/>
      <w:sz w:val="28"/>
      <w:szCs w:val="28"/>
      <w:lang w:val="x-none" w:eastAsia="en-US"/>
    </w:rPr>
  </w:style>
  <w:style w:type="character" w:customStyle="1" w:styleId="Heading3Char">
    <w:name w:val="Heading 3 Char"/>
    <w:semiHidden/>
    <w:locked/>
    <w:rsid w:val="00E5797A"/>
    <w:rPr>
      <w:rFonts w:ascii="Cambria" w:hAnsi="Cambria" w:cs="Times New Roman"/>
      <w:b/>
      <w:bCs/>
      <w:sz w:val="26"/>
      <w:szCs w:val="26"/>
      <w:lang w:val="x-none" w:eastAsia="en-US"/>
    </w:rPr>
  </w:style>
  <w:style w:type="character" w:customStyle="1" w:styleId="Heading4Char">
    <w:name w:val="Heading 4 Char"/>
    <w:semiHidden/>
    <w:locked/>
    <w:rsid w:val="00E5797A"/>
    <w:rPr>
      <w:rFonts w:ascii="Calibri" w:hAnsi="Calibri" w:cs="Times New Roman"/>
      <w:b/>
      <w:bCs/>
      <w:sz w:val="28"/>
      <w:szCs w:val="28"/>
      <w:lang w:val="x-none" w:eastAsia="en-US"/>
    </w:rPr>
  </w:style>
  <w:style w:type="character" w:customStyle="1" w:styleId="Heading5Char">
    <w:name w:val="Heading 5 Char"/>
    <w:semiHidden/>
    <w:locked/>
    <w:rsid w:val="00E5797A"/>
    <w:rPr>
      <w:rFonts w:ascii="Calibri" w:hAnsi="Calibri" w:cs="Times New Roman"/>
      <w:b/>
      <w:bCs/>
      <w:i/>
      <w:iCs/>
      <w:sz w:val="26"/>
      <w:szCs w:val="26"/>
      <w:lang w:val="x-none" w:eastAsia="en-US"/>
    </w:rPr>
  </w:style>
  <w:style w:type="character" w:customStyle="1" w:styleId="Heading6Char">
    <w:name w:val="Heading 6 Char"/>
    <w:semiHidden/>
    <w:locked/>
    <w:rsid w:val="00E5797A"/>
    <w:rPr>
      <w:rFonts w:ascii="Calibri" w:hAnsi="Calibri" w:cs="Times New Roman"/>
      <w:b/>
      <w:bCs/>
      <w:sz w:val="22"/>
      <w:szCs w:val="22"/>
      <w:lang w:val="x-none" w:eastAsia="en-US"/>
    </w:rPr>
  </w:style>
  <w:style w:type="character" w:customStyle="1" w:styleId="Heading7Char">
    <w:name w:val="Heading 7 Char"/>
    <w:semiHidden/>
    <w:locked/>
    <w:rsid w:val="00E5797A"/>
    <w:rPr>
      <w:rFonts w:ascii="Calibri" w:hAnsi="Calibri" w:cs="Times New Roman"/>
      <w:sz w:val="24"/>
      <w:szCs w:val="24"/>
      <w:lang w:val="x-none" w:eastAsia="en-US"/>
    </w:rPr>
  </w:style>
  <w:style w:type="character" w:customStyle="1" w:styleId="Heading8Char">
    <w:name w:val="Heading 8 Char"/>
    <w:semiHidden/>
    <w:locked/>
    <w:rsid w:val="00E5797A"/>
    <w:rPr>
      <w:rFonts w:ascii="Calibri" w:hAnsi="Calibri" w:cs="Times New Roman"/>
      <w:i/>
      <w:iCs/>
      <w:sz w:val="24"/>
      <w:szCs w:val="24"/>
      <w:lang w:val="x-none" w:eastAsia="en-US"/>
    </w:rPr>
  </w:style>
  <w:style w:type="character" w:customStyle="1" w:styleId="Heading9Char">
    <w:name w:val="Heading 9 Char"/>
    <w:semiHidden/>
    <w:locked/>
    <w:rsid w:val="00E5797A"/>
    <w:rPr>
      <w:rFonts w:ascii="Cambria" w:hAnsi="Cambria" w:cs="Times New Roman"/>
      <w:sz w:val="22"/>
      <w:szCs w:val="22"/>
      <w:lang w:val="x-none" w:eastAsia="en-US"/>
    </w:rPr>
  </w:style>
  <w:style w:type="character" w:customStyle="1" w:styleId="CommentTextChar">
    <w:name w:val="Comment Text Char"/>
    <w:semiHidden/>
    <w:locked/>
    <w:rsid w:val="00E5797A"/>
    <w:rPr>
      <w:rFonts w:ascii="Garamond" w:hAnsi="Garamond" w:cs="Times New Roman"/>
      <w:lang w:val="x-none" w:eastAsia="en-US"/>
    </w:rPr>
  </w:style>
  <w:style w:type="character" w:customStyle="1" w:styleId="DateChar">
    <w:name w:val="Date Char"/>
    <w:semiHidden/>
    <w:locked/>
    <w:rsid w:val="00E5797A"/>
    <w:rPr>
      <w:rFonts w:ascii="Garamond" w:hAnsi="Garamond" w:cs="Times New Roman"/>
      <w:sz w:val="24"/>
      <w:lang w:val="x-none" w:eastAsia="en-US"/>
    </w:rPr>
  </w:style>
  <w:style w:type="character" w:customStyle="1" w:styleId="DocumentMapChar">
    <w:name w:val="Document Map Char"/>
    <w:semiHidden/>
    <w:locked/>
    <w:rsid w:val="00E5797A"/>
    <w:rPr>
      <w:rFonts w:cs="Times New Roman"/>
      <w:sz w:val="2"/>
      <w:lang w:val="x-none" w:eastAsia="en-US"/>
    </w:rPr>
  </w:style>
  <w:style w:type="character" w:customStyle="1" w:styleId="FooterChar">
    <w:name w:val="Footer Char"/>
    <w:semiHidden/>
    <w:locked/>
    <w:rsid w:val="00E5797A"/>
    <w:rPr>
      <w:rFonts w:ascii="Garamond" w:hAnsi="Garamond" w:cs="Times New Roman"/>
      <w:sz w:val="24"/>
      <w:lang w:val="x-none" w:eastAsia="en-US"/>
    </w:rPr>
  </w:style>
  <w:style w:type="character" w:customStyle="1" w:styleId="FootnoteTextChar">
    <w:name w:val="Footnote Text Char"/>
    <w:semiHidden/>
    <w:locked/>
    <w:rsid w:val="00E5797A"/>
    <w:rPr>
      <w:rFonts w:ascii="Garamond" w:hAnsi="Garamond" w:cs="Times New Roman"/>
      <w:lang w:val="x-none" w:eastAsia="en-US"/>
    </w:rPr>
  </w:style>
  <w:style w:type="character" w:customStyle="1" w:styleId="HeaderChar">
    <w:name w:val="Header Char"/>
    <w:semiHidden/>
    <w:locked/>
    <w:rsid w:val="00E5797A"/>
    <w:rPr>
      <w:rFonts w:ascii="Garamond" w:hAnsi="Garamond" w:cs="Times New Roman"/>
      <w:sz w:val="24"/>
      <w:lang w:val="x-none" w:eastAsia="en-US"/>
    </w:rPr>
  </w:style>
  <w:style w:type="character" w:customStyle="1" w:styleId="TitleChar">
    <w:name w:val="Title Char"/>
    <w:locked/>
    <w:rsid w:val="00E5797A"/>
    <w:rPr>
      <w:rFonts w:ascii="Cambria" w:hAnsi="Cambria" w:cs="Times New Roman"/>
      <w:b/>
      <w:bCs/>
      <w:kern w:val="28"/>
      <w:sz w:val="32"/>
      <w:szCs w:val="32"/>
      <w:lang w:val="x-none" w:eastAsia="en-US"/>
    </w:rPr>
  </w:style>
  <w:style w:type="character" w:customStyle="1" w:styleId="BodyTextChar">
    <w:name w:val="Body Text Char"/>
    <w:semiHidden/>
    <w:locked/>
    <w:rsid w:val="00E5797A"/>
    <w:rPr>
      <w:rFonts w:ascii="Garamond" w:hAnsi="Garamond" w:cs="Times New Roman"/>
      <w:sz w:val="24"/>
      <w:lang w:val="x-none" w:eastAsia="en-US"/>
    </w:rPr>
  </w:style>
  <w:style w:type="character" w:customStyle="1" w:styleId="BodyTextIndentChar">
    <w:name w:val="Body Text Indent Char"/>
    <w:semiHidden/>
    <w:locked/>
    <w:rsid w:val="00E5797A"/>
    <w:rPr>
      <w:rFonts w:ascii="Garamond" w:hAnsi="Garamond" w:cs="Times New Roman"/>
      <w:sz w:val="24"/>
      <w:lang w:val="x-none" w:eastAsia="en-US"/>
    </w:rPr>
  </w:style>
  <w:style w:type="character" w:customStyle="1" w:styleId="BodyTextIndent2Char">
    <w:name w:val="Body Text Indent 2 Char"/>
    <w:semiHidden/>
    <w:locked/>
    <w:rsid w:val="00E5797A"/>
    <w:rPr>
      <w:rFonts w:ascii="Garamond" w:hAnsi="Garamond" w:cs="Times New Roman"/>
      <w:sz w:val="24"/>
      <w:lang w:val="x-none" w:eastAsia="en-US"/>
    </w:rPr>
  </w:style>
  <w:style w:type="character" w:customStyle="1" w:styleId="BodyTextIndent3Char">
    <w:name w:val="Body Text Indent 3 Char"/>
    <w:semiHidden/>
    <w:locked/>
    <w:rsid w:val="00E5797A"/>
    <w:rPr>
      <w:rFonts w:ascii="Garamond" w:hAnsi="Garamond" w:cs="Times New Roman"/>
      <w:sz w:val="16"/>
      <w:szCs w:val="16"/>
      <w:lang w:val="x-none" w:eastAsia="en-US"/>
    </w:rPr>
  </w:style>
  <w:style w:type="character" w:customStyle="1" w:styleId="BalloonTextChar">
    <w:name w:val="Balloon Text Char"/>
    <w:semiHidden/>
    <w:locked/>
    <w:rsid w:val="00E5797A"/>
    <w:rPr>
      <w:rFonts w:cs="Times New Roman"/>
      <w:sz w:val="2"/>
      <w:lang w:val="x-none" w:eastAsia="en-US"/>
    </w:rPr>
  </w:style>
  <w:style w:type="character" w:customStyle="1" w:styleId="BodyText2Char">
    <w:name w:val="Body Text 2 Char"/>
    <w:semiHidden/>
    <w:locked/>
    <w:rsid w:val="00E5797A"/>
    <w:rPr>
      <w:rFonts w:ascii="Garamond" w:hAnsi="Garamond" w:cs="Times New Roman"/>
      <w:sz w:val="24"/>
      <w:lang w:val="x-none" w:eastAsia="en-US"/>
    </w:rPr>
  </w:style>
  <w:style w:type="character" w:customStyle="1" w:styleId="CommentSubjectChar">
    <w:name w:val="Comment Subject Char"/>
    <w:semiHidden/>
    <w:locked/>
    <w:rsid w:val="00E5797A"/>
    <w:rPr>
      <w:rFonts w:ascii="Garamond" w:hAnsi="Garamond" w:cs="Times New Roman"/>
      <w:b/>
      <w:bCs/>
      <w:lang w:val="x-none" w:eastAsia="en-US"/>
    </w:rPr>
  </w:style>
  <w:style w:type="character" w:customStyle="1" w:styleId="NormalWebChar">
    <w:name w:val="Normal (Web) Char"/>
    <w:rsid w:val="00E5797A"/>
    <w:rPr>
      <w:rFonts w:eastAsia="SimSun"/>
      <w:color w:val="000000"/>
      <w:sz w:val="24"/>
      <w:szCs w:val="24"/>
      <w:lang w:val="en-US" w:eastAsia="en-US" w:bidi="ar-SA"/>
    </w:rPr>
  </w:style>
  <w:style w:type="character" w:styleId="Emphasis">
    <w:name w:val="Emphasis"/>
    <w:basedOn w:val="DefaultParagraphFont"/>
    <w:qFormat/>
    <w:locked/>
    <w:rsid w:val="00C97E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19505">
      <w:bodyDiv w:val="1"/>
      <w:marLeft w:val="0"/>
      <w:marRight w:val="0"/>
      <w:marTop w:val="0"/>
      <w:marBottom w:val="0"/>
      <w:divBdr>
        <w:top w:val="none" w:sz="0" w:space="0" w:color="auto"/>
        <w:left w:val="none" w:sz="0" w:space="0" w:color="auto"/>
        <w:bottom w:val="none" w:sz="0" w:space="0" w:color="auto"/>
        <w:right w:val="none" w:sz="0" w:space="0" w:color="auto"/>
      </w:divBdr>
      <w:divsChild>
        <w:div w:id="667252825">
          <w:marLeft w:val="0"/>
          <w:marRight w:val="0"/>
          <w:marTop w:val="0"/>
          <w:marBottom w:val="0"/>
          <w:divBdr>
            <w:top w:val="none" w:sz="0" w:space="0" w:color="auto"/>
            <w:left w:val="none" w:sz="0" w:space="0" w:color="auto"/>
            <w:bottom w:val="none" w:sz="0" w:space="0" w:color="auto"/>
            <w:right w:val="none" w:sz="0" w:space="0" w:color="auto"/>
          </w:divBdr>
        </w:div>
        <w:div w:id="1086653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24.tif"/><Relationship Id="rId21" Type="http://schemas.openxmlformats.org/officeDocument/2006/relationships/image" Target="media/image2.tif"/><Relationship Id="rId42" Type="http://schemas.openxmlformats.org/officeDocument/2006/relationships/footer" Target="footer9.xml"/><Relationship Id="rId47" Type="http://schemas.openxmlformats.org/officeDocument/2006/relationships/header" Target="header21.xml"/><Relationship Id="rId63" Type="http://schemas.openxmlformats.org/officeDocument/2006/relationships/image" Target="media/image11.jpeg"/><Relationship Id="rId68" Type="http://schemas.openxmlformats.org/officeDocument/2006/relationships/header" Target="header30.xml"/><Relationship Id="rId84" Type="http://schemas.openxmlformats.org/officeDocument/2006/relationships/hyperlink" Target="http://www.dihta.dk/" TargetMode="External"/><Relationship Id="rId89" Type="http://schemas.openxmlformats.org/officeDocument/2006/relationships/hyperlink" Target="http://nzhta.chmeds.ac.nz/" TargetMode="External"/><Relationship Id="rId112" Type="http://schemas.openxmlformats.org/officeDocument/2006/relationships/image" Target="media/image19.png"/><Relationship Id="rId16" Type="http://schemas.openxmlformats.org/officeDocument/2006/relationships/header" Target="header1.xml"/><Relationship Id="rId107" Type="http://schemas.openxmlformats.org/officeDocument/2006/relationships/header" Target="header33.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image" Target="media/image6.png"/><Relationship Id="rId58" Type="http://schemas.openxmlformats.org/officeDocument/2006/relationships/header" Target="header27.xml"/><Relationship Id="rId74" Type="http://schemas.openxmlformats.org/officeDocument/2006/relationships/hyperlink" Target="http://www.mihsr.monash.org/cce/index.html" TargetMode="External"/><Relationship Id="rId79" Type="http://schemas.openxmlformats.org/officeDocument/2006/relationships/hyperlink" Target="http://www.cadth.ca/" TargetMode="External"/><Relationship Id="rId102" Type="http://schemas.openxmlformats.org/officeDocument/2006/relationships/hyperlink" Target="http://www.ncchta.org/project/" TargetMode="External"/><Relationship Id="rId123" Type="http://schemas.openxmlformats.org/officeDocument/2006/relationships/hyperlink" Target="https://www.medicareaustralia.gov.au/statistics/mbs_item.shtml" TargetMode="External"/><Relationship Id="rId128" Type="http://schemas.openxmlformats.org/officeDocument/2006/relationships/footer" Target="footer14.xml"/><Relationship Id="rId5" Type="http://schemas.openxmlformats.org/officeDocument/2006/relationships/settings" Target="settings.xml"/><Relationship Id="rId90" Type="http://schemas.openxmlformats.org/officeDocument/2006/relationships/hyperlink" Target="http://www.kunnskapssenteret.no/index.php?show%20=%2038&amp;expand%20=%2014%2038" TargetMode="External"/><Relationship Id="rId95" Type="http://schemas.openxmlformats.org/officeDocument/2006/relationships/hyperlink" Target="http://www.htbs.org.uk/" TargetMode="External"/><Relationship Id="rId19" Type="http://schemas.openxmlformats.org/officeDocument/2006/relationships/header" Target="header3.xml"/><Relationship Id="rId14" Type="http://schemas.openxmlformats.org/officeDocument/2006/relationships/hyperlink" Target="file:///D:\Users\dormaj\AppData\Local\Temp\3\8th%20draft%20MSAC\MSAC%20Assessment%20Report%201122AutoLBC_FINAL%20MSAC_AP0609.doc" TargetMode="Externa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4.png"/><Relationship Id="rId43" Type="http://schemas.openxmlformats.org/officeDocument/2006/relationships/header" Target="header18.xml"/><Relationship Id="rId48" Type="http://schemas.openxmlformats.org/officeDocument/2006/relationships/header" Target="header22.xml"/><Relationship Id="rId56" Type="http://schemas.openxmlformats.org/officeDocument/2006/relationships/header" Target="header26.xml"/><Relationship Id="rId64" Type="http://schemas.openxmlformats.org/officeDocument/2006/relationships/image" Target="media/image12.jpeg"/><Relationship Id="rId69" Type="http://schemas.openxmlformats.org/officeDocument/2006/relationships/image" Target="media/image13.emf"/><Relationship Id="rId77" Type="http://schemas.openxmlformats.org/officeDocument/2006/relationships/hyperlink" Target="http://www.oeaw.ac.at/ita/e1-3.htm" TargetMode="External"/><Relationship Id="rId100" Type="http://schemas.openxmlformats.org/officeDocument/2006/relationships/hyperlink" Target="http://www.bcbs.com/consumertec/index.html" TargetMode="External"/><Relationship Id="rId105" Type="http://schemas.openxmlformats.org/officeDocument/2006/relationships/header" Target="header31.xml"/><Relationship Id="rId113" Type="http://schemas.openxmlformats.org/officeDocument/2006/relationships/image" Target="media/image20.tif"/><Relationship Id="rId118" Type="http://schemas.openxmlformats.org/officeDocument/2006/relationships/image" Target="media/image25.jpeg"/><Relationship Id="rId126"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yperlink" Target="http://www.cochrane.org" TargetMode="External"/><Relationship Id="rId80" Type="http://schemas.openxmlformats.org/officeDocument/2006/relationships/hyperlink" Target="http://www.chepa.org/" TargetMode="External"/><Relationship Id="rId85" Type="http://schemas.openxmlformats.org/officeDocument/2006/relationships/hyperlink" Target="http://www.stakes.fi/finohta/" TargetMode="External"/><Relationship Id="rId93" Type="http://schemas.openxmlformats.org/officeDocument/2006/relationships/hyperlink" Target="http://www.cmt.liu.se/English/Engstartsida.html" TargetMode="External"/><Relationship Id="rId98" Type="http://schemas.openxmlformats.org/officeDocument/2006/relationships/hyperlink" Target="http://www.nice.org.uk/index.htm" TargetMode="External"/><Relationship Id="rId121" Type="http://schemas.openxmlformats.org/officeDocument/2006/relationships/hyperlink" Target="http://www.health.gov.au/cervicalcance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image" Target="media/image7.jpeg"/><Relationship Id="rId67" Type="http://schemas.openxmlformats.org/officeDocument/2006/relationships/footer" Target="footer13.xml"/><Relationship Id="rId103" Type="http://schemas.openxmlformats.org/officeDocument/2006/relationships/hyperlink" Target="http://www.who.int/trialsearch/" TargetMode="External"/><Relationship Id="rId108" Type="http://schemas.openxmlformats.org/officeDocument/2006/relationships/image" Target="media/image16.tif"/><Relationship Id="rId116" Type="http://schemas.openxmlformats.org/officeDocument/2006/relationships/image" Target="media/image23.jpeg"/><Relationship Id="rId124" Type="http://schemas.openxmlformats.org/officeDocument/2006/relationships/hyperlink" Target="http://www.cancerscreening.nhs.uk/cervical/lbc.html" TargetMode="External"/><Relationship Id="rId129" Type="http://schemas.openxmlformats.org/officeDocument/2006/relationships/header" Target="header36.xml"/><Relationship Id="rId20" Type="http://schemas.openxmlformats.org/officeDocument/2006/relationships/image" Target="media/image1.png"/><Relationship Id="rId41" Type="http://schemas.openxmlformats.org/officeDocument/2006/relationships/header" Target="header17.xml"/><Relationship Id="rId54" Type="http://schemas.openxmlformats.org/officeDocument/2006/relationships/chart" Target="charts/chart1.xml"/><Relationship Id="rId62" Type="http://schemas.openxmlformats.org/officeDocument/2006/relationships/image" Target="media/image10.jpeg"/><Relationship Id="rId70" Type="http://schemas.openxmlformats.org/officeDocument/2006/relationships/image" Target="media/image14.emf"/><Relationship Id="rId75" Type="http://schemas.openxmlformats.org/officeDocument/2006/relationships/hyperlink" Target="http://chpe.buseco.monash.edu.au/" TargetMode="External"/><Relationship Id="rId83" Type="http://schemas.openxmlformats.org/officeDocument/2006/relationships/hyperlink" Target="http://www.ihe.ca/hta/publications.html" TargetMode="External"/><Relationship Id="rId88" Type="http://schemas.openxmlformats.org/officeDocument/2006/relationships/hyperlink" Target="http://www.gr.nl/adviezen.php" TargetMode="External"/><Relationship Id="rId91" Type="http://schemas.openxmlformats.org/officeDocument/2006/relationships/hyperlink" Target="http://www.gencat.net/salut/depsan/units/aatrm/html/en/dir394/index.html" TargetMode="External"/><Relationship Id="rId96" Type="http://schemas.openxmlformats.org/officeDocument/2006/relationships/hyperlink" Target="http://www.hta.nhsweb.nhs.uk/" TargetMode="External"/><Relationship Id="rId11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Users\dormaj\AppData\Local\Temp\3\8th%20draft%20MSAC\MSAC%20Assessment%20Report%201122AutoLBC_FINAL%20MSAC_AP0609.doc" TargetMode="Externa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header" Target="header23.xml"/><Relationship Id="rId57" Type="http://schemas.openxmlformats.org/officeDocument/2006/relationships/footer" Target="footer12.xml"/><Relationship Id="rId106" Type="http://schemas.openxmlformats.org/officeDocument/2006/relationships/header" Target="header32.xml"/><Relationship Id="rId114" Type="http://schemas.openxmlformats.org/officeDocument/2006/relationships/image" Target="media/image21.tif"/><Relationship Id="rId119" Type="http://schemas.openxmlformats.org/officeDocument/2006/relationships/image" Target="media/image26.tif"/><Relationship Id="rId127" Type="http://schemas.openxmlformats.org/officeDocument/2006/relationships/header" Target="header35.xml"/><Relationship Id="rId10" Type="http://schemas.openxmlformats.org/officeDocument/2006/relationships/hyperlink" Target="http://www.ag.gov.au/cca" TargetMode="External"/><Relationship Id="rId31" Type="http://schemas.openxmlformats.org/officeDocument/2006/relationships/header" Target="header10.xml"/><Relationship Id="rId44" Type="http://schemas.openxmlformats.org/officeDocument/2006/relationships/header" Target="header19.xml"/><Relationship Id="rId52" Type="http://schemas.openxmlformats.org/officeDocument/2006/relationships/image" Target="media/image5.png"/><Relationship Id="rId60" Type="http://schemas.openxmlformats.org/officeDocument/2006/relationships/image" Target="media/image8.jpeg"/><Relationship Id="rId65" Type="http://schemas.openxmlformats.org/officeDocument/2006/relationships/header" Target="header28.xml"/><Relationship Id="rId73" Type="http://schemas.openxmlformats.org/officeDocument/2006/relationships/hyperlink" Target="http://www.surgeons.org/Content/NavigationMenu/Research/ASERNIPS/default.htm" TargetMode="External"/><Relationship Id="rId78" Type="http://schemas.openxmlformats.org/officeDocument/2006/relationships/hyperlink" Target="http://www.aetmis.gouv.qc.ca/site/home.phtml" TargetMode="External"/><Relationship Id="rId81" Type="http://schemas.openxmlformats.org/officeDocument/2006/relationships/hyperlink" Target="http://www.chspr.ubc.ca/" TargetMode="External"/><Relationship Id="rId86" Type="http://schemas.openxmlformats.org/officeDocument/2006/relationships/hyperlink" Target="http://www.has-sante.fr/portail/display.jsp?id=j_5" TargetMode="External"/><Relationship Id="rId94" Type="http://schemas.openxmlformats.org/officeDocument/2006/relationships/hyperlink" Target="http://www.snhta.ch/" TargetMode="External"/><Relationship Id="rId99" Type="http://schemas.openxmlformats.org/officeDocument/2006/relationships/hyperlink" Target="http://www.ahrq.gov/" TargetMode="External"/><Relationship Id="rId101" Type="http://schemas.openxmlformats.org/officeDocument/2006/relationships/hyperlink" Target="http://www.clinicaltrials.gov/" TargetMode="External"/><Relationship Id="rId122" Type="http://schemas.openxmlformats.org/officeDocument/2006/relationships/hyperlink" Target="http://www.ncbi.nlm.nih.gov/pubmed/16225576?ordinalpos=2&amp;itool=EntrezSystem2.PEntrez.Pubmed.Pubmed_ResultsPanel.Pubmed_DefaultReportPanel.Pubmed_RVDocSum" TargetMode="Externa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g.gov.au/cca" TargetMode="Externa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image" Target="media/image17.png"/><Relationship Id="rId34" Type="http://schemas.openxmlformats.org/officeDocument/2006/relationships/header" Target="header12.xml"/><Relationship Id="rId50" Type="http://schemas.openxmlformats.org/officeDocument/2006/relationships/footer" Target="footer11.xml"/><Relationship Id="rId55" Type="http://schemas.openxmlformats.org/officeDocument/2006/relationships/header" Target="header25.xml"/><Relationship Id="rId76" Type="http://schemas.openxmlformats.org/officeDocument/2006/relationships/hyperlink" Target="http://www.msac.gov.au/" TargetMode="External"/><Relationship Id="rId97" Type="http://schemas.openxmlformats.org/officeDocument/2006/relationships/hyperlink" Target="http://www.york.ac.uk/inst/crd/" TargetMode="External"/><Relationship Id="rId104" Type="http://schemas.openxmlformats.org/officeDocument/2006/relationships/image" Target="media/image15.wmf"/><Relationship Id="rId120" Type="http://schemas.openxmlformats.org/officeDocument/2006/relationships/image" Target="media/image27.jpeg"/><Relationship Id="rId125" Type="http://schemas.openxmlformats.org/officeDocument/2006/relationships/hyperlink" Target="http://www.iarc.fr/" TargetMode="External"/><Relationship Id="rId7" Type="http://schemas.openxmlformats.org/officeDocument/2006/relationships/footnotes" Target="footnotes.xml"/><Relationship Id="rId71" Type="http://schemas.openxmlformats.org/officeDocument/2006/relationships/hyperlink" Target="http://www.york.ac.uk/inst/crd/" TargetMode="External"/><Relationship Id="rId92" Type="http://schemas.openxmlformats.org/officeDocument/2006/relationships/hyperlink" Target="http://www.sbu.se/admin/index.asp"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header" Target="header16.xml"/><Relationship Id="rId45" Type="http://schemas.openxmlformats.org/officeDocument/2006/relationships/header" Target="header20.xml"/><Relationship Id="rId66" Type="http://schemas.openxmlformats.org/officeDocument/2006/relationships/header" Target="header29.xml"/><Relationship Id="rId87" Type="http://schemas.openxmlformats.org/officeDocument/2006/relationships/hyperlink" Target="http://www.dimdi.de/dynamic/en/hta/db/index.htm" TargetMode="External"/><Relationship Id="rId110" Type="http://schemas.openxmlformats.org/officeDocument/2006/relationships/chart" Target="charts/chart2.xml"/><Relationship Id="rId115" Type="http://schemas.openxmlformats.org/officeDocument/2006/relationships/image" Target="media/image22.jpeg"/><Relationship Id="rId131" Type="http://schemas.openxmlformats.org/officeDocument/2006/relationships/theme" Target="theme/theme1.xml"/><Relationship Id="rId61" Type="http://schemas.openxmlformats.org/officeDocument/2006/relationships/image" Target="media/image9.jpeg"/><Relationship Id="rId82" Type="http://schemas.openxmlformats.org/officeDocument/2006/relationships/hyperlink" Target="http://www.ices.on.c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57534246575341"/>
          <c:y val="8.9147286821705432E-2"/>
          <c:w val="0.71461187214611877"/>
          <c:h val="0.5968992248062015"/>
        </c:manualLayout>
      </c:layout>
      <c:lineChart>
        <c:grouping val="standard"/>
        <c:varyColors val="0"/>
        <c:ser>
          <c:idx val="0"/>
          <c:order val="0"/>
          <c:tx>
            <c:strRef>
              <c:f>'10% Initiation'!$G$3</c:f>
              <c:strCache>
                <c:ptCount val="1"/>
                <c:pt idx="0">
                  <c:v>Cummulative Screened</c:v>
                </c:pt>
              </c:strCache>
            </c:strRef>
          </c:tx>
          <c:spPr>
            <a:ln w="12626">
              <a:solidFill>
                <a:srgbClr val="000080"/>
              </a:solidFill>
              <a:prstDash val="solid"/>
            </a:ln>
          </c:spPr>
          <c:marker>
            <c:symbol val="diamond"/>
            <c:size val="4"/>
            <c:spPr>
              <a:solidFill>
                <a:srgbClr val="000080"/>
              </a:solidFill>
              <a:ln>
                <a:solidFill>
                  <a:srgbClr val="000080"/>
                </a:solidFill>
                <a:prstDash val="solid"/>
              </a:ln>
            </c:spPr>
          </c:marker>
          <c:cat>
            <c:strRef>
              <c:f>'10% Initiation'!$F$4:$F$18</c:f>
              <c:strCache>
                <c:ptCount val="15"/>
                <c:pt idx="0">
                  <c:v>10-14</c:v>
                </c:pt>
                <c:pt idx="1">
                  <c:v>15-19</c:v>
                </c:pt>
                <c:pt idx="2">
                  <c:v>20-24</c:v>
                </c:pt>
                <c:pt idx="3">
                  <c:v>25-29</c:v>
                </c:pt>
                <c:pt idx="4">
                  <c:v>30-34</c:v>
                </c:pt>
                <c:pt idx="5">
                  <c:v>35-39</c:v>
                </c:pt>
                <c:pt idx="6">
                  <c:v>40-44</c:v>
                </c:pt>
                <c:pt idx="7">
                  <c:v>45-49</c:v>
                </c:pt>
                <c:pt idx="8">
                  <c:v>50-54</c:v>
                </c:pt>
                <c:pt idx="9">
                  <c:v>55-59</c:v>
                </c:pt>
                <c:pt idx="10">
                  <c:v>60-64</c:v>
                </c:pt>
                <c:pt idx="11">
                  <c:v>65-69</c:v>
                </c:pt>
                <c:pt idx="12">
                  <c:v>70-74</c:v>
                </c:pt>
                <c:pt idx="13">
                  <c:v>75-79</c:v>
                </c:pt>
                <c:pt idx="14">
                  <c:v>80-84</c:v>
                </c:pt>
              </c:strCache>
            </c:strRef>
          </c:cat>
          <c:val>
            <c:numRef>
              <c:f>'10% Initiation'!$G$4:$G$18</c:f>
              <c:numCache>
                <c:formatCode>General</c:formatCode>
                <c:ptCount val="15"/>
                <c:pt idx="0">
                  <c:v>0</c:v>
                </c:pt>
                <c:pt idx="1">
                  <c:v>0</c:v>
                </c:pt>
                <c:pt idx="2">
                  <c:v>0.262882</c:v>
                </c:pt>
                <c:pt idx="3">
                  <c:v>0.56473919218000002</c:v>
                </c:pt>
                <c:pt idx="4">
                  <c:v>0.7429828455903682</c:v>
                </c:pt>
                <c:pt idx="5">
                  <c:v>0.84823394049265644</c:v>
                </c:pt>
                <c:pt idx="6">
                  <c:v>0.9103836595215089</c:v>
                </c:pt>
                <c:pt idx="7">
                  <c:v>0.94708244711085565</c:v>
                </c:pt>
                <c:pt idx="8">
                  <c:v>0.96875271419448905</c:v>
                </c:pt>
                <c:pt idx="9">
                  <c:v>0.98154879020470387</c:v>
                </c:pt>
                <c:pt idx="10">
                  <c:v>0.98910474512797553</c:v>
                </c:pt>
                <c:pt idx="11">
                  <c:v>0.99356646095061829</c:v>
                </c:pt>
                <c:pt idx="12">
                  <c:v>0.99620105952673066</c:v>
                </c:pt>
                <c:pt idx="13">
                  <c:v>0.99775676363993926</c:v>
                </c:pt>
                <c:pt idx="14">
                  <c:v>0.99867539136174766</c:v>
                </c:pt>
              </c:numCache>
            </c:numRef>
          </c:val>
          <c:smooth val="0"/>
        </c:ser>
        <c:dLbls>
          <c:showLegendKey val="0"/>
          <c:showVal val="0"/>
          <c:showCatName val="0"/>
          <c:showSerName val="0"/>
          <c:showPercent val="0"/>
          <c:showBubbleSize val="0"/>
        </c:dLbls>
        <c:marker val="1"/>
        <c:smooth val="0"/>
        <c:axId val="87164416"/>
        <c:axId val="87175168"/>
      </c:lineChart>
      <c:catAx>
        <c:axId val="87164416"/>
        <c:scaling>
          <c:orientation val="minMax"/>
        </c:scaling>
        <c:delete val="0"/>
        <c:axPos val="b"/>
        <c:title>
          <c:tx>
            <c:rich>
              <a:bodyPr/>
              <a:lstStyle/>
              <a:p>
                <a:pPr>
                  <a:defRPr sz="994" b="1" i="0" u="none" strike="noStrike" baseline="0">
                    <a:solidFill>
                      <a:srgbClr val="000000"/>
                    </a:solidFill>
                    <a:latin typeface="Arial"/>
                    <a:ea typeface="Arial"/>
                    <a:cs typeface="Arial"/>
                  </a:defRPr>
                </a:pPr>
                <a:r>
                  <a:rPr lang="en-US"/>
                  <a:t>Age group</a:t>
                </a:r>
              </a:p>
            </c:rich>
          </c:tx>
          <c:layout>
            <c:manualLayout>
              <c:xMode val="edge"/>
              <c:yMode val="edge"/>
              <c:x val="0.33940432114859814"/>
              <c:y val="0.89502762430939231"/>
            </c:manualLayout>
          </c:layout>
          <c:overlay val="0"/>
          <c:spPr>
            <a:noFill/>
            <a:ln w="25253">
              <a:noFill/>
            </a:ln>
          </c:spPr>
        </c:title>
        <c:numFmt formatCode="General" sourceLinked="1"/>
        <c:majorTickMark val="out"/>
        <c:minorTickMark val="none"/>
        <c:tickLblPos val="nextTo"/>
        <c:spPr>
          <a:ln w="3157">
            <a:solidFill>
              <a:srgbClr val="000000"/>
            </a:solidFill>
            <a:prstDash val="solid"/>
          </a:ln>
        </c:spPr>
        <c:txPr>
          <a:bodyPr rot="-2700000" vert="horz"/>
          <a:lstStyle/>
          <a:p>
            <a:pPr>
              <a:defRPr sz="994" b="0" i="0" u="none" strike="noStrike" baseline="0">
                <a:solidFill>
                  <a:srgbClr val="000000"/>
                </a:solidFill>
                <a:latin typeface="Arial"/>
                <a:ea typeface="Arial"/>
                <a:cs typeface="Arial"/>
              </a:defRPr>
            </a:pPr>
            <a:endParaRPr lang="en-US"/>
          </a:p>
        </c:txPr>
        <c:crossAx val="87175168"/>
        <c:crosses val="autoZero"/>
        <c:auto val="1"/>
        <c:lblAlgn val="ctr"/>
        <c:lblOffset val="100"/>
        <c:tickLblSkip val="2"/>
        <c:tickMarkSkip val="1"/>
        <c:noMultiLvlLbl val="0"/>
      </c:catAx>
      <c:valAx>
        <c:axId val="87175168"/>
        <c:scaling>
          <c:orientation val="minMax"/>
          <c:max val="1"/>
        </c:scaling>
        <c:delete val="0"/>
        <c:axPos val="l"/>
        <c:majorGridlines>
          <c:spPr>
            <a:ln w="3157">
              <a:solidFill>
                <a:srgbClr val="FFFFFF"/>
              </a:solidFill>
              <a:prstDash val="solid"/>
            </a:ln>
          </c:spPr>
        </c:majorGridlines>
        <c:title>
          <c:tx>
            <c:rich>
              <a:bodyPr/>
              <a:lstStyle/>
              <a:p>
                <a:pPr>
                  <a:defRPr sz="994" b="1" i="0" u="none" strike="noStrike" baseline="0">
                    <a:solidFill>
                      <a:srgbClr val="000000"/>
                    </a:solidFill>
                    <a:latin typeface="Arial"/>
                    <a:ea typeface="Arial"/>
                    <a:cs typeface="Arial"/>
                  </a:defRPr>
                </a:pPr>
                <a:r>
                  <a:rPr lang="en-AU"/>
                  <a:t>Cumulative proportion ever screened</a:t>
                </a:r>
              </a:p>
            </c:rich>
          </c:tx>
          <c:layout>
            <c:manualLayout>
              <c:xMode val="edge"/>
              <c:yMode val="edge"/>
              <c:x val="3.8812785388127852E-2"/>
              <c:y val="2.3255813953488372E-2"/>
            </c:manualLayout>
          </c:layout>
          <c:overlay val="0"/>
          <c:spPr>
            <a:noFill/>
            <a:ln w="25253">
              <a:noFill/>
            </a:ln>
          </c:spPr>
        </c:title>
        <c:numFmt formatCode="0%" sourceLinked="0"/>
        <c:majorTickMark val="out"/>
        <c:minorTickMark val="none"/>
        <c:tickLblPos val="nextTo"/>
        <c:spPr>
          <a:ln w="3157">
            <a:solidFill>
              <a:srgbClr val="000000"/>
            </a:solidFill>
            <a:prstDash val="solid"/>
          </a:ln>
        </c:spPr>
        <c:txPr>
          <a:bodyPr rot="0" vert="horz"/>
          <a:lstStyle/>
          <a:p>
            <a:pPr>
              <a:defRPr sz="994" b="0" i="0" u="none" strike="noStrike" baseline="0">
                <a:solidFill>
                  <a:srgbClr val="000000"/>
                </a:solidFill>
                <a:latin typeface="Arial"/>
                <a:ea typeface="Arial"/>
                <a:cs typeface="Arial"/>
              </a:defRPr>
            </a:pPr>
            <a:endParaRPr lang="en-US"/>
          </a:p>
        </c:txPr>
        <c:crossAx val="87164416"/>
        <c:crosses val="autoZero"/>
        <c:crossBetween val="between"/>
      </c:valAx>
      <c:spPr>
        <a:noFill/>
        <a:ln w="25253">
          <a:noFill/>
        </a:ln>
      </c:spPr>
    </c:plotArea>
    <c:plotVisOnly val="1"/>
    <c:dispBlanksAs val="gap"/>
    <c:showDLblsOverMax val="0"/>
  </c:chart>
  <c:spPr>
    <a:solidFill>
      <a:srgbClr val="FFFFFF"/>
    </a:solidFill>
    <a:ln w="3157">
      <a:solidFill>
        <a:srgbClr val="000000"/>
      </a:solidFill>
      <a:prstDash val="solid"/>
    </a:ln>
  </c:spPr>
  <c:txPr>
    <a:bodyPr/>
    <a:lstStyle/>
    <a:p>
      <a:pPr>
        <a:defRPr sz="994"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57534246575341"/>
          <c:y val="8.9147286821705432E-2"/>
          <c:w val="0.71461187214611877"/>
          <c:h val="0.5968992248062015"/>
        </c:manualLayout>
      </c:layout>
      <c:lineChart>
        <c:grouping val="standard"/>
        <c:varyColors val="0"/>
        <c:ser>
          <c:idx val="0"/>
          <c:order val="0"/>
          <c:tx>
            <c:strRef>
              <c:f>'10% Initiation'!$G$3</c:f>
              <c:strCache>
                <c:ptCount val="1"/>
                <c:pt idx="0">
                  <c:v>Cummulative Screened</c:v>
                </c:pt>
              </c:strCache>
            </c:strRef>
          </c:tx>
          <c:spPr>
            <a:ln w="12626">
              <a:solidFill>
                <a:srgbClr val="000080"/>
              </a:solidFill>
              <a:prstDash val="solid"/>
            </a:ln>
          </c:spPr>
          <c:marker>
            <c:symbol val="diamond"/>
            <c:size val="4"/>
            <c:spPr>
              <a:solidFill>
                <a:srgbClr val="000080"/>
              </a:solidFill>
              <a:ln>
                <a:solidFill>
                  <a:srgbClr val="000080"/>
                </a:solidFill>
                <a:prstDash val="solid"/>
              </a:ln>
            </c:spPr>
          </c:marker>
          <c:cat>
            <c:strRef>
              <c:f>'10% Initiation'!$F$4:$F$18</c:f>
              <c:strCache>
                <c:ptCount val="15"/>
                <c:pt idx="0">
                  <c:v>10-14</c:v>
                </c:pt>
                <c:pt idx="1">
                  <c:v>15-19</c:v>
                </c:pt>
                <c:pt idx="2">
                  <c:v>20-24</c:v>
                </c:pt>
                <c:pt idx="3">
                  <c:v>25-29</c:v>
                </c:pt>
                <c:pt idx="4">
                  <c:v>30-34</c:v>
                </c:pt>
                <c:pt idx="5">
                  <c:v>35-39</c:v>
                </c:pt>
                <c:pt idx="6">
                  <c:v>40-44</c:v>
                </c:pt>
                <c:pt idx="7">
                  <c:v>45-49</c:v>
                </c:pt>
                <c:pt idx="8">
                  <c:v>50-54</c:v>
                </c:pt>
                <c:pt idx="9">
                  <c:v>55-59</c:v>
                </c:pt>
                <c:pt idx="10">
                  <c:v>60-64</c:v>
                </c:pt>
                <c:pt idx="11">
                  <c:v>65-69</c:v>
                </c:pt>
                <c:pt idx="12">
                  <c:v>70-74</c:v>
                </c:pt>
                <c:pt idx="13">
                  <c:v>75-79</c:v>
                </c:pt>
                <c:pt idx="14">
                  <c:v>80-84</c:v>
                </c:pt>
              </c:strCache>
            </c:strRef>
          </c:cat>
          <c:val>
            <c:numRef>
              <c:f>'10% Initiation'!$G$4:$G$18</c:f>
              <c:numCache>
                <c:formatCode>General</c:formatCode>
                <c:ptCount val="15"/>
                <c:pt idx="0">
                  <c:v>0</c:v>
                </c:pt>
                <c:pt idx="1">
                  <c:v>0</c:v>
                </c:pt>
                <c:pt idx="2">
                  <c:v>0.262882</c:v>
                </c:pt>
                <c:pt idx="3">
                  <c:v>0.56473919218000002</c:v>
                </c:pt>
                <c:pt idx="4">
                  <c:v>0.7429828455903682</c:v>
                </c:pt>
                <c:pt idx="5">
                  <c:v>0.84823394049265644</c:v>
                </c:pt>
                <c:pt idx="6">
                  <c:v>0.9103836595215089</c:v>
                </c:pt>
                <c:pt idx="7">
                  <c:v>0.94708244711085565</c:v>
                </c:pt>
                <c:pt idx="8">
                  <c:v>0.96875271419448905</c:v>
                </c:pt>
                <c:pt idx="9">
                  <c:v>0.98154879020470387</c:v>
                </c:pt>
                <c:pt idx="10">
                  <c:v>0.98910474512797553</c:v>
                </c:pt>
                <c:pt idx="11">
                  <c:v>0.99356646095061829</c:v>
                </c:pt>
                <c:pt idx="12">
                  <c:v>0.99620105952673066</c:v>
                </c:pt>
                <c:pt idx="13">
                  <c:v>0.99775676363993926</c:v>
                </c:pt>
                <c:pt idx="14">
                  <c:v>0.99867539136174766</c:v>
                </c:pt>
              </c:numCache>
            </c:numRef>
          </c:val>
          <c:smooth val="0"/>
        </c:ser>
        <c:dLbls>
          <c:showLegendKey val="0"/>
          <c:showVal val="0"/>
          <c:showCatName val="0"/>
          <c:showSerName val="0"/>
          <c:showPercent val="0"/>
          <c:showBubbleSize val="0"/>
        </c:dLbls>
        <c:marker val="1"/>
        <c:smooth val="0"/>
        <c:axId val="88385408"/>
        <c:axId val="38068608"/>
      </c:lineChart>
      <c:catAx>
        <c:axId val="88385408"/>
        <c:scaling>
          <c:orientation val="minMax"/>
        </c:scaling>
        <c:delete val="0"/>
        <c:axPos val="b"/>
        <c:title>
          <c:tx>
            <c:rich>
              <a:bodyPr/>
              <a:lstStyle/>
              <a:p>
                <a:pPr>
                  <a:defRPr sz="994" b="1" i="0" u="none" strike="noStrike" baseline="0">
                    <a:solidFill>
                      <a:srgbClr val="000000"/>
                    </a:solidFill>
                    <a:latin typeface="Arial"/>
                    <a:ea typeface="Arial"/>
                    <a:cs typeface="Arial"/>
                  </a:defRPr>
                </a:pPr>
                <a:r>
                  <a:rPr lang="en-US"/>
                  <a:t>Age group</a:t>
                </a:r>
              </a:p>
            </c:rich>
          </c:tx>
          <c:layout>
            <c:manualLayout>
              <c:xMode val="edge"/>
              <c:yMode val="edge"/>
              <c:x val="0.33940432114859814"/>
              <c:y val="0.89502762430939231"/>
            </c:manualLayout>
          </c:layout>
          <c:overlay val="0"/>
          <c:spPr>
            <a:noFill/>
            <a:ln w="25253">
              <a:noFill/>
            </a:ln>
          </c:spPr>
        </c:title>
        <c:numFmt formatCode="General" sourceLinked="1"/>
        <c:majorTickMark val="out"/>
        <c:minorTickMark val="none"/>
        <c:tickLblPos val="nextTo"/>
        <c:spPr>
          <a:ln w="3157">
            <a:solidFill>
              <a:srgbClr val="000000"/>
            </a:solidFill>
            <a:prstDash val="solid"/>
          </a:ln>
        </c:spPr>
        <c:txPr>
          <a:bodyPr rot="-2700000" vert="horz"/>
          <a:lstStyle/>
          <a:p>
            <a:pPr>
              <a:defRPr sz="994" b="0" i="0" u="none" strike="noStrike" baseline="0">
                <a:solidFill>
                  <a:srgbClr val="000000"/>
                </a:solidFill>
                <a:latin typeface="Arial"/>
                <a:ea typeface="Arial"/>
                <a:cs typeface="Arial"/>
              </a:defRPr>
            </a:pPr>
            <a:endParaRPr lang="en-US"/>
          </a:p>
        </c:txPr>
        <c:crossAx val="38068608"/>
        <c:crosses val="autoZero"/>
        <c:auto val="1"/>
        <c:lblAlgn val="ctr"/>
        <c:lblOffset val="100"/>
        <c:tickLblSkip val="2"/>
        <c:tickMarkSkip val="1"/>
        <c:noMultiLvlLbl val="0"/>
      </c:catAx>
      <c:valAx>
        <c:axId val="38068608"/>
        <c:scaling>
          <c:orientation val="minMax"/>
          <c:max val="1"/>
        </c:scaling>
        <c:delete val="0"/>
        <c:axPos val="l"/>
        <c:majorGridlines>
          <c:spPr>
            <a:ln w="3157">
              <a:solidFill>
                <a:srgbClr val="FFFFFF"/>
              </a:solidFill>
              <a:prstDash val="solid"/>
            </a:ln>
          </c:spPr>
        </c:majorGridlines>
        <c:title>
          <c:tx>
            <c:rich>
              <a:bodyPr/>
              <a:lstStyle/>
              <a:p>
                <a:pPr>
                  <a:defRPr sz="994" b="1" i="0" u="none" strike="noStrike" baseline="0">
                    <a:solidFill>
                      <a:srgbClr val="000000"/>
                    </a:solidFill>
                    <a:latin typeface="Arial"/>
                    <a:ea typeface="Arial"/>
                    <a:cs typeface="Arial"/>
                  </a:defRPr>
                </a:pPr>
                <a:r>
                  <a:rPr lang="en-AU"/>
                  <a:t>Cumulative proportion ever screened</a:t>
                </a:r>
              </a:p>
            </c:rich>
          </c:tx>
          <c:layout>
            <c:manualLayout>
              <c:xMode val="edge"/>
              <c:yMode val="edge"/>
              <c:x val="3.8812785388127852E-2"/>
              <c:y val="2.3255813953488372E-2"/>
            </c:manualLayout>
          </c:layout>
          <c:overlay val="0"/>
          <c:spPr>
            <a:noFill/>
            <a:ln w="25253">
              <a:noFill/>
            </a:ln>
          </c:spPr>
        </c:title>
        <c:numFmt formatCode="0%" sourceLinked="0"/>
        <c:majorTickMark val="out"/>
        <c:minorTickMark val="none"/>
        <c:tickLblPos val="nextTo"/>
        <c:spPr>
          <a:ln w="3157">
            <a:solidFill>
              <a:srgbClr val="000000"/>
            </a:solidFill>
            <a:prstDash val="solid"/>
          </a:ln>
        </c:spPr>
        <c:txPr>
          <a:bodyPr rot="0" vert="horz"/>
          <a:lstStyle/>
          <a:p>
            <a:pPr>
              <a:defRPr sz="994" b="0" i="0" u="none" strike="noStrike" baseline="0">
                <a:solidFill>
                  <a:srgbClr val="000000"/>
                </a:solidFill>
                <a:latin typeface="Arial"/>
                <a:ea typeface="Arial"/>
                <a:cs typeface="Arial"/>
              </a:defRPr>
            </a:pPr>
            <a:endParaRPr lang="en-US"/>
          </a:p>
        </c:txPr>
        <c:crossAx val="88385408"/>
        <c:crosses val="autoZero"/>
        <c:crossBetween val="between"/>
      </c:valAx>
      <c:spPr>
        <a:noFill/>
        <a:ln w="25253">
          <a:noFill/>
        </a:ln>
      </c:spPr>
    </c:plotArea>
    <c:plotVisOnly val="1"/>
    <c:dispBlanksAs val="gap"/>
    <c:showDLblsOverMax val="0"/>
  </c:chart>
  <c:spPr>
    <a:solidFill>
      <a:srgbClr val="FFFFFF"/>
    </a:solidFill>
    <a:ln w="3157">
      <a:solidFill>
        <a:srgbClr val="000000"/>
      </a:solidFill>
      <a:prstDash val="solid"/>
    </a:ln>
  </c:spPr>
  <c:txPr>
    <a:bodyPr/>
    <a:lstStyle/>
    <a:p>
      <a:pPr>
        <a:defRPr sz="994"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0CCAB-0CDF-4AE1-9CA8-3081DEDEF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198</Pages>
  <Words>66680</Words>
  <Characters>848250</Characters>
  <Application>Microsoft Office Word</Application>
  <DocSecurity>0</DocSecurity>
  <Lines>7068</Lines>
  <Paragraphs>1826</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DHAC</Company>
  <LinksUpToDate>false</LinksUpToDate>
  <CharactersWithSpaces>913104</CharactersWithSpaces>
  <SharedDoc>false</SharedDoc>
  <HLinks>
    <vt:vector size="366" baseType="variant">
      <vt:variant>
        <vt:i4>7077940</vt:i4>
      </vt:variant>
      <vt:variant>
        <vt:i4>2719</vt:i4>
      </vt:variant>
      <vt:variant>
        <vt:i4>0</vt:i4>
      </vt:variant>
      <vt:variant>
        <vt:i4>5</vt:i4>
      </vt:variant>
      <vt:variant>
        <vt:lpwstr>http://www.iarc.fr/</vt:lpwstr>
      </vt:variant>
      <vt:variant>
        <vt:lpwstr/>
      </vt:variant>
      <vt:variant>
        <vt:i4>8126512</vt:i4>
      </vt:variant>
      <vt:variant>
        <vt:i4>2716</vt:i4>
      </vt:variant>
      <vt:variant>
        <vt:i4>0</vt:i4>
      </vt:variant>
      <vt:variant>
        <vt:i4>5</vt:i4>
      </vt:variant>
      <vt:variant>
        <vt:lpwstr>http://www.cancerscreening.nhs.uk/cervical/lbc.html</vt:lpwstr>
      </vt:variant>
      <vt:variant>
        <vt:lpwstr>wales</vt:lpwstr>
      </vt:variant>
      <vt:variant>
        <vt:i4>6225978</vt:i4>
      </vt:variant>
      <vt:variant>
        <vt:i4>2713</vt:i4>
      </vt:variant>
      <vt:variant>
        <vt:i4>0</vt:i4>
      </vt:variant>
      <vt:variant>
        <vt:i4>5</vt:i4>
      </vt:variant>
      <vt:variant>
        <vt:lpwstr>https://www.medicareaustralia.gov.au/statistics/mbs_item.shtml</vt:lpwstr>
      </vt:variant>
      <vt:variant>
        <vt:lpwstr/>
      </vt:variant>
      <vt:variant>
        <vt:i4>6029434</vt:i4>
      </vt:variant>
      <vt:variant>
        <vt:i4>2710</vt:i4>
      </vt:variant>
      <vt:variant>
        <vt:i4>0</vt:i4>
      </vt:variant>
      <vt:variant>
        <vt:i4>5</vt:i4>
      </vt:variant>
      <vt:variant>
        <vt:lpwstr>http://www.ncbi.nlm.nih.gov/pubmed/16225576?ordinalpos=2&amp;itool=EntrezSystem2.PEntrez.Pubmed.Pubmed_ResultsPanel.Pubmed_DefaultReportPanel.Pubmed_RVDocSum</vt:lpwstr>
      </vt:variant>
      <vt:variant>
        <vt:lpwstr/>
      </vt:variant>
      <vt:variant>
        <vt:i4>3997808</vt:i4>
      </vt:variant>
      <vt:variant>
        <vt:i4>2707</vt:i4>
      </vt:variant>
      <vt:variant>
        <vt:i4>0</vt:i4>
      </vt:variant>
      <vt:variant>
        <vt:i4>5</vt:i4>
      </vt:variant>
      <vt:variant>
        <vt:lpwstr>http://www.health.gov.au/cervicalcancer</vt:lpwstr>
      </vt:variant>
      <vt:variant>
        <vt:lpwstr/>
      </vt:variant>
      <vt:variant>
        <vt:i4>2097205</vt:i4>
      </vt:variant>
      <vt:variant>
        <vt:i4>2106</vt:i4>
      </vt:variant>
      <vt:variant>
        <vt:i4>0</vt:i4>
      </vt:variant>
      <vt:variant>
        <vt:i4>5</vt:i4>
      </vt:variant>
      <vt:variant>
        <vt:lpwstr>http://www.who.int/trialsearch/</vt:lpwstr>
      </vt:variant>
      <vt:variant>
        <vt:lpwstr/>
      </vt:variant>
      <vt:variant>
        <vt:i4>7667772</vt:i4>
      </vt:variant>
      <vt:variant>
        <vt:i4>2103</vt:i4>
      </vt:variant>
      <vt:variant>
        <vt:i4>0</vt:i4>
      </vt:variant>
      <vt:variant>
        <vt:i4>5</vt:i4>
      </vt:variant>
      <vt:variant>
        <vt:lpwstr>http://www.ncchta.org/project/</vt:lpwstr>
      </vt:variant>
      <vt:variant>
        <vt:lpwstr/>
      </vt:variant>
      <vt:variant>
        <vt:i4>3538988</vt:i4>
      </vt:variant>
      <vt:variant>
        <vt:i4>2100</vt:i4>
      </vt:variant>
      <vt:variant>
        <vt:i4>0</vt:i4>
      </vt:variant>
      <vt:variant>
        <vt:i4>5</vt:i4>
      </vt:variant>
      <vt:variant>
        <vt:lpwstr>http://www.clinicaltrials.gov/</vt:lpwstr>
      </vt:variant>
      <vt:variant>
        <vt:lpwstr/>
      </vt:variant>
      <vt:variant>
        <vt:i4>3211316</vt:i4>
      </vt:variant>
      <vt:variant>
        <vt:i4>2097</vt:i4>
      </vt:variant>
      <vt:variant>
        <vt:i4>0</vt:i4>
      </vt:variant>
      <vt:variant>
        <vt:i4>5</vt:i4>
      </vt:variant>
      <vt:variant>
        <vt:lpwstr>http://www.bcbs.com/consumertec/index.html</vt:lpwstr>
      </vt:variant>
      <vt:variant>
        <vt:lpwstr/>
      </vt:variant>
      <vt:variant>
        <vt:i4>5636184</vt:i4>
      </vt:variant>
      <vt:variant>
        <vt:i4>2094</vt:i4>
      </vt:variant>
      <vt:variant>
        <vt:i4>0</vt:i4>
      </vt:variant>
      <vt:variant>
        <vt:i4>5</vt:i4>
      </vt:variant>
      <vt:variant>
        <vt:lpwstr>http://www.ahrq.gov/</vt:lpwstr>
      </vt:variant>
      <vt:variant>
        <vt:lpwstr/>
      </vt:variant>
      <vt:variant>
        <vt:i4>5177439</vt:i4>
      </vt:variant>
      <vt:variant>
        <vt:i4>2091</vt:i4>
      </vt:variant>
      <vt:variant>
        <vt:i4>0</vt:i4>
      </vt:variant>
      <vt:variant>
        <vt:i4>5</vt:i4>
      </vt:variant>
      <vt:variant>
        <vt:lpwstr>http://www.nice.org.uk/index.htm</vt:lpwstr>
      </vt:variant>
      <vt:variant>
        <vt:lpwstr/>
      </vt:variant>
      <vt:variant>
        <vt:i4>2752567</vt:i4>
      </vt:variant>
      <vt:variant>
        <vt:i4>2088</vt:i4>
      </vt:variant>
      <vt:variant>
        <vt:i4>0</vt:i4>
      </vt:variant>
      <vt:variant>
        <vt:i4>5</vt:i4>
      </vt:variant>
      <vt:variant>
        <vt:lpwstr>http://www.york.ac.uk/inst/crd/</vt:lpwstr>
      </vt:variant>
      <vt:variant>
        <vt:lpwstr/>
      </vt:variant>
      <vt:variant>
        <vt:i4>5832735</vt:i4>
      </vt:variant>
      <vt:variant>
        <vt:i4>2085</vt:i4>
      </vt:variant>
      <vt:variant>
        <vt:i4>0</vt:i4>
      </vt:variant>
      <vt:variant>
        <vt:i4>5</vt:i4>
      </vt:variant>
      <vt:variant>
        <vt:lpwstr>http://www.hta.nhsweb.nhs.uk/</vt:lpwstr>
      </vt:variant>
      <vt:variant>
        <vt:lpwstr/>
      </vt:variant>
      <vt:variant>
        <vt:i4>3670058</vt:i4>
      </vt:variant>
      <vt:variant>
        <vt:i4>2082</vt:i4>
      </vt:variant>
      <vt:variant>
        <vt:i4>0</vt:i4>
      </vt:variant>
      <vt:variant>
        <vt:i4>5</vt:i4>
      </vt:variant>
      <vt:variant>
        <vt:lpwstr>http://www.htbs.org.uk/</vt:lpwstr>
      </vt:variant>
      <vt:variant>
        <vt:lpwstr/>
      </vt:variant>
      <vt:variant>
        <vt:i4>1900556</vt:i4>
      </vt:variant>
      <vt:variant>
        <vt:i4>2079</vt:i4>
      </vt:variant>
      <vt:variant>
        <vt:i4>0</vt:i4>
      </vt:variant>
      <vt:variant>
        <vt:i4>5</vt:i4>
      </vt:variant>
      <vt:variant>
        <vt:lpwstr>http://www.snhta.ch/</vt:lpwstr>
      </vt:variant>
      <vt:variant>
        <vt:lpwstr/>
      </vt:variant>
      <vt:variant>
        <vt:i4>2228347</vt:i4>
      </vt:variant>
      <vt:variant>
        <vt:i4>2076</vt:i4>
      </vt:variant>
      <vt:variant>
        <vt:i4>0</vt:i4>
      </vt:variant>
      <vt:variant>
        <vt:i4>5</vt:i4>
      </vt:variant>
      <vt:variant>
        <vt:lpwstr>http://www.cmt.liu.se/English/Engstartsida.html</vt:lpwstr>
      </vt:variant>
      <vt:variant>
        <vt:lpwstr/>
      </vt:variant>
      <vt:variant>
        <vt:i4>327695</vt:i4>
      </vt:variant>
      <vt:variant>
        <vt:i4>2073</vt:i4>
      </vt:variant>
      <vt:variant>
        <vt:i4>0</vt:i4>
      </vt:variant>
      <vt:variant>
        <vt:i4>5</vt:i4>
      </vt:variant>
      <vt:variant>
        <vt:lpwstr>http://www.sbu.se/admin/index.asp</vt:lpwstr>
      </vt:variant>
      <vt:variant>
        <vt:lpwstr/>
      </vt:variant>
      <vt:variant>
        <vt:i4>655436</vt:i4>
      </vt:variant>
      <vt:variant>
        <vt:i4>2070</vt:i4>
      </vt:variant>
      <vt:variant>
        <vt:i4>0</vt:i4>
      </vt:variant>
      <vt:variant>
        <vt:i4>5</vt:i4>
      </vt:variant>
      <vt:variant>
        <vt:lpwstr>http://www.gencat.net/salut/depsan/units/aatrm/html/en/dir394/index.html</vt:lpwstr>
      </vt:variant>
      <vt:variant>
        <vt:lpwstr/>
      </vt:variant>
      <vt:variant>
        <vt:i4>2752610</vt:i4>
      </vt:variant>
      <vt:variant>
        <vt:i4>2067</vt:i4>
      </vt:variant>
      <vt:variant>
        <vt:i4>0</vt:i4>
      </vt:variant>
      <vt:variant>
        <vt:i4>5</vt:i4>
      </vt:variant>
      <vt:variant>
        <vt:lpwstr>http://nzhta.chmeds.ac.nz/</vt:lpwstr>
      </vt:variant>
      <vt:variant>
        <vt:lpwstr/>
      </vt:variant>
      <vt:variant>
        <vt:i4>6225930</vt:i4>
      </vt:variant>
      <vt:variant>
        <vt:i4>2064</vt:i4>
      </vt:variant>
      <vt:variant>
        <vt:i4>0</vt:i4>
      </vt:variant>
      <vt:variant>
        <vt:i4>5</vt:i4>
      </vt:variant>
      <vt:variant>
        <vt:lpwstr>http://www.gr.nl/adviezen.php</vt:lpwstr>
      </vt:variant>
      <vt:variant>
        <vt:lpwstr/>
      </vt:variant>
      <vt:variant>
        <vt:i4>2293884</vt:i4>
      </vt:variant>
      <vt:variant>
        <vt:i4>2061</vt:i4>
      </vt:variant>
      <vt:variant>
        <vt:i4>0</vt:i4>
      </vt:variant>
      <vt:variant>
        <vt:i4>5</vt:i4>
      </vt:variant>
      <vt:variant>
        <vt:lpwstr>http://www.dimdi.de/dynamic/en/hta/db/index.htm</vt:lpwstr>
      </vt:variant>
      <vt:variant>
        <vt:lpwstr/>
      </vt:variant>
      <vt:variant>
        <vt:i4>8192073</vt:i4>
      </vt:variant>
      <vt:variant>
        <vt:i4>2058</vt:i4>
      </vt:variant>
      <vt:variant>
        <vt:i4>0</vt:i4>
      </vt:variant>
      <vt:variant>
        <vt:i4>5</vt:i4>
      </vt:variant>
      <vt:variant>
        <vt:lpwstr>http://www.has-sante.fr/portail/display.jsp?id=j_5</vt:lpwstr>
      </vt:variant>
      <vt:variant>
        <vt:lpwstr/>
      </vt:variant>
      <vt:variant>
        <vt:i4>1703943</vt:i4>
      </vt:variant>
      <vt:variant>
        <vt:i4>2055</vt:i4>
      </vt:variant>
      <vt:variant>
        <vt:i4>0</vt:i4>
      </vt:variant>
      <vt:variant>
        <vt:i4>5</vt:i4>
      </vt:variant>
      <vt:variant>
        <vt:lpwstr>http://www.stakes.fi/finohta/</vt:lpwstr>
      </vt:variant>
      <vt:variant>
        <vt:lpwstr/>
      </vt:variant>
      <vt:variant>
        <vt:i4>851976</vt:i4>
      </vt:variant>
      <vt:variant>
        <vt:i4>2052</vt:i4>
      </vt:variant>
      <vt:variant>
        <vt:i4>0</vt:i4>
      </vt:variant>
      <vt:variant>
        <vt:i4>5</vt:i4>
      </vt:variant>
      <vt:variant>
        <vt:lpwstr>http://www.dihta.dk/</vt:lpwstr>
      </vt:variant>
      <vt:variant>
        <vt:lpwstr/>
      </vt:variant>
      <vt:variant>
        <vt:i4>2818144</vt:i4>
      </vt:variant>
      <vt:variant>
        <vt:i4>2049</vt:i4>
      </vt:variant>
      <vt:variant>
        <vt:i4>0</vt:i4>
      </vt:variant>
      <vt:variant>
        <vt:i4>5</vt:i4>
      </vt:variant>
      <vt:variant>
        <vt:lpwstr>http://www.ices.on.ca/</vt:lpwstr>
      </vt:variant>
      <vt:variant>
        <vt:lpwstr/>
      </vt:variant>
      <vt:variant>
        <vt:i4>1245259</vt:i4>
      </vt:variant>
      <vt:variant>
        <vt:i4>2046</vt:i4>
      </vt:variant>
      <vt:variant>
        <vt:i4>0</vt:i4>
      </vt:variant>
      <vt:variant>
        <vt:i4>5</vt:i4>
      </vt:variant>
      <vt:variant>
        <vt:lpwstr>http://www.chspr.ubc.ca/</vt:lpwstr>
      </vt:variant>
      <vt:variant>
        <vt:lpwstr/>
      </vt:variant>
      <vt:variant>
        <vt:i4>4456468</vt:i4>
      </vt:variant>
      <vt:variant>
        <vt:i4>2043</vt:i4>
      </vt:variant>
      <vt:variant>
        <vt:i4>0</vt:i4>
      </vt:variant>
      <vt:variant>
        <vt:i4>5</vt:i4>
      </vt:variant>
      <vt:variant>
        <vt:lpwstr>http://www.chepa.org/</vt:lpwstr>
      </vt:variant>
      <vt:variant>
        <vt:lpwstr/>
      </vt:variant>
      <vt:variant>
        <vt:i4>524298</vt:i4>
      </vt:variant>
      <vt:variant>
        <vt:i4>2040</vt:i4>
      </vt:variant>
      <vt:variant>
        <vt:i4>0</vt:i4>
      </vt:variant>
      <vt:variant>
        <vt:i4>5</vt:i4>
      </vt:variant>
      <vt:variant>
        <vt:lpwstr>http://www.cadth.ca/</vt:lpwstr>
      </vt:variant>
      <vt:variant>
        <vt:lpwstr/>
      </vt:variant>
      <vt:variant>
        <vt:i4>7995491</vt:i4>
      </vt:variant>
      <vt:variant>
        <vt:i4>2037</vt:i4>
      </vt:variant>
      <vt:variant>
        <vt:i4>0</vt:i4>
      </vt:variant>
      <vt:variant>
        <vt:i4>5</vt:i4>
      </vt:variant>
      <vt:variant>
        <vt:lpwstr>http://www.oeaw.ac.at/ita/e1-3.htm</vt:lpwstr>
      </vt:variant>
      <vt:variant>
        <vt:lpwstr/>
      </vt:variant>
      <vt:variant>
        <vt:i4>3997744</vt:i4>
      </vt:variant>
      <vt:variant>
        <vt:i4>2034</vt:i4>
      </vt:variant>
      <vt:variant>
        <vt:i4>0</vt:i4>
      </vt:variant>
      <vt:variant>
        <vt:i4>5</vt:i4>
      </vt:variant>
      <vt:variant>
        <vt:lpwstr>http://www.msac.gov.au/</vt:lpwstr>
      </vt:variant>
      <vt:variant>
        <vt:lpwstr/>
      </vt:variant>
      <vt:variant>
        <vt:i4>524367</vt:i4>
      </vt:variant>
      <vt:variant>
        <vt:i4>2031</vt:i4>
      </vt:variant>
      <vt:variant>
        <vt:i4>0</vt:i4>
      </vt:variant>
      <vt:variant>
        <vt:i4>5</vt:i4>
      </vt:variant>
      <vt:variant>
        <vt:lpwstr>http://chpe.buseco.monash.edu.au/</vt:lpwstr>
      </vt:variant>
      <vt:variant>
        <vt:lpwstr/>
      </vt:variant>
      <vt:variant>
        <vt:i4>3014780</vt:i4>
      </vt:variant>
      <vt:variant>
        <vt:i4>2028</vt:i4>
      </vt:variant>
      <vt:variant>
        <vt:i4>0</vt:i4>
      </vt:variant>
      <vt:variant>
        <vt:i4>5</vt:i4>
      </vt:variant>
      <vt:variant>
        <vt:lpwstr>http://www.mihsr.monash.org/cce/index.html</vt:lpwstr>
      </vt:variant>
      <vt:variant>
        <vt:lpwstr/>
      </vt:variant>
      <vt:variant>
        <vt:i4>4653087</vt:i4>
      </vt:variant>
      <vt:variant>
        <vt:i4>2025</vt:i4>
      </vt:variant>
      <vt:variant>
        <vt:i4>0</vt:i4>
      </vt:variant>
      <vt:variant>
        <vt:i4>5</vt:i4>
      </vt:variant>
      <vt:variant>
        <vt:lpwstr>http://www.surgeons.org/Content/NavigationMenu/Research/ASERNIPS/default.htm</vt:lpwstr>
      </vt:variant>
      <vt:variant>
        <vt:lpwstr/>
      </vt:variant>
      <vt:variant>
        <vt:i4>2031666</vt:i4>
      </vt:variant>
      <vt:variant>
        <vt:i4>590</vt:i4>
      </vt:variant>
      <vt:variant>
        <vt:i4>0</vt:i4>
      </vt:variant>
      <vt:variant>
        <vt:i4>5</vt:i4>
      </vt:variant>
      <vt:variant>
        <vt:lpwstr/>
      </vt:variant>
      <vt:variant>
        <vt:lpwstr>_Toc231895867</vt:lpwstr>
      </vt:variant>
      <vt:variant>
        <vt:i4>2031666</vt:i4>
      </vt:variant>
      <vt:variant>
        <vt:i4>584</vt:i4>
      </vt:variant>
      <vt:variant>
        <vt:i4>0</vt:i4>
      </vt:variant>
      <vt:variant>
        <vt:i4>5</vt:i4>
      </vt:variant>
      <vt:variant>
        <vt:lpwstr/>
      </vt:variant>
      <vt:variant>
        <vt:lpwstr>_Toc231895866</vt:lpwstr>
      </vt:variant>
      <vt:variant>
        <vt:i4>2031666</vt:i4>
      </vt:variant>
      <vt:variant>
        <vt:i4>578</vt:i4>
      </vt:variant>
      <vt:variant>
        <vt:i4>0</vt:i4>
      </vt:variant>
      <vt:variant>
        <vt:i4>5</vt:i4>
      </vt:variant>
      <vt:variant>
        <vt:lpwstr/>
      </vt:variant>
      <vt:variant>
        <vt:lpwstr>_Toc231895865</vt:lpwstr>
      </vt:variant>
      <vt:variant>
        <vt:i4>2031666</vt:i4>
      </vt:variant>
      <vt:variant>
        <vt:i4>572</vt:i4>
      </vt:variant>
      <vt:variant>
        <vt:i4>0</vt:i4>
      </vt:variant>
      <vt:variant>
        <vt:i4>5</vt:i4>
      </vt:variant>
      <vt:variant>
        <vt:lpwstr/>
      </vt:variant>
      <vt:variant>
        <vt:lpwstr>_Toc231895864</vt:lpwstr>
      </vt:variant>
      <vt:variant>
        <vt:i4>2031666</vt:i4>
      </vt:variant>
      <vt:variant>
        <vt:i4>566</vt:i4>
      </vt:variant>
      <vt:variant>
        <vt:i4>0</vt:i4>
      </vt:variant>
      <vt:variant>
        <vt:i4>5</vt:i4>
      </vt:variant>
      <vt:variant>
        <vt:lpwstr/>
      </vt:variant>
      <vt:variant>
        <vt:lpwstr>_Toc231895863</vt:lpwstr>
      </vt:variant>
      <vt:variant>
        <vt:i4>2031666</vt:i4>
      </vt:variant>
      <vt:variant>
        <vt:i4>560</vt:i4>
      </vt:variant>
      <vt:variant>
        <vt:i4>0</vt:i4>
      </vt:variant>
      <vt:variant>
        <vt:i4>5</vt:i4>
      </vt:variant>
      <vt:variant>
        <vt:lpwstr/>
      </vt:variant>
      <vt:variant>
        <vt:lpwstr>_Toc231895862</vt:lpwstr>
      </vt:variant>
      <vt:variant>
        <vt:i4>2031666</vt:i4>
      </vt:variant>
      <vt:variant>
        <vt:i4>554</vt:i4>
      </vt:variant>
      <vt:variant>
        <vt:i4>0</vt:i4>
      </vt:variant>
      <vt:variant>
        <vt:i4>5</vt:i4>
      </vt:variant>
      <vt:variant>
        <vt:lpwstr/>
      </vt:variant>
      <vt:variant>
        <vt:lpwstr>_Toc231895861</vt:lpwstr>
      </vt:variant>
      <vt:variant>
        <vt:i4>2031666</vt:i4>
      </vt:variant>
      <vt:variant>
        <vt:i4>548</vt:i4>
      </vt:variant>
      <vt:variant>
        <vt:i4>0</vt:i4>
      </vt:variant>
      <vt:variant>
        <vt:i4>5</vt:i4>
      </vt:variant>
      <vt:variant>
        <vt:lpwstr/>
      </vt:variant>
      <vt:variant>
        <vt:lpwstr>_Toc231895860</vt:lpwstr>
      </vt:variant>
      <vt:variant>
        <vt:i4>1835058</vt:i4>
      </vt:variant>
      <vt:variant>
        <vt:i4>542</vt:i4>
      </vt:variant>
      <vt:variant>
        <vt:i4>0</vt:i4>
      </vt:variant>
      <vt:variant>
        <vt:i4>5</vt:i4>
      </vt:variant>
      <vt:variant>
        <vt:lpwstr/>
      </vt:variant>
      <vt:variant>
        <vt:lpwstr>_Toc231895859</vt:lpwstr>
      </vt:variant>
      <vt:variant>
        <vt:i4>1835058</vt:i4>
      </vt:variant>
      <vt:variant>
        <vt:i4>536</vt:i4>
      </vt:variant>
      <vt:variant>
        <vt:i4>0</vt:i4>
      </vt:variant>
      <vt:variant>
        <vt:i4>5</vt:i4>
      </vt:variant>
      <vt:variant>
        <vt:lpwstr/>
      </vt:variant>
      <vt:variant>
        <vt:lpwstr>_Toc231895858</vt:lpwstr>
      </vt:variant>
      <vt:variant>
        <vt:i4>4849783</vt:i4>
      </vt:variant>
      <vt:variant>
        <vt:i4>530</vt:i4>
      </vt:variant>
      <vt:variant>
        <vt:i4>0</vt:i4>
      </vt:variant>
      <vt:variant>
        <vt:i4>5</vt:i4>
      </vt:variant>
      <vt:variant>
        <vt:lpwstr>../8th draft MSAC/MSAC Assessment Report 1122AutoLBC_FINAL MSAC_AP0609.doc</vt:lpwstr>
      </vt:variant>
      <vt:variant>
        <vt:lpwstr>_Toc231895857</vt:lpwstr>
      </vt:variant>
      <vt:variant>
        <vt:i4>4849783</vt:i4>
      </vt:variant>
      <vt:variant>
        <vt:i4>524</vt:i4>
      </vt:variant>
      <vt:variant>
        <vt:i4>0</vt:i4>
      </vt:variant>
      <vt:variant>
        <vt:i4>5</vt:i4>
      </vt:variant>
      <vt:variant>
        <vt:lpwstr>../8th draft MSAC/MSAC Assessment Report 1122AutoLBC_FINAL MSAC_AP0609.doc</vt:lpwstr>
      </vt:variant>
      <vt:variant>
        <vt:lpwstr>_Toc231895856</vt:lpwstr>
      </vt:variant>
      <vt:variant>
        <vt:i4>1835058</vt:i4>
      </vt:variant>
      <vt:variant>
        <vt:i4>518</vt:i4>
      </vt:variant>
      <vt:variant>
        <vt:i4>0</vt:i4>
      </vt:variant>
      <vt:variant>
        <vt:i4>5</vt:i4>
      </vt:variant>
      <vt:variant>
        <vt:lpwstr/>
      </vt:variant>
      <vt:variant>
        <vt:lpwstr>_Toc231895855</vt:lpwstr>
      </vt:variant>
      <vt:variant>
        <vt:i4>1835058</vt:i4>
      </vt:variant>
      <vt:variant>
        <vt:i4>512</vt:i4>
      </vt:variant>
      <vt:variant>
        <vt:i4>0</vt:i4>
      </vt:variant>
      <vt:variant>
        <vt:i4>5</vt:i4>
      </vt:variant>
      <vt:variant>
        <vt:lpwstr/>
      </vt:variant>
      <vt:variant>
        <vt:lpwstr>_Toc231895854</vt:lpwstr>
      </vt:variant>
      <vt:variant>
        <vt:i4>1835058</vt:i4>
      </vt:variant>
      <vt:variant>
        <vt:i4>506</vt:i4>
      </vt:variant>
      <vt:variant>
        <vt:i4>0</vt:i4>
      </vt:variant>
      <vt:variant>
        <vt:i4>5</vt:i4>
      </vt:variant>
      <vt:variant>
        <vt:lpwstr/>
      </vt:variant>
      <vt:variant>
        <vt:lpwstr>_Toc231895853</vt:lpwstr>
      </vt:variant>
      <vt:variant>
        <vt:i4>1835058</vt:i4>
      </vt:variant>
      <vt:variant>
        <vt:i4>500</vt:i4>
      </vt:variant>
      <vt:variant>
        <vt:i4>0</vt:i4>
      </vt:variant>
      <vt:variant>
        <vt:i4>5</vt:i4>
      </vt:variant>
      <vt:variant>
        <vt:lpwstr/>
      </vt:variant>
      <vt:variant>
        <vt:lpwstr>_Toc231895852</vt:lpwstr>
      </vt:variant>
      <vt:variant>
        <vt:i4>1835058</vt:i4>
      </vt:variant>
      <vt:variant>
        <vt:i4>494</vt:i4>
      </vt:variant>
      <vt:variant>
        <vt:i4>0</vt:i4>
      </vt:variant>
      <vt:variant>
        <vt:i4>5</vt:i4>
      </vt:variant>
      <vt:variant>
        <vt:lpwstr/>
      </vt:variant>
      <vt:variant>
        <vt:lpwstr>_Toc231895851</vt:lpwstr>
      </vt:variant>
      <vt:variant>
        <vt:i4>1835058</vt:i4>
      </vt:variant>
      <vt:variant>
        <vt:i4>488</vt:i4>
      </vt:variant>
      <vt:variant>
        <vt:i4>0</vt:i4>
      </vt:variant>
      <vt:variant>
        <vt:i4>5</vt:i4>
      </vt:variant>
      <vt:variant>
        <vt:lpwstr/>
      </vt:variant>
      <vt:variant>
        <vt:lpwstr>_Toc231895850</vt:lpwstr>
      </vt:variant>
      <vt:variant>
        <vt:i4>1900594</vt:i4>
      </vt:variant>
      <vt:variant>
        <vt:i4>482</vt:i4>
      </vt:variant>
      <vt:variant>
        <vt:i4>0</vt:i4>
      </vt:variant>
      <vt:variant>
        <vt:i4>5</vt:i4>
      </vt:variant>
      <vt:variant>
        <vt:lpwstr/>
      </vt:variant>
      <vt:variant>
        <vt:lpwstr>_Toc231895849</vt:lpwstr>
      </vt:variant>
      <vt:variant>
        <vt:i4>1900594</vt:i4>
      </vt:variant>
      <vt:variant>
        <vt:i4>476</vt:i4>
      </vt:variant>
      <vt:variant>
        <vt:i4>0</vt:i4>
      </vt:variant>
      <vt:variant>
        <vt:i4>5</vt:i4>
      </vt:variant>
      <vt:variant>
        <vt:lpwstr/>
      </vt:variant>
      <vt:variant>
        <vt:lpwstr>_Toc231895848</vt:lpwstr>
      </vt:variant>
      <vt:variant>
        <vt:i4>1900594</vt:i4>
      </vt:variant>
      <vt:variant>
        <vt:i4>470</vt:i4>
      </vt:variant>
      <vt:variant>
        <vt:i4>0</vt:i4>
      </vt:variant>
      <vt:variant>
        <vt:i4>5</vt:i4>
      </vt:variant>
      <vt:variant>
        <vt:lpwstr/>
      </vt:variant>
      <vt:variant>
        <vt:lpwstr>_Toc231895847</vt:lpwstr>
      </vt:variant>
      <vt:variant>
        <vt:i4>1900594</vt:i4>
      </vt:variant>
      <vt:variant>
        <vt:i4>464</vt:i4>
      </vt:variant>
      <vt:variant>
        <vt:i4>0</vt:i4>
      </vt:variant>
      <vt:variant>
        <vt:i4>5</vt:i4>
      </vt:variant>
      <vt:variant>
        <vt:lpwstr/>
      </vt:variant>
      <vt:variant>
        <vt:lpwstr>_Toc231895846</vt:lpwstr>
      </vt:variant>
      <vt:variant>
        <vt:i4>1900594</vt:i4>
      </vt:variant>
      <vt:variant>
        <vt:i4>458</vt:i4>
      </vt:variant>
      <vt:variant>
        <vt:i4>0</vt:i4>
      </vt:variant>
      <vt:variant>
        <vt:i4>5</vt:i4>
      </vt:variant>
      <vt:variant>
        <vt:lpwstr/>
      </vt:variant>
      <vt:variant>
        <vt:lpwstr>_Toc231895845</vt:lpwstr>
      </vt:variant>
      <vt:variant>
        <vt:i4>1900594</vt:i4>
      </vt:variant>
      <vt:variant>
        <vt:i4>452</vt:i4>
      </vt:variant>
      <vt:variant>
        <vt:i4>0</vt:i4>
      </vt:variant>
      <vt:variant>
        <vt:i4>5</vt:i4>
      </vt:variant>
      <vt:variant>
        <vt:lpwstr/>
      </vt:variant>
      <vt:variant>
        <vt:lpwstr>_Toc231895844</vt:lpwstr>
      </vt:variant>
      <vt:variant>
        <vt:i4>1900594</vt:i4>
      </vt:variant>
      <vt:variant>
        <vt:i4>446</vt:i4>
      </vt:variant>
      <vt:variant>
        <vt:i4>0</vt:i4>
      </vt:variant>
      <vt:variant>
        <vt:i4>5</vt:i4>
      </vt:variant>
      <vt:variant>
        <vt:lpwstr/>
      </vt:variant>
      <vt:variant>
        <vt:lpwstr>_Toc231895843</vt:lpwstr>
      </vt:variant>
      <vt:variant>
        <vt:i4>1900594</vt:i4>
      </vt:variant>
      <vt:variant>
        <vt:i4>440</vt:i4>
      </vt:variant>
      <vt:variant>
        <vt:i4>0</vt:i4>
      </vt:variant>
      <vt:variant>
        <vt:i4>5</vt:i4>
      </vt:variant>
      <vt:variant>
        <vt:lpwstr/>
      </vt:variant>
      <vt:variant>
        <vt:lpwstr>_Toc231895842</vt:lpwstr>
      </vt:variant>
      <vt:variant>
        <vt:i4>5373963</vt:i4>
      </vt:variant>
      <vt:variant>
        <vt:i4>3</vt:i4>
      </vt:variant>
      <vt:variant>
        <vt:i4>0</vt:i4>
      </vt:variant>
      <vt:variant>
        <vt:i4>5</vt:i4>
      </vt:variant>
      <vt:variant>
        <vt:lpwstr>http://www.ag.gov.au/cca</vt:lpwstr>
      </vt:variant>
      <vt:variant>
        <vt:lpwstr/>
      </vt:variant>
      <vt:variant>
        <vt:i4>5373963</vt:i4>
      </vt:variant>
      <vt:variant>
        <vt:i4>0</vt:i4>
      </vt:variant>
      <vt:variant>
        <vt:i4>0</vt:i4>
      </vt:variant>
      <vt:variant>
        <vt:i4>5</vt:i4>
      </vt:variant>
      <vt:variant>
        <vt:lpwstr>http://www.ag.gov.au/cca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Sydney Office</dc:creator>
  <cp:lastModifiedBy>McCandless Sean</cp:lastModifiedBy>
  <cp:revision>2</cp:revision>
  <cp:lastPrinted>2015-06-16T03:34:00Z</cp:lastPrinted>
  <dcterms:created xsi:type="dcterms:W3CDTF">2015-06-16T03:37:00Z</dcterms:created>
  <dcterms:modified xsi:type="dcterms:W3CDTF">2015-06-16T03:37:00Z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