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2C4202B" wp14:editId="4912FF9E">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C451D8" w:rsidRDefault="00BC1364" w:rsidP="00C451D8">
      <w:pPr>
        <w:pStyle w:val="Style1"/>
        <w:rPr>
          <w:lang w:val="en"/>
        </w:rPr>
      </w:pPr>
      <w:r w:rsidRPr="00C451D8">
        <w:rPr>
          <w:lang w:val="en"/>
        </w:rPr>
        <w:t>Application</w:t>
      </w:r>
      <w:r w:rsidR="00C451D8" w:rsidRPr="00C451D8">
        <w:rPr>
          <w:lang w:val="en"/>
        </w:rPr>
        <w:t xml:space="preserve"> 1189</w:t>
      </w:r>
      <w:r w:rsidR="00C451D8">
        <w:rPr>
          <w:b w:val="0"/>
          <w:bCs/>
          <w:i w:val="0"/>
        </w:rPr>
        <w:t xml:space="preserve"> </w:t>
      </w:r>
      <w:r w:rsidRPr="007B32D1">
        <w:rPr>
          <w:bCs/>
        </w:rPr>
        <w:t xml:space="preserve">– </w:t>
      </w:r>
      <w:r w:rsidR="00C451D8" w:rsidRPr="002F12F2">
        <w:rPr>
          <w:lang w:val="en"/>
        </w:rPr>
        <w:t>Targeted intraoperative radiotherapy (</w:t>
      </w:r>
      <w:r w:rsidR="00572124">
        <w:rPr>
          <w:lang w:val="en"/>
        </w:rPr>
        <w:t>T-</w:t>
      </w:r>
      <w:r w:rsidR="00C451D8" w:rsidRPr="002F12F2">
        <w:rPr>
          <w:lang w:val="en"/>
        </w:rPr>
        <w:t>IORT) for early breast cancer</w:t>
      </w:r>
    </w:p>
    <w:p w:rsidR="00BC1364" w:rsidRPr="00707064" w:rsidRDefault="00BC1364" w:rsidP="00065623">
      <w:pPr>
        <w:tabs>
          <w:tab w:val="left" w:pos="3600"/>
        </w:tabs>
        <w:ind w:left="3600" w:hanging="3600"/>
        <w:rPr>
          <w:szCs w:val="24"/>
        </w:rPr>
      </w:pPr>
    </w:p>
    <w:p w:rsidR="00BC1364" w:rsidRPr="00D90A38" w:rsidRDefault="00C451D8" w:rsidP="008D13F6">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8D13F6" w:rsidRPr="00D90A38" w:rsidDel="008D13F6">
        <w:rPr>
          <w:rFonts w:ascii="Arial" w:hAnsi="Arial" w:cs="Arial"/>
          <w:b/>
          <w:szCs w:val="24"/>
        </w:rPr>
        <w:t xml:space="preserve"> </w:t>
      </w:r>
      <w:r w:rsidR="008D13F6">
        <w:rPr>
          <w:rFonts w:ascii="Arial" w:hAnsi="Arial" w:cs="Arial"/>
          <w:b/>
          <w:szCs w:val="24"/>
        </w:rPr>
        <w:tab/>
      </w:r>
      <w:r>
        <w:rPr>
          <w:rFonts w:ascii="Arial" w:hAnsi="Arial" w:cs="Arial"/>
          <w:b/>
          <w:szCs w:val="24"/>
        </w:rPr>
        <w:t>Carl Zeiss Australasia</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8D13F6">
      <w:pPr>
        <w:tabs>
          <w:tab w:val="left" w:pos="3686"/>
        </w:tabs>
        <w:rPr>
          <w:rFonts w:ascii="Arial" w:hAnsi="Arial" w:cs="Arial"/>
          <w:b/>
          <w:szCs w:val="24"/>
        </w:rPr>
      </w:pPr>
      <w:r w:rsidRPr="00D90A38">
        <w:rPr>
          <w:rFonts w:ascii="Arial" w:hAnsi="Arial" w:cs="Arial"/>
          <w:b/>
          <w:szCs w:val="24"/>
        </w:rPr>
        <w:t>Date of MSAC consideration:</w:t>
      </w:r>
      <w:r w:rsidR="008D13F6">
        <w:rPr>
          <w:rFonts w:ascii="Arial" w:hAnsi="Arial" w:cs="Arial"/>
          <w:b/>
          <w:szCs w:val="24"/>
        </w:rPr>
        <w:tab/>
      </w:r>
      <w:r w:rsidR="00C451D8">
        <w:rPr>
          <w:rFonts w:ascii="Arial" w:hAnsi="Arial" w:cs="Arial"/>
          <w:b/>
          <w:szCs w:val="24"/>
        </w:rPr>
        <w:t>62</w:t>
      </w:r>
      <w:r w:rsidR="00C451D8" w:rsidRPr="00C451D8">
        <w:rPr>
          <w:rFonts w:ascii="Arial" w:hAnsi="Arial" w:cs="Arial"/>
          <w:b/>
          <w:szCs w:val="24"/>
          <w:vertAlign w:val="superscript"/>
        </w:rPr>
        <w:t>nd</w:t>
      </w:r>
      <w:r w:rsidR="00C451D8">
        <w:rPr>
          <w:rFonts w:ascii="Arial" w:hAnsi="Arial" w:cs="Arial"/>
          <w:b/>
          <w:szCs w:val="24"/>
        </w:rPr>
        <w:t xml:space="preserve"> MSAC Meeting 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the Medical Services Advisory Committee web site" w:history="1">
        <w:r w:rsidRPr="000A74FE">
          <w:rPr>
            <w:rStyle w:val="Hyperlink"/>
            <w:szCs w:val="24"/>
          </w:rPr>
          <w:t>www.msac.gov.au</w:t>
        </w:r>
      </w:hyperlink>
    </w:p>
    <w:p w:rsidR="00F41812" w:rsidRDefault="00F41812" w:rsidP="00065623">
      <w:pPr>
        <w:rPr>
          <w:szCs w:val="24"/>
        </w:rPr>
      </w:pPr>
      <w:bookmarkStart w:id="0" w:name="_GoBack"/>
      <w:bookmarkEnd w:id="0"/>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B066E6" w:rsidRDefault="00C451D8" w:rsidP="00B066E6">
      <w:r w:rsidRPr="007D6D9B">
        <w:t xml:space="preserve">An application requesting the Medicare Benefits Schedule (MBS) listing of </w:t>
      </w:r>
      <w:r w:rsidRPr="007D6D9B">
        <w:rPr>
          <w:color w:val="000000" w:themeColor="text1"/>
        </w:rPr>
        <w:t>targeted intraoperative radiotherapy (</w:t>
      </w:r>
      <w:r w:rsidR="00572124">
        <w:rPr>
          <w:color w:val="000000" w:themeColor="text1"/>
        </w:rPr>
        <w:t>T-</w:t>
      </w:r>
      <w:r w:rsidRPr="007D6D9B">
        <w:rPr>
          <w:color w:val="000000" w:themeColor="text1"/>
        </w:rPr>
        <w:t>IORT)</w:t>
      </w:r>
      <w:r>
        <w:rPr>
          <w:color w:val="000000" w:themeColor="text1"/>
        </w:rPr>
        <w:t xml:space="preserve"> </w:t>
      </w:r>
      <w:r w:rsidRPr="007D6D9B">
        <w:t xml:space="preserve">was received from </w:t>
      </w:r>
      <w:r>
        <w:t>Carl Zeiss Australasia</w:t>
      </w:r>
      <w:r w:rsidRPr="007D6D9B">
        <w:t xml:space="preserve"> by the Department of Health in</w:t>
      </w:r>
      <w:r>
        <w:t xml:space="preserve"> July 2011</w:t>
      </w:r>
      <w:r w:rsidR="00B066E6">
        <w:t>.</w:t>
      </w:r>
    </w:p>
    <w:p w:rsidR="00B066E6" w:rsidRDefault="00B066E6" w:rsidP="00B066E6"/>
    <w:p w:rsidR="00C451D8" w:rsidRDefault="00C451D8" w:rsidP="00B066E6">
      <w:r>
        <w:t xml:space="preserve">Targeted intraoperative radiotherapy (T-IORT) is a form of partial breast irradiation which involves </w:t>
      </w:r>
      <w:r w:rsidR="000C1463">
        <w:t xml:space="preserve">administering local </w:t>
      </w:r>
      <w:r>
        <w:t xml:space="preserve">radiotherapy </w:t>
      </w:r>
      <w:r w:rsidR="000C1463">
        <w:t xml:space="preserve">in the operating theatre </w:t>
      </w:r>
      <w:r>
        <w:t xml:space="preserve">using the </w:t>
      </w:r>
      <w:proofErr w:type="spellStart"/>
      <w:r w:rsidR="000C1463">
        <w:t>Intrabeam</w:t>
      </w:r>
      <w:proofErr w:type="spellEnd"/>
      <w:r w:rsidR="000C1463">
        <w:t xml:space="preserve">® </w:t>
      </w:r>
      <w:r>
        <w:t xml:space="preserve">device to the </w:t>
      </w:r>
      <w:r w:rsidR="000C1463">
        <w:t>tumour bed</w:t>
      </w:r>
      <w:r w:rsidR="004044A2">
        <w:t xml:space="preserve"> </w:t>
      </w:r>
      <w:r>
        <w:t xml:space="preserve">after surgical removal of </w:t>
      </w:r>
      <w:r w:rsidR="00056958">
        <w:t>a breast cancer</w:t>
      </w:r>
      <w:r>
        <w:t xml:space="preserve">. The rationale of </w:t>
      </w:r>
      <w:r w:rsidR="00C27C95">
        <w:t>T-</w:t>
      </w:r>
      <w:r>
        <w:t>IORT is to accurately target the tissues where there is the highest risk of cancer returning.</w:t>
      </w:r>
    </w:p>
    <w:p w:rsidR="00715F94" w:rsidRDefault="00715F94" w:rsidP="00B066E6"/>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7E5394" w:rsidRDefault="007E5394" w:rsidP="007E5394">
      <w:r>
        <w:t xml:space="preserve">After considering the available evidence in relation to safety, clinical effectiveness and cost-effectiveness, MSAC supported public funding of a new MBS item for treatment of </w:t>
      </w:r>
      <w:r w:rsidR="002E0AD7">
        <w:t xml:space="preserve">pathologically documented invasive ductal </w:t>
      </w:r>
      <w:r w:rsidR="000C1463">
        <w:t xml:space="preserve">breast cancer </w:t>
      </w:r>
      <w:r>
        <w:t xml:space="preserve">in eligible patients with T-IORT </w:t>
      </w:r>
      <w:r w:rsidR="00E361C7">
        <w:t xml:space="preserve">when </w:t>
      </w:r>
      <w:r>
        <w:t>used concurrently with breast-conserving surgery</w:t>
      </w:r>
      <w:r w:rsidR="00C27C95">
        <w:t xml:space="preserve"> (BCS)</w:t>
      </w:r>
      <w:r>
        <w:t>.</w:t>
      </w:r>
    </w:p>
    <w:p w:rsidR="007E5394" w:rsidRDefault="007E5394" w:rsidP="007E5394"/>
    <w:p w:rsidR="007E5394" w:rsidRDefault="007E5394" w:rsidP="007E5394">
      <w:r>
        <w:t xml:space="preserve">MSAC recommended that the Department negotiate the proposed MBS fee with the applicant. MSAC noted that the application proposes </w:t>
      </w:r>
      <w:r w:rsidR="00E361C7">
        <w:t>a</w:t>
      </w:r>
      <w:r>
        <w:t xml:space="preserve"> treatment </w:t>
      </w:r>
      <w:r w:rsidR="00E361C7">
        <w:t xml:space="preserve">which may be inferior </w:t>
      </w:r>
      <w:r>
        <w:t xml:space="preserve">to treatments </w:t>
      </w:r>
      <w:r w:rsidR="00056958">
        <w:t xml:space="preserve">already MBS funded but </w:t>
      </w:r>
      <w:r w:rsidR="00344BDA">
        <w:t xml:space="preserve">noted that some women are currently opting for inferior treatment due to limited access to appropriate treatment, socio-economic factors and other concerns.  MSAC </w:t>
      </w:r>
      <w:r>
        <w:t xml:space="preserve">considers that the proposed treatment </w:t>
      </w:r>
      <w:r w:rsidR="00056958">
        <w:t xml:space="preserve">is likely to </w:t>
      </w:r>
      <w:r>
        <w:t>be cost saving to the MBS; and that the fee should not include the capital cost of the machine. If no agreement can be reached, then MSAC recommended that an application with additional data justifying the costs be provided for re-consideration by MSAC via ESC.</w:t>
      </w:r>
      <w:r w:rsidR="00E361C7">
        <w:t xml:space="preserve">  Should approval be granted, MSAC recommended that </w:t>
      </w:r>
      <w:r w:rsidR="00D965E0">
        <w:t>T</w:t>
      </w:r>
      <w:r w:rsidR="003952E8">
        <w:noBreakHyphen/>
        <w:t>I</w:t>
      </w:r>
      <w:r w:rsidR="00E361C7">
        <w:t>ORT be reviewed in 3 years in the light of Australian utilisation and the outcomes of additional</w:t>
      </w:r>
      <w:r w:rsidR="00C27C95">
        <w:t xml:space="preserve"> T-</w:t>
      </w:r>
      <w:r w:rsidR="00E361C7">
        <w:t>IORT trials currently under way.</w:t>
      </w:r>
    </w:p>
    <w:p w:rsidR="007E5394" w:rsidRDefault="007E5394" w:rsidP="007E5394"/>
    <w:p w:rsidR="007E5394" w:rsidRDefault="007E5394" w:rsidP="007E5394">
      <w:r>
        <w:lastRenderedPageBreak/>
        <w:t xml:space="preserve">MSAC advised that the </w:t>
      </w:r>
      <w:r w:rsidR="00056958">
        <w:t xml:space="preserve">wording </w:t>
      </w:r>
      <w:r>
        <w:t>of the proposed MBS item descriptor be tightened to ensure appropriate use</w:t>
      </w:r>
      <w:r w:rsidR="00E361C7">
        <w:t xml:space="preserve">, limited to the only currently approved method of </w:t>
      </w:r>
      <w:r w:rsidR="00C27C95">
        <w:t>T-</w:t>
      </w:r>
      <w:r w:rsidR="00E361C7">
        <w:t>IORT delivery</w:t>
      </w:r>
      <w:r>
        <w:t>.</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7E5394" w:rsidRDefault="007E5394" w:rsidP="007E5394">
      <w:r>
        <w:t xml:space="preserve">MSAC noted that this application was for MBS listing of T-IORT, to deliver radiotherapy using the </w:t>
      </w:r>
      <w:proofErr w:type="spellStart"/>
      <w:r w:rsidR="00056958">
        <w:t>Intrabeam</w:t>
      </w:r>
      <w:proofErr w:type="spellEnd"/>
      <w:r w:rsidR="00056958">
        <w:t>®</w:t>
      </w:r>
      <w:r w:rsidR="00167D8C">
        <w:t xml:space="preserve"> </w:t>
      </w:r>
      <w:r>
        <w:t xml:space="preserve">device to the </w:t>
      </w:r>
      <w:r w:rsidR="00056958">
        <w:t>tumour bed after surgical removal of a breast cancer</w:t>
      </w:r>
      <w:r>
        <w:t xml:space="preserve">. The rationale of IORT is to accurately target the tissues where there is the highest risk of cancer </w:t>
      </w:r>
      <w:r w:rsidR="00056958">
        <w:t>recurr</w:t>
      </w:r>
      <w:r w:rsidR="00E361C7">
        <w:t>e</w:t>
      </w:r>
      <w:r w:rsidR="00056958">
        <w:t>nce</w:t>
      </w:r>
      <w:r>
        <w:t>. Patients suitable for this modality should meet the following criteria:</w:t>
      </w:r>
    </w:p>
    <w:p w:rsidR="007E5394" w:rsidRDefault="007E5394" w:rsidP="007E5394">
      <w:pPr>
        <w:pStyle w:val="ListParagraph"/>
        <w:numPr>
          <w:ilvl w:val="0"/>
          <w:numId w:val="31"/>
        </w:numPr>
      </w:pPr>
      <w:r>
        <w:t>aged over 45 years</w:t>
      </w:r>
      <w:r w:rsidR="00AC4AC4">
        <w:t xml:space="preserve"> </w:t>
      </w:r>
    </w:p>
    <w:p w:rsidR="002E0AD7" w:rsidRDefault="007B4202" w:rsidP="007B4202">
      <w:pPr>
        <w:pStyle w:val="ListParagraph"/>
        <w:numPr>
          <w:ilvl w:val="0"/>
          <w:numId w:val="31"/>
        </w:numPr>
      </w:pPr>
      <w:r w:rsidRPr="00AA7BBE">
        <w:t xml:space="preserve">pathologically </w:t>
      </w:r>
      <w:r>
        <w:t xml:space="preserve">documented invasive </w:t>
      </w:r>
      <w:r w:rsidR="002E0AD7">
        <w:t xml:space="preserve">ductal </w:t>
      </w:r>
      <w:r w:rsidR="00D06F49">
        <w:t>breast cancer</w:t>
      </w:r>
    </w:p>
    <w:p w:rsidR="007B4202" w:rsidRDefault="007B4202" w:rsidP="007B4202">
      <w:pPr>
        <w:pStyle w:val="ListParagraph"/>
        <w:numPr>
          <w:ilvl w:val="0"/>
          <w:numId w:val="31"/>
        </w:numPr>
      </w:pPr>
      <w:r>
        <w:t>T1 or small T2 tumours (</w:t>
      </w:r>
      <w:r w:rsidRPr="007B4202">
        <w:rPr>
          <w:rFonts w:ascii="Cambria" w:hAnsi="Cambria"/>
        </w:rPr>
        <w:t xml:space="preserve">less than </w:t>
      </w:r>
      <w:r w:rsidR="00E221B4">
        <w:rPr>
          <w:rFonts w:ascii="Cambria" w:hAnsi="Cambria"/>
        </w:rPr>
        <w:t xml:space="preserve">or equal to </w:t>
      </w:r>
      <w:r>
        <w:t>3cm, histologic Grade 1 or 2)</w:t>
      </w:r>
    </w:p>
    <w:p w:rsidR="007E5394" w:rsidRDefault="007E5394" w:rsidP="007E5394">
      <w:pPr>
        <w:pStyle w:val="ListParagraph"/>
        <w:numPr>
          <w:ilvl w:val="0"/>
          <w:numId w:val="31"/>
        </w:numPr>
      </w:pPr>
      <w:r>
        <w:t xml:space="preserve">are </w:t>
      </w:r>
      <w:proofErr w:type="spellStart"/>
      <w:r w:rsidR="00AC4AC4">
        <w:t>estrogen</w:t>
      </w:r>
      <w:proofErr w:type="spellEnd"/>
      <w:r w:rsidR="00AC4AC4">
        <w:t>-receptor</w:t>
      </w:r>
      <w:r>
        <w:t xml:space="preserve"> positive</w:t>
      </w:r>
    </w:p>
    <w:p w:rsidR="007B4202" w:rsidRDefault="007B4202" w:rsidP="007E5394">
      <w:pPr>
        <w:pStyle w:val="ListParagraph"/>
        <w:numPr>
          <w:ilvl w:val="0"/>
          <w:numId w:val="31"/>
        </w:numPr>
      </w:pPr>
      <w:r>
        <w:t>are node negative</w:t>
      </w:r>
    </w:p>
    <w:p w:rsidR="007B4202" w:rsidRDefault="007B4202" w:rsidP="007E5394">
      <w:pPr>
        <w:pStyle w:val="ListParagraph"/>
        <w:numPr>
          <w:ilvl w:val="0"/>
          <w:numId w:val="31"/>
        </w:numPr>
      </w:pPr>
      <w:r>
        <w:t xml:space="preserve">suitable for wide local excision for invasive ductal carcinoma that is </w:t>
      </w:r>
      <w:proofErr w:type="spellStart"/>
      <w:r>
        <w:t>unifocal</w:t>
      </w:r>
      <w:proofErr w:type="spellEnd"/>
      <w:r>
        <w:t xml:space="preserve"> on conventional examination and imaging)</w:t>
      </w:r>
    </w:p>
    <w:p w:rsidR="007E5394" w:rsidRDefault="007E5394" w:rsidP="007E5394">
      <w:pPr>
        <w:pStyle w:val="ListParagraph"/>
        <w:numPr>
          <w:ilvl w:val="0"/>
          <w:numId w:val="31"/>
        </w:numPr>
      </w:pPr>
      <w:r>
        <w:t>have no contraindication to breast irradiation</w:t>
      </w:r>
    </w:p>
    <w:p w:rsidR="007E5394" w:rsidRDefault="007E5394" w:rsidP="007E5394"/>
    <w:p w:rsidR="007E5394" w:rsidRDefault="007E5394" w:rsidP="007E5394">
      <w:r>
        <w:t>MSAC noted the proposal of four new MBS items; two of which relate to the delivery of T-IORT by the radiation oncologist and two that cover the additional time required by the surgeon. The proposed MBS item descriptors for T-IORT for</w:t>
      </w:r>
      <w:r w:rsidR="00D06F49">
        <w:t xml:space="preserve"> </w:t>
      </w:r>
      <w:r w:rsidR="00D06F49" w:rsidRPr="00AA7BBE">
        <w:t xml:space="preserve">pathologically </w:t>
      </w:r>
      <w:r w:rsidR="00D06F49">
        <w:t>documented invasive ductal breast cancer</w:t>
      </w:r>
      <w:r>
        <w:t xml:space="preserve"> ESBC are </w:t>
      </w:r>
      <w:r w:rsidR="00C27C95">
        <w:t>at Section 6.</w:t>
      </w:r>
    </w:p>
    <w:p w:rsidR="007E5394" w:rsidRDefault="007E5394" w:rsidP="007E5394"/>
    <w:p w:rsidR="007E5394" w:rsidRPr="00D12746" w:rsidRDefault="007E5394" w:rsidP="007E5394">
      <w:r>
        <w:t xml:space="preserve">MSAC noted that the proposed MBS </w:t>
      </w:r>
      <w:r w:rsidRPr="00D12746">
        <w:t xml:space="preserve">item criteria stemmed from the multi-national </w:t>
      </w:r>
      <w:r w:rsidR="00EF7B8D">
        <w:t xml:space="preserve">TARGIT-A </w:t>
      </w:r>
      <w:r w:rsidRPr="00D12746">
        <w:t xml:space="preserve">trial </w:t>
      </w:r>
      <w:r w:rsidR="00EF7B8D">
        <w:t xml:space="preserve">upon which </w:t>
      </w:r>
      <w:r w:rsidRPr="00D12746">
        <w:t xml:space="preserve">this application was based. </w:t>
      </w:r>
    </w:p>
    <w:p w:rsidR="007E5394" w:rsidRDefault="007E5394" w:rsidP="007E5394"/>
    <w:p w:rsidR="007E5394" w:rsidRDefault="007E5394" w:rsidP="007E5394">
      <w:r>
        <w:t>MSAC noted that the comparator for this intervention was whole breast external beam radiotherapy (WB-EBRT) as it is expected that WB-EBRT would be the intervention most likely to be replaced. It was also noted that subcutaneous mastectomy with or without reconstructive surgery could be an</w:t>
      </w:r>
      <w:r w:rsidR="00EF7B8D">
        <w:t>other</w:t>
      </w:r>
      <w:r>
        <w:t xml:space="preserve"> appropriate comparator. </w:t>
      </w:r>
    </w:p>
    <w:p w:rsidR="007E5394" w:rsidRDefault="007E5394" w:rsidP="007E5394"/>
    <w:p w:rsidR="008D13F6" w:rsidRDefault="007E5394" w:rsidP="007E5394">
      <w:r>
        <w:t xml:space="preserve">MSAC noted that evidence of safety and effectiveness was derived from the results of the TARGIT-A trial, a good-quality, un-blinded, multicentre, non-inferiority randomised controlled trial (RCT) of T-IORT compared to WB-EBRT. Based on the evidence in the TARGIT-A trial, MSAC noted that patients receiving T-IORT were less likely to experience radiotherapy-related toxicity and the rates of major complications were comparable in the two treatment groups. </w:t>
      </w:r>
      <w:r w:rsidR="00D965E0">
        <w:t>R</w:t>
      </w:r>
      <w:r>
        <w:t>e-excision rates appeared to be similar across treatment groups (all &lt;10%)</w:t>
      </w:r>
      <w:r w:rsidR="00D965E0">
        <w:t>.</w:t>
      </w:r>
    </w:p>
    <w:p w:rsidR="008D13F6" w:rsidRDefault="008D13F6" w:rsidP="007E5394"/>
    <w:p w:rsidR="007E5394" w:rsidRDefault="007E5394" w:rsidP="007E5394">
      <w:r>
        <w:t xml:space="preserve">MSAC expressed concerns that the proposed population, which is inherently at low risk of local recurrence, </w:t>
      </w:r>
      <w:r w:rsidR="00EF7B8D">
        <w:t>represents a</w:t>
      </w:r>
      <w:r>
        <w:t xml:space="preserve"> subpopulation of the TARGIT-A </w:t>
      </w:r>
      <w:r w:rsidR="00EF7B8D">
        <w:t xml:space="preserve">trial </w:t>
      </w:r>
      <w:r>
        <w:t>population. MSAC was</w:t>
      </w:r>
      <w:r w:rsidRPr="0030316C">
        <w:t xml:space="preserve"> </w:t>
      </w:r>
      <w:r w:rsidR="00EF7B8D">
        <w:t xml:space="preserve">also </w:t>
      </w:r>
      <w:r w:rsidRPr="0030316C">
        <w:t>concerned that the short duration of follow</w:t>
      </w:r>
      <w:r>
        <w:t>-</w:t>
      </w:r>
      <w:r w:rsidRPr="0030316C">
        <w:t xml:space="preserve">up </w:t>
      </w:r>
      <w:r w:rsidR="00EF7B8D">
        <w:t xml:space="preserve">in the TARGIT-A trial </w:t>
      </w:r>
      <w:r w:rsidRPr="0030316C">
        <w:t xml:space="preserve">may not be sufficient for </w:t>
      </w:r>
      <w:r w:rsidR="00EF7B8D">
        <w:t>meaningful evaluation</w:t>
      </w:r>
      <w:r w:rsidR="00EF7B8D" w:rsidRPr="0030316C">
        <w:t xml:space="preserve"> </w:t>
      </w:r>
      <w:r w:rsidRPr="0030316C">
        <w:t xml:space="preserve">of local recurrence </w:t>
      </w:r>
      <w:r w:rsidR="00EF7B8D">
        <w:t xml:space="preserve">rates </w:t>
      </w:r>
      <w:r w:rsidRPr="0030316C">
        <w:t xml:space="preserve">and </w:t>
      </w:r>
      <w:r w:rsidR="00EF7B8D">
        <w:t xml:space="preserve">would certainly be insufficient for evaluation of cancer-related </w:t>
      </w:r>
      <w:r w:rsidRPr="0030316C">
        <w:t>mortality</w:t>
      </w:r>
      <w:r>
        <w:t xml:space="preserve">. Therefore, for the proposed population, the efficacy of T-IORT </w:t>
      </w:r>
      <w:r w:rsidR="00EF7B8D">
        <w:t xml:space="preserve">was </w:t>
      </w:r>
      <w:r>
        <w:t xml:space="preserve">not </w:t>
      </w:r>
      <w:r w:rsidR="00EF7B8D">
        <w:t xml:space="preserve">confidently </w:t>
      </w:r>
      <w:r>
        <w:t xml:space="preserve">established compared to </w:t>
      </w:r>
      <w:r w:rsidR="00EF7B8D">
        <w:t>WB-EBRT</w:t>
      </w:r>
      <w:r>
        <w:t xml:space="preserve">. MSAC noted that while Australian patients accounted for 11% of the TARGIT-A population, the majority (86%) had T-IORT administered </w:t>
      </w:r>
      <w:r w:rsidR="00EF7B8D">
        <w:t>post-oper</w:t>
      </w:r>
      <w:r w:rsidR="00D06F49">
        <w:t>a</w:t>
      </w:r>
      <w:r w:rsidR="00EF7B8D">
        <w:t>tively (“</w:t>
      </w:r>
      <w:r>
        <w:t>post-pathology</w:t>
      </w:r>
      <w:r w:rsidR="00EF7B8D">
        <w:t>”)</w:t>
      </w:r>
      <w:r>
        <w:t xml:space="preserve">, </w:t>
      </w:r>
      <w:r w:rsidR="00EF7B8D">
        <w:t>and this subpopulation had</w:t>
      </w:r>
      <w:r>
        <w:t xml:space="preserve"> a higher rate of local recurrence. MSAC considered that the evidence did not support the post-pathology use of T-IORT as it was </w:t>
      </w:r>
      <w:r w:rsidR="00EF7B8D">
        <w:t>associated with a higher risk of</w:t>
      </w:r>
      <w:r>
        <w:t xml:space="preserve"> local recurrence. </w:t>
      </w:r>
    </w:p>
    <w:p w:rsidR="007E5394" w:rsidRDefault="007E5394" w:rsidP="007E5394"/>
    <w:p w:rsidR="007E5394" w:rsidRDefault="007E5394" w:rsidP="007E5394">
      <w:r>
        <w:t>MSAC noted that a cost-minimisation analysis (CMA) was performed based on the TARGIT-A trial for three scenarios:</w:t>
      </w:r>
    </w:p>
    <w:p w:rsidR="007E5394" w:rsidRDefault="007E5394" w:rsidP="007E5394">
      <w:pPr>
        <w:pStyle w:val="ListParagraph"/>
        <w:numPr>
          <w:ilvl w:val="0"/>
          <w:numId w:val="32"/>
        </w:numPr>
      </w:pPr>
      <w:r>
        <w:lastRenderedPageBreak/>
        <w:t xml:space="preserve">Patients treated with T-IORT concurrent with </w:t>
      </w:r>
      <w:r w:rsidR="00FB1940">
        <w:t>breast-conserving surgery (</w:t>
      </w:r>
      <w:r>
        <w:t>BCS</w:t>
      </w:r>
      <w:r w:rsidR="00FB1940">
        <w:t>)</w:t>
      </w:r>
      <w:r>
        <w:t xml:space="preserve"> with 15% having three weeks of WB-EBRT as a "boost" based on pathology taken at time of surgery</w:t>
      </w:r>
      <w:r w:rsidR="00FB1940">
        <w:t>,</w:t>
      </w:r>
      <w:r>
        <w:t xml:space="preserve"> versus patients treated with BCS followed by six weeks of WB-EBRT.</w:t>
      </w:r>
    </w:p>
    <w:p w:rsidR="007E5394" w:rsidRDefault="007E5394" w:rsidP="007E5394">
      <w:pPr>
        <w:pStyle w:val="ListParagraph"/>
        <w:numPr>
          <w:ilvl w:val="0"/>
          <w:numId w:val="32"/>
        </w:numPr>
      </w:pPr>
      <w:r>
        <w:t>Patients treated with post-pathology T-IORT following BCS</w:t>
      </w:r>
      <w:r w:rsidR="00FB1940">
        <w:t>,</w:t>
      </w:r>
      <w:r>
        <w:t xml:space="preserve"> versus patients treated with BCS followed by six weeks of WB-EBRT.</w:t>
      </w:r>
    </w:p>
    <w:p w:rsidR="007E5394" w:rsidRDefault="007E5394" w:rsidP="007E5394">
      <w:pPr>
        <w:pStyle w:val="ListParagraph"/>
        <w:numPr>
          <w:ilvl w:val="0"/>
          <w:numId w:val="32"/>
        </w:numPr>
      </w:pPr>
      <w:r>
        <w:t>Patients treated with T-IORT concurrent with BCS with 15% having three weeks of WB-EBRT as a "boost" based on pathology taken at time of surgery</w:t>
      </w:r>
      <w:r w:rsidR="00FB1940">
        <w:t>,</w:t>
      </w:r>
      <w:r>
        <w:t xml:space="preserve"> versus patients undergoing subcutaneous mastectomy followed </w:t>
      </w:r>
      <w:r w:rsidR="00FB1940">
        <w:t xml:space="preserve">in 15% of cases </w:t>
      </w:r>
      <w:r>
        <w:t>by breast reconstruction surgery.</w:t>
      </w:r>
    </w:p>
    <w:p w:rsidR="007E5394" w:rsidRDefault="007E5394" w:rsidP="007E5394"/>
    <w:p w:rsidR="007E5394" w:rsidRDefault="007E5394" w:rsidP="007E5394">
      <w:r>
        <w:t xml:space="preserve">MSAC noted that T-IORT </w:t>
      </w:r>
      <w:r w:rsidR="00FB1940">
        <w:t>yielded</w:t>
      </w:r>
      <w:r>
        <w:t xml:space="preserve"> cost savings of $</w:t>
      </w:r>
      <w:r w:rsidR="00E40BE9">
        <w:t>5,130</w:t>
      </w:r>
      <w:r>
        <w:t xml:space="preserve">, $5,637 and $1,193 </w:t>
      </w:r>
      <w:r w:rsidR="00FB1940">
        <w:t xml:space="preserve">per patient </w:t>
      </w:r>
      <w:r>
        <w:t xml:space="preserve">in scenarios 1, 2, and 3, respectively. </w:t>
      </w:r>
      <w:r w:rsidR="00FB1940">
        <w:t xml:space="preserve">Univariate sensitivity analyses for scenario 1 indicated that the estimated cost saving per patient was reasonably robust.  </w:t>
      </w:r>
      <w:r>
        <w:t xml:space="preserve">MSAC was concerned that </w:t>
      </w:r>
      <w:r w:rsidR="00FB1940">
        <w:t xml:space="preserve">the assumed </w:t>
      </w:r>
      <w:r>
        <w:t xml:space="preserve">utilisation of IORT was likely overestimated and </w:t>
      </w:r>
      <w:r w:rsidR="00FB1940">
        <w:t xml:space="preserve">the financial implications of public funding – </w:t>
      </w:r>
      <w:r>
        <w:t xml:space="preserve">potential total cost savings to the MBS and health budgets </w:t>
      </w:r>
      <w:r w:rsidR="00FB1940">
        <w:t xml:space="preserve">– </w:t>
      </w:r>
      <w:r>
        <w:t xml:space="preserve">were therefore optimistic. </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C451D8" w:rsidRDefault="00C451D8" w:rsidP="00C451D8">
      <w:r>
        <w:t>MSAC has not previously considered a request to list T-IORT on the MBS for early breast cancer or for any other indication.</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A868E2" w:rsidRDefault="00A868E2" w:rsidP="00A868E2">
      <w:r w:rsidRPr="007B6117">
        <w:t xml:space="preserve">The </w:t>
      </w:r>
      <w:proofErr w:type="spellStart"/>
      <w:r w:rsidRPr="007B6117">
        <w:t>Intrabeam</w:t>
      </w:r>
      <w:proofErr w:type="spellEnd"/>
      <w:r w:rsidRPr="007B6117">
        <w:t xml:space="preserve"> Unit </w:t>
      </w:r>
      <w:r>
        <w:t xml:space="preserve">(and spherical </w:t>
      </w:r>
      <w:r w:rsidRPr="006E0BDB">
        <w:t xml:space="preserve">applicator) was approved by the Therapeutic Goods Administration (TGA) in 2007. Currently, there are no other T-IORT devices listed on the </w:t>
      </w:r>
      <w:r w:rsidRPr="007B6117">
        <w:t>Australian Register of Therapeutic Goods (ARTG)</w:t>
      </w:r>
      <w:r w:rsidRPr="006E0BDB">
        <w:t>.</w:t>
      </w:r>
    </w:p>
    <w:p w:rsidR="00A868E2" w:rsidRDefault="00A868E2" w:rsidP="00A868E2"/>
    <w:p w:rsidR="00A868E2" w:rsidRDefault="00A868E2" w:rsidP="00A868E2">
      <w:pPr>
        <w:rPr>
          <w:color w:val="000000" w:themeColor="text1"/>
        </w:rPr>
      </w:pPr>
      <w:r w:rsidRPr="005C7A6C">
        <w:rPr>
          <w:color w:val="000000" w:themeColor="text1"/>
        </w:rPr>
        <w:t xml:space="preserve">Prior to the first procedure all service providers are required to have a </w:t>
      </w:r>
      <w:r w:rsidR="00C22B5A">
        <w:rPr>
          <w:color w:val="000000" w:themeColor="text1"/>
        </w:rPr>
        <w:t>TARGIT</w:t>
      </w:r>
      <w:r w:rsidR="00C22B5A" w:rsidRPr="005C7A6C">
        <w:rPr>
          <w:color w:val="000000" w:themeColor="text1"/>
        </w:rPr>
        <w:t xml:space="preserve"> </w:t>
      </w:r>
      <w:r w:rsidRPr="005C7A6C">
        <w:rPr>
          <w:color w:val="000000" w:themeColor="text1"/>
        </w:rPr>
        <w:t>Academy Training Certificate.</w:t>
      </w:r>
    </w:p>
    <w:p w:rsidR="00BC13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724D5F" w:rsidRDefault="00724D5F" w:rsidP="00724D5F">
      <w:r>
        <w:t xml:space="preserve">The applicant proposed four new MBS items in total; two </w:t>
      </w:r>
      <w:r w:rsidR="00FC5F7A">
        <w:t>for</w:t>
      </w:r>
      <w:r w:rsidRPr="00837E22">
        <w:t xml:space="preserve"> the delivery of T-IORT by the </w:t>
      </w:r>
      <w:r>
        <w:t>radiation oncologist</w:t>
      </w:r>
      <w:r w:rsidRPr="00837E22">
        <w:t xml:space="preserve"> </w:t>
      </w:r>
      <w:r>
        <w:t xml:space="preserve">and two </w:t>
      </w:r>
      <w:r w:rsidR="00FC5F7A">
        <w:t>for</w:t>
      </w:r>
      <w:r w:rsidRPr="00837E22">
        <w:t xml:space="preserve"> </w:t>
      </w:r>
      <w:r>
        <w:t xml:space="preserve">the additional </w:t>
      </w:r>
      <w:r w:rsidRPr="00837E22">
        <w:t>time required by the surgeon.</w:t>
      </w:r>
    </w:p>
    <w:p w:rsidR="00724D5F" w:rsidRDefault="00724D5F" w:rsidP="00724D5F">
      <w:pPr>
        <w:rPr>
          <w:szCs w:val="24"/>
        </w:rPr>
      </w:pPr>
    </w:p>
    <w:p w:rsidR="00724D5F" w:rsidRDefault="00FC5F7A" w:rsidP="00724D5F">
      <w:r>
        <w:t xml:space="preserve">MSAC recommended </w:t>
      </w:r>
      <w:r w:rsidR="00D965E0">
        <w:t>two new MBS items for T-IORT.  The</w:t>
      </w:r>
      <w:r w:rsidRPr="008B661B">
        <w:t xml:space="preserve"> </w:t>
      </w:r>
      <w:r w:rsidR="00724D5F" w:rsidRPr="008B661B">
        <w:t xml:space="preserve">proposed MBS </w:t>
      </w:r>
      <w:r w:rsidR="004D4BD1">
        <w:t>i</w:t>
      </w:r>
      <w:r w:rsidR="00724D5F" w:rsidRPr="008B661B">
        <w:t xml:space="preserve">tem descriptor for </w:t>
      </w:r>
      <w:r w:rsidR="00FA1DF3">
        <w:t xml:space="preserve">the provision of </w:t>
      </w:r>
      <w:r w:rsidR="00724D5F" w:rsidRPr="008B661B">
        <w:t>T</w:t>
      </w:r>
      <w:r w:rsidR="00724D5F">
        <w:noBreakHyphen/>
      </w:r>
      <w:r w:rsidR="00724D5F" w:rsidRPr="008B661B">
        <w:t xml:space="preserve">IORT </w:t>
      </w:r>
      <w:r w:rsidR="00FA1DF3">
        <w:t xml:space="preserve">during </w:t>
      </w:r>
      <w:r w:rsidR="00335DD1">
        <w:t>BCS</w:t>
      </w:r>
      <w:r w:rsidR="00FA1DF3">
        <w:t xml:space="preserve"> by radiation oncologists</w:t>
      </w:r>
      <w:r w:rsidR="00D965E0">
        <w:t xml:space="preserve"> </w:t>
      </w:r>
      <w:r w:rsidR="00724D5F" w:rsidRPr="008B661B">
        <w:t xml:space="preserve">is provided below. </w:t>
      </w:r>
    </w:p>
    <w:p w:rsidR="00724D5F" w:rsidRPr="008B661B" w:rsidRDefault="00724D5F" w:rsidP="00724D5F"/>
    <w:p w:rsidR="00724D5F" w:rsidRPr="007C0634" w:rsidRDefault="00724D5F" w:rsidP="00724D5F">
      <w:pPr>
        <w:widowControl w:val="0"/>
        <w:spacing w:after="120"/>
        <w:jc w:val="both"/>
        <w:rPr>
          <w:rFonts w:asciiTheme="minorHAnsi" w:hAnsiTheme="minorHAnsi"/>
          <w:b/>
          <w:i/>
          <w:szCs w:val="22"/>
        </w:rPr>
      </w:pPr>
      <w:r w:rsidRPr="007C0634">
        <w:rPr>
          <w:rFonts w:asciiTheme="minorHAnsi" w:hAnsiTheme="minorHAnsi"/>
          <w:b/>
          <w:i/>
          <w:szCs w:val="22"/>
        </w:rPr>
        <w:t>Proposed MBS Item</w:t>
      </w:r>
      <w:r w:rsidR="00FA1DF3">
        <w:rPr>
          <w:rFonts w:asciiTheme="minorHAnsi" w:hAnsiTheme="minorHAnsi"/>
          <w:b/>
          <w:i/>
          <w:szCs w:val="22"/>
        </w:rPr>
        <w:t xml:space="preserve"> – Provision of T-IORT by Radiation Oncologist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24D5F" w:rsidRPr="00E8685F" w:rsidTr="00D75FDE">
        <w:trPr>
          <w:trHeight w:val="558"/>
        </w:trPr>
        <w:tc>
          <w:tcPr>
            <w:tcW w:w="8789" w:type="dxa"/>
            <w:tcBorders>
              <w:bottom w:val="single" w:sz="4" w:space="0" w:color="auto"/>
            </w:tcBorders>
          </w:tcPr>
          <w:p w:rsidR="00982AB7" w:rsidRPr="00982AB7" w:rsidRDefault="0067272D" w:rsidP="00982AB7">
            <w:pPr>
              <w:rPr>
                <w:rFonts w:ascii="Arial" w:hAnsi="Arial" w:cs="Arial"/>
                <w:color w:val="000000"/>
                <w:sz w:val="20"/>
                <w:u w:val="single"/>
                <w:lang w:val="en-US"/>
              </w:rPr>
            </w:pPr>
            <w:r>
              <w:rPr>
                <w:rFonts w:ascii="Arial" w:hAnsi="Arial" w:cs="Arial"/>
                <w:color w:val="000000"/>
                <w:sz w:val="20"/>
                <w:u w:val="single"/>
                <w:lang w:val="en-US"/>
              </w:rPr>
              <w:t>Proposed radiotherapy item 15xxx</w:t>
            </w:r>
            <w:r w:rsidR="00982AB7" w:rsidRPr="00982AB7">
              <w:rPr>
                <w:rFonts w:ascii="Arial" w:hAnsi="Arial" w:cs="Arial"/>
                <w:color w:val="000000"/>
                <w:sz w:val="20"/>
                <w:u w:val="single"/>
                <w:lang w:val="en-US"/>
              </w:rPr>
              <w:t xml:space="preserve"> </w:t>
            </w:r>
          </w:p>
          <w:p w:rsidR="00982AB7" w:rsidRPr="00982AB7" w:rsidRDefault="00982AB7" w:rsidP="00982AB7">
            <w:pPr>
              <w:rPr>
                <w:rFonts w:ascii="Arial" w:hAnsi="Arial" w:cs="Arial"/>
                <w:color w:val="000000"/>
                <w:sz w:val="20"/>
                <w:lang w:val="en-US"/>
              </w:rPr>
            </w:pP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 xml:space="preserve">BREAST, MALIGNANT TUMOUR, targeted intraoperative </w:t>
            </w:r>
            <w:r w:rsidRPr="00982AB7">
              <w:rPr>
                <w:rFonts w:ascii="Arial" w:hAnsi="Arial" w:cs="Arial"/>
                <w:sz w:val="20"/>
                <w:lang w:val="en-US"/>
              </w:rPr>
              <w:t xml:space="preserve">radiotherapy, using an </w:t>
            </w:r>
            <w:proofErr w:type="spellStart"/>
            <w:r w:rsidRPr="00982AB7">
              <w:rPr>
                <w:rFonts w:ascii="Arial" w:hAnsi="Arial" w:cs="Arial"/>
                <w:color w:val="000000"/>
                <w:sz w:val="20"/>
              </w:rPr>
              <w:t>Intrabeam</w:t>
            </w:r>
            <w:proofErr w:type="spellEnd"/>
            <w:r w:rsidRPr="00982AB7">
              <w:rPr>
                <w:rFonts w:ascii="Arial" w:hAnsi="Arial" w:cs="Arial"/>
                <w:color w:val="000000"/>
                <w:sz w:val="20"/>
              </w:rPr>
              <w:t>®</w:t>
            </w:r>
            <w:r w:rsidRPr="00982AB7">
              <w:rPr>
                <w:rFonts w:ascii="Arial" w:hAnsi="Arial" w:cs="Arial"/>
                <w:sz w:val="20"/>
                <w:lang w:val="en-US"/>
              </w:rPr>
              <w:t xml:space="preserve"> device, delivered </w:t>
            </w:r>
            <w:r w:rsidRPr="00982AB7">
              <w:rPr>
                <w:rFonts w:ascii="Arial" w:hAnsi="Arial" w:cs="Arial"/>
                <w:color w:val="000000"/>
                <w:sz w:val="20"/>
                <w:lang w:val="en-US"/>
              </w:rPr>
              <w:t>at the time of breast-conserving surgery (partial mastectomy or lumpectomy) for a patient who:</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a) is 45 years of age or more; and</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b) has a T1 or small T2 (less than or equal to 3cm in diameter) primary tumour; and</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c) has a histologic Grade 1 or 2 tumour; and</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 xml:space="preserve">d) </w:t>
            </w:r>
            <w:r w:rsidRPr="00982AB7">
              <w:rPr>
                <w:rFonts w:ascii="Arial" w:hAnsi="Arial" w:cs="Arial"/>
                <w:sz w:val="20"/>
                <w:lang w:val="en-US"/>
              </w:rPr>
              <w:t xml:space="preserve">has an </w:t>
            </w:r>
            <w:proofErr w:type="spellStart"/>
            <w:r w:rsidRPr="00982AB7">
              <w:rPr>
                <w:rFonts w:ascii="Arial" w:hAnsi="Arial" w:cs="Arial"/>
                <w:sz w:val="20"/>
                <w:lang w:val="en-US"/>
              </w:rPr>
              <w:t>oestrogen</w:t>
            </w:r>
            <w:proofErr w:type="spellEnd"/>
            <w:r w:rsidRPr="00982AB7">
              <w:rPr>
                <w:rFonts w:ascii="Arial" w:hAnsi="Arial" w:cs="Arial"/>
                <w:sz w:val="20"/>
                <w:lang w:val="en-US"/>
              </w:rPr>
              <w:t xml:space="preserve">-receptor </w:t>
            </w:r>
            <w:r w:rsidRPr="00982AB7">
              <w:rPr>
                <w:rFonts w:ascii="Arial" w:hAnsi="Arial" w:cs="Arial"/>
                <w:color w:val="000000"/>
                <w:sz w:val="20"/>
                <w:lang w:val="en-US"/>
              </w:rPr>
              <w:t xml:space="preserve">positive </w:t>
            </w:r>
            <w:proofErr w:type="spellStart"/>
            <w:r w:rsidRPr="00982AB7">
              <w:rPr>
                <w:rFonts w:ascii="Arial" w:hAnsi="Arial" w:cs="Arial"/>
                <w:color w:val="000000"/>
                <w:sz w:val="20"/>
                <w:lang w:val="en-US"/>
              </w:rPr>
              <w:t>tumour</w:t>
            </w:r>
            <w:proofErr w:type="spellEnd"/>
            <w:r w:rsidRPr="00982AB7">
              <w:rPr>
                <w:rFonts w:ascii="Arial" w:hAnsi="Arial" w:cs="Arial"/>
                <w:color w:val="000000"/>
                <w:sz w:val="20"/>
                <w:lang w:val="en-US"/>
              </w:rPr>
              <w:t>; and</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e) has a node negative malignancy; and</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 xml:space="preserve">f) is suitable for wide local excision of a primary invasive ductal carcinoma that was diagnosed as </w:t>
            </w:r>
            <w:proofErr w:type="spellStart"/>
            <w:r w:rsidRPr="00982AB7">
              <w:rPr>
                <w:rFonts w:ascii="Arial" w:hAnsi="Arial" w:cs="Arial"/>
                <w:color w:val="000000"/>
                <w:sz w:val="20"/>
                <w:lang w:val="en-US"/>
              </w:rPr>
              <w:t>unifocal</w:t>
            </w:r>
            <w:proofErr w:type="spellEnd"/>
            <w:r w:rsidRPr="00982AB7">
              <w:rPr>
                <w:rFonts w:ascii="Arial" w:hAnsi="Arial" w:cs="Arial"/>
                <w:color w:val="000000"/>
                <w:sz w:val="20"/>
                <w:lang w:val="en-US"/>
              </w:rPr>
              <w:t xml:space="preserve"> on conventional examination and imaging; and</w:t>
            </w:r>
          </w:p>
          <w:p w:rsidR="00982AB7" w:rsidRPr="00982AB7" w:rsidRDefault="00982AB7" w:rsidP="00982AB7">
            <w:pPr>
              <w:rPr>
                <w:rFonts w:ascii="Arial" w:hAnsi="Arial" w:cs="Arial"/>
                <w:color w:val="000000"/>
                <w:sz w:val="20"/>
                <w:lang w:val="en-US"/>
              </w:rPr>
            </w:pPr>
            <w:r w:rsidRPr="00982AB7">
              <w:rPr>
                <w:rFonts w:ascii="Arial" w:hAnsi="Arial" w:cs="Arial"/>
                <w:color w:val="000000"/>
                <w:sz w:val="20"/>
                <w:lang w:val="en-US"/>
              </w:rPr>
              <w:t>g) has no contra-indications to breast irradiation</w:t>
            </w:r>
          </w:p>
          <w:p w:rsidR="00982AB7" w:rsidRPr="00982AB7" w:rsidRDefault="00982AB7" w:rsidP="00982AB7">
            <w:pPr>
              <w:rPr>
                <w:rFonts w:ascii="Arial" w:hAnsi="Arial" w:cs="Arial"/>
                <w:color w:val="1F497D"/>
                <w:sz w:val="20"/>
                <w:lang w:eastAsia="en-US"/>
              </w:rPr>
            </w:pPr>
          </w:p>
          <w:p w:rsidR="00982AB7" w:rsidRDefault="0067272D" w:rsidP="00982AB7">
            <w:pPr>
              <w:widowControl w:val="0"/>
              <w:spacing w:before="60"/>
              <w:rPr>
                <w:rFonts w:ascii="Arial" w:hAnsi="Arial" w:cs="Arial"/>
                <w:sz w:val="20"/>
              </w:rPr>
            </w:pPr>
            <w:r>
              <w:rPr>
                <w:rFonts w:ascii="Arial" w:hAnsi="Arial" w:cs="Arial"/>
                <w:sz w:val="20"/>
              </w:rPr>
              <w:lastRenderedPageBreak/>
              <w:t>MBS fee: $TBA</w:t>
            </w:r>
          </w:p>
          <w:p w:rsidR="00724D5F" w:rsidRPr="00E8685F" w:rsidRDefault="00724D5F" w:rsidP="00D965E0">
            <w:pPr>
              <w:widowControl w:val="0"/>
              <w:spacing w:before="60"/>
              <w:rPr>
                <w:rFonts w:asciiTheme="minorHAnsi" w:hAnsiTheme="minorHAnsi"/>
                <w:sz w:val="20"/>
              </w:rPr>
            </w:pPr>
          </w:p>
        </w:tc>
      </w:tr>
    </w:tbl>
    <w:p w:rsidR="00724D5F" w:rsidRPr="00E8685F" w:rsidRDefault="00724D5F" w:rsidP="00724D5F">
      <w:pPr>
        <w:widowControl w:val="0"/>
        <w:jc w:val="both"/>
        <w:rPr>
          <w:rFonts w:asciiTheme="minorHAnsi" w:hAnsiTheme="minorHAnsi"/>
          <w:u w:val="single"/>
        </w:rPr>
      </w:pPr>
    </w:p>
    <w:p w:rsidR="005F5723" w:rsidRDefault="00FA1DF3" w:rsidP="00724D5F">
      <w:r>
        <w:t>MSAC also recommended an</w:t>
      </w:r>
      <w:r w:rsidR="00724D5F" w:rsidRPr="008B661B">
        <w:t xml:space="preserve"> additional MBS </w:t>
      </w:r>
      <w:r w:rsidR="004D4BD1">
        <w:t>i</w:t>
      </w:r>
      <w:r w:rsidR="00724D5F" w:rsidRPr="008B661B">
        <w:t>tem</w:t>
      </w:r>
      <w:r w:rsidR="00724D5F">
        <w:t xml:space="preserve">, </w:t>
      </w:r>
      <w:r w:rsidR="00724D5F" w:rsidRPr="008B661B">
        <w:t xml:space="preserve">modelled on </w:t>
      </w:r>
      <w:r w:rsidR="00724D5F">
        <w:t>i</w:t>
      </w:r>
      <w:r w:rsidR="00724D5F" w:rsidRPr="008B661B">
        <w:t>tem 31512</w:t>
      </w:r>
      <w:r w:rsidR="00724D5F">
        <w:t>,</w:t>
      </w:r>
      <w:r w:rsidR="00724D5F" w:rsidRPr="008B661B">
        <w:t xml:space="preserve"> </w:t>
      </w:r>
      <w:r>
        <w:t>for</w:t>
      </w:r>
      <w:r w:rsidR="00724D5F" w:rsidRPr="008B661B">
        <w:t xml:space="preserve"> the surgeon who performs the </w:t>
      </w:r>
      <w:r w:rsidR="00335DD1">
        <w:t>BCS</w:t>
      </w:r>
      <w:r w:rsidR="00724D5F" w:rsidRPr="008B661B">
        <w:t xml:space="preserve"> </w:t>
      </w:r>
      <w:r>
        <w:t xml:space="preserve">that recognises the </w:t>
      </w:r>
      <w:r w:rsidR="00724D5F" w:rsidRPr="008B661B">
        <w:t xml:space="preserve">additional time and </w:t>
      </w:r>
      <w:r>
        <w:t xml:space="preserve">complexity of </w:t>
      </w:r>
      <w:r w:rsidR="00335DD1">
        <w:t>BCS</w:t>
      </w:r>
      <w:r>
        <w:t xml:space="preserve"> with T-IORT</w:t>
      </w:r>
      <w:r w:rsidR="00724D5F" w:rsidRPr="008B661B">
        <w:t>.</w:t>
      </w:r>
      <w:r w:rsidR="008D13F6" w:rsidRPr="008B661B" w:rsidDel="008D13F6">
        <w:t xml:space="preserve"> </w:t>
      </w:r>
    </w:p>
    <w:p w:rsidR="008D13F6" w:rsidRPr="008B661B" w:rsidRDefault="008D13F6" w:rsidP="00724D5F"/>
    <w:p w:rsidR="00724D5F" w:rsidRPr="00E8685F" w:rsidRDefault="00724D5F" w:rsidP="008D13F6">
      <w:pPr>
        <w:rPr>
          <w:rFonts w:asciiTheme="minorHAnsi" w:hAnsiTheme="minorHAnsi"/>
          <w:b/>
          <w:i/>
        </w:rPr>
      </w:pPr>
      <w:r w:rsidRPr="00E8685F">
        <w:rPr>
          <w:rFonts w:asciiTheme="minorHAnsi" w:hAnsiTheme="minorHAnsi"/>
          <w:b/>
          <w:i/>
        </w:rPr>
        <w:t>P</w:t>
      </w:r>
      <w:r w:rsidR="00FA1DF3">
        <w:rPr>
          <w:rFonts w:asciiTheme="minorHAnsi" w:hAnsiTheme="minorHAnsi"/>
          <w:b/>
          <w:i/>
        </w:rPr>
        <w:t xml:space="preserve">roposed </w:t>
      </w:r>
      <w:r w:rsidRPr="00E8685F">
        <w:rPr>
          <w:rFonts w:asciiTheme="minorHAnsi" w:hAnsiTheme="minorHAnsi"/>
          <w:b/>
          <w:i/>
        </w:rPr>
        <w:t>MBS Item</w:t>
      </w:r>
      <w:r w:rsidR="00FA1DF3">
        <w:rPr>
          <w:rFonts w:asciiTheme="minorHAnsi" w:hAnsiTheme="minorHAnsi"/>
          <w:b/>
          <w:i/>
        </w:rPr>
        <w:t xml:space="preserve"> – </w:t>
      </w:r>
      <w:r w:rsidR="00335DD1">
        <w:rPr>
          <w:rFonts w:asciiTheme="minorHAnsi" w:hAnsiTheme="minorHAnsi"/>
          <w:b/>
          <w:i/>
        </w:rPr>
        <w:t>BCS</w:t>
      </w:r>
      <w:r w:rsidR="00FA1DF3">
        <w:rPr>
          <w:rFonts w:asciiTheme="minorHAnsi" w:hAnsiTheme="minorHAnsi"/>
          <w:b/>
          <w:i/>
        </w:rPr>
        <w:t xml:space="preserve"> with T-IORT - Surgeon</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24D5F" w:rsidRPr="00B6521C" w:rsidTr="00D75FDE">
        <w:trPr>
          <w:trHeight w:val="558"/>
        </w:trPr>
        <w:tc>
          <w:tcPr>
            <w:tcW w:w="8789" w:type="dxa"/>
            <w:tcBorders>
              <w:bottom w:val="single" w:sz="4" w:space="0" w:color="auto"/>
            </w:tcBorders>
          </w:tcPr>
          <w:p w:rsidR="0067272D" w:rsidRPr="0067272D" w:rsidRDefault="0067272D" w:rsidP="0067272D">
            <w:pPr>
              <w:rPr>
                <w:rFonts w:ascii="Arial" w:hAnsi="Arial" w:cs="Arial"/>
                <w:sz w:val="20"/>
                <w:u w:val="single"/>
              </w:rPr>
            </w:pPr>
            <w:r w:rsidRPr="0067272D">
              <w:rPr>
                <w:rFonts w:ascii="Arial" w:hAnsi="Arial" w:cs="Arial"/>
                <w:sz w:val="20"/>
                <w:u w:val="single"/>
              </w:rPr>
              <w:t xml:space="preserve">Proposed surgical item </w:t>
            </w:r>
            <w:r>
              <w:rPr>
                <w:rFonts w:ascii="Arial" w:hAnsi="Arial" w:cs="Arial"/>
                <w:sz w:val="20"/>
                <w:u w:val="single"/>
              </w:rPr>
              <w:t>xxx</w:t>
            </w:r>
          </w:p>
          <w:p w:rsidR="0067272D" w:rsidRPr="0067272D" w:rsidRDefault="0067272D" w:rsidP="0067272D">
            <w:pPr>
              <w:rPr>
                <w:rFonts w:ascii="Arial" w:hAnsi="Arial" w:cs="Arial"/>
                <w:sz w:val="20"/>
                <w:lang w:val="en-US"/>
              </w:rPr>
            </w:pPr>
          </w:p>
          <w:p w:rsidR="0067272D" w:rsidRPr="0067272D" w:rsidRDefault="0067272D" w:rsidP="0067272D">
            <w:pPr>
              <w:rPr>
                <w:rFonts w:ascii="Arial" w:hAnsi="Arial" w:cs="Arial"/>
                <w:sz w:val="20"/>
                <w:lang w:val="en-US"/>
              </w:rPr>
            </w:pPr>
            <w:r w:rsidRPr="0067272D">
              <w:rPr>
                <w:rFonts w:ascii="Arial" w:hAnsi="Arial" w:cs="Arial"/>
                <w:sz w:val="20"/>
                <w:lang w:val="en-US"/>
              </w:rPr>
              <w:t xml:space="preserve">BREAST, MALIGNANT TUMOUR, complete local excision of, with or without frozen section histology when targeted intraoperative radiotherapy (using an </w:t>
            </w:r>
            <w:proofErr w:type="spellStart"/>
            <w:r w:rsidRPr="0067272D">
              <w:rPr>
                <w:rFonts w:ascii="Arial" w:hAnsi="Arial" w:cs="Arial"/>
                <w:color w:val="000000"/>
                <w:sz w:val="20"/>
              </w:rPr>
              <w:t>Intrabeam</w:t>
            </w:r>
            <w:proofErr w:type="spellEnd"/>
            <w:r w:rsidRPr="0067272D">
              <w:rPr>
                <w:rFonts w:ascii="Arial" w:hAnsi="Arial" w:cs="Arial"/>
                <w:color w:val="000000"/>
                <w:sz w:val="20"/>
              </w:rPr>
              <w:t>®</w:t>
            </w:r>
            <w:r w:rsidRPr="0067272D">
              <w:rPr>
                <w:rFonts w:ascii="Arial" w:hAnsi="Arial" w:cs="Arial"/>
                <w:sz w:val="20"/>
              </w:rPr>
              <w:t xml:space="preserve"> </w:t>
            </w:r>
            <w:r w:rsidRPr="0067272D">
              <w:rPr>
                <w:rFonts w:ascii="Arial" w:hAnsi="Arial" w:cs="Arial"/>
                <w:sz w:val="20"/>
                <w:lang w:val="en-US"/>
              </w:rPr>
              <w:t>device) is performed concurrently, if the requirements of item 15</w:t>
            </w:r>
            <w:r w:rsidR="00A2123C">
              <w:rPr>
                <w:rFonts w:ascii="Arial" w:hAnsi="Arial" w:cs="Arial"/>
                <w:sz w:val="20"/>
                <w:lang w:val="en-US"/>
              </w:rPr>
              <w:t>xxx</w:t>
            </w:r>
            <w:r w:rsidRPr="0067272D">
              <w:rPr>
                <w:rFonts w:ascii="Arial" w:hAnsi="Arial" w:cs="Arial"/>
                <w:sz w:val="20"/>
                <w:lang w:val="en-US"/>
              </w:rPr>
              <w:t xml:space="preserve"> are met for the patient</w:t>
            </w:r>
          </w:p>
          <w:p w:rsidR="0067272D" w:rsidRPr="0067272D" w:rsidRDefault="0067272D" w:rsidP="0067272D">
            <w:pPr>
              <w:rPr>
                <w:rFonts w:ascii="Arial" w:hAnsi="Arial" w:cs="Arial"/>
                <w:sz w:val="20"/>
                <w:lang w:val="en-US"/>
              </w:rPr>
            </w:pPr>
          </w:p>
          <w:p w:rsidR="0067272D" w:rsidRPr="0067272D" w:rsidRDefault="0067272D" w:rsidP="0067272D">
            <w:pPr>
              <w:rPr>
                <w:rFonts w:ascii="Arial" w:hAnsi="Arial" w:cs="Arial"/>
                <w:sz w:val="20"/>
                <w:lang w:val="en-US"/>
              </w:rPr>
            </w:pPr>
            <w:r w:rsidRPr="0067272D">
              <w:rPr>
                <w:rFonts w:ascii="Arial" w:hAnsi="Arial" w:cs="Arial"/>
                <w:sz w:val="20"/>
                <w:lang w:val="en-US"/>
              </w:rPr>
              <w:t>(</w:t>
            </w:r>
            <w:proofErr w:type="spellStart"/>
            <w:r w:rsidRPr="0067272D">
              <w:rPr>
                <w:rFonts w:ascii="Arial" w:hAnsi="Arial" w:cs="Arial"/>
                <w:sz w:val="20"/>
                <w:lang w:val="en-US"/>
              </w:rPr>
              <w:t>Anaes</w:t>
            </w:r>
            <w:proofErr w:type="spellEnd"/>
            <w:r w:rsidRPr="0067272D">
              <w:rPr>
                <w:rFonts w:ascii="Arial" w:hAnsi="Arial" w:cs="Arial"/>
                <w:sz w:val="20"/>
                <w:lang w:val="en-US"/>
              </w:rPr>
              <w:t>.) (Assist.)</w:t>
            </w:r>
          </w:p>
          <w:p w:rsidR="0067272D" w:rsidRPr="0067272D" w:rsidRDefault="0067272D" w:rsidP="0067272D">
            <w:pPr>
              <w:rPr>
                <w:rFonts w:ascii="Arial" w:hAnsi="Arial" w:cs="Arial"/>
                <w:sz w:val="20"/>
                <w:lang w:val="en-US"/>
              </w:rPr>
            </w:pPr>
          </w:p>
          <w:p w:rsidR="0067272D" w:rsidRPr="0067272D" w:rsidRDefault="0067272D" w:rsidP="0067272D">
            <w:pPr>
              <w:widowControl w:val="0"/>
              <w:spacing w:before="60"/>
              <w:rPr>
                <w:rFonts w:ascii="Arial" w:hAnsi="Arial" w:cs="Arial"/>
                <w:sz w:val="20"/>
                <w:lang w:val="en-US"/>
              </w:rPr>
            </w:pPr>
            <w:r>
              <w:rPr>
                <w:rFonts w:ascii="Arial" w:hAnsi="Arial" w:cs="Arial"/>
                <w:sz w:val="20"/>
                <w:lang w:val="en-US"/>
              </w:rPr>
              <w:t>MBS fee: $TBA</w:t>
            </w:r>
          </w:p>
          <w:p w:rsidR="0067272D" w:rsidRDefault="0067272D" w:rsidP="0067272D">
            <w:pPr>
              <w:widowControl w:val="0"/>
              <w:spacing w:before="60"/>
              <w:rPr>
                <w:lang w:val="en-US"/>
              </w:rPr>
            </w:pPr>
          </w:p>
          <w:p w:rsidR="00724D5F" w:rsidRPr="00AE74D4" w:rsidRDefault="00724D5F" w:rsidP="00D965E0">
            <w:pPr>
              <w:widowControl w:val="0"/>
              <w:spacing w:before="60"/>
              <w:rPr>
                <w:rFonts w:ascii="Arial" w:hAnsi="Arial" w:cs="Arial"/>
                <w:sz w:val="20"/>
              </w:rPr>
            </w:pPr>
          </w:p>
        </w:tc>
      </w:tr>
    </w:tbl>
    <w:p w:rsidR="00724D5F" w:rsidRDefault="00724D5F" w:rsidP="00724D5F"/>
    <w:p w:rsidR="00724D5F" w:rsidRDefault="00724D5F" w:rsidP="002300A5">
      <w:pPr>
        <w:rPr>
          <w:color w:val="000000" w:themeColor="text1"/>
        </w:rPr>
      </w:pPr>
      <w:r w:rsidRPr="00335DD1">
        <w:rPr>
          <w:color w:val="000000" w:themeColor="text1"/>
        </w:rPr>
        <w:t>Patients suitable for this modality instead of external beam whole breast radiation therapy (</w:t>
      </w:r>
      <w:r w:rsidR="00C755F4">
        <w:rPr>
          <w:color w:val="000000" w:themeColor="text1"/>
        </w:rPr>
        <w:t>W</w:t>
      </w:r>
      <w:r w:rsidRPr="00335DD1">
        <w:rPr>
          <w:color w:val="000000" w:themeColor="text1"/>
        </w:rPr>
        <w:t>B-WBRT) sho</w:t>
      </w:r>
      <w:bookmarkStart w:id="1" w:name="_Toc8448245"/>
      <w:bookmarkStart w:id="2" w:name="_Toc23056674"/>
      <w:r w:rsidRPr="00335DD1">
        <w:rPr>
          <w:color w:val="000000" w:themeColor="text1"/>
        </w:rPr>
        <w:t xml:space="preserve">uld meet the following criteria: </w:t>
      </w:r>
      <w:r w:rsidRPr="00AA7BBE">
        <w:t xml:space="preserve">aged over </w:t>
      </w:r>
      <w:r w:rsidRPr="00335DD1">
        <w:rPr>
          <w:color w:val="000000" w:themeColor="text1"/>
        </w:rPr>
        <w:t xml:space="preserve">45 years; </w:t>
      </w:r>
      <w:bookmarkEnd w:id="1"/>
      <w:bookmarkEnd w:id="2"/>
      <w:r w:rsidRPr="00335DD1">
        <w:rPr>
          <w:color w:val="000000" w:themeColor="text1"/>
        </w:rPr>
        <w:t xml:space="preserve">pathologically documented invasive </w:t>
      </w:r>
      <w:r w:rsidR="00335DD1" w:rsidRPr="00335DD1">
        <w:rPr>
          <w:color w:val="000000" w:themeColor="text1"/>
        </w:rPr>
        <w:t xml:space="preserve">ductal </w:t>
      </w:r>
      <w:r w:rsidRPr="00335DD1">
        <w:rPr>
          <w:color w:val="000000" w:themeColor="text1"/>
        </w:rPr>
        <w:t xml:space="preserve">breast cancer; </w:t>
      </w:r>
      <w:r w:rsidR="00335DD1">
        <w:t>T1 or small T2 tumours (</w:t>
      </w:r>
      <w:r w:rsidR="00335DD1" w:rsidRPr="00335DD1">
        <w:rPr>
          <w:rFonts w:ascii="Cambria" w:hAnsi="Cambria"/>
        </w:rPr>
        <w:t>less than</w:t>
      </w:r>
      <w:r w:rsidR="00E221B4">
        <w:rPr>
          <w:rFonts w:ascii="Cambria" w:hAnsi="Cambria"/>
        </w:rPr>
        <w:t xml:space="preserve"> or equal to</w:t>
      </w:r>
      <w:r w:rsidR="00335DD1" w:rsidRPr="00335DD1">
        <w:rPr>
          <w:rFonts w:ascii="Cambria" w:hAnsi="Cambria"/>
        </w:rPr>
        <w:t xml:space="preserve"> </w:t>
      </w:r>
      <w:r w:rsidR="00335DD1">
        <w:t xml:space="preserve">3cm, histologic Grade 1 or 2); are </w:t>
      </w:r>
      <w:proofErr w:type="spellStart"/>
      <w:r w:rsidR="00335DD1">
        <w:t>estrogen</w:t>
      </w:r>
      <w:proofErr w:type="spellEnd"/>
      <w:r w:rsidR="00335DD1">
        <w:t xml:space="preserve">-receptor positive; are node negative; suitable for wide local excision for invasive ductal carcinoma that is </w:t>
      </w:r>
      <w:proofErr w:type="spellStart"/>
      <w:r w:rsidR="00335DD1">
        <w:t>unifocal</w:t>
      </w:r>
      <w:proofErr w:type="spellEnd"/>
      <w:r w:rsidR="00335DD1">
        <w:t xml:space="preserve"> on conventional examination and imaging); </w:t>
      </w:r>
      <w:r w:rsidRPr="00924360">
        <w:rPr>
          <w:color w:val="000000" w:themeColor="text1"/>
        </w:rPr>
        <w:t xml:space="preserve">considered by the surgeon to be suitable for </w:t>
      </w:r>
      <w:r w:rsidR="00335DD1">
        <w:rPr>
          <w:color w:val="000000" w:themeColor="text1"/>
        </w:rPr>
        <w:t>BCS</w:t>
      </w:r>
      <w:r w:rsidRPr="00924360">
        <w:rPr>
          <w:color w:val="000000" w:themeColor="text1"/>
        </w:rPr>
        <w:t>; no contraindication to breast irradiation.</w:t>
      </w:r>
    </w:p>
    <w:p w:rsidR="002300A5" w:rsidRDefault="002300A5" w:rsidP="002300A5">
      <w:pPr>
        <w:tabs>
          <w:tab w:val="left" w:pos="720"/>
          <w:tab w:val="left" w:pos="1140"/>
        </w:tabs>
        <w:rPr>
          <w:color w:val="000000" w:themeColor="text1"/>
        </w:rPr>
      </w:pPr>
    </w:p>
    <w:p w:rsidR="00724D5F" w:rsidRPr="00FD1F5B" w:rsidRDefault="00724D5F" w:rsidP="002300A5">
      <w:pPr>
        <w:tabs>
          <w:tab w:val="left" w:pos="720"/>
          <w:tab w:val="left" w:pos="1140"/>
        </w:tabs>
        <w:rPr>
          <w:color w:val="000000" w:themeColor="text1"/>
        </w:rPr>
      </w:pPr>
      <w:r w:rsidRPr="00FD1F5B">
        <w:rPr>
          <w:color w:val="000000" w:themeColor="text1"/>
        </w:rPr>
        <w:t>Service providers include:</w:t>
      </w:r>
    </w:p>
    <w:p w:rsidR="00724D5F" w:rsidRPr="00FD1F5B" w:rsidRDefault="00724D5F" w:rsidP="00724D5F">
      <w:pPr>
        <w:pStyle w:val="ListParagraph"/>
        <w:numPr>
          <w:ilvl w:val="0"/>
          <w:numId w:val="25"/>
        </w:numPr>
        <w:spacing w:before="120" w:after="120" w:line="276" w:lineRule="auto"/>
        <w:rPr>
          <w:color w:val="000000" w:themeColor="text1"/>
        </w:rPr>
      </w:pPr>
      <w:r>
        <w:rPr>
          <w:color w:val="000000" w:themeColor="text1"/>
        </w:rPr>
        <w:t>Breast s</w:t>
      </w:r>
      <w:r w:rsidRPr="00FD1F5B">
        <w:rPr>
          <w:color w:val="000000" w:themeColor="text1"/>
        </w:rPr>
        <w:t>urgeon</w:t>
      </w:r>
      <w:r>
        <w:rPr>
          <w:color w:val="000000" w:themeColor="text1"/>
        </w:rPr>
        <w:t>s</w:t>
      </w:r>
    </w:p>
    <w:p w:rsidR="00724D5F" w:rsidRPr="00FD1F5B" w:rsidRDefault="00724D5F" w:rsidP="00724D5F">
      <w:pPr>
        <w:pStyle w:val="ListParagraph"/>
        <w:numPr>
          <w:ilvl w:val="0"/>
          <w:numId w:val="25"/>
        </w:numPr>
        <w:spacing w:before="120" w:after="120" w:line="276" w:lineRule="auto"/>
        <w:rPr>
          <w:color w:val="000000" w:themeColor="text1"/>
        </w:rPr>
      </w:pPr>
      <w:r>
        <w:rPr>
          <w:color w:val="000000" w:themeColor="text1"/>
        </w:rPr>
        <w:t>Radiation o</w:t>
      </w:r>
      <w:r w:rsidRPr="00FD1F5B">
        <w:rPr>
          <w:color w:val="000000" w:themeColor="text1"/>
        </w:rPr>
        <w:t>ncologist</w:t>
      </w:r>
      <w:r>
        <w:rPr>
          <w:color w:val="000000" w:themeColor="text1"/>
        </w:rPr>
        <w:t>s</w:t>
      </w:r>
    </w:p>
    <w:p w:rsidR="00335DD1" w:rsidRDefault="00335DD1" w:rsidP="00335DD1">
      <w:pPr>
        <w:pStyle w:val="ListParagraph"/>
        <w:numPr>
          <w:ilvl w:val="0"/>
          <w:numId w:val="25"/>
        </w:numPr>
        <w:spacing w:before="120" w:after="120" w:line="276" w:lineRule="auto"/>
        <w:rPr>
          <w:color w:val="000000" w:themeColor="text1"/>
        </w:rPr>
      </w:pPr>
      <w:r>
        <w:rPr>
          <w:color w:val="000000" w:themeColor="text1"/>
        </w:rPr>
        <w:t>Surgical assistant(s)</w:t>
      </w:r>
    </w:p>
    <w:p w:rsidR="00335DD1" w:rsidRDefault="00335DD1" w:rsidP="00335DD1">
      <w:pPr>
        <w:pStyle w:val="ListParagraph"/>
        <w:numPr>
          <w:ilvl w:val="0"/>
          <w:numId w:val="25"/>
        </w:numPr>
        <w:spacing w:before="120" w:after="120" w:line="276" w:lineRule="auto"/>
        <w:rPr>
          <w:color w:val="000000" w:themeColor="text1"/>
        </w:rPr>
      </w:pPr>
      <w:r>
        <w:rPr>
          <w:color w:val="000000" w:themeColor="text1"/>
        </w:rPr>
        <w:t>Anaesthetist</w:t>
      </w:r>
    </w:p>
    <w:p w:rsidR="00724D5F" w:rsidRDefault="00724D5F" w:rsidP="00724D5F">
      <w:pPr>
        <w:pStyle w:val="ListParagraph"/>
        <w:numPr>
          <w:ilvl w:val="0"/>
          <w:numId w:val="25"/>
        </w:numPr>
        <w:spacing w:before="120" w:after="120" w:line="276" w:lineRule="auto"/>
        <w:rPr>
          <w:color w:val="000000" w:themeColor="text1"/>
        </w:rPr>
      </w:pPr>
      <w:r>
        <w:rPr>
          <w:color w:val="000000" w:themeColor="text1"/>
        </w:rPr>
        <w:t>Medical p</w:t>
      </w:r>
      <w:r w:rsidRPr="00FD1F5B">
        <w:rPr>
          <w:color w:val="000000" w:themeColor="text1"/>
        </w:rPr>
        <w:t>hysicist</w:t>
      </w:r>
      <w:r>
        <w:rPr>
          <w:color w:val="000000" w:themeColor="text1"/>
        </w:rPr>
        <w:t>s</w:t>
      </w:r>
    </w:p>
    <w:p w:rsidR="00724D5F" w:rsidRDefault="00724D5F" w:rsidP="00AE74D4">
      <w:pPr>
        <w:rPr>
          <w:color w:val="000000" w:themeColor="text1"/>
        </w:rPr>
      </w:pPr>
      <w:r w:rsidRPr="00F14A44">
        <w:rPr>
          <w:color w:val="000000" w:themeColor="text1"/>
        </w:rPr>
        <w:t xml:space="preserve">IORT is delivered by a </w:t>
      </w:r>
      <w:r>
        <w:rPr>
          <w:color w:val="000000" w:themeColor="text1"/>
        </w:rPr>
        <w:t>radiation o</w:t>
      </w:r>
      <w:r w:rsidRPr="00F14A44">
        <w:rPr>
          <w:color w:val="000000" w:themeColor="text1"/>
        </w:rPr>
        <w:t xml:space="preserve">ncologist.  A </w:t>
      </w:r>
      <w:r>
        <w:rPr>
          <w:color w:val="000000" w:themeColor="text1"/>
        </w:rPr>
        <w:t>medical p</w:t>
      </w:r>
      <w:r w:rsidRPr="00F14A44">
        <w:rPr>
          <w:color w:val="000000" w:themeColor="text1"/>
        </w:rPr>
        <w:t>hysicist is also required in order to calibrate the device.</w:t>
      </w:r>
    </w:p>
    <w:p w:rsidR="00BC1364" w:rsidRPr="00707064" w:rsidRDefault="00BC1364">
      <w:pPr>
        <w:tabs>
          <w:tab w:val="left" w:pos="720"/>
          <w:tab w:val="left" w:pos="1140"/>
        </w:tabs>
        <w:rPr>
          <w:color w:val="0070C0"/>
          <w:szCs w:val="24"/>
        </w:rPr>
      </w:pPr>
    </w:p>
    <w:p w:rsidR="00BC1364" w:rsidRPr="007B32D1" w:rsidRDefault="00BC1364">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8D13F6" w:rsidRDefault="00724D5F" w:rsidP="00724D5F">
      <w:r>
        <w:t xml:space="preserve">Consumers </w:t>
      </w:r>
      <w:r w:rsidR="00335DD1">
        <w:t xml:space="preserve">supported the proposal </w:t>
      </w:r>
      <w:r>
        <w:t>not</w:t>
      </w:r>
      <w:r w:rsidR="00335DD1">
        <w:t xml:space="preserve">ing that it could be expected to </w:t>
      </w:r>
      <w:r>
        <w:t xml:space="preserve">lead to greater access and equity for rural and remote patients. </w:t>
      </w:r>
      <w:r w:rsidR="00335DD1">
        <w:t xml:space="preserve">MSAC noted advice that women were more likely to opt for six weeks of radiotherapy following breast cancer surgery if they lived near a radiotherapy centre.  T-IORT provides a viable option for </w:t>
      </w:r>
      <w:r>
        <w:t xml:space="preserve">patients </w:t>
      </w:r>
      <w:r w:rsidR="00335DD1">
        <w:t>who do not live near a radiotherapy centre as treatment can be provided during surgery.</w:t>
      </w:r>
    </w:p>
    <w:p w:rsidR="008D13F6" w:rsidRDefault="008D13F6" w:rsidP="00724D5F"/>
    <w:p w:rsidR="00724D5F" w:rsidRDefault="00724D5F" w:rsidP="00724D5F">
      <w:r>
        <w:t xml:space="preserve">Consumers </w:t>
      </w:r>
      <w:r w:rsidRPr="00E56196">
        <w:t xml:space="preserve">noted that the creation of new MBS items will enable monitoring to inform further (comparative) research and policy review. </w:t>
      </w:r>
    </w:p>
    <w:p w:rsidR="00724D5F" w:rsidRDefault="00724D5F" w:rsidP="00724D5F"/>
    <w:p w:rsidR="00724D5F" w:rsidRDefault="00724D5F" w:rsidP="00724D5F">
      <w:r>
        <w:t xml:space="preserve">Consumers acknowledged that current evidence does not support a higher MBS reimbursement but </w:t>
      </w:r>
      <w:r w:rsidR="00335DD1">
        <w:t xml:space="preserve">supported the service being funded </w:t>
      </w:r>
      <w:r>
        <w:t xml:space="preserve">while </w:t>
      </w:r>
      <w:r w:rsidR="00335DD1">
        <w:t xml:space="preserve">further </w:t>
      </w:r>
      <w:r>
        <w:t>evidence is being gathered</w:t>
      </w:r>
      <w:r w:rsidR="002300A5">
        <w:t>.</w:t>
      </w:r>
    </w:p>
    <w:p w:rsidR="00B6521C" w:rsidRDefault="00B6521C">
      <w:pPr>
        <w:rPr>
          <w:b/>
          <w:szCs w:val="24"/>
        </w:rPr>
      </w:pPr>
    </w:p>
    <w:p w:rsidR="00BC1364" w:rsidRDefault="00BC1364" w:rsidP="007B32D1">
      <w:pPr>
        <w:pStyle w:val="Heading1"/>
        <w:numPr>
          <w:ilvl w:val="0"/>
          <w:numId w:val="23"/>
        </w:numPr>
        <w:ind w:hanging="720"/>
      </w:pPr>
      <w:r w:rsidRPr="00D90A38">
        <w:lastRenderedPageBreak/>
        <w:t>Proposed intervention’s place in clinical management</w:t>
      </w:r>
    </w:p>
    <w:p w:rsidR="00BC1364" w:rsidRDefault="00BC1364" w:rsidP="00DD2858">
      <w:pPr>
        <w:rPr>
          <w:color w:val="3366FF"/>
          <w:szCs w:val="24"/>
        </w:rPr>
      </w:pPr>
    </w:p>
    <w:p w:rsidR="00724D5F" w:rsidRDefault="00724D5F" w:rsidP="00724D5F">
      <w:r>
        <w:t>The Protocol for this submission based assessment was developed by the applicant with advice from the Department of Health and PASC, and is included in Section A of the submission.  The clinical management algorithm from this Protocol is shown at Figure 1.</w:t>
      </w:r>
    </w:p>
    <w:p w:rsidR="00724D5F" w:rsidRPr="0003327D" w:rsidRDefault="00724D5F" w:rsidP="00724D5F">
      <w:pPr>
        <w:spacing w:before="120" w:after="120"/>
        <w:rPr>
          <w:rFonts w:ascii="Arial" w:hAnsi="Arial" w:cs="Arial"/>
          <w:color w:val="000000" w:themeColor="text1"/>
          <w:u w:val="single"/>
        </w:rPr>
      </w:pPr>
      <w:r>
        <w:rPr>
          <w:rFonts w:ascii="Arial" w:hAnsi="Arial" w:cs="Arial"/>
          <w:color w:val="000000" w:themeColor="text1"/>
          <w:u w:val="single"/>
        </w:rPr>
        <w:t xml:space="preserve">Figure 1: </w:t>
      </w:r>
      <w:r w:rsidRPr="0003327D">
        <w:rPr>
          <w:rFonts w:ascii="Arial" w:hAnsi="Arial" w:cs="Arial"/>
          <w:color w:val="000000" w:themeColor="text1"/>
          <w:u w:val="single"/>
        </w:rPr>
        <w:t>Clinical management algorithm – including proposed service</w:t>
      </w:r>
    </w:p>
    <w:p w:rsidR="00724D5F" w:rsidRDefault="002362D8" w:rsidP="00724D5F">
      <w:pPr>
        <w:autoSpaceDE w:val="0"/>
        <w:autoSpaceDN w:val="0"/>
        <w:adjustRightInd w:val="0"/>
        <w:spacing w:after="80"/>
        <w:rPr>
          <w:rFonts w:ascii="Arial" w:hAnsi="Arial" w:cs="Arial"/>
          <w:bCs/>
          <w:color w:val="000000" w:themeColor="text1"/>
          <w:u w:val="single"/>
        </w:rPr>
      </w:pPr>
      <w:r>
        <w:rPr>
          <w:rFonts w:ascii="Arial" w:hAnsi="Arial" w:cs="Arial"/>
          <w:bCs/>
          <w:noProof/>
          <w:color w:val="000000" w:themeColor="text1"/>
          <w:u w:val="single"/>
        </w:rPr>
        <w:drawing>
          <wp:inline distT="0" distB="0" distL="0" distR="0" wp14:anchorId="7DCC8FA9" wp14:editId="2BB04254">
            <wp:extent cx="5743575" cy="3514725"/>
            <wp:effectExtent l="0" t="0" r="9525" b="9525"/>
            <wp:docPr id="12" name="Picture 12" title="Figure 1: Clinical management algorithm – including proposed 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3514725"/>
                    </a:xfrm>
                    <a:prstGeom prst="rect">
                      <a:avLst/>
                    </a:prstGeom>
                    <a:noFill/>
                    <a:ln>
                      <a:noFill/>
                    </a:ln>
                  </pic:spPr>
                </pic:pic>
              </a:graphicData>
            </a:graphic>
          </wp:inline>
        </w:drawing>
      </w:r>
    </w:p>
    <w:p w:rsidR="00724D5F" w:rsidRPr="00AE74D4" w:rsidRDefault="00724D5F" w:rsidP="00724D5F">
      <w:pPr>
        <w:autoSpaceDE w:val="0"/>
        <w:autoSpaceDN w:val="0"/>
        <w:adjustRightInd w:val="0"/>
        <w:spacing w:after="80"/>
        <w:rPr>
          <w:rFonts w:ascii="Arial" w:hAnsi="Arial" w:cs="Arial"/>
          <w:color w:val="000000" w:themeColor="text1"/>
          <w:sz w:val="20"/>
          <w:u w:val="single"/>
        </w:rPr>
      </w:pPr>
      <w:r w:rsidRPr="00AE74D4">
        <w:rPr>
          <w:rFonts w:ascii="Arial" w:hAnsi="Arial" w:cs="Arial"/>
          <w:bCs/>
          <w:color w:val="000000" w:themeColor="text1"/>
          <w:sz w:val="20"/>
          <w:u w:val="single"/>
        </w:rPr>
        <w:t xml:space="preserve">NBCC Recommended follow-up schedule </w:t>
      </w:r>
    </w:p>
    <w:tbl>
      <w:tblPr>
        <w:tblW w:w="0" w:type="auto"/>
        <w:tblInd w:w="6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963"/>
        <w:gridCol w:w="3605"/>
        <w:gridCol w:w="1606"/>
        <w:gridCol w:w="1172"/>
      </w:tblGrid>
      <w:tr w:rsidR="00724D5F" w:rsidRPr="00424A7F" w:rsidTr="00D75FDE">
        <w:trPr>
          <w:trHeight w:val="127"/>
        </w:trPr>
        <w:tc>
          <w:tcPr>
            <w:tcW w:w="0" w:type="auto"/>
            <w:tcBorders>
              <w:top w:val="single" w:sz="8" w:space="0" w:color="000000"/>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bCs/>
                <w:color w:val="000000" w:themeColor="text1"/>
                <w:sz w:val="20"/>
              </w:rPr>
            </w:pPr>
          </w:p>
        </w:tc>
        <w:tc>
          <w:tcPr>
            <w:tcW w:w="0" w:type="auto"/>
            <w:tcBorders>
              <w:top w:val="single" w:sz="8" w:space="0" w:color="000000"/>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bCs/>
                <w:color w:val="000000" w:themeColor="text1"/>
                <w:sz w:val="20"/>
              </w:rPr>
              <w:t xml:space="preserve">1-2 Years </w:t>
            </w:r>
          </w:p>
        </w:tc>
        <w:tc>
          <w:tcPr>
            <w:tcW w:w="1300" w:type="dxa"/>
            <w:tcBorders>
              <w:top w:val="single" w:sz="8" w:space="0" w:color="000000"/>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bCs/>
                <w:color w:val="000000" w:themeColor="text1"/>
                <w:sz w:val="20"/>
              </w:rPr>
              <w:t xml:space="preserve">3-5 Years </w:t>
            </w:r>
          </w:p>
        </w:tc>
        <w:tc>
          <w:tcPr>
            <w:tcW w:w="998" w:type="dxa"/>
            <w:tcBorders>
              <w:top w:val="single" w:sz="8" w:space="0" w:color="000000"/>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bCs/>
                <w:color w:val="000000" w:themeColor="text1"/>
                <w:sz w:val="20"/>
              </w:rPr>
              <w:t xml:space="preserve">After 5 Years </w:t>
            </w:r>
          </w:p>
        </w:tc>
      </w:tr>
      <w:tr w:rsidR="00724D5F" w:rsidRPr="00424A7F" w:rsidTr="00D75FDE">
        <w:trPr>
          <w:trHeight w:val="127"/>
        </w:trPr>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bCs/>
                <w:color w:val="000000" w:themeColor="text1"/>
                <w:sz w:val="20"/>
              </w:rPr>
              <w:t xml:space="preserve">History &amp; Exam </w:t>
            </w:r>
          </w:p>
        </w:tc>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color w:val="000000" w:themeColor="text1"/>
                <w:sz w:val="20"/>
              </w:rPr>
              <w:t xml:space="preserve">Every 3 months </w:t>
            </w:r>
          </w:p>
        </w:tc>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color w:val="000000" w:themeColor="text1"/>
                <w:sz w:val="20"/>
              </w:rPr>
              <w:t xml:space="preserve">Every 6 months </w:t>
            </w:r>
          </w:p>
        </w:tc>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color w:val="000000" w:themeColor="text1"/>
                <w:sz w:val="20"/>
              </w:rPr>
              <w:t xml:space="preserve">Every year </w:t>
            </w:r>
          </w:p>
        </w:tc>
      </w:tr>
      <w:tr w:rsidR="00724D5F" w:rsidRPr="00424A7F" w:rsidTr="00D75FDE">
        <w:trPr>
          <w:trHeight w:val="333"/>
        </w:trPr>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bCs/>
                <w:color w:val="000000" w:themeColor="text1"/>
                <w:sz w:val="20"/>
              </w:rPr>
              <w:t xml:space="preserve">Mammography (&amp; ultrasound if indicated) </w:t>
            </w:r>
          </w:p>
        </w:tc>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color w:val="000000" w:themeColor="text1"/>
                <w:sz w:val="20"/>
              </w:rPr>
              <w:t xml:space="preserve">At 6-12 months after radiotherapy for conserved breast </w:t>
            </w:r>
          </w:p>
        </w:tc>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color w:val="000000" w:themeColor="text1"/>
                <w:sz w:val="20"/>
              </w:rPr>
              <w:t xml:space="preserve">Every year </w:t>
            </w:r>
          </w:p>
        </w:tc>
        <w:tc>
          <w:tcPr>
            <w:tcW w:w="0" w:type="auto"/>
            <w:tcBorders>
              <w:top w:val="single" w:sz="8" w:space="0" w:color="auto"/>
              <w:left w:val="single" w:sz="8" w:space="0" w:color="auto"/>
              <w:bottom w:val="single" w:sz="8" w:space="0" w:color="auto"/>
              <w:right w:val="single" w:sz="8" w:space="0" w:color="auto"/>
            </w:tcBorders>
          </w:tcPr>
          <w:p w:rsidR="00724D5F" w:rsidRPr="00AE74D4" w:rsidRDefault="00724D5F" w:rsidP="00D75FDE">
            <w:pPr>
              <w:autoSpaceDE w:val="0"/>
              <w:autoSpaceDN w:val="0"/>
              <w:adjustRightInd w:val="0"/>
              <w:spacing w:after="80"/>
              <w:rPr>
                <w:rFonts w:ascii="Arial" w:hAnsi="Arial" w:cs="Arial"/>
                <w:color w:val="000000" w:themeColor="text1"/>
                <w:sz w:val="20"/>
              </w:rPr>
            </w:pPr>
            <w:r w:rsidRPr="00AE74D4">
              <w:rPr>
                <w:rFonts w:ascii="Arial" w:hAnsi="Arial" w:cs="Arial"/>
                <w:color w:val="000000" w:themeColor="text1"/>
                <w:sz w:val="20"/>
              </w:rPr>
              <w:t xml:space="preserve">Every year </w:t>
            </w:r>
          </w:p>
        </w:tc>
      </w:tr>
    </w:tbl>
    <w:p w:rsidR="00724D5F" w:rsidRPr="00E93B91" w:rsidRDefault="00724D5F" w:rsidP="00724D5F">
      <w:pPr>
        <w:tabs>
          <w:tab w:val="left" w:pos="3147"/>
        </w:tabs>
        <w:autoSpaceDE w:val="0"/>
        <w:autoSpaceDN w:val="0"/>
        <w:adjustRightInd w:val="0"/>
        <w:spacing w:after="80"/>
        <w:rPr>
          <w:rFonts w:ascii="Arial Narrow" w:hAnsi="Arial Narrow" w:cs="Arial"/>
          <w:color w:val="000000" w:themeColor="text1"/>
          <w:sz w:val="20"/>
        </w:rPr>
      </w:pPr>
      <w:r w:rsidRPr="00E93B91">
        <w:rPr>
          <w:rFonts w:ascii="Arial Narrow" w:hAnsi="Arial Narrow" w:cs="Arial"/>
          <w:bCs/>
          <w:color w:val="000000" w:themeColor="text1"/>
          <w:sz w:val="20"/>
        </w:rPr>
        <w:t xml:space="preserve">Chest X-ray: </w:t>
      </w:r>
      <w:r w:rsidRPr="00E93B91">
        <w:rPr>
          <w:rFonts w:ascii="Arial Narrow" w:hAnsi="Arial Narrow" w:cs="Arial"/>
          <w:color w:val="000000" w:themeColor="text1"/>
          <w:sz w:val="20"/>
        </w:rPr>
        <w:t xml:space="preserve">Only if clinically indicated </w:t>
      </w:r>
    </w:p>
    <w:p w:rsidR="00BC1364" w:rsidRPr="002300A5" w:rsidRDefault="00724D5F" w:rsidP="002300A5">
      <w:pPr>
        <w:tabs>
          <w:tab w:val="left" w:pos="3147"/>
        </w:tabs>
        <w:autoSpaceDE w:val="0"/>
        <w:autoSpaceDN w:val="0"/>
        <w:adjustRightInd w:val="0"/>
        <w:spacing w:after="80"/>
        <w:rPr>
          <w:rFonts w:ascii="Arial Narrow" w:hAnsi="Arial Narrow" w:cs="Arial"/>
          <w:color w:val="000000" w:themeColor="text1"/>
          <w:sz w:val="20"/>
        </w:rPr>
      </w:pPr>
      <w:r w:rsidRPr="00E93B91">
        <w:rPr>
          <w:rFonts w:ascii="Arial Narrow" w:hAnsi="Arial Narrow" w:cs="Arial"/>
          <w:bCs/>
          <w:color w:val="000000" w:themeColor="text1"/>
          <w:sz w:val="20"/>
        </w:rPr>
        <w:t xml:space="preserve">Bone Scan, blood count &amp; biochemistry: </w:t>
      </w:r>
      <w:r w:rsidRPr="00E93B91">
        <w:rPr>
          <w:rFonts w:ascii="Arial Narrow" w:hAnsi="Arial Narrow" w:cs="Arial"/>
          <w:color w:val="000000" w:themeColor="text1"/>
          <w:sz w:val="20"/>
        </w:rPr>
        <w:t>Only if clinically indicated</w:t>
      </w: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724D5F" w:rsidRDefault="00724D5F" w:rsidP="00724D5F">
      <w:r w:rsidRPr="007B6117">
        <w:t xml:space="preserve">The </w:t>
      </w:r>
      <w:r>
        <w:t xml:space="preserve">applicant’s submission </w:t>
      </w:r>
      <w:r w:rsidRPr="007B6117">
        <w:t>nominate</w:t>
      </w:r>
      <w:r>
        <w:t>d</w:t>
      </w:r>
      <w:r w:rsidRPr="007B6117">
        <w:t xml:space="preserve"> WB-EBRT as the main comparator</w:t>
      </w:r>
      <w:r>
        <w:t>. I</w:t>
      </w:r>
      <w:r w:rsidRPr="007B6117">
        <w:t>t is expected that WB-EBRT is the intervention most likely to be replaced.</w:t>
      </w:r>
      <w:r>
        <w:t xml:space="preserve"> </w:t>
      </w:r>
    </w:p>
    <w:p w:rsidR="00724D5F" w:rsidRDefault="00724D5F" w:rsidP="00724D5F"/>
    <w:p w:rsidR="00724D5F" w:rsidRDefault="00724D5F" w:rsidP="00724D5F">
      <w:r w:rsidRPr="007B6117">
        <w:t>The treatment course of WB-EBRT normally starts</w:t>
      </w:r>
      <w:r>
        <w:t xml:space="preserve"> after the tissues have healed </w:t>
      </w:r>
      <w:r w:rsidRPr="007B6117">
        <w:t xml:space="preserve">within </w:t>
      </w:r>
      <w:r w:rsidR="00C22B5A">
        <w:t xml:space="preserve">4 – 6 weeks </w:t>
      </w:r>
      <w:r w:rsidRPr="00D12746">
        <w:t xml:space="preserve">after BCS. According </w:t>
      </w:r>
      <w:r>
        <w:t>to the applicant, p</w:t>
      </w:r>
      <w:r w:rsidRPr="007B6117">
        <w:t>atients most commonly receive WB-EBRT treatments once a day, five days a</w:t>
      </w:r>
      <w:r>
        <w:t xml:space="preserve"> week, for a total of six weeks</w:t>
      </w:r>
      <w:r w:rsidRPr="007B6117">
        <w:t xml:space="preserve">. In Australia, WB-EBRT treatments are usually delivered using a linear accelerator in a radiation oncology facility in an outpatient setting. The cost of the service is covered by </w:t>
      </w:r>
      <w:r>
        <w:t>the MBS</w:t>
      </w:r>
      <w:r w:rsidR="00DE5FFD">
        <w:t xml:space="preserve"> </w:t>
      </w:r>
      <w:r>
        <w:t>and patient out-of-pocket expenses</w:t>
      </w:r>
      <w:r w:rsidR="00C755F4">
        <w:t xml:space="preserve"> w</w:t>
      </w:r>
      <w:r w:rsidR="000A1A60">
        <w:t xml:space="preserve">hile the cost of certain equipment, such as linear accelerators and planning systems, is funded via </w:t>
      </w:r>
      <w:r w:rsidR="000A1A60" w:rsidRPr="007B6117">
        <w:t>the Radiation Oncology Health Program Grant</w:t>
      </w:r>
      <w:r w:rsidR="000A1A60">
        <w:t>s</w:t>
      </w:r>
      <w:r w:rsidR="000A1A60" w:rsidRPr="007B6117">
        <w:t xml:space="preserve"> (</w:t>
      </w:r>
      <w:r w:rsidR="000A1A60">
        <w:t>RO</w:t>
      </w:r>
      <w:r w:rsidR="000A1A60" w:rsidRPr="007B6117">
        <w:t>HPG)</w:t>
      </w:r>
      <w:r w:rsidR="000A1A60">
        <w:t>.</w:t>
      </w:r>
    </w:p>
    <w:p w:rsidR="00715F94" w:rsidRDefault="00715F94">
      <w:pPr>
        <w:rPr>
          <w:b/>
          <w:szCs w:val="24"/>
        </w:rPr>
      </w:pPr>
      <w:r>
        <w:rPr>
          <w:b/>
          <w:szCs w:val="24"/>
        </w:rPr>
        <w:br w:type="page"/>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724D5F" w:rsidRPr="008B661B" w:rsidRDefault="00724D5F" w:rsidP="00724D5F">
      <w:r w:rsidRPr="002C7AB6">
        <w:t xml:space="preserve">Overall, the rates of major complications were comparable in the two treatment groups. However, patients receiving </w:t>
      </w:r>
      <w:r>
        <w:t>T-</w:t>
      </w:r>
      <w:r w:rsidRPr="002C7AB6">
        <w:t>IORT were less likely to experience</w:t>
      </w:r>
      <w:r>
        <w:t xml:space="preserve"> radiotherapy-related toxicity. The critique noted that, a</w:t>
      </w:r>
      <w:r w:rsidRPr="008B661B">
        <w:t>lthough re-excision rates appeared to be similar across treatment groups and the strata (all &lt;10%), MBS data indicate that re-excision may occur in up to 20% of women having BCS. The implication of this is that</w:t>
      </w:r>
      <w:r>
        <w:t>,</w:t>
      </w:r>
      <w:r w:rsidRPr="008B661B">
        <w:t xml:space="preserve"> in clinical practice, a higher proportion of patients with unclear margins will go on to receive WB-EBRT after T-IORT</w:t>
      </w:r>
      <w:r w:rsidR="00C755F4">
        <w:t xml:space="preserve"> a</w:t>
      </w:r>
      <w:r w:rsidR="000A1A60">
        <w:t>lthough MSAC noted that this re-excision rate was unlikely to apply to the patient group for T-IORT.</w:t>
      </w:r>
    </w:p>
    <w:p w:rsidR="00724D5F" w:rsidRDefault="00724D5F" w:rsidP="00724D5F"/>
    <w:p w:rsidR="00724D5F" w:rsidRPr="005679B6" w:rsidRDefault="00724D5F" w:rsidP="00724D5F">
      <w:pPr>
        <w:pStyle w:val="ESHeading2"/>
        <w:rPr>
          <w:rFonts w:ascii="Times New Roman" w:hAnsi="Times New Roman"/>
          <w:color w:val="auto"/>
          <w:sz w:val="24"/>
          <w:szCs w:val="24"/>
        </w:rPr>
      </w:pPr>
      <w:bookmarkStart w:id="3" w:name="_Toc394496624"/>
      <w:bookmarkStart w:id="4" w:name="_Toc396751017"/>
      <w:bookmarkStart w:id="5" w:name="_Toc315099766"/>
      <w:r w:rsidRPr="005679B6">
        <w:rPr>
          <w:rFonts w:ascii="Times New Roman" w:hAnsi="Times New Roman"/>
          <w:color w:val="auto"/>
          <w:sz w:val="24"/>
          <w:szCs w:val="24"/>
        </w:rPr>
        <w:t>Pre</w:t>
      </w:r>
      <w:r>
        <w:rPr>
          <w:rFonts w:ascii="Times New Roman" w:hAnsi="Times New Roman"/>
          <w:color w:val="auto"/>
          <w:sz w:val="24"/>
          <w:szCs w:val="24"/>
        </w:rPr>
        <w:t>-</w:t>
      </w:r>
      <w:r w:rsidRPr="005679B6">
        <w:rPr>
          <w:rFonts w:ascii="Times New Roman" w:hAnsi="Times New Roman"/>
          <w:color w:val="auto"/>
          <w:sz w:val="24"/>
          <w:szCs w:val="24"/>
        </w:rPr>
        <w:t>modelling studies:</w:t>
      </w:r>
      <w:bookmarkEnd w:id="3"/>
      <w:bookmarkEnd w:id="4"/>
      <w:r w:rsidRPr="005679B6">
        <w:rPr>
          <w:rFonts w:ascii="Times New Roman" w:hAnsi="Times New Roman"/>
          <w:color w:val="auto"/>
          <w:sz w:val="24"/>
          <w:szCs w:val="24"/>
        </w:rPr>
        <w:t xml:space="preserve"> </w:t>
      </w:r>
      <w:bookmarkEnd w:id="5"/>
    </w:p>
    <w:p w:rsidR="00724D5F" w:rsidRPr="008B661B" w:rsidRDefault="004D4BD1" w:rsidP="00724D5F">
      <w:pPr>
        <w:rPr>
          <w:iCs/>
        </w:rPr>
      </w:pPr>
      <w:r>
        <w:t>T</w:t>
      </w:r>
      <w:r w:rsidR="00724D5F">
        <w:t>he submission present</w:t>
      </w:r>
      <w:r>
        <w:t>ed</w:t>
      </w:r>
      <w:r w:rsidR="00724D5F">
        <w:t xml:space="preserve"> an outline of the clinical pathways of the TARGIT-A trial and the approach taken in the economic evaluation. The critique noted that</w:t>
      </w:r>
      <w:r w:rsidR="00724D5F" w:rsidRPr="008B661B">
        <w:t xml:space="preserve"> t</w:t>
      </w:r>
      <w:r w:rsidR="00724D5F" w:rsidRPr="008B661B">
        <w:rPr>
          <w:iCs/>
        </w:rPr>
        <w:t>his could b</w:t>
      </w:r>
      <w:r w:rsidR="00724D5F">
        <w:rPr>
          <w:iCs/>
        </w:rPr>
        <w:t>e viewed as an a</w:t>
      </w:r>
      <w:r w:rsidR="00724D5F" w:rsidRPr="008B661B">
        <w:rPr>
          <w:iCs/>
        </w:rPr>
        <w:t xml:space="preserve">pplicability issue, </w:t>
      </w:r>
      <w:r w:rsidR="00C22B5A">
        <w:rPr>
          <w:iCs/>
        </w:rPr>
        <w:t>al</w:t>
      </w:r>
      <w:r w:rsidR="00724D5F" w:rsidRPr="008B661B">
        <w:rPr>
          <w:iCs/>
        </w:rPr>
        <w:t>though it is insufficiently presented. Several translation issues which warrant pre</w:t>
      </w:r>
      <w:r w:rsidR="00724D5F">
        <w:rPr>
          <w:iCs/>
        </w:rPr>
        <w:t>-</w:t>
      </w:r>
      <w:r w:rsidR="00724D5F" w:rsidRPr="008B661B">
        <w:rPr>
          <w:iCs/>
        </w:rPr>
        <w:t>modelling studies are not pre</w:t>
      </w:r>
      <w:r w:rsidR="00724D5F">
        <w:rPr>
          <w:iCs/>
        </w:rPr>
        <w:t xml:space="preserve">sented in the </w:t>
      </w:r>
      <w:r>
        <w:rPr>
          <w:iCs/>
        </w:rPr>
        <w:t>submission</w:t>
      </w:r>
      <w:r w:rsidR="00724D5F">
        <w:rPr>
          <w:iCs/>
        </w:rPr>
        <w:t>, t</w:t>
      </w:r>
      <w:r w:rsidR="00724D5F" w:rsidRPr="008B661B">
        <w:rPr>
          <w:iCs/>
        </w:rPr>
        <w:t>hese include:</w:t>
      </w:r>
    </w:p>
    <w:p w:rsidR="00724D5F" w:rsidRPr="008B661B" w:rsidRDefault="00724D5F" w:rsidP="00724D5F">
      <w:pPr>
        <w:pStyle w:val="ListParagraph"/>
        <w:numPr>
          <w:ilvl w:val="0"/>
          <w:numId w:val="28"/>
        </w:numPr>
        <w:spacing w:before="120"/>
      </w:pPr>
      <w:r w:rsidRPr="008B661B">
        <w:t>Discussion around the population and circumstances of use reflected in the economic evaluation, and how this compares with that presented in Section A.</w:t>
      </w:r>
    </w:p>
    <w:p w:rsidR="00724D5F" w:rsidRPr="008B661B" w:rsidRDefault="00724D5F" w:rsidP="00724D5F">
      <w:pPr>
        <w:pStyle w:val="ListParagraph"/>
        <w:numPr>
          <w:ilvl w:val="0"/>
          <w:numId w:val="28"/>
        </w:numPr>
        <w:spacing w:before="120"/>
      </w:pPr>
      <w:r w:rsidRPr="008B661B">
        <w:t>Consideration of the distribution of patients in the TARGIT-A trial and how this compares with expected clinical practice in Australia. In particular, demonstrating whether the split of pre-pathology and post-pathology patients in the study is representative of how radiotherapy is used in Australia (both currently and in the event of a listing for T-IORT) is necessary to show whether the scenarios presented in the economic evaluation are appropriate.</w:t>
      </w:r>
    </w:p>
    <w:p w:rsidR="00724D5F" w:rsidRPr="008B661B" w:rsidRDefault="00724D5F" w:rsidP="00724D5F">
      <w:pPr>
        <w:pStyle w:val="ListParagraph"/>
        <w:numPr>
          <w:ilvl w:val="0"/>
          <w:numId w:val="28"/>
        </w:numPr>
        <w:spacing w:before="120"/>
      </w:pPr>
      <w:r w:rsidRPr="008B661B">
        <w:t>The applicability of the results of the TARGIT-A trial to the requested listing/modelled population. In particular, an assessment of the different results observed in the two strata of the TARGIT-A trial (pre-pathology and post-pathology) should be presented and discussed in Section C, as this impacts on the validity (or otherwise) of the scenarios used in the economic evaluation.</w:t>
      </w:r>
    </w:p>
    <w:p w:rsidR="00724D5F" w:rsidRPr="008B661B" w:rsidRDefault="00724D5F" w:rsidP="00724D5F">
      <w:pPr>
        <w:pStyle w:val="ListParagraph"/>
        <w:numPr>
          <w:ilvl w:val="0"/>
          <w:numId w:val="28"/>
        </w:numPr>
        <w:spacing w:before="120"/>
      </w:pPr>
      <w:r w:rsidRPr="008B661B">
        <w:t>The applicability of Scenario 3 in Section D that considers T-IORT versus subcutaneous mastectomy. Without adequate discussion to demonstrate its validity, and support for a claim of non-inferiority, Scenario 3 is not justified.</w:t>
      </w:r>
    </w:p>
    <w:p w:rsidR="00724D5F" w:rsidRDefault="00724D5F" w:rsidP="00724D5F">
      <w:pPr>
        <w:pStyle w:val="ListParagraph"/>
        <w:numPr>
          <w:ilvl w:val="0"/>
          <w:numId w:val="28"/>
        </w:numPr>
        <w:spacing w:before="120"/>
      </w:pPr>
      <w:r w:rsidRPr="008B661B">
        <w:t xml:space="preserve">Presentation of evidence, or at least support for an assumption, to demonstrate that the use of T-IORT in tandem with a </w:t>
      </w:r>
      <w:r w:rsidR="00E40BE9">
        <w:t>six</w:t>
      </w:r>
      <w:r w:rsidRPr="008B661B">
        <w:t xml:space="preserve">-week regimen of supplemental WB-EBRT is non-inferior to six weeks of WB-EBRT. In the absence of a justification of this, it is difficult to consider that the approach used in Scenario 1 is supportable. The Assessment Report does not discuss the applicability of the </w:t>
      </w:r>
      <w:r w:rsidR="00E40BE9">
        <w:t>six</w:t>
      </w:r>
      <w:r w:rsidRPr="008B661B">
        <w:t>-week regimen at all.</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724D5F" w:rsidRDefault="00724D5F" w:rsidP="00724D5F">
      <w:r>
        <w:t xml:space="preserve">The primary source of evidence for this application was the </w:t>
      </w:r>
      <w:r w:rsidRPr="000968B1">
        <w:t xml:space="preserve">TARGIT-A </w:t>
      </w:r>
      <w:r>
        <w:t>study:  a good quality,</w:t>
      </w:r>
      <w:r w:rsidRPr="000968B1">
        <w:t xml:space="preserve"> un-blinded, multicentre non-inferiority RCT </w:t>
      </w:r>
      <w:r>
        <w:t xml:space="preserve">that </w:t>
      </w:r>
      <w:r w:rsidRPr="000968B1">
        <w:t xml:space="preserve">compared T-IORT using the </w:t>
      </w:r>
      <w:proofErr w:type="spellStart"/>
      <w:r w:rsidRPr="000968B1">
        <w:t>Intrabeam</w:t>
      </w:r>
      <w:proofErr w:type="spellEnd"/>
      <w:r w:rsidRPr="000968B1">
        <w:t xml:space="preserve"> device with conventional WB-EBRT</w:t>
      </w:r>
      <w:r>
        <w:t>.</w:t>
      </w:r>
      <w:r w:rsidRPr="000968B1">
        <w:t xml:space="preserve"> </w:t>
      </w:r>
      <w:r>
        <w:t>A total of</w:t>
      </w:r>
      <w:r w:rsidRPr="000968B1">
        <w:t xml:space="preserve"> 3,451</w:t>
      </w:r>
      <w:r>
        <w:t xml:space="preserve"> women with early breast cancer were recruited</w:t>
      </w:r>
      <w:r w:rsidRPr="000968B1">
        <w:t xml:space="preserve"> from 33 centres in 11 countries</w:t>
      </w:r>
      <w:r>
        <w:t>,</w:t>
      </w:r>
      <w:r w:rsidRPr="000968B1">
        <w:t xml:space="preserve"> including </w:t>
      </w:r>
      <w:r>
        <w:t xml:space="preserve">two sites in </w:t>
      </w:r>
      <w:r w:rsidRPr="000968B1">
        <w:t xml:space="preserve">Australia. </w:t>
      </w:r>
      <w:r w:rsidRPr="003A00D8">
        <w:t>The primary outcome of the TARGIT</w:t>
      </w:r>
      <w:r>
        <w:t>-A</w:t>
      </w:r>
      <w:r w:rsidRPr="003A00D8">
        <w:t xml:space="preserve"> RCT was absolute difference in local recurrence in the conserved breast, with a pre-specified non-inferiority margin of 2.5% at five years. </w:t>
      </w:r>
    </w:p>
    <w:p w:rsidR="00724D5F" w:rsidRDefault="00724D5F" w:rsidP="00724D5F"/>
    <w:p w:rsidR="00724D5F" w:rsidRDefault="00724D5F" w:rsidP="00724D5F">
      <w:pPr>
        <w:rPr>
          <w:lang w:val="en-US"/>
        </w:rPr>
      </w:pPr>
      <w:r w:rsidRPr="000968B1">
        <w:t xml:space="preserve">The </w:t>
      </w:r>
      <w:r>
        <w:t xml:space="preserve">trial was launched in 2000 and the </w:t>
      </w:r>
      <w:r w:rsidRPr="000968B1">
        <w:t xml:space="preserve">planned follow-up for trial participants </w:t>
      </w:r>
      <w:r w:rsidR="00DE09A0">
        <w:t>was</w:t>
      </w:r>
      <w:r w:rsidR="00DE09A0" w:rsidRPr="000968B1">
        <w:t xml:space="preserve"> </w:t>
      </w:r>
      <w:r w:rsidRPr="000968B1">
        <w:t>at least 10 years. However, the median follow-up in the most recent publication (</w:t>
      </w:r>
      <w:r>
        <w:t>Vaidya et al.</w:t>
      </w:r>
      <w:r w:rsidRPr="000968B1">
        <w:t xml:space="preserve"> 2014) </w:t>
      </w:r>
      <w:r w:rsidR="00DE09A0">
        <w:t>was</w:t>
      </w:r>
      <w:r w:rsidR="00DE09A0" w:rsidRPr="000968B1">
        <w:t xml:space="preserve"> </w:t>
      </w:r>
      <w:r>
        <w:t>two</w:t>
      </w:r>
      <w:r w:rsidRPr="000968B1">
        <w:t xml:space="preserve"> years and </w:t>
      </w:r>
      <w:r>
        <w:t>five</w:t>
      </w:r>
      <w:r w:rsidRPr="000968B1">
        <w:t xml:space="preserve"> </w:t>
      </w:r>
      <w:r>
        <w:t xml:space="preserve">months, </w:t>
      </w:r>
      <w:r w:rsidRPr="000968B1">
        <w:rPr>
          <w:lang w:val="en-US"/>
        </w:rPr>
        <w:t>with 59% of participants (N=2,020) achieving a median four years and 35% (N=1,222) achieving a median five years</w:t>
      </w:r>
      <w:r>
        <w:rPr>
          <w:lang w:val="en-US"/>
        </w:rPr>
        <w:t xml:space="preserve"> of follow-up</w:t>
      </w:r>
      <w:r w:rsidRPr="000968B1">
        <w:rPr>
          <w:lang w:val="en-US"/>
        </w:rPr>
        <w:t xml:space="preserve">. </w:t>
      </w:r>
      <w:r>
        <w:rPr>
          <w:lang w:val="en-US"/>
        </w:rPr>
        <w:t>T</w:t>
      </w:r>
      <w:r w:rsidRPr="000968B1">
        <w:rPr>
          <w:lang w:val="en-US"/>
        </w:rPr>
        <w:t xml:space="preserve">he mature cohort of 2,232 </w:t>
      </w:r>
      <w:r w:rsidRPr="000968B1">
        <w:rPr>
          <w:lang w:val="en-US"/>
        </w:rPr>
        <w:lastRenderedPageBreak/>
        <w:t xml:space="preserve">patients, which was originally reported in </w:t>
      </w:r>
      <w:r>
        <w:rPr>
          <w:lang w:val="en-US"/>
        </w:rPr>
        <w:t xml:space="preserve">a </w:t>
      </w:r>
      <w:r w:rsidRPr="000968B1">
        <w:rPr>
          <w:lang w:val="en-US"/>
        </w:rPr>
        <w:t>2010</w:t>
      </w:r>
      <w:r>
        <w:rPr>
          <w:lang w:val="en-US"/>
        </w:rPr>
        <w:t xml:space="preserve"> publication</w:t>
      </w:r>
      <w:r w:rsidRPr="000968B1">
        <w:rPr>
          <w:lang w:val="en-US"/>
        </w:rPr>
        <w:t xml:space="preserve">, had a median follow-up of </w:t>
      </w:r>
      <w:r>
        <w:rPr>
          <w:lang w:val="en-US"/>
        </w:rPr>
        <w:t>three</w:t>
      </w:r>
      <w:r w:rsidRPr="000968B1">
        <w:rPr>
          <w:lang w:val="en-US"/>
        </w:rPr>
        <w:t xml:space="preserve"> years and </w:t>
      </w:r>
      <w:r>
        <w:rPr>
          <w:lang w:val="en-US"/>
        </w:rPr>
        <w:t>seven</w:t>
      </w:r>
      <w:r w:rsidRPr="000968B1">
        <w:rPr>
          <w:lang w:val="en-US"/>
        </w:rPr>
        <w:t xml:space="preserve"> months (IQR 30-61 months). </w:t>
      </w:r>
    </w:p>
    <w:p w:rsidR="00724D5F" w:rsidRDefault="00724D5F" w:rsidP="00724D5F">
      <w:pPr>
        <w:rPr>
          <w:i/>
          <w:highlight w:val="yellow"/>
        </w:rPr>
      </w:pPr>
    </w:p>
    <w:p w:rsidR="00724D5F" w:rsidRDefault="00724D5F" w:rsidP="00724D5F">
      <w:r w:rsidRPr="000968B1">
        <w:t>T-IORT was delivered concurrently, immediately after surgical excision under the same anaesthesia, in approximately two-thirds of the patient population (</w:t>
      </w:r>
      <w:r>
        <w:t>pre-pathology stratum, n=2,298) and</w:t>
      </w:r>
      <w:r w:rsidRPr="000968B1">
        <w:t xml:space="preserve"> as a subsequent procedure after deﬁnitive tumour pathology reports </w:t>
      </w:r>
      <w:r>
        <w:t xml:space="preserve">in remaining patients </w:t>
      </w:r>
      <w:r w:rsidRPr="000968B1">
        <w:t>(po</w:t>
      </w:r>
      <w:r>
        <w:t xml:space="preserve">st-pathology stratum, n=1,153). </w:t>
      </w:r>
      <w:r w:rsidRPr="002D3A2A">
        <w:t xml:space="preserve">The two participating Australian sites enrolled 394 patients, representing 11% of the total TARGIT-A population. Importantly, the majority of Australian patients (86% in the 2010 publication) were enrolled in the post-pathology stratum, accounting for 34% of all </w:t>
      </w:r>
      <w:r>
        <w:t xml:space="preserve">post-pathology </w:t>
      </w:r>
      <w:r w:rsidRPr="002D3A2A">
        <w:t>patients.</w:t>
      </w:r>
    </w:p>
    <w:p w:rsidR="002300A5" w:rsidRDefault="002300A5" w:rsidP="00724D5F">
      <w:pPr>
        <w:rPr>
          <w:i/>
          <w:highlight w:val="yellow"/>
        </w:rPr>
      </w:pPr>
    </w:p>
    <w:p w:rsidR="00724D5F" w:rsidRDefault="00724D5F" w:rsidP="00724D5F">
      <w:pPr>
        <w:rPr>
          <w:lang w:val="en-US"/>
        </w:rPr>
      </w:pPr>
      <w:r w:rsidRPr="000968B1">
        <w:t xml:space="preserve">The trial </w:t>
      </w:r>
      <w:r>
        <w:t xml:space="preserve">used a </w:t>
      </w:r>
      <w:r w:rsidRPr="000968B1">
        <w:t>“risk-adapted approach” in that</w:t>
      </w:r>
      <w:r>
        <w:t>,</w:t>
      </w:r>
      <w:r w:rsidRPr="000968B1">
        <w:t xml:space="preserve"> if participants randomised to T-IORT were subsequently found to have unfavourable adverse pathology findings (such as unexpected lobular carcinoma, extensive </w:t>
      </w:r>
      <w:proofErr w:type="spellStart"/>
      <w:r w:rsidRPr="000968B1">
        <w:t>intraductal</w:t>
      </w:r>
      <w:proofErr w:type="spellEnd"/>
      <w:r w:rsidRPr="000968B1">
        <w:t xml:space="preserve"> component, positive margins at first excision), and hence were at high risk of </w:t>
      </w:r>
      <w:r w:rsidR="00DE09A0">
        <w:t xml:space="preserve">ipsilateral </w:t>
      </w:r>
      <w:r w:rsidRPr="000968B1">
        <w:t xml:space="preserve">recurrence, they received supplemental EBRT (i.e. </w:t>
      </w:r>
      <w:r>
        <w:t>T-</w:t>
      </w:r>
      <w:r w:rsidRPr="000968B1">
        <w:t>IORT+</w:t>
      </w:r>
      <w:r>
        <w:t>WB-</w:t>
      </w:r>
      <w:r w:rsidRPr="000968B1">
        <w:t xml:space="preserve">EBRT). Approximately 15% of patients (N=239) in the T-IORT group (combining both pre-pathology and post-pathology strata) received </w:t>
      </w:r>
      <w:r>
        <w:t>T-IORT+</w:t>
      </w:r>
      <w:r w:rsidR="00DE09A0">
        <w:t>WB-</w:t>
      </w:r>
      <w:r w:rsidRPr="000968B1">
        <w:t>EBRT. However, the proportion of patients randomised to the pre-pathology stratum and post-pathology stratum who received both treatments was approximately 19% and 3%, respectively.</w:t>
      </w:r>
      <w:r>
        <w:t xml:space="preserve"> </w:t>
      </w:r>
      <w:r w:rsidRPr="00EF2D87">
        <w:rPr>
          <w:lang w:val="en-US"/>
        </w:rPr>
        <w:t xml:space="preserve">Approximately 21% of </w:t>
      </w:r>
      <w:r>
        <w:rPr>
          <w:lang w:val="en-US"/>
        </w:rPr>
        <w:t xml:space="preserve">all </w:t>
      </w:r>
      <w:r w:rsidRPr="00EF2D87">
        <w:rPr>
          <w:lang w:val="en-US"/>
        </w:rPr>
        <w:t xml:space="preserve">patients randomised to T-IORT (approximately one in five patients) received treatment in the form of mastectomy or </w:t>
      </w:r>
      <w:r>
        <w:rPr>
          <w:lang w:val="en-US"/>
        </w:rPr>
        <w:t>WB-</w:t>
      </w:r>
      <w:r w:rsidRPr="00EF2D87">
        <w:rPr>
          <w:lang w:val="en-US"/>
        </w:rPr>
        <w:t>EBRT.</w:t>
      </w:r>
      <w:r>
        <w:rPr>
          <w:lang w:val="en-US"/>
        </w:rPr>
        <w:t xml:space="preserve"> </w:t>
      </w:r>
    </w:p>
    <w:p w:rsidR="00724D5F" w:rsidRDefault="00724D5F" w:rsidP="00724D5F">
      <w:pPr>
        <w:rPr>
          <w:lang w:val="en-US"/>
        </w:rPr>
      </w:pPr>
    </w:p>
    <w:p w:rsidR="00724D5F" w:rsidRDefault="00724D5F" w:rsidP="00724D5F">
      <w:pPr>
        <w:rPr>
          <w:i/>
        </w:rPr>
      </w:pPr>
      <w:r w:rsidRPr="001D7237">
        <w:t xml:space="preserve">The results were analysed using an </w:t>
      </w:r>
      <w:r>
        <w:t>intention-to-treat (</w:t>
      </w:r>
      <w:r w:rsidRPr="001D7237">
        <w:t>ITT</w:t>
      </w:r>
      <w:r>
        <w:t>)</w:t>
      </w:r>
      <w:r w:rsidRPr="001D7237">
        <w:t xml:space="preserve"> approach, including all patients randomised, according to the initial treatment assigned, regardless of whether they received and/or completed the treatment.</w:t>
      </w:r>
      <w:r w:rsidRPr="003A00D8">
        <w:rPr>
          <w:i/>
        </w:rPr>
        <w:t xml:space="preserve"> </w:t>
      </w:r>
    </w:p>
    <w:p w:rsidR="00724D5F" w:rsidRDefault="00724D5F" w:rsidP="00724D5F">
      <w:pPr>
        <w:rPr>
          <w:lang w:val="en-US"/>
        </w:rPr>
      </w:pPr>
    </w:p>
    <w:p w:rsidR="000A1A60" w:rsidRPr="000A1A60" w:rsidRDefault="00724D5F" w:rsidP="000A1A60">
      <w:pPr>
        <w:pStyle w:val="CommentText"/>
        <w:rPr>
          <w:sz w:val="24"/>
          <w:szCs w:val="24"/>
        </w:rPr>
      </w:pPr>
      <w:r w:rsidRPr="000A1A60">
        <w:rPr>
          <w:sz w:val="24"/>
          <w:szCs w:val="24"/>
        </w:rPr>
        <w:t>The initial 2010 publication reported that 66% of study participants received hormone therapy, 12% received chemotherapy, 4% received ‘other’ adjuvant therapies and 8% were unknown, with no differences overall between arms in the overall study population.</w:t>
      </w:r>
      <w:r w:rsidRPr="000A1A60">
        <w:rPr>
          <w:i/>
          <w:sz w:val="24"/>
          <w:szCs w:val="24"/>
        </w:rPr>
        <w:t xml:space="preserve"> </w:t>
      </w:r>
      <w:r w:rsidR="000A1A60" w:rsidRPr="000A1A60">
        <w:rPr>
          <w:sz w:val="24"/>
          <w:szCs w:val="24"/>
        </w:rPr>
        <w:t xml:space="preserve"> Other differences from proposed population (IORT group, 2014 paper appendices):</w:t>
      </w:r>
    </w:p>
    <w:p w:rsidR="000A1A60" w:rsidRPr="000A1A60" w:rsidRDefault="000A1A60" w:rsidP="000A1A60">
      <w:pPr>
        <w:pStyle w:val="CommentText"/>
        <w:numPr>
          <w:ilvl w:val="0"/>
          <w:numId w:val="35"/>
        </w:numPr>
        <w:rPr>
          <w:sz w:val="24"/>
          <w:szCs w:val="24"/>
        </w:rPr>
      </w:pPr>
      <w:r w:rsidRPr="000A1A60">
        <w:rPr>
          <w:sz w:val="24"/>
          <w:szCs w:val="24"/>
        </w:rPr>
        <w:t>12% tumours &gt;2cm (unknown 10%)</w:t>
      </w:r>
    </w:p>
    <w:p w:rsidR="000A1A60" w:rsidRPr="000A1A60" w:rsidRDefault="000A1A60" w:rsidP="000A1A60">
      <w:pPr>
        <w:pStyle w:val="CommentText"/>
        <w:numPr>
          <w:ilvl w:val="0"/>
          <w:numId w:val="35"/>
        </w:numPr>
        <w:rPr>
          <w:sz w:val="24"/>
          <w:szCs w:val="24"/>
        </w:rPr>
      </w:pPr>
      <w:r w:rsidRPr="000A1A60">
        <w:rPr>
          <w:sz w:val="24"/>
          <w:szCs w:val="24"/>
        </w:rPr>
        <w:t>15% grade &gt;2 (unknown 11%)</w:t>
      </w:r>
    </w:p>
    <w:p w:rsidR="000A1A60" w:rsidRPr="000A1A60" w:rsidRDefault="000A1A60" w:rsidP="000A1A60">
      <w:pPr>
        <w:pStyle w:val="CommentText"/>
        <w:numPr>
          <w:ilvl w:val="0"/>
          <w:numId w:val="35"/>
        </w:numPr>
        <w:rPr>
          <w:sz w:val="24"/>
          <w:szCs w:val="24"/>
        </w:rPr>
      </w:pPr>
      <w:r w:rsidRPr="000A1A60">
        <w:rPr>
          <w:sz w:val="24"/>
          <w:szCs w:val="24"/>
        </w:rPr>
        <w:t>17% LN involvement (unknown 9%)</w:t>
      </w:r>
    </w:p>
    <w:p w:rsidR="000A1A60" w:rsidRPr="000A1A60" w:rsidRDefault="000A1A60" w:rsidP="000A1A60">
      <w:pPr>
        <w:pStyle w:val="CommentText"/>
        <w:numPr>
          <w:ilvl w:val="0"/>
          <w:numId w:val="35"/>
        </w:numPr>
        <w:rPr>
          <w:sz w:val="24"/>
          <w:szCs w:val="24"/>
        </w:rPr>
      </w:pPr>
      <w:r w:rsidRPr="000A1A60">
        <w:rPr>
          <w:sz w:val="24"/>
          <w:szCs w:val="24"/>
        </w:rPr>
        <w:t xml:space="preserve">8% ER </w:t>
      </w:r>
      <w:proofErr w:type="spellStart"/>
      <w:r w:rsidRPr="000A1A60">
        <w:rPr>
          <w:sz w:val="24"/>
          <w:szCs w:val="24"/>
        </w:rPr>
        <w:t>neg</w:t>
      </w:r>
      <w:proofErr w:type="spellEnd"/>
      <w:r w:rsidRPr="000A1A60">
        <w:rPr>
          <w:sz w:val="24"/>
          <w:szCs w:val="24"/>
        </w:rPr>
        <w:t xml:space="preserve"> (unknown 9%)</w:t>
      </w:r>
    </w:p>
    <w:p w:rsidR="00724D5F" w:rsidRDefault="00724D5F" w:rsidP="00724D5F"/>
    <w:p w:rsidR="00724D5F" w:rsidRDefault="00724D5F" w:rsidP="00724D5F">
      <w:r>
        <w:t xml:space="preserve">The results for five-year risk of local recurrence (the primary outcome) and mortality (overall, breast cancer-related and non-breast cancer-related) is </w:t>
      </w:r>
      <w:r w:rsidRPr="00DE58FF">
        <w:t xml:space="preserve">shown in Table </w:t>
      </w:r>
      <w:r>
        <w:t>1</w:t>
      </w:r>
      <w:r w:rsidRPr="00DE58FF">
        <w:t xml:space="preserve">. The five-year risk for local recurrence in the conserved breast in the whole cohort of patients was higher in patients receiving </w:t>
      </w:r>
      <w:r>
        <w:t>T-</w:t>
      </w:r>
      <w:r w:rsidRPr="00DE58FF">
        <w:t xml:space="preserve">IORT compared </w:t>
      </w:r>
      <w:r>
        <w:t>with</w:t>
      </w:r>
      <w:r w:rsidRPr="00DE58FF">
        <w:t xml:space="preserve"> </w:t>
      </w:r>
      <w:r>
        <w:t>WB-</w:t>
      </w:r>
      <w:r w:rsidRPr="00DE58FF">
        <w:t>EBRT but the absolute difference did not exceed the pre</w:t>
      </w:r>
      <w:r>
        <w:t>-defined</w:t>
      </w:r>
      <w:r w:rsidRPr="00DE58FF">
        <w:t xml:space="preserve"> non-inferiority margin of 2.5%. With the statistical significance level pre-specified at p&lt;0.01 for recurrence, the difference between groups was not statistically significant.</w:t>
      </w:r>
    </w:p>
    <w:p w:rsidR="00724D5F" w:rsidRPr="00DE58FF" w:rsidRDefault="00724D5F" w:rsidP="00724D5F"/>
    <w:p w:rsidR="00724D5F" w:rsidRPr="00A11085" w:rsidRDefault="00724D5F" w:rsidP="00724D5F">
      <w:pPr>
        <w:pStyle w:val="Caption"/>
      </w:pPr>
      <w:r w:rsidRPr="00DE58FF">
        <w:t xml:space="preserve">Table </w:t>
      </w:r>
      <w:r>
        <w:t>1</w:t>
      </w:r>
      <w:r w:rsidRPr="00DE58FF">
        <w:tab/>
        <w:t>Results</w:t>
      </w:r>
      <w:r>
        <w:t xml:space="preserve"> of 5-year risk of local recurrence and deaths across the direct randomised trial</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2105"/>
        <w:gridCol w:w="2071"/>
        <w:gridCol w:w="2071"/>
        <w:gridCol w:w="798"/>
      </w:tblGrid>
      <w:tr w:rsidR="00724D5F" w:rsidRPr="00021395" w:rsidTr="00D75FDE">
        <w:trPr>
          <w:cantSplit/>
          <w:tblHeader/>
        </w:trPr>
        <w:tc>
          <w:tcPr>
            <w:tcW w:w="1302" w:type="pct"/>
          </w:tcPr>
          <w:p w:rsidR="00724D5F" w:rsidRPr="00021395" w:rsidRDefault="00724D5F" w:rsidP="00D75FDE">
            <w:pPr>
              <w:keepNext/>
              <w:spacing w:before="20" w:after="20"/>
              <w:rPr>
                <w:rFonts w:ascii="Arial Narrow" w:hAnsi="Arial Narrow" w:cs="Arial"/>
                <w:b/>
                <w:sz w:val="20"/>
              </w:rPr>
            </w:pPr>
            <w:r>
              <w:rPr>
                <w:rFonts w:ascii="Arial Narrow" w:hAnsi="Arial Narrow" w:cs="Arial"/>
                <w:b/>
                <w:sz w:val="20"/>
              </w:rPr>
              <w:t>Clinical o</w:t>
            </w:r>
            <w:r w:rsidRPr="00021395">
              <w:rPr>
                <w:rFonts w:ascii="Arial Narrow" w:hAnsi="Arial Narrow" w:cs="Arial"/>
                <w:b/>
                <w:sz w:val="20"/>
              </w:rPr>
              <w:t>utcomes</w:t>
            </w:r>
          </w:p>
        </w:tc>
        <w:tc>
          <w:tcPr>
            <w:tcW w:w="1105" w:type="pct"/>
          </w:tcPr>
          <w:p w:rsidR="00724D5F" w:rsidRPr="00021395" w:rsidRDefault="00724D5F" w:rsidP="00D75FDE">
            <w:pPr>
              <w:keepNext/>
              <w:spacing w:before="20" w:after="20"/>
              <w:jc w:val="center"/>
              <w:rPr>
                <w:rFonts w:ascii="Arial Narrow" w:hAnsi="Arial Narrow" w:cs="Arial"/>
                <w:b/>
              </w:rPr>
            </w:pPr>
            <w:r>
              <w:rPr>
                <w:rFonts w:ascii="Arial Narrow" w:hAnsi="Arial Narrow" w:cs="Arial"/>
                <w:b/>
                <w:sz w:val="20"/>
              </w:rPr>
              <w:t>T-</w:t>
            </w:r>
            <w:r w:rsidRPr="00021395">
              <w:rPr>
                <w:rFonts w:ascii="Arial Narrow" w:hAnsi="Arial Narrow" w:cs="Arial"/>
                <w:b/>
                <w:sz w:val="20"/>
              </w:rPr>
              <w:t>IORT</w:t>
            </w:r>
          </w:p>
          <w:p w:rsidR="00724D5F" w:rsidRPr="00021395" w:rsidRDefault="00724D5F" w:rsidP="00D75FDE">
            <w:pPr>
              <w:keepNext/>
              <w:spacing w:before="20" w:after="20"/>
              <w:jc w:val="center"/>
              <w:rPr>
                <w:rFonts w:ascii="Arial Narrow" w:hAnsi="Arial Narrow" w:cs="Arial"/>
                <w:b/>
              </w:rPr>
            </w:pPr>
            <w:proofErr w:type="gramStart"/>
            <w:r w:rsidRPr="00021395">
              <w:rPr>
                <w:rFonts w:ascii="Arial Narrow" w:hAnsi="Arial Narrow" w:cs="Arial"/>
                <w:b/>
                <w:sz w:val="20"/>
              </w:rPr>
              <w:t>n</w:t>
            </w:r>
            <w:proofErr w:type="gramEnd"/>
            <w:r w:rsidRPr="00021395">
              <w:rPr>
                <w:rFonts w:ascii="Arial Narrow" w:hAnsi="Arial Narrow" w:cs="Arial"/>
                <w:b/>
                <w:sz w:val="20"/>
              </w:rPr>
              <w:t xml:space="preserve"> with event/N (%) [95% CI]</w:t>
            </w:r>
          </w:p>
        </w:tc>
        <w:tc>
          <w:tcPr>
            <w:tcW w:w="1087" w:type="pct"/>
          </w:tcPr>
          <w:p w:rsidR="00724D5F" w:rsidRPr="00021395" w:rsidRDefault="00724D5F" w:rsidP="00D75FDE">
            <w:pPr>
              <w:keepNext/>
              <w:spacing w:before="20" w:after="20"/>
              <w:jc w:val="center"/>
              <w:rPr>
                <w:rFonts w:ascii="Arial Narrow" w:hAnsi="Arial Narrow" w:cs="Arial"/>
                <w:b/>
              </w:rPr>
            </w:pPr>
            <w:r w:rsidRPr="00021395">
              <w:rPr>
                <w:rFonts w:ascii="Arial Narrow" w:hAnsi="Arial Narrow" w:cs="Arial"/>
                <w:b/>
                <w:sz w:val="20"/>
              </w:rPr>
              <w:t>WB-EBRT</w:t>
            </w:r>
          </w:p>
          <w:p w:rsidR="00724D5F" w:rsidRPr="00021395" w:rsidRDefault="00724D5F" w:rsidP="00D75FDE">
            <w:pPr>
              <w:keepNext/>
              <w:spacing w:before="20" w:after="20"/>
              <w:jc w:val="center"/>
              <w:rPr>
                <w:rFonts w:ascii="Arial Narrow" w:hAnsi="Arial Narrow" w:cs="Arial"/>
                <w:b/>
              </w:rPr>
            </w:pPr>
            <w:proofErr w:type="gramStart"/>
            <w:r w:rsidRPr="00021395">
              <w:rPr>
                <w:rFonts w:ascii="Arial Narrow" w:hAnsi="Arial Narrow" w:cs="Arial"/>
                <w:b/>
                <w:sz w:val="20"/>
              </w:rPr>
              <w:t>n</w:t>
            </w:r>
            <w:proofErr w:type="gramEnd"/>
            <w:r w:rsidRPr="00021395">
              <w:rPr>
                <w:rFonts w:ascii="Arial Narrow" w:hAnsi="Arial Narrow" w:cs="Arial"/>
                <w:b/>
                <w:sz w:val="20"/>
              </w:rPr>
              <w:t xml:space="preserve"> with event/N (%) [95% CI]</w:t>
            </w:r>
          </w:p>
        </w:tc>
        <w:tc>
          <w:tcPr>
            <w:tcW w:w="1087" w:type="pct"/>
          </w:tcPr>
          <w:p w:rsidR="00724D5F" w:rsidRPr="00021395" w:rsidRDefault="00724D5F" w:rsidP="00D75FDE">
            <w:pPr>
              <w:keepNext/>
              <w:spacing w:before="20" w:after="20"/>
              <w:jc w:val="center"/>
              <w:rPr>
                <w:rFonts w:ascii="Arial Narrow" w:hAnsi="Arial Narrow" w:cs="Arial"/>
                <w:b/>
              </w:rPr>
            </w:pPr>
            <w:r w:rsidRPr="00021395">
              <w:rPr>
                <w:rFonts w:ascii="Arial Narrow" w:hAnsi="Arial Narrow" w:cs="Arial"/>
                <w:b/>
                <w:sz w:val="20"/>
              </w:rPr>
              <w:t>Absolute difference in Kaplan-Meier estimate at 5 years (%)</w:t>
            </w:r>
          </w:p>
        </w:tc>
        <w:tc>
          <w:tcPr>
            <w:tcW w:w="419" w:type="pct"/>
          </w:tcPr>
          <w:p w:rsidR="00724D5F" w:rsidRPr="00021395" w:rsidRDefault="00724D5F" w:rsidP="00D75FDE">
            <w:pPr>
              <w:keepNext/>
              <w:spacing w:before="20" w:after="20"/>
              <w:jc w:val="center"/>
              <w:rPr>
                <w:rFonts w:ascii="Arial Narrow" w:hAnsi="Arial Narrow" w:cs="Arial"/>
                <w:b/>
                <w:sz w:val="20"/>
              </w:rPr>
            </w:pPr>
            <w:r w:rsidRPr="00021395">
              <w:rPr>
                <w:rFonts w:ascii="Arial Narrow" w:hAnsi="Arial Narrow" w:cs="Arial"/>
                <w:b/>
                <w:sz w:val="20"/>
              </w:rPr>
              <w:t>p-value</w:t>
            </w:r>
          </w:p>
        </w:tc>
      </w:tr>
      <w:tr w:rsidR="00724D5F" w:rsidRPr="00021395" w:rsidTr="00D75FDE">
        <w:trPr>
          <w:cantSplit/>
        </w:trPr>
        <w:tc>
          <w:tcPr>
            <w:tcW w:w="5000" w:type="pct"/>
            <w:gridSpan w:val="5"/>
            <w:shd w:val="clear" w:color="auto" w:fill="000000" w:themeFill="text1"/>
          </w:tcPr>
          <w:p w:rsidR="00724D5F" w:rsidRPr="00021395" w:rsidRDefault="00724D5F" w:rsidP="00D75FDE">
            <w:pPr>
              <w:spacing w:before="20" w:after="20"/>
              <w:rPr>
                <w:rFonts w:ascii="Arial Narrow" w:hAnsi="Arial Narrow"/>
                <w:b/>
                <w:sz w:val="20"/>
              </w:rPr>
            </w:pPr>
            <w:r w:rsidRPr="00021395">
              <w:rPr>
                <w:rFonts w:ascii="Arial Narrow" w:hAnsi="Arial Narrow"/>
                <w:b/>
                <w:sz w:val="20"/>
              </w:rPr>
              <w:t>TARGIT-A</w:t>
            </w:r>
            <w:r>
              <w:rPr>
                <w:rFonts w:ascii="Arial Narrow" w:hAnsi="Arial Narrow"/>
                <w:b/>
                <w:sz w:val="20"/>
              </w:rPr>
              <w:t xml:space="preserve"> (2014)</w:t>
            </w:r>
          </w:p>
        </w:tc>
      </w:tr>
      <w:tr w:rsidR="00724D5F" w:rsidRPr="00021395" w:rsidTr="00D75FDE">
        <w:trPr>
          <w:cantSplit/>
        </w:trPr>
        <w:tc>
          <w:tcPr>
            <w:tcW w:w="5000" w:type="pct"/>
            <w:gridSpan w:val="5"/>
            <w:shd w:val="clear" w:color="auto" w:fill="BFBFBF" w:themeFill="background1" w:themeFillShade="BF"/>
          </w:tcPr>
          <w:p w:rsidR="00724D5F" w:rsidRPr="00021395" w:rsidRDefault="00724D5F" w:rsidP="00D75FDE">
            <w:pPr>
              <w:spacing w:before="20" w:after="20"/>
              <w:rPr>
                <w:rFonts w:ascii="Arial Narrow" w:hAnsi="Arial Narrow"/>
                <w:sz w:val="20"/>
              </w:rPr>
            </w:pPr>
            <w:r w:rsidRPr="00021395">
              <w:rPr>
                <w:rFonts w:ascii="Arial Narrow" w:hAnsi="Arial Narrow"/>
                <w:sz w:val="20"/>
              </w:rPr>
              <w:t>All patients</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Pr>
                <w:rFonts w:ascii="Arial Narrow" w:hAnsi="Arial Narrow"/>
                <w:sz w:val="20"/>
              </w:rPr>
              <w:t>Local recurrence</w:t>
            </w:r>
          </w:p>
        </w:tc>
        <w:tc>
          <w:tcPr>
            <w:tcW w:w="1105"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23/1679 (3.3% [2.1-5.1])</w:t>
            </w:r>
          </w:p>
        </w:tc>
        <w:tc>
          <w:tcPr>
            <w:tcW w:w="1087"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11/1696 (1.3% [0.7-2.5])</w:t>
            </w:r>
          </w:p>
        </w:tc>
        <w:tc>
          <w:tcPr>
            <w:tcW w:w="1087"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12 (2.0%)</w:t>
            </w:r>
          </w:p>
        </w:tc>
        <w:tc>
          <w:tcPr>
            <w:tcW w:w="419"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0.042</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 xml:space="preserve">Death </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37/1721 (3.9% [2.7-5.8])</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51/1730 (5.3% [3.9-7.3])</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-14 (-1.4%)</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0.099</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 xml:space="preserve">Breast cancer mortality </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20/1721 (2.6% [1.5-4.3])</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16/1730 (1.9% [1.1-3.2])</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4 (0.7%)</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0.56</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Non-breast cancer mortality</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17/1721 (1.4% [0.8-2.5])</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35/1730 (3.5% [2.3-5.2])</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-18 (-2.1%)</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0.0086</w:t>
            </w:r>
          </w:p>
        </w:tc>
      </w:tr>
      <w:tr w:rsidR="00724D5F" w:rsidRPr="00021395" w:rsidTr="00D75FDE">
        <w:trPr>
          <w:cantSplit/>
        </w:trPr>
        <w:tc>
          <w:tcPr>
            <w:tcW w:w="1302" w:type="pct"/>
            <w:shd w:val="clear" w:color="auto" w:fill="BFBFBF" w:themeFill="background1" w:themeFillShade="BF"/>
          </w:tcPr>
          <w:p w:rsidR="00724D5F" w:rsidRPr="00021395" w:rsidRDefault="00724D5F" w:rsidP="00D75FDE">
            <w:pPr>
              <w:spacing w:before="20" w:after="20"/>
              <w:rPr>
                <w:rFonts w:ascii="Arial Narrow" w:hAnsi="Arial Narrow"/>
                <w:sz w:val="20"/>
              </w:rPr>
            </w:pPr>
            <w:r w:rsidRPr="00021395">
              <w:rPr>
                <w:rFonts w:ascii="Arial Narrow" w:hAnsi="Arial Narrow"/>
                <w:sz w:val="20"/>
              </w:rPr>
              <w:lastRenderedPageBreak/>
              <w:t>Pre-pathology stratum</w:t>
            </w:r>
          </w:p>
        </w:tc>
        <w:tc>
          <w:tcPr>
            <w:tcW w:w="1105"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c>
          <w:tcPr>
            <w:tcW w:w="1087"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c>
          <w:tcPr>
            <w:tcW w:w="1087"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c>
          <w:tcPr>
            <w:tcW w:w="419"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Pr>
                <w:rFonts w:ascii="Arial Narrow" w:hAnsi="Arial Narrow"/>
                <w:sz w:val="20"/>
              </w:rPr>
              <w:t>Local recurrence</w:t>
            </w:r>
          </w:p>
        </w:tc>
        <w:tc>
          <w:tcPr>
            <w:tcW w:w="1105"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10/1107 (2.1% [1.1-4.2])</w:t>
            </w:r>
          </w:p>
        </w:tc>
        <w:tc>
          <w:tcPr>
            <w:tcW w:w="1087"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6/1127 (1.1% [0.5-2.5])</w:t>
            </w:r>
          </w:p>
        </w:tc>
        <w:tc>
          <w:tcPr>
            <w:tcW w:w="1087"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4 (1.0%)</w:t>
            </w:r>
          </w:p>
        </w:tc>
        <w:tc>
          <w:tcPr>
            <w:tcW w:w="419"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0.31</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 xml:space="preserve">Death </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29/1140 (4.6% [1.8-6.0])</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42/1158 (6.9% [4.3-9.6])</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-13 (-2.3%)</w:t>
            </w:r>
          </w:p>
        </w:tc>
        <w:tc>
          <w:tcPr>
            <w:tcW w:w="419" w:type="pct"/>
            <w:vAlign w:val="center"/>
          </w:tcPr>
          <w:p w:rsidR="00724D5F" w:rsidRPr="00021395" w:rsidRDefault="00724D5F" w:rsidP="00D75FDE">
            <w:pPr>
              <w:spacing w:before="20" w:after="20"/>
              <w:jc w:val="center"/>
              <w:rPr>
                <w:rFonts w:ascii="Arial Narrow" w:hAnsi="Arial Narrow"/>
                <w:sz w:val="20"/>
              </w:rPr>
            </w:pPr>
            <w:r>
              <w:rPr>
                <w:rFonts w:ascii="Arial Narrow" w:hAnsi="Arial Narrow"/>
                <w:sz w:val="20"/>
              </w:rPr>
              <w:t>0.12</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Breast cancer mortality</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17/1140 (3.3% [1.9-5.8])</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15/1158 (2.7% [1.5-4.6])</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2 (0.6%)</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0.72</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Non-breast cancer mortality</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12/1140 (1.3% [0.7-2.8])</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27/1158 (4.4% [2.8-6.9])</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-15 (-3.1%)</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0.016</w:t>
            </w:r>
          </w:p>
        </w:tc>
      </w:tr>
      <w:tr w:rsidR="00724D5F" w:rsidRPr="00021395" w:rsidTr="00D75FDE">
        <w:trPr>
          <w:cantSplit/>
        </w:trPr>
        <w:tc>
          <w:tcPr>
            <w:tcW w:w="1302" w:type="pct"/>
            <w:shd w:val="clear" w:color="auto" w:fill="BFBFBF" w:themeFill="background1" w:themeFillShade="BF"/>
          </w:tcPr>
          <w:p w:rsidR="00724D5F" w:rsidRPr="00021395" w:rsidRDefault="00724D5F" w:rsidP="00D75FDE">
            <w:pPr>
              <w:spacing w:before="20" w:after="20"/>
              <w:rPr>
                <w:rFonts w:ascii="Arial Narrow" w:hAnsi="Arial Narrow"/>
                <w:sz w:val="20"/>
              </w:rPr>
            </w:pPr>
            <w:r w:rsidRPr="00021395">
              <w:rPr>
                <w:rFonts w:ascii="Arial Narrow" w:hAnsi="Arial Narrow"/>
                <w:sz w:val="20"/>
              </w:rPr>
              <w:t>Post-pathology stratum</w:t>
            </w:r>
          </w:p>
        </w:tc>
        <w:tc>
          <w:tcPr>
            <w:tcW w:w="1105"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c>
          <w:tcPr>
            <w:tcW w:w="1087"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c>
          <w:tcPr>
            <w:tcW w:w="1087"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c>
          <w:tcPr>
            <w:tcW w:w="419" w:type="pct"/>
            <w:shd w:val="clear" w:color="auto" w:fill="BFBFBF" w:themeFill="background1" w:themeFillShade="BF"/>
            <w:vAlign w:val="center"/>
          </w:tcPr>
          <w:p w:rsidR="00724D5F" w:rsidRPr="00021395" w:rsidRDefault="00724D5F" w:rsidP="00D75FDE">
            <w:pPr>
              <w:spacing w:before="20" w:after="20"/>
              <w:jc w:val="center"/>
              <w:rPr>
                <w:rFonts w:ascii="Arial Narrow" w:hAnsi="Arial Narrow"/>
                <w:sz w:val="20"/>
              </w:rPr>
            </w:pP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Pr>
                <w:rFonts w:ascii="Arial Narrow" w:hAnsi="Arial Narrow"/>
                <w:sz w:val="20"/>
              </w:rPr>
              <w:t>Local recurrence</w:t>
            </w:r>
          </w:p>
        </w:tc>
        <w:tc>
          <w:tcPr>
            <w:tcW w:w="1105"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13/572 (5.4% [3.0-9.7])</w:t>
            </w:r>
          </w:p>
        </w:tc>
        <w:tc>
          <w:tcPr>
            <w:tcW w:w="1087"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5/569 (1.7% [0.6-4.9])</w:t>
            </w:r>
          </w:p>
        </w:tc>
        <w:tc>
          <w:tcPr>
            <w:tcW w:w="1087"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8 (3.7%)</w:t>
            </w:r>
          </w:p>
        </w:tc>
        <w:tc>
          <w:tcPr>
            <w:tcW w:w="419" w:type="pct"/>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0.069</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 xml:space="preserve">Death </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8/581 (2.8% [1.3-5.9])</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9/572 (2.3% [1.0-5.2])</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 (0.5%)</w:t>
            </w:r>
          </w:p>
        </w:tc>
        <w:tc>
          <w:tcPr>
            <w:tcW w:w="419" w:type="pct"/>
            <w:vAlign w:val="center"/>
          </w:tcPr>
          <w:p w:rsidR="00724D5F" w:rsidRPr="00021395" w:rsidRDefault="00724D5F" w:rsidP="00D75FDE">
            <w:pPr>
              <w:spacing w:before="20" w:after="20"/>
              <w:jc w:val="center"/>
              <w:rPr>
                <w:rFonts w:ascii="Arial Narrow" w:hAnsi="Arial Narrow"/>
                <w:sz w:val="20"/>
              </w:rPr>
            </w:pPr>
            <w:r>
              <w:rPr>
                <w:rFonts w:ascii="Arial Narrow" w:hAnsi="Arial Narrow"/>
                <w:sz w:val="20"/>
              </w:rPr>
              <w:t>0.67</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 xml:space="preserve">Breast cancer mortality </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3/581 (1.2% [0.4-4.2])</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1/572 (0.5% [0.1-3.5])</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2 (0.7%)</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0.35</w:t>
            </w:r>
          </w:p>
        </w:tc>
      </w:tr>
      <w:tr w:rsidR="00724D5F" w:rsidRPr="00021395" w:rsidTr="00D75FDE">
        <w:trPr>
          <w:cantSplit/>
        </w:trPr>
        <w:tc>
          <w:tcPr>
            <w:tcW w:w="1302" w:type="pct"/>
          </w:tcPr>
          <w:p w:rsidR="00724D5F" w:rsidRPr="00021395" w:rsidRDefault="00724D5F" w:rsidP="00D75FDE">
            <w:pPr>
              <w:spacing w:before="20" w:after="20"/>
              <w:rPr>
                <w:rFonts w:ascii="Arial Narrow" w:hAnsi="Arial Narrow"/>
                <w:sz w:val="20"/>
              </w:rPr>
            </w:pPr>
            <w:r w:rsidRPr="00021395">
              <w:rPr>
                <w:rFonts w:ascii="Arial Narrow" w:hAnsi="Arial Narrow"/>
                <w:sz w:val="20"/>
              </w:rPr>
              <w:t>Non-breast cancer mortality</w:t>
            </w:r>
          </w:p>
        </w:tc>
        <w:tc>
          <w:tcPr>
            <w:tcW w:w="1105"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5/581 (1.58% [0.6-4.0])</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8/572 (1.76% [0.7-4.4])</w:t>
            </w:r>
          </w:p>
        </w:tc>
        <w:tc>
          <w:tcPr>
            <w:tcW w:w="1087"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-3 (-0.18%)</w:t>
            </w:r>
          </w:p>
        </w:tc>
        <w:tc>
          <w:tcPr>
            <w:tcW w:w="419" w:type="pct"/>
            <w:vAlign w:val="center"/>
          </w:tcPr>
          <w:p w:rsidR="00724D5F" w:rsidRPr="00021395" w:rsidRDefault="00724D5F" w:rsidP="00D75FDE">
            <w:pPr>
              <w:spacing w:before="20" w:after="20"/>
              <w:jc w:val="center"/>
              <w:rPr>
                <w:rFonts w:ascii="Arial Narrow" w:hAnsi="Arial Narrow"/>
                <w:sz w:val="20"/>
              </w:rPr>
            </w:pPr>
            <w:r w:rsidRPr="00021395">
              <w:rPr>
                <w:rFonts w:ascii="Arial Narrow" w:hAnsi="Arial Narrow"/>
                <w:sz w:val="20"/>
              </w:rPr>
              <w:t>0.32</w:t>
            </w:r>
          </w:p>
        </w:tc>
      </w:tr>
    </w:tbl>
    <w:p w:rsidR="00724D5F" w:rsidRPr="00021395" w:rsidRDefault="00724D5F" w:rsidP="00724D5F">
      <w:pPr>
        <w:rPr>
          <w:rFonts w:ascii="Arial Narrow" w:hAnsi="Arial Narrow"/>
          <w:sz w:val="20"/>
        </w:rPr>
      </w:pPr>
      <w:r w:rsidRPr="00021395">
        <w:rPr>
          <w:rFonts w:ascii="Arial Narrow" w:hAnsi="Arial Narrow"/>
          <w:sz w:val="20"/>
        </w:rPr>
        <w:t xml:space="preserve">Abbreviations: CI, confidence interval; </w:t>
      </w:r>
      <w:r>
        <w:rPr>
          <w:rFonts w:ascii="Arial Narrow" w:hAnsi="Arial Narrow"/>
          <w:sz w:val="20"/>
        </w:rPr>
        <w:t>T-</w:t>
      </w:r>
      <w:r w:rsidRPr="00021395">
        <w:rPr>
          <w:rFonts w:ascii="Arial Narrow" w:hAnsi="Arial Narrow"/>
          <w:sz w:val="20"/>
        </w:rPr>
        <w:t>IORT, intraoperativ</w:t>
      </w:r>
      <w:r>
        <w:rPr>
          <w:rFonts w:ascii="Arial Narrow" w:hAnsi="Arial Narrow"/>
          <w:sz w:val="20"/>
        </w:rPr>
        <w:t>e radiotherapy; WB-</w:t>
      </w:r>
      <w:r w:rsidRPr="00021395">
        <w:rPr>
          <w:rFonts w:ascii="Arial Narrow" w:hAnsi="Arial Narrow"/>
          <w:sz w:val="20"/>
        </w:rPr>
        <w:t>E</w:t>
      </w:r>
      <w:r>
        <w:rPr>
          <w:rFonts w:ascii="Arial Narrow" w:hAnsi="Arial Narrow"/>
          <w:sz w:val="20"/>
        </w:rPr>
        <w:t>BRT, external beam radiotherapy</w:t>
      </w:r>
      <w:r w:rsidRPr="00021395">
        <w:rPr>
          <w:rFonts w:ascii="Arial Narrow" w:hAnsi="Arial Narrow"/>
          <w:sz w:val="20"/>
        </w:rPr>
        <w:t>.</w:t>
      </w:r>
    </w:p>
    <w:p w:rsidR="00724D5F" w:rsidRDefault="00724D5F" w:rsidP="00724D5F"/>
    <w:p w:rsidR="00724D5F" w:rsidRDefault="00724D5F" w:rsidP="00724D5F">
      <w:r w:rsidRPr="001D7237">
        <w:t xml:space="preserve">In the pre-pathology stratum, the absolute difference in recurrence did not exceed the 2.5% non-inferiority margin and the difference between groups was not statistically significant. </w:t>
      </w:r>
      <w:r>
        <w:t>However, i</w:t>
      </w:r>
      <w:r w:rsidRPr="001D7237">
        <w:t xml:space="preserve">n the post-pathology stratum, the five-year </w:t>
      </w:r>
      <w:r>
        <w:t xml:space="preserve">risk of </w:t>
      </w:r>
      <w:r w:rsidRPr="001D7237">
        <w:t xml:space="preserve">local recurrence was higher in </w:t>
      </w:r>
      <w:r>
        <w:t>T-</w:t>
      </w:r>
      <w:r w:rsidRPr="001D7237">
        <w:t>IORT patients</w:t>
      </w:r>
      <w:r>
        <w:t xml:space="preserve"> compared with conventional WB-EBRT and the non-inferiority margin was exceeded</w:t>
      </w:r>
      <w:r w:rsidRPr="001D7237">
        <w:t xml:space="preserve">. Therefore, </w:t>
      </w:r>
      <w:r>
        <w:t>T-</w:t>
      </w:r>
      <w:r w:rsidRPr="001D7237">
        <w:t xml:space="preserve">IORT concurrent with BCS is </w:t>
      </w:r>
      <w:r w:rsidR="000E2B47">
        <w:t>non-inferior to WB-E</w:t>
      </w:r>
      <w:r w:rsidR="00CB11A4">
        <w:t xml:space="preserve">BRT </w:t>
      </w:r>
      <w:r w:rsidRPr="001D7237">
        <w:t xml:space="preserve">in reducing local recurrence whereas </w:t>
      </w:r>
      <w:r>
        <w:t>T-</w:t>
      </w:r>
      <w:r w:rsidRPr="001D7237">
        <w:t xml:space="preserve">IORT given as a second procedure (post-pathology) is </w:t>
      </w:r>
      <w:r w:rsidR="00CB11A4">
        <w:t>inferior to WB-EBRT</w:t>
      </w:r>
      <w:r w:rsidRPr="001D7237">
        <w:t xml:space="preserve">. </w:t>
      </w:r>
    </w:p>
    <w:p w:rsidR="00724D5F" w:rsidRDefault="00724D5F" w:rsidP="00724D5F">
      <w:pPr>
        <w:rPr>
          <w:i/>
          <w:highlight w:val="yellow"/>
        </w:rPr>
      </w:pPr>
    </w:p>
    <w:p w:rsidR="00724D5F" w:rsidRDefault="00724D5F" w:rsidP="00724D5F">
      <w:r w:rsidRPr="00D87C42">
        <w:t xml:space="preserve">A Cox model (see Section B.6 of the Critique) found that age, tumour grade, </w:t>
      </w:r>
      <w:proofErr w:type="spellStart"/>
      <w:r w:rsidRPr="00D87C42">
        <w:t>lymphovascular</w:t>
      </w:r>
      <w:proofErr w:type="spellEnd"/>
      <w:r w:rsidRPr="00D87C42">
        <w:t xml:space="preserve"> invasion and nodal status did not appear to have any influence on local recurrence, while the timing of </w:t>
      </w:r>
      <w:r>
        <w:t>T-</w:t>
      </w:r>
      <w:r w:rsidRPr="00D87C42">
        <w:t xml:space="preserve">IORT (pre-pathology versus post-pathology) and </w:t>
      </w:r>
      <w:r w:rsidRPr="00AC6BC7">
        <w:rPr>
          <w:u w:val="single"/>
        </w:rPr>
        <w:t>progesterone receptor</w:t>
      </w:r>
      <w:r w:rsidRPr="00955AB4">
        <w:rPr>
          <w:i/>
        </w:rPr>
        <w:t xml:space="preserve"> </w:t>
      </w:r>
      <w:r>
        <w:t>(</w:t>
      </w:r>
      <w:proofErr w:type="spellStart"/>
      <w:r w:rsidRPr="00D87C42">
        <w:t>PgR</w:t>
      </w:r>
      <w:proofErr w:type="spellEnd"/>
      <w:r>
        <w:t>)</w:t>
      </w:r>
      <w:r w:rsidRPr="00D87C42">
        <w:t xml:space="preserve"> status were significant predictors of local recurrence.</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D75FDE" w:rsidRDefault="00D75FDE" w:rsidP="00D75FDE">
      <w:r>
        <w:t xml:space="preserve">The applicant </w:t>
      </w:r>
      <w:r w:rsidR="00424A7F">
        <w:t>s</w:t>
      </w:r>
      <w:r>
        <w:t>ubmission present</w:t>
      </w:r>
      <w:r w:rsidR="00424A7F">
        <w:t>ed</w:t>
      </w:r>
      <w:r>
        <w:t xml:space="preserve"> a cost-minimisation analysis (CMA) based on the TARGIT-A trial. As outlined in Section C, the CMA comprises three scenarios:</w:t>
      </w:r>
    </w:p>
    <w:p w:rsidR="00D75FDE" w:rsidRDefault="00D75FDE" w:rsidP="00D75FDE">
      <w:pPr>
        <w:pStyle w:val="ListParagraph"/>
        <w:numPr>
          <w:ilvl w:val="0"/>
          <w:numId w:val="29"/>
        </w:numPr>
        <w:spacing w:before="120"/>
        <w:jc w:val="both"/>
      </w:pPr>
      <w:r w:rsidRPr="00056B34">
        <w:rPr>
          <w:b/>
        </w:rPr>
        <w:t>Scenario 1</w:t>
      </w:r>
      <w:r>
        <w:t xml:space="preserve">: Patients treated with T-IORT concurrent with BCS plus 15% having three weeks of WB-EBRT as a boost based on pathology taken at the time of surgery </w:t>
      </w:r>
      <w:r w:rsidRPr="00DD1CF0">
        <w:rPr>
          <w:i/>
        </w:rPr>
        <w:t xml:space="preserve">versus </w:t>
      </w:r>
      <w:r w:rsidRPr="00AC6BC7">
        <w:t>p</w:t>
      </w:r>
      <w:r>
        <w:t>atients treated with BCS followed by six weeks of WB-EBRT.</w:t>
      </w:r>
    </w:p>
    <w:p w:rsidR="00D75FDE" w:rsidRDefault="00D75FDE" w:rsidP="00D75FDE">
      <w:pPr>
        <w:pStyle w:val="ListParagraph"/>
        <w:numPr>
          <w:ilvl w:val="0"/>
          <w:numId w:val="29"/>
        </w:numPr>
        <w:spacing w:before="120"/>
        <w:jc w:val="both"/>
      </w:pPr>
      <w:r w:rsidRPr="00056B34">
        <w:rPr>
          <w:b/>
        </w:rPr>
        <w:t>Scenario 2</w:t>
      </w:r>
      <w:r>
        <w:t xml:space="preserve">: Patients treated with T-IORT as a separate procedure post BCS and pathology </w:t>
      </w:r>
      <w:r w:rsidRPr="00DD1CF0">
        <w:rPr>
          <w:i/>
        </w:rPr>
        <w:t xml:space="preserve">versus </w:t>
      </w:r>
      <w:r w:rsidRPr="00AC6BC7">
        <w:t>p</w:t>
      </w:r>
      <w:r>
        <w:t>atients treated with BCS followed by six weeks of WB-EBRT.</w:t>
      </w:r>
    </w:p>
    <w:p w:rsidR="00D75FDE" w:rsidRDefault="00D75FDE" w:rsidP="00D75FDE">
      <w:pPr>
        <w:pStyle w:val="ListParagraph"/>
        <w:numPr>
          <w:ilvl w:val="0"/>
          <w:numId w:val="29"/>
        </w:numPr>
        <w:spacing w:before="120"/>
        <w:jc w:val="both"/>
      </w:pPr>
      <w:r w:rsidRPr="00056B34">
        <w:rPr>
          <w:b/>
        </w:rPr>
        <w:t>Scenario 3</w:t>
      </w:r>
      <w:r>
        <w:t xml:space="preserve">: Patients treated with T-IORT concurrent with BCS plus 15% having three weeks of WB-EBRT as a boost based on pathology taken at the time of surgery </w:t>
      </w:r>
      <w:r>
        <w:rPr>
          <w:i/>
        </w:rPr>
        <w:t xml:space="preserve">versus </w:t>
      </w:r>
      <w:r w:rsidRPr="00D17BC4">
        <w:t>s</w:t>
      </w:r>
      <w:r>
        <w:t>ubcutaneous mastectomy followed by breast reconstruction surgery for 15% of patients having a subcutaneous mastectomy.</w:t>
      </w:r>
    </w:p>
    <w:p w:rsidR="00D75FDE" w:rsidRDefault="00D75FDE" w:rsidP="00D75FDE"/>
    <w:p w:rsidR="00D75FDE" w:rsidRDefault="00D75FDE" w:rsidP="00D75FDE">
      <w:r>
        <w:t>A simple CMA estimate</w:t>
      </w:r>
      <w:r w:rsidR="004D4BD1">
        <w:t>d</w:t>
      </w:r>
      <w:r>
        <w:t xml:space="preserve"> the total cost of each treatment modality in each of the three scenarios. Costs are accrued until the final treatment in each of the identified scenarios. </w:t>
      </w:r>
      <w:r w:rsidRPr="00DE58FF">
        <w:t xml:space="preserve">The results of each scenario presented in the economic evaluation are </w:t>
      </w:r>
      <w:r>
        <w:t>shown in tables ES.3-ES.5</w:t>
      </w:r>
      <w:r w:rsidRPr="00DE58FF">
        <w:t>.</w:t>
      </w:r>
    </w:p>
    <w:p w:rsidR="00D75FDE" w:rsidRDefault="00D75FDE" w:rsidP="00D75FDE">
      <w:pPr>
        <w:rPr>
          <w:i/>
          <w:iCs/>
        </w:rPr>
      </w:pPr>
    </w:p>
    <w:p w:rsidR="00D75FDE" w:rsidRPr="008B661B" w:rsidRDefault="00D75FDE" w:rsidP="00D75FDE">
      <w:r w:rsidRPr="008B661B">
        <w:rPr>
          <w:iCs/>
        </w:rPr>
        <w:t>The critique note</w:t>
      </w:r>
      <w:r w:rsidR="00424A7F">
        <w:rPr>
          <w:iCs/>
        </w:rPr>
        <w:t>d</w:t>
      </w:r>
      <w:r w:rsidRPr="008B661B">
        <w:rPr>
          <w:iCs/>
        </w:rPr>
        <w:t xml:space="preserve"> that </w:t>
      </w:r>
      <w:r w:rsidR="004D4BD1">
        <w:rPr>
          <w:iCs/>
        </w:rPr>
        <w:t xml:space="preserve">the </w:t>
      </w:r>
      <w:r w:rsidRPr="008B661B">
        <w:rPr>
          <w:iCs/>
        </w:rPr>
        <w:t>CMA is only appropriate in cases in which a claim for non-inferiority can be supported. However, the</w:t>
      </w:r>
      <w:r w:rsidRPr="008B661B">
        <w:t xml:space="preserve"> pivotal study, reports a non-inferior result for what is equivalent to Scenario 1 only. It also suggests there are issues with the Scenario 1 analysis. In particular, the use of a three-week regimen for the supplemental WB-EBRT radiotherapy is not justified as non-inferior in the Assessment Report.</w:t>
      </w:r>
    </w:p>
    <w:p w:rsidR="00D75FDE" w:rsidRPr="00DE58FF" w:rsidRDefault="00D75FDE" w:rsidP="00D75FDE">
      <w:pPr>
        <w:rPr>
          <w:i/>
        </w:rPr>
      </w:pPr>
    </w:p>
    <w:p w:rsidR="00D75FDE" w:rsidRPr="00AA01D3" w:rsidRDefault="00D75FDE" w:rsidP="00D75FDE">
      <w:pPr>
        <w:pStyle w:val="Caption"/>
      </w:pPr>
      <w:r>
        <w:lastRenderedPageBreak/>
        <w:t xml:space="preserve">Scenario 1 - </w:t>
      </w:r>
      <w:r w:rsidRPr="00DE58FF">
        <w:t xml:space="preserve">Results of the economic evaluation </w:t>
      </w:r>
    </w:p>
    <w:tbl>
      <w:tblPr>
        <w:tblW w:w="5000" w:type="pct"/>
        <w:tblBorders>
          <w:top w:val="single" w:sz="4" w:space="0" w:color="00000A"/>
          <w:left w:val="single" w:sz="4" w:space="0" w:color="00000A"/>
          <w:bottom w:val="single" w:sz="4" w:space="0" w:color="00000A"/>
          <w:right w:val="nil"/>
          <w:insideH w:val="single" w:sz="4" w:space="0" w:color="00000A"/>
          <w:insideV w:val="nil"/>
        </w:tblBorders>
        <w:tblCellMar>
          <w:top w:w="28" w:type="dxa"/>
          <w:left w:w="103" w:type="dxa"/>
          <w:bottom w:w="28" w:type="dxa"/>
        </w:tblCellMar>
        <w:tblLook w:val="04A0" w:firstRow="1" w:lastRow="0" w:firstColumn="1" w:lastColumn="0" w:noHBand="0" w:noVBand="1"/>
      </w:tblPr>
      <w:tblGrid>
        <w:gridCol w:w="3100"/>
        <w:gridCol w:w="2101"/>
        <w:gridCol w:w="2101"/>
        <w:gridCol w:w="2101"/>
      </w:tblGrid>
      <w:tr w:rsidR="00D75FDE" w:rsidRPr="00DE58FF" w:rsidTr="00D75FDE">
        <w:trPr>
          <w:tblHeader/>
        </w:trPr>
        <w:tc>
          <w:tcPr>
            <w:tcW w:w="1648" w:type="pct"/>
            <w:tcBorders>
              <w:top w:val="single" w:sz="4" w:space="0" w:color="00000A"/>
              <w:left w:val="single" w:sz="4" w:space="0" w:color="00000A"/>
              <w:bottom w:val="single" w:sz="4" w:space="0" w:color="00000A"/>
              <w:right w:val="nil"/>
            </w:tcBorders>
            <w:shd w:val="clear" w:color="auto" w:fill="FFFFFF"/>
            <w:tcMar>
              <w:left w:w="103" w:type="dxa"/>
            </w:tcMar>
          </w:tcPr>
          <w:p w:rsidR="00D75FDE" w:rsidRPr="00DE58FF" w:rsidRDefault="00D75FDE" w:rsidP="00D75FDE">
            <w:pPr>
              <w:pStyle w:val="Tabletextboldleft"/>
            </w:pPr>
            <w:r>
              <w:t>Treatment</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T-IORT arm</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WB-EBRT arm</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Incremental</w:t>
            </w:r>
          </w:p>
        </w:tc>
      </w:tr>
      <w:tr w:rsidR="00D75FDE" w:rsidRPr="00DE58FF" w:rsidTr="00D75FDE">
        <w:tc>
          <w:tcPr>
            <w:tcW w:w="1648" w:type="pct"/>
            <w:tcBorders>
              <w:top w:val="single" w:sz="4" w:space="0" w:color="00000A"/>
              <w:left w:val="single" w:sz="4" w:space="0" w:color="00000A"/>
              <w:bottom w:val="single" w:sz="4" w:space="0" w:color="00000A"/>
              <w:right w:val="nil"/>
            </w:tcBorders>
            <w:shd w:val="clear" w:color="auto" w:fill="FFFFFF"/>
            <w:tcMar>
              <w:left w:w="103" w:type="dxa"/>
            </w:tcMar>
          </w:tcPr>
          <w:p w:rsidR="00D75FDE" w:rsidRPr="00DE58FF" w:rsidRDefault="00D75FDE" w:rsidP="00D75FDE">
            <w:pPr>
              <w:pStyle w:val="Tabletext"/>
              <w:keepNext/>
            </w:pPr>
            <w:r w:rsidRPr="00DE58FF">
              <w:t>BCS</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E40BE9">
            <w:pPr>
              <w:pStyle w:val="Tabletextrightalignedwindent"/>
            </w:pPr>
            <w:r w:rsidRPr="007A39BA">
              <w:t>$</w:t>
            </w:r>
            <w:r w:rsidR="00E40BE9">
              <w:t>8,686.06</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E40BE9">
            <w:pPr>
              <w:pStyle w:val="Tabletextrightalignedwindent"/>
            </w:pPr>
            <w:r w:rsidRPr="007A39BA">
              <w:t>$</w:t>
            </w:r>
            <w:r w:rsidR="00E40BE9">
              <w:t>6,021.71</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E40BE9">
            <w:pPr>
              <w:pStyle w:val="Tabletextrightalignedwindent"/>
            </w:pPr>
            <w:r w:rsidRPr="007A39BA">
              <w:t>$</w:t>
            </w:r>
            <w:r w:rsidR="00E40BE9">
              <w:t>2,664.35</w:t>
            </w:r>
          </w:p>
        </w:tc>
      </w:tr>
      <w:tr w:rsidR="00D75FDE" w:rsidRPr="00DE58FF" w:rsidTr="00D75FDE">
        <w:tc>
          <w:tcPr>
            <w:tcW w:w="1648" w:type="pct"/>
            <w:tcBorders>
              <w:top w:val="nil"/>
              <w:left w:val="single" w:sz="4" w:space="0" w:color="00000A"/>
              <w:bottom w:val="single" w:sz="4" w:space="0" w:color="00000A"/>
              <w:right w:val="nil"/>
            </w:tcBorders>
            <w:shd w:val="clear" w:color="auto" w:fill="FFFFFF"/>
            <w:tcMar>
              <w:left w:w="103" w:type="dxa"/>
            </w:tcMar>
          </w:tcPr>
          <w:p w:rsidR="00D75FDE" w:rsidRPr="00DE58FF" w:rsidRDefault="00D75FDE" w:rsidP="00D75FDE">
            <w:pPr>
              <w:pStyle w:val="Tabletext"/>
              <w:keepNext/>
            </w:pPr>
            <w:r w:rsidRPr="00DE58FF">
              <w:t>WB-EBRT</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E40BE9">
            <w:pPr>
              <w:pStyle w:val="Tabletextrightalignedwindent"/>
            </w:pPr>
            <w:r w:rsidRPr="00DE58FF">
              <w:t>$</w:t>
            </w:r>
            <w:r w:rsidR="00E40BE9">
              <w:t>2,152.36</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rightalignedwindent"/>
            </w:pPr>
            <w:r w:rsidRPr="00DE58FF">
              <w:t>$9</w:t>
            </w:r>
            <w:r>
              <w:t>,</w:t>
            </w:r>
            <w:r w:rsidRPr="00DE58FF">
              <w:t>946.23</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FF5BB1">
            <w:pPr>
              <w:pStyle w:val="Tabletextrightalignedwindent"/>
            </w:pPr>
            <w:r w:rsidRPr="00DE58FF">
              <w:t>-$</w:t>
            </w:r>
            <w:r w:rsidR="00FF5BB1">
              <w:t>7,793.87</w:t>
            </w:r>
          </w:p>
        </w:tc>
      </w:tr>
      <w:tr w:rsidR="00D75FDE" w:rsidRPr="00597A1B" w:rsidTr="00D75FDE">
        <w:tc>
          <w:tcPr>
            <w:tcW w:w="1648" w:type="pct"/>
            <w:tcBorders>
              <w:top w:val="nil"/>
              <w:left w:val="single" w:sz="4" w:space="0" w:color="00000A"/>
              <w:bottom w:val="single" w:sz="4" w:space="0" w:color="00000A"/>
              <w:right w:val="nil"/>
            </w:tcBorders>
            <w:shd w:val="clear" w:color="auto" w:fill="FFFFFF"/>
            <w:tcMar>
              <w:left w:w="103" w:type="dxa"/>
            </w:tcMar>
          </w:tcPr>
          <w:p w:rsidR="00D75FDE" w:rsidRPr="00AC6BC7" w:rsidRDefault="00D75FDE" w:rsidP="00D75FDE">
            <w:pPr>
              <w:pStyle w:val="Tabletext"/>
              <w:keepNext/>
              <w:rPr>
                <w:b/>
                <w:i/>
              </w:rPr>
            </w:pPr>
            <w:r w:rsidRPr="00AC6BC7">
              <w:rPr>
                <w:b/>
                <w:i/>
              </w:rPr>
              <w:t>Total</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FF5BB1">
            <w:pPr>
              <w:pStyle w:val="Tabletextrightalignedwindent"/>
              <w:rPr>
                <w:b/>
                <w:i/>
              </w:rPr>
            </w:pPr>
            <w:r w:rsidRPr="00AC6BC7">
              <w:rPr>
                <w:b/>
                <w:i/>
              </w:rPr>
              <w:t>$</w:t>
            </w:r>
            <w:r w:rsidR="00FF5BB1">
              <w:rPr>
                <w:b/>
                <w:i/>
              </w:rPr>
              <w:t>10,838.42</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FF5BB1">
            <w:pPr>
              <w:pStyle w:val="Tabletextrightalignedwindent"/>
              <w:rPr>
                <w:b/>
                <w:i/>
              </w:rPr>
            </w:pPr>
            <w:r w:rsidRPr="00AC6BC7">
              <w:rPr>
                <w:b/>
                <w:i/>
              </w:rPr>
              <w:t>$</w:t>
            </w:r>
            <w:r w:rsidR="00FF5BB1">
              <w:rPr>
                <w:b/>
                <w:i/>
              </w:rPr>
              <w:t>15,967.94</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FF5BB1">
            <w:pPr>
              <w:pStyle w:val="Tabletextrightalignedwindent"/>
              <w:rPr>
                <w:b/>
                <w:i/>
              </w:rPr>
            </w:pPr>
            <w:r w:rsidRPr="00AC6BC7">
              <w:rPr>
                <w:b/>
                <w:i/>
              </w:rPr>
              <w:t>-$</w:t>
            </w:r>
            <w:r w:rsidR="00FF5BB1">
              <w:rPr>
                <w:b/>
                <w:i/>
              </w:rPr>
              <w:t>5,129.52</w:t>
            </w:r>
          </w:p>
        </w:tc>
      </w:tr>
    </w:tbl>
    <w:p w:rsidR="00D75FDE" w:rsidRPr="00DE58FF" w:rsidRDefault="00D75FDE" w:rsidP="00D75FDE">
      <w:pPr>
        <w:pStyle w:val="LastTablefootnote"/>
        <w:rPr>
          <w:sz w:val="20"/>
        </w:rPr>
      </w:pPr>
      <w:r w:rsidRPr="00DE58FF">
        <w:rPr>
          <w:sz w:val="20"/>
        </w:rPr>
        <w:t>Abbreviations: BCS, breast conserving surgery; T-IORT, targeted intraoperative radiotherapy; WB-EBRT, whole breast external beam radiotherapy</w:t>
      </w:r>
    </w:p>
    <w:p w:rsidR="00D75FDE" w:rsidRPr="00DE58FF" w:rsidRDefault="00D75FDE" w:rsidP="00D75FDE">
      <w:pPr>
        <w:pStyle w:val="Caption"/>
      </w:pPr>
      <w:r>
        <w:t xml:space="preserve">Scenario 2 - </w:t>
      </w:r>
      <w:r w:rsidRPr="00DE58FF">
        <w:t>Results of the economic evaluation</w:t>
      </w:r>
    </w:p>
    <w:tbl>
      <w:tblPr>
        <w:tblW w:w="5000" w:type="pct"/>
        <w:tblBorders>
          <w:top w:val="single" w:sz="4" w:space="0" w:color="00000A"/>
          <w:left w:val="single" w:sz="4" w:space="0" w:color="00000A"/>
          <w:bottom w:val="single" w:sz="4" w:space="0" w:color="00000A"/>
          <w:right w:val="nil"/>
          <w:insideH w:val="single" w:sz="4" w:space="0" w:color="00000A"/>
          <w:insideV w:val="nil"/>
        </w:tblBorders>
        <w:tblCellMar>
          <w:top w:w="28" w:type="dxa"/>
          <w:left w:w="103" w:type="dxa"/>
          <w:bottom w:w="28" w:type="dxa"/>
        </w:tblCellMar>
        <w:tblLook w:val="04A0" w:firstRow="1" w:lastRow="0" w:firstColumn="1" w:lastColumn="0" w:noHBand="0" w:noVBand="1"/>
      </w:tblPr>
      <w:tblGrid>
        <w:gridCol w:w="3100"/>
        <w:gridCol w:w="2101"/>
        <w:gridCol w:w="2101"/>
        <w:gridCol w:w="2101"/>
      </w:tblGrid>
      <w:tr w:rsidR="00D75FDE" w:rsidRPr="00DE58FF" w:rsidTr="00D75FDE">
        <w:trPr>
          <w:tblHeader/>
        </w:trPr>
        <w:tc>
          <w:tcPr>
            <w:tcW w:w="1648" w:type="pct"/>
            <w:tcBorders>
              <w:top w:val="single" w:sz="4" w:space="0" w:color="00000A"/>
              <w:left w:val="single" w:sz="4" w:space="0" w:color="00000A"/>
              <w:bottom w:val="single" w:sz="4" w:space="0" w:color="00000A"/>
              <w:right w:val="nil"/>
            </w:tcBorders>
            <w:shd w:val="clear" w:color="auto" w:fill="FFFFFF"/>
            <w:tcMar>
              <w:left w:w="103" w:type="dxa"/>
            </w:tcMar>
          </w:tcPr>
          <w:p w:rsidR="00D75FDE" w:rsidRPr="00DE58FF" w:rsidRDefault="00D75FDE" w:rsidP="00D75FDE">
            <w:pPr>
              <w:pStyle w:val="Tabletextboldleft"/>
            </w:pPr>
            <w:r>
              <w:t>Treatment</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T-IORT arm</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WB-EBRT arm</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Incremental</w:t>
            </w:r>
          </w:p>
        </w:tc>
      </w:tr>
      <w:tr w:rsidR="00D75FDE" w:rsidRPr="00DE58FF" w:rsidTr="00D75FDE">
        <w:tc>
          <w:tcPr>
            <w:tcW w:w="1648" w:type="pct"/>
            <w:tcBorders>
              <w:top w:val="single" w:sz="4" w:space="0" w:color="00000A"/>
              <w:left w:val="single" w:sz="4" w:space="0" w:color="00000A"/>
              <w:bottom w:val="single" w:sz="4" w:space="0" w:color="00000A"/>
              <w:right w:val="nil"/>
            </w:tcBorders>
            <w:shd w:val="clear" w:color="auto" w:fill="FFFFFF"/>
            <w:tcMar>
              <w:left w:w="103" w:type="dxa"/>
            </w:tcMar>
          </w:tcPr>
          <w:p w:rsidR="00D75FDE" w:rsidRPr="007A39BA" w:rsidRDefault="00D75FDE" w:rsidP="00D75FDE">
            <w:pPr>
              <w:pStyle w:val="Tabletext"/>
              <w:keepNext/>
            </w:pPr>
            <w:r w:rsidRPr="007A39BA">
              <w:t>BCS</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$6</w:t>
            </w:r>
            <w:r>
              <w:t>,</w:t>
            </w:r>
            <w:r w:rsidRPr="007A39BA">
              <w:t>024.51</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$6</w:t>
            </w:r>
            <w:r>
              <w:t>,</w:t>
            </w:r>
            <w:r w:rsidRPr="007A39BA">
              <w:t>024.51</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$0.00</w:t>
            </w:r>
          </w:p>
        </w:tc>
      </w:tr>
      <w:tr w:rsidR="00D75FDE" w:rsidRPr="00DE58FF" w:rsidTr="00D75FDE">
        <w:tc>
          <w:tcPr>
            <w:tcW w:w="1648" w:type="pct"/>
            <w:tcBorders>
              <w:top w:val="nil"/>
              <w:left w:val="single" w:sz="4" w:space="0" w:color="00000A"/>
              <w:bottom w:val="single" w:sz="4" w:space="0" w:color="00000A"/>
              <w:right w:val="nil"/>
            </w:tcBorders>
            <w:shd w:val="clear" w:color="auto" w:fill="FFFFFF"/>
            <w:tcMar>
              <w:left w:w="103" w:type="dxa"/>
            </w:tcMar>
          </w:tcPr>
          <w:p w:rsidR="00D75FDE" w:rsidRPr="007A39BA" w:rsidRDefault="00D75FDE" w:rsidP="00D75FDE">
            <w:pPr>
              <w:pStyle w:val="Tabletext"/>
              <w:keepNext/>
            </w:pPr>
            <w:r w:rsidRPr="007A39BA">
              <w:t>Radiotherapy</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$4</w:t>
            </w:r>
            <w:r>
              <w:t>,</w:t>
            </w:r>
            <w:r w:rsidRPr="007A39BA">
              <w:t>309.23</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$9</w:t>
            </w:r>
            <w:r>
              <w:t>,</w:t>
            </w:r>
            <w:r w:rsidRPr="007A39BA">
              <w:t>946.23</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-$5</w:t>
            </w:r>
            <w:r>
              <w:t>,</w:t>
            </w:r>
            <w:r w:rsidRPr="007A39BA">
              <w:t>637.00</w:t>
            </w:r>
          </w:p>
        </w:tc>
      </w:tr>
      <w:tr w:rsidR="00D75FDE" w:rsidRPr="00597A1B" w:rsidTr="00D75FDE">
        <w:tc>
          <w:tcPr>
            <w:tcW w:w="1648" w:type="pct"/>
            <w:tcBorders>
              <w:top w:val="nil"/>
              <w:left w:val="single" w:sz="4" w:space="0" w:color="00000A"/>
              <w:bottom w:val="single" w:sz="4" w:space="0" w:color="00000A"/>
              <w:right w:val="nil"/>
            </w:tcBorders>
            <w:shd w:val="clear" w:color="auto" w:fill="FFFFFF"/>
            <w:tcMar>
              <w:left w:w="103" w:type="dxa"/>
            </w:tcMar>
          </w:tcPr>
          <w:p w:rsidR="00D75FDE" w:rsidRPr="00AC6BC7" w:rsidRDefault="00D75FDE" w:rsidP="00D75FDE">
            <w:pPr>
              <w:pStyle w:val="Tabletext"/>
              <w:keepNext/>
              <w:rPr>
                <w:b/>
                <w:i/>
              </w:rPr>
            </w:pPr>
            <w:r w:rsidRPr="00AC6BC7">
              <w:rPr>
                <w:b/>
                <w:i/>
              </w:rPr>
              <w:t>Total</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D75FDE">
            <w:pPr>
              <w:pStyle w:val="Tabletextrightalignedwindent"/>
              <w:rPr>
                <w:b/>
                <w:i/>
              </w:rPr>
            </w:pPr>
            <w:r w:rsidRPr="00AC6BC7">
              <w:rPr>
                <w:b/>
                <w:i/>
              </w:rPr>
              <w:t>$10,333.74</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D75FDE">
            <w:pPr>
              <w:pStyle w:val="Tabletextrightalignedwindent"/>
              <w:rPr>
                <w:b/>
                <w:i/>
              </w:rPr>
            </w:pPr>
            <w:r w:rsidRPr="00AC6BC7">
              <w:rPr>
                <w:b/>
                <w:i/>
              </w:rPr>
              <w:t>$15,970.74</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D75FDE">
            <w:pPr>
              <w:pStyle w:val="Tabletextrightalignedwindent"/>
              <w:rPr>
                <w:b/>
                <w:i/>
              </w:rPr>
            </w:pPr>
            <w:bookmarkStart w:id="6" w:name="__DdeLink__65008_20543970681"/>
            <w:r w:rsidRPr="00AC6BC7">
              <w:rPr>
                <w:b/>
                <w:i/>
              </w:rPr>
              <w:t>-</w:t>
            </w:r>
            <w:bookmarkEnd w:id="6"/>
            <w:r w:rsidRPr="00AC6BC7">
              <w:rPr>
                <w:b/>
                <w:i/>
              </w:rPr>
              <w:t>$5,637.00</w:t>
            </w:r>
          </w:p>
        </w:tc>
      </w:tr>
    </w:tbl>
    <w:p w:rsidR="00D75FDE" w:rsidRPr="00DE58FF" w:rsidRDefault="00D75FDE" w:rsidP="00D75FDE">
      <w:pPr>
        <w:pStyle w:val="LastTablefootnote"/>
        <w:rPr>
          <w:sz w:val="20"/>
        </w:rPr>
      </w:pPr>
      <w:r w:rsidRPr="00DE58FF">
        <w:rPr>
          <w:sz w:val="20"/>
        </w:rPr>
        <w:t>Abbreviations: BCS, breast conserving surgery; T-IORT, targeted intraoperative radiotherapy; WB-EBRT, whole breast external beam radiotherapy</w:t>
      </w:r>
    </w:p>
    <w:p w:rsidR="00D75FDE" w:rsidRPr="00DE58FF" w:rsidRDefault="00D75FDE" w:rsidP="00D75FDE">
      <w:pPr>
        <w:pStyle w:val="Caption"/>
      </w:pPr>
      <w:r>
        <w:t xml:space="preserve">Scenario 3 - </w:t>
      </w:r>
      <w:r w:rsidRPr="00DE58FF">
        <w:t>Resu</w:t>
      </w:r>
      <w:r>
        <w:t>lts of the economic evaluation</w:t>
      </w:r>
    </w:p>
    <w:tbl>
      <w:tblPr>
        <w:tblW w:w="5000" w:type="pct"/>
        <w:tblBorders>
          <w:top w:val="single" w:sz="4" w:space="0" w:color="00000A"/>
          <w:left w:val="single" w:sz="4" w:space="0" w:color="00000A"/>
          <w:bottom w:val="single" w:sz="4" w:space="0" w:color="00000A"/>
          <w:right w:val="nil"/>
          <w:insideH w:val="single" w:sz="4" w:space="0" w:color="00000A"/>
          <w:insideV w:val="nil"/>
        </w:tblBorders>
        <w:tblCellMar>
          <w:top w:w="28" w:type="dxa"/>
          <w:left w:w="103" w:type="dxa"/>
          <w:bottom w:w="28" w:type="dxa"/>
        </w:tblCellMar>
        <w:tblLook w:val="04A0" w:firstRow="1" w:lastRow="0" w:firstColumn="1" w:lastColumn="0" w:noHBand="0" w:noVBand="1"/>
      </w:tblPr>
      <w:tblGrid>
        <w:gridCol w:w="3100"/>
        <w:gridCol w:w="2101"/>
        <w:gridCol w:w="2101"/>
        <w:gridCol w:w="2101"/>
      </w:tblGrid>
      <w:tr w:rsidR="00D75FDE" w:rsidRPr="00DE58FF" w:rsidTr="00D75FDE">
        <w:trPr>
          <w:tblHeader/>
        </w:trPr>
        <w:tc>
          <w:tcPr>
            <w:tcW w:w="1648" w:type="pct"/>
            <w:tcBorders>
              <w:top w:val="single" w:sz="4" w:space="0" w:color="00000A"/>
              <w:left w:val="single" w:sz="4" w:space="0" w:color="00000A"/>
              <w:bottom w:val="single" w:sz="4" w:space="0" w:color="00000A"/>
              <w:right w:val="nil"/>
            </w:tcBorders>
            <w:shd w:val="clear" w:color="auto" w:fill="FFFFFF"/>
            <w:tcMar>
              <w:left w:w="103" w:type="dxa"/>
            </w:tcMar>
          </w:tcPr>
          <w:p w:rsidR="00D75FDE" w:rsidRPr="00DE58FF" w:rsidRDefault="00D75FDE" w:rsidP="00D75FDE">
            <w:pPr>
              <w:pStyle w:val="Tabletextboldleft"/>
            </w:pPr>
            <w:r>
              <w:t>Treatment</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T-IORT arm</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Mastectomy arm</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DE58FF" w:rsidRDefault="00D75FDE" w:rsidP="00D75FDE">
            <w:pPr>
              <w:pStyle w:val="Tabletextboldleft"/>
              <w:jc w:val="center"/>
            </w:pPr>
            <w:r w:rsidRPr="00DE58FF">
              <w:t>Incremental</w:t>
            </w:r>
          </w:p>
        </w:tc>
      </w:tr>
      <w:tr w:rsidR="00D75FDE" w:rsidTr="00D75FDE">
        <w:tc>
          <w:tcPr>
            <w:tcW w:w="1648" w:type="pct"/>
            <w:tcBorders>
              <w:top w:val="single" w:sz="4" w:space="0" w:color="00000A"/>
              <w:left w:val="single" w:sz="4" w:space="0" w:color="00000A"/>
              <w:bottom w:val="single" w:sz="4" w:space="0" w:color="00000A"/>
              <w:right w:val="nil"/>
            </w:tcBorders>
            <w:shd w:val="clear" w:color="auto" w:fill="FFFFFF"/>
            <w:tcMar>
              <w:left w:w="103" w:type="dxa"/>
            </w:tcMar>
          </w:tcPr>
          <w:p w:rsidR="00D75FDE" w:rsidRPr="00DE58FF" w:rsidRDefault="00D75FDE" w:rsidP="00D75FDE">
            <w:pPr>
              <w:pStyle w:val="Tabletext"/>
              <w:keepNext/>
              <w:rPr>
                <w:vertAlign w:val="superscript"/>
              </w:rPr>
            </w:pPr>
            <w:r w:rsidRPr="00DE58FF">
              <w:t xml:space="preserve">Primary procedure </w:t>
            </w:r>
            <w:r w:rsidRPr="00DE58FF">
              <w:rPr>
                <w:vertAlign w:val="superscript"/>
              </w:rPr>
              <w:t>a</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$8</w:t>
            </w:r>
            <w:r>
              <w:t>,</w:t>
            </w:r>
            <w:r w:rsidRPr="007A39BA">
              <w:t>689.56</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$9</w:t>
            </w:r>
            <w:r>
              <w:t>,</w:t>
            </w:r>
            <w:r w:rsidRPr="007A39BA">
              <w:t>906.50</w:t>
            </w:r>
          </w:p>
        </w:tc>
        <w:tc>
          <w:tcPr>
            <w:tcW w:w="111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-$1</w:t>
            </w:r>
            <w:r>
              <w:t>,</w:t>
            </w:r>
            <w:r w:rsidRPr="007A39BA">
              <w:t>216.94</w:t>
            </w:r>
          </w:p>
        </w:tc>
      </w:tr>
      <w:tr w:rsidR="00D75FDE" w:rsidTr="00D75FDE">
        <w:tc>
          <w:tcPr>
            <w:tcW w:w="1648" w:type="pct"/>
            <w:tcBorders>
              <w:top w:val="nil"/>
              <w:left w:val="single" w:sz="4" w:space="0" w:color="00000A"/>
              <w:bottom w:val="single" w:sz="4" w:space="0" w:color="00000A"/>
              <w:right w:val="nil"/>
            </w:tcBorders>
            <w:shd w:val="clear" w:color="auto" w:fill="FFFFFF"/>
            <w:tcMar>
              <w:left w:w="103" w:type="dxa"/>
            </w:tcMar>
          </w:tcPr>
          <w:p w:rsidR="00D75FDE" w:rsidRDefault="00D75FDE" w:rsidP="00D75FDE">
            <w:pPr>
              <w:pStyle w:val="Tabletext"/>
              <w:keepNext/>
              <w:rPr>
                <w:vertAlign w:val="superscript"/>
              </w:rPr>
            </w:pPr>
            <w:r>
              <w:t xml:space="preserve">Subsequent procedures/treatment </w:t>
            </w:r>
            <w:r>
              <w:rPr>
                <w:vertAlign w:val="superscript"/>
              </w:rPr>
              <w:t>b</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$1</w:t>
            </w:r>
            <w:r>
              <w:t>,</w:t>
            </w:r>
            <w:r w:rsidRPr="007A39BA">
              <w:t>280.70</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$1</w:t>
            </w:r>
            <w:r>
              <w:t>,</w:t>
            </w:r>
            <w:r w:rsidRPr="007A39BA">
              <w:t>256.60</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7A39BA" w:rsidRDefault="00D75FDE" w:rsidP="00D75FDE">
            <w:pPr>
              <w:pStyle w:val="Tabletextrightalignedwindent"/>
            </w:pPr>
            <w:r w:rsidRPr="007A39BA">
              <w:t>$24.10</w:t>
            </w:r>
          </w:p>
        </w:tc>
      </w:tr>
      <w:tr w:rsidR="00D75FDE" w:rsidRPr="00597A1B" w:rsidTr="00D75FDE">
        <w:tc>
          <w:tcPr>
            <w:tcW w:w="1648" w:type="pct"/>
            <w:tcBorders>
              <w:top w:val="nil"/>
              <w:left w:val="single" w:sz="4" w:space="0" w:color="00000A"/>
              <w:bottom w:val="single" w:sz="4" w:space="0" w:color="00000A"/>
              <w:right w:val="nil"/>
            </w:tcBorders>
            <w:shd w:val="clear" w:color="auto" w:fill="FFFFFF"/>
            <w:tcMar>
              <w:left w:w="103" w:type="dxa"/>
            </w:tcMar>
          </w:tcPr>
          <w:p w:rsidR="00D75FDE" w:rsidRPr="00AC6BC7" w:rsidRDefault="00D75FDE" w:rsidP="00D75FDE">
            <w:pPr>
              <w:pStyle w:val="Tabletext"/>
              <w:keepNext/>
              <w:rPr>
                <w:b/>
                <w:i/>
              </w:rPr>
            </w:pPr>
            <w:r w:rsidRPr="00AC6BC7">
              <w:rPr>
                <w:b/>
                <w:i/>
              </w:rPr>
              <w:t>Total</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D75FDE">
            <w:pPr>
              <w:pStyle w:val="Tabletextrightalignedwindent"/>
              <w:rPr>
                <w:b/>
                <w:i/>
              </w:rPr>
            </w:pPr>
            <w:r w:rsidRPr="00AC6BC7">
              <w:rPr>
                <w:b/>
                <w:i/>
              </w:rPr>
              <w:t>$9,970.26</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D75FDE">
            <w:pPr>
              <w:pStyle w:val="Tabletextrightalignedwindent"/>
              <w:rPr>
                <w:b/>
                <w:i/>
              </w:rPr>
            </w:pPr>
            <w:r w:rsidRPr="00AC6BC7">
              <w:rPr>
                <w:b/>
                <w:i/>
              </w:rPr>
              <w:t>$11,163.10</w:t>
            </w:r>
          </w:p>
        </w:tc>
        <w:tc>
          <w:tcPr>
            <w:tcW w:w="1117" w:type="pct"/>
            <w:tcBorders>
              <w:top w:val="nil"/>
              <w:left w:val="single" w:sz="4" w:space="0" w:color="00000A"/>
              <w:bottom w:val="single" w:sz="4" w:space="0" w:color="00000A"/>
              <w:right w:val="single" w:sz="4" w:space="0" w:color="00000A"/>
            </w:tcBorders>
            <w:shd w:val="clear" w:color="auto" w:fill="FFFFFF"/>
            <w:tcMar>
              <w:left w:w="103" w:type="dxa"/>
            </w:tcMar>
          </w:tcPr>
          <w:p w:rsidR="00D75FDE" w:rsidRPr="00AC6BC7" w:rsidRDefault="00D75FDE" w:rsidP="00D75FDE">
            <w:pPr>
              <w:pStyle w:val="Tabletextrightalignedwindent"/>
              <w:rPr>
                <w:b/>
                <w:i/>
              </w:rPr>
            </w:pPr>
            <w:r w:rsidRPr="00AC6BC7">
              <w:rPr>
                <w:b/>
                <w:i/>
              </w:rPr>
              <w:t>-$1,192.84</w:t>
            </w:r>
          </w:p>
        </w:tc>
      </w:tr>
    </w:tbl>
    <w:p w:rsidR="00D75FDE" w:rsidRPr="00DE58FF" w:rsidRDefault="00D75FDE" w:rsidP="00D75FDE">
      <w:pPr>
        <w:pStyle w:val="LastTablefootnote"/>
        <w:spacing w:after="0"/>
        <w:rPr>
          <w:sz w:val="20"/>
        </w:rPr>
      </w:pPr>
      <w:r w:rsidRPr="00DE58FF">
        <w:rPr>
          <w:sz w:val="20"/>
        </w:rPr>
        <w:t>Abbreviations: T-IORT, targeted intraoperative radiotherapy; WB-EBRT, whole breast external beam radiotherapy</w:t>
      </w:r>
    </w:p>
    <w:p w:rsidR="00D75FDE" w:rsidRPr="00DE58FF" w:rsidRDefault="00D75FDE" w:rsidP="00D75FDE">
      <w:pPr>
        <w:pStyle w:val="Tablefootnotes"/>
        <w:rPr>
          <w:sz w:val="20"/>
        </w:rPr>
      </w:pPr>
      <w:proofErr w:type="gramStart"/>
      <w:r w:rsidRPr="00DE58FF">
        <w:rPr>
          <w:sz w:val="20"/>
          <w:vertAlign w:val="superscript"/>
        </w:rPr>
        <w:t>a</w:t>
      </w:r>
      <w:proofErr w:type="gramEnd"/>
      <w:r w:rsidRPr="00DE58FF">
        <w:rPr>
          <w:sz w:val="20"/>
          <w:vertAlign w:val="superscript"/>
        </w:rPr>
        <w:t xml:space="preserve"> </w:t>
      </w:r>
      <w:r w:rsidRPr="00DE58FF">
        <w:rPr>
          <w:sz w:val="20"/>
        </w:rPr>
        <w:t>BCS and concurrent T-IORT in the T-IORT arm, subcutaneous mastectomy in the subcutaneous mastectomy arm</w:t>
      </w:r>
    </w:p>
    <w:p w:rsidR="00D75FDE" w:rsidRPr="00DE58FF" w:rsidRDefault="00D75FDE" w:rsidP="00D75FDE">
      <w:pPr>
        <w:pStyle w:val="LastTablefootnote"/>
        <w:rPr>
          <w:sz w:val="20"/>
        </w:rPr>
      </w:pPr>
      <w:proofErr w:type="gramStart"/>
      <w:r w:rsidRPr="00DE58FF">
        <w:rPr>
          <w:sz w:val="20"/>
          <w:vertAlign w:val="superscript"/>
        </w:rPr>
        <w:t>b</w:t>
      </w:r>
      <w:proofErr w:type="gramEnd"/>
      <w:r w:rsidRPr="00DE58FF">
        <w:rPr>
          <w:sz w:val="20"/>
        </w:rPr>
        <w:t xml:space="preserve"> Supplemental WB-EBRT in the T-IORT arm, breast reconstruction in the subcutaneous mastectomy arm</w:t>
      </w:r>
    </w:p>
    <w:p w:rsidR="00D75FDE" w:rsidRDefault="00D75FDE" w:rsidP="00D75FDE">
      <w:r>
        <w:t>The critique also present</w:t>
      </w:r>
      <w:r w:rsidR="004D4BD1">
        <w:t>ed</w:t>
      </w:r>
      <w:r>
        <w:t xml:space="preserve"> the results of the univariate sensitivity analyses presented in the Assessment Report (patient through-put and decreased capital and service costs). </w:t>
      </w:r>
      <w:r w:rsidRPr="008B661B">
        <w:rPr>
          <w:iCs/>
        </w:rPr>
        <w:t>Due to the uncertainty around the non-inferiority claim in both Scenario 2 and Scenario 3, only Scenario</w:t>
      </w:r>
      <w:r>
        <w:rPr>
          <w:iCs/>
        </w:rPr>
        <w:t> </w:t>
      </w:r>
      <w:r w:rsidRPr="008B661B">
        <w:rPr>
          <w:iCs/>
        </w:rPr>
        <w:t>1 is considered in the sensitivity analyses</w:t>
      </w:r>
      <w:r w:rsidRPr="008B661B">
        <w:t xml:space="preserve">. </w:t>
      </w:r>
    </w:p>
    <w:p w:rsidR="00D75FDE" w:rsidRDefault="00D75FDE" w:rsidP="00D75FDE"/>
    <w:p w:rsidR="00D75FDE" w:rsidRDefault="00D75FDE" w:rsidP="00D75FDE">
      <w:pPr>
        <w:pStyle w:val="Caption"/>
      </w:pPr>
      <w:r>
        <w:t xml:space="preserve">Scenario 1 - </w:t>
      </w:r>
      <w:r w:rsidRPr="00C52D51">
        <w:t>Results</w:t>
      </w:r>
      <w:r>
        <w:t xml:space="preserve"> of sensitivity analyses</w:t>
      </w:r>
    </w:p>
    <w:tbl>
      <w:tblPr>
        <w:tblW w:w="511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110" w:type="dxa"/>
          <w:bottom w:w="28" w:type="dxa"/>
          <w:right w:w="115" w:type="dxa"/>
        </w:tblCellMar>
        <w:tblLook w:val="04A0" w:firstRow="1" w:lastRow="0" w:firstColumn="1" w:lastColumn="0" w:noHBand="0" w:noVBand="1"/>
      </w:tblPr>
      <w:tblGrid>
        <w:gridCol w:w="5324"/>
        <w:gridCol w:w="1407"/>
        <w:gridCol w:w="1407"/>
        <w:gridCol w:w="1497"/>
      </w:tblGrid>
      <w:tr w:rsidR="00D75FDE" w:rsidTr="002E19E9">
        <w:trPr>
          <w:cantSplit/>
          <w:tblHeader/>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vAlign w:val="bottom"/>
          </w:tcPr>
          <w:p w:rsidR="00D75FDE" w:rsidRDefault="00D75FDE" w:rsidP="00D75FDE">
            <w:pPr>
              <w:pStyle w:val="Tabletextboldleft"/>
            </w:pPr>
            <w:r>
              <w:t>Univariate analyses</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vAlign w:val="bottom"/>
          </w:tcPr>
          <w:p w:rsidR="00D75FDE" w:rsidRDefault="00D75FDE" w:rsidP="00D75FDE">
            <w:pPr>
              <w:pStyle w:val="Tabletextboldleft"/>
            </w:pPr>
            <w:r>
              <w:t>T-IORT arm</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vAlign w:val="bottom"/>
          </w:tcPr>
          <w:p w:rsidR="00D75FDE" w:rsidRDefault="00D75FDE" w:rsidP="00D75FDE">
            <w:pPr>
              <w:pStyle w:val="Tabletextbold"/>
              <w:jc w:val="left"/>
            </w:pPr>
            <w:r>
              <w:t>WB-EBRT arm</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vAlign w:val="bottom"/>
          </w:tcPr>
          <w:p w:rsidR="00D75FDE" w:rsidRDefault="00D75FDE" w:rsidP="00D75FDE">
            <w:pPr>
              <w:pStyle w:val="Tabletextbold"/>
              <w:jc w:val="left"/>
            </w:pPr>
            <w:r>
              <w:t>Incremental</w:t>
            </w:r>
          </w:p>
        </w:tc>
      </w:tr>
      <w:tr w:rsidR="00D75FDE" w:rsidTr="002E19E9">
        <w:trPr>
          <w:cantSplit/>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szCs w:val="24"/>
              </w:rPr>
            </w:pPr>
            <w:r w:rsidRPr="00DE733D">
              <w:rPr>
                <w:szCs w:val="24"/>
              </w:rPr>
              <w:t>Base case</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$9</w:t>
            </w:r>
            <w:r>
              <w:t>,</w:t>
            </w:r>
            <w:r w:rsidRPr="00DE733D">
              <w:t>970.26</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-$6</w:t>
            </w:r>
            <w:r>
              <w:t>,</w:t>
            </w:r>
            <w:r w:rsidRPr="00DE733D">
              <w:t>000.48</w:t>
            </w:r>
          </w:p>
        </w:tc>
      </w:tr>
      <w:tr w:rsidR="00D75FDE" w:rsidTr="002E19E9">
        <w:trPr>
          <w:cantSplit/>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szCs w:val="24"/>
              </w:rPr>
            </w:pPr>
            <w:r w:rsidRPr="00DE733D">
              <w:rPr>
                <w:szCs w:val="24"/>
              </w:rPr>
              <w:t>Patient through-put reduced from 224 patients to 112 patients</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$10,879.06</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-$5</w:t>
            </w:r>
            <w:r>
              <w:t>,</w:t>
            </w:r>
            <w:r w:rsidRPr="00DE733D">
              <w:t>091.68</w:t>
            </w:r>
          </w:p>
        </w:tc>
      </w:tr>
      <w:tr w:rsidR="00D75FDE" w:rsidTr="002E19E9">
        <w:trPr>
          <w:cantSplit/>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iCs/>
                <w:szCs w:val="24"/>
              </w:rPr>
            </w:pPr>
            <w:r w:rsidRPr="00DE733D">
              <w:rPr>
                <w:iCs/>
                <w:szCs w:val="24"/>
              </w:rPr>
              <w:t xml:space="preserve">10% decrease in capital costs, such that the unit cost of the </w:t>
            </w:r>
            <w:proofErr w:type="spellStart"/>
            <w:r w:rsidRPr="00DE733D">
              <w:rPr>
                <w:iCs/>
                <w:szCs w:val="24"/>
              </w:rPr>
              <w:t>Intrabeam</w:t>
            </w:r>
            <w:proofErr w:type="spellEnd"/>
            <w:r w:rsidRPr="00DE733D">
              <w:rPr>
                <w:iCs/>
                <w:szCs w:val="24"/>
              </w:rPr>
              <w:t xml:space="preserve"> capital &amp; service equals $851.40</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$9</w:t>
            </w:r>
            <w:r>
              <w:t>,</w:t>
            </w:r>
            <w:r w:rsidRPr="00DE733D">
              <w:t>912.86</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-$6</w:t>
            </w:r>
            <w:r>
              <w:t>,</w:t>
            </w:r>
            <w:r w:rsidRPr="00DE733D">
              <w:t>057.88</w:t>
            </w:r>
          </w:p>
        </w:tc>
      </w:tr>
      <w:tr w:rsidR="00D75FDE" w:rsidTr="002E19E9">
        <w:trPr>
          <w:cantSplit/>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iCs/>
                <w:szCs w:val="24"/>
              </w:rPr>
            </w:pPr>
            <w:r w:rsidRPr="00DE733D">
              <w:rPr>
                <w:iCs/>
              </w:rPr>
              <w:t>10% decrease in service fee</w:t>
            </w:r>
            <w:r w:rsidRPr="00DE733D">
              <w:rPr>
                <w:iCs/>
                <w:szCs w:val="24"/>
              </w:rPr>
              <w:t xml:space="preserve">, such that the unit cost of the </w:t>
            </w:r>
            <w:proofErr w:type="spellStart"/>
            <w:r w:rsidRPr="00DE733D">
              <w:rPr>
                <w:iCs/>
                <w:szCs w:val="24"/>
              </w:rPr>
              <w:t>Intrabeam</w:t>
            </w:r>
            <w:proofErr w:type="spellEnd"/>
            <w:r w:rsidRPr="00DE733D">
              <w:rPr>
                <w:iCs/>
                <w:szCs w:val="24"/>
              </w:rPr>
              <w:t xml:space="preserve"> capital &amp; service equals $875.32</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$9</w:t>
            </w:r>
            <w:r>
              <w:t>,</w:t>
            </w:r>
            <w:r w:rsidRPr="00DE733D">
              <w:t>936.78</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-$6</w:t>
            </w:r>
            <w:r>
              <w:t>,</w:t>
            </w:r>
            <w:r w:rsidRPr="00DE733D">
              <w:t>033.96</w:t>
            </w:r>
          </w:p>
        </w:tc>
      </w:tr>
      <w:tr w:rsidR="00D75FDE" w:rsidTr="002E19E9">
        <w:trPr>
          <w:cantSplit/>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iCs/>
              </w:rPr>
            </w:pPr>
            <w:r w:rsidRPr="00DE733D">
              <w:rPr>
                <w:iCs/>
              </w:rPr>
              <w:t>Supplemental WB-EBRT assumed to use six-week regimen</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$10,837.95</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-$5</w:t>
            </w:r>
            <w:r>
              <w:t>,</w:t>
            </w:r>
            <w:r w:rsidRPr="00DE733D">
              <w:t>132.79</w:t>
            </w:r>
          </w:p>
        </w:tc>
      </w:tr>
      <w:tr w:rsidR="00D75FDE" w:rsidTr="002E19E9">
        <w:trPr>
          <w:cantSplit/>
        </w:trPr>
        <w:tc>
          <w:tcPr>
            <w:tcW w:w="2763"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iCs/>
              </w:rPr>
            </w:pPr>
            <w:r w:rsidRPr="00DE733D">
              <w:rPr>
                <w:iCs/>
              </w:rPr>
              <w:t>All T-IORT patients assumed to undergo supplemental WB-EBRT</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$14,618.74</w:t>
            </w:r>
          </w:p>
        </w:tc>
        <w:tc>
          <w:tcPr>
            <w:tcW w:w="730"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-$1</w:t>
            </w:r>
            <w:r>
              <w:t>,</w:t>
            </w:r>
            <w:r w:rsidRPr="00DE733D">
              <w:t>352.00</w:t>
            </w:r>
          </w:p>
        </w:tc>
      </w:tr>
      <w:tr w:rsidR="00D75FDE" w:rsidTr="002E19E9">
        <w:trPr>
          <w:cantSplit/>
        </w:trPr>
        <w:tc>
          <w:tcPr>
            <w:tcW w:w="2763"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iCs/>
              </w:rPr>
            </w:pPr>
            <w:r w:rsidRPr="00DE733D">
              <w:rPr>
                <w:iCs/>
              </w:rPr>
              <w:t>All T-IORT patients assumed to undergo supplemental WB-EBRT and use a six-week regimen</w:t>
            </w:r>
          </w:p>
        </w:tc>
        <w:tc>
          <w:tcPr>
            <w:tcW w:w="730"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$18,635.79</w:t>
            </w:r>
          </w:p>
        </w:tc>
        <w:tc>
          <w:tcPr>
            <w:tcW w:w="730"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$2</w:t>
            </w:r>
            <w:r>
              <w:t>,</w:t>
            </w:r>
            <w:r w:rsidRPr="00DE733D">
              <w:t>665.05</w:t>
            </w:r>
          </w:p>
        </w:tc>
      </w:tr>
      <w:tr w:rsidR="00D75FDE" w:rsidTr="002E19E9">
        <w:trPr>
          <w:cantSplit/>
        </w:trPr>
        <w:tc>
          <w:tcPr>
            <w:tcW w:w="2763"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
              <w:rPr>
                <w:iCs/>
              </w:rPr>
            </w:pPr>
            <w:r w:rsidRPr="00DE733D">
              <w:rPr>
                <w:iCs/>
              </w:rPr>
              <w:t>Private insurer-source unit costs in T-IORT arm increased by 10%</w:t>
            </w:r>
          </w:p>
        </w:tc>
        <w:tc>
          <w:tcPr>
            <w:tcW w:w="730"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$10,548.30</w:t>
            </w:r>
          </w:p>
        </w:tc>
        <w:tc>
          <w:tcPr>
            <w:tcW w:w="730"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27"/>
            </w:pPr>
            <w:r w:rsidRPr="00DE733D">
              <w:t>$15,970.74</w:t>
            </w:r>
          </w:p>
        </w:tc>
        <w:tc>
          <w:tcPr>
            <w:tcW w:w="778" w:type="pct"/>
            <w:tcBorders>
              <w:top w:val="nil"/>
              <w:left w:val="single" w:sz="4" w:space="0" w:color="00000A"/>
              <w:bottom w:val="single" w:sz="4" w:space="0" w:color="00000A"/>
              <w:right w:val="single" w:sz="4" w:space="0" w:color="00000A"/>
            </w:tcBorders>
            <w:shd w:val="clear" w:color="auto" w:fill="FFFFFF"/>
            <w:tcMar>
              <w:left w:w="110" w:type="dxa"/>
            </w:tcMar>
          </w:tcPr>
          <w:p w:rsidR="00D75FDE" w:rsidRPr="00DE733D" w:rsidRDefault="00D75FDE" w:rsidP="00D75FDE">
            <w:pPr>
              <w:pStyle w:val="Tabletextrightalignedwindent"/>
              <w:ind w:right="0"/>
            </w:pPr>
            <w:r w:rsidRPr="00DE733D">
              <w:t>-$5</w:t>
            </w:r>
            <w:r>
              <w:t>,</w:t>
            </w:r>
            <w:r w:rsidRPr="00DE733D">
              <w:t>422.44</w:t>
            </w:r>
          </w:p>
        </w:tc>
      </w:tr>
    </w:tbl>
    <w:p w:rsidR="00DB5833" w:rsidRPr="00894E26" w:rsidRDefault="00D75FDE" w:rsidP="00894E26">
      <w:pPr>
        <w:pStyle w:val="LastTablefootnote"/>
        <w:rPr>
          <w:sz w:val="20"/>
        </w:rPr>
      </w:pPr>
      <w:r w:rsidRPr="00DE733D">
        <w:rPr>
          <w:sz w:val="20"/>
        </w:rPr>
        <w:t>Abbreviations: T-IORT, targeted intraoperative radiotherapy; WB-EBRT, whole br</w:t>
      </w:r>
      <w:r w:rsidR="00894E26">
        <w:rPr>
          <w:sz w:val="20"/>
        </w:rPr>
        <w:t>east external beam radiotherapy</w:t>
      </w:r>
    </w:p>
    <w:p w:rsidR="009D1DFA" w:rsidRPr="0075468E" w:rsidRDefault="009D1DFA"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894E26" w:rsidRPr="00EC6EA3" w:rsidRDefault="00894E26" w:rsidP="00894E26">
      <w:pPr>
        <w:pStyle w:val="BodyText"/>
        <w:jc w:val="left"/>
        <w:rPr>
          <w:rFonts w:ascii="Times New Roman" w:hAnsi="Times New Roman"/>
        </w:rPr>
      </w:pPr>
      <w:r w:rsidRPr="00EC6EA3">
        <w:rPr>
          <w:rFonts w:ascii="Times New Roman" w:hAnsi="Times New Roman"/>
        </w:rPr>
        <w:t xml:space="preserve">The total average cost of T-IORT per patient for Scenario 1 (T-IORT concurrent with BCS) </w:t>
      </w:r>
      <w:r w:rsidR="004D4BD1">
        <w:rPr>
          <w:rFonts w:ascii="Times New Roman" w:hAnsi="Times New Roman"/>
        </w:rPr>
        <w:t>wa</w:t>
      </w:r>
      <w:r w:rsidRPr="00EC6EA3">
        <w:rPr>
          <w:rFonts w:ascii="Times New Roman" w:hAnsi="Times New Roman"/>
        </w:rPr>
        <w:t xml:space="preserve">s estimated to be $9,970 ($8,690 cost of BCS concurrent with T-IORT plus $1,281 cost of </w:t>
      </w:r>
      <w:r w:rsidR="00CB11A4">
        <w:rPr>
          <w:rFonts w:ascii="Times New Roman" w:hAnsi="Times New Roman"/>
        </w:rPr>
        <w:t xml:space="preserve">3 weeks of </w:t>
      </w:r>
      <w:r w:rsidRPr="00EC6EA3">
        <w:rPr>
          <w:rFonts w:ascii="Times New Roman" w:hAnsi="Times New Roman"/>
        </w:rPr>
        <w:t xml:space="preserve">supplementary WB-EBRT in 15% of patients). In comparison, the total average cost for six weeks of WB-EBRT </w:t>
      </w:r>
      <w:r w:rsidR="004D4BD1">
        <w:rPr>
          <w:rFonts w:ascii="Times New Roman" w:hAnsi="Times New Roman"/>
        </w:rPr>
        <w:t>wa</w:t>
      </w:r>
      <w:r w:rsidRPr="00EC6EA3">
        <w:rPr>
          <w:rFonts w:ascii="Times New Roman" w:hAnsi="Times New Roman"/>
        </w:rPr>
        <w:t xml:space="preserve">s $15,971 ($6,025 for BCS plus $9,946 for WB-EBRT). </w:t>
      </w:r>
    </w:p>
    <w:p w:rsidR="00894E26" w:rsidRPr="00EC6EA3" w:rsidRDefault="00894E26" w:rsidP="00894E26">
      <w:pPr>
        <w:pStyle w:val="BodyText"/>
        <w:jc w:val="left"/>
        <w:rPr>
          <w:rFonts w:ascii="Times New Roman" w:hAnsi="Times New Roman"/>
        </w:rPr>
      </w:pPr>
    </w:p>
    <w:p w:rsidR="00894E26" w:rsidRPr="00EC6EA3" w:rsidRDefault="00894E26" w:rsidP="00894E26">
      <w:pPr>
        <w:pStyle w:val="BodyText"/>
        <w:jc w:val="left"/>
        <w:rPr>
          <w:rFonts w:ascii="Times New Roman" w:hAnsi="Times New Roman"/>
        </w:rPr>
      </w:pPr>
      <w:r w:rsidRPr="00EC6EA3">
        <w:rPr>
          <w:rFonts w:ascii="Times New Roman" w:hAnsi="Times New Roman"/>
        </w:rPr>
        <w:lastRenderedPageBreak/>
        <w:t>For Scenario 2 (delayed T-IORT), the total average cost per patient is estimated to be $10,334 ($6,025 cost of the BCS plus $4,309 cost of T-IORT as a separate procedure). As for Scenario 1, the total average cost per patient for the comparator is $15,971. For Scenario 3, the total average cost of T-IORT per patient is $9,970 (same as for Scenario 1) but the total average cost per patient of the comparator is $11,163 ($9,907 for the subcutaneous mastectomy plus $1,257 for breast reconstruction in 15% of patients). Thus, the use of T-IORT is potentially associated with cost savings which arise from lower utilisation of WB-EBRT and mastectomy.</w:t>
      </w:r>
    </w:p>
    <w:p w:rsidR="00894E26" w:rsidRPr="00EC6EA3" w:rsidRDefault="00894E26" w:rsidP="00894E26">
      <w:pPr>
        <w:pStyle w:val="BodyText"/>
        <w:jc w:val="left"/>
        <w:rPr>
          <w:rFonts w:ascii="Times New Roman" w:hAnsi="Times New Roman"/>
        </w:rPr>
      </w:pPr>
    </w:p>
    <w:p w:rsidR="00894E26" w:rsidRPr="00EC6EA3" w:rsidRDefault="00894E26" w:rsidP="00894E26">
      <w:pPr>
        <w:pStyle w:val="BodyText"/>
        <w:jc w:val="left"/>
        <w:rPr>
          <w:rFonts w:ascii="Times New Roman" w:hAnsi="Times New Roman"/>
        </w:rPr>
      </w:pPr>
      <w:r w:rsidRPr="00EC6EA3">
        <w:rPr>
          <w:rFonts w:ascii="Times New Roman" w:hAnsi="Times New Roman"/>
        </w:rPr>
        <w:t xml:space="preserve">The estimated number of patients undergoing T-IORT (which is equivalent to the number of procedures) for the first five years of an MBS listing is shown below. These estimates </w:t>
      </w:r>
      <w:r w:rsidR="00CB11A4">
        <w:rPr>
          <w:rFonts w:ascii="Times New Roman" w:hAnsi="Times New Roman"/>
        </w:rPr>
        <w:t xml:space="preserve">include an estimate of </w:t>
      </w:r>
      <w:r w:rsidRPr="00EC6EA3">
        <w:rPr>
          <w:rFonts w:ascii="Times New Roman" w:hAnsi="Times New Roman"/>
        </w:rPr>
        <w:t xml:space="preserve">the potential number of women </w:t>
      </w:r>
      <w:r w:rsidR="00CB11A4">
        <w:rPr>
          <w:rFonts w:ascii="Times New Roman" w:hAnsi="Times New Roman"/>
        </w:rPr>
        <w:t>who choose to</w:t>
      </w:r>
      <w:r w:rsidR="00CB11A4" w:rsidRPr="00EC6EA3">
        <w:rPr>
          <w:rFonts w:ascii="Times New Roman" w:hAnsi="Times New Roman"/>
        </w:rPr>
        <w:t xml:space="preserve"> </w:t>
      </w:r>
      <w:r w:rsidRPr="00EC6EA3">
        <w:rPr>
          <w:rFonts w:ascii="Times New Roman" w:hAnsi="Times New Roman"/>
        </w:rPr>
        <w:t>‘swap’ from mastectomy to BCS with T</w:t>
      </w:r>
      <w:r w:rsidRPr="00EC6EA3">
        <w:rPr>
          <w:rFonts w:ascii="Times New Roman" w:hAnsi="Times New Roman"/>
        </w:rPr>
        <w:noBreakHyphen/>
        <w:t>IORT</w:t>
      </w:r>
      <w:r>
        <w:rPr>
          <w:rFonts w:ascii="Times New Roman" w:hAnsi="Times New Roman"/>
        </w:rPr>
        <w:t>.</w:t>
      </w:r>
    </w:p>
    <w:p w:rsidR="00894E26" w:rsidRDefault="00894E26" w:rsidP="00894E26">
      <w:pPr>
        <w:pStyle w:val="Caption"/>
      </w:pPr>
    </w:p>
    <w:p w:rsidR="00894E26" w:rsidRDefault="00894E26" w:rsidP="00894E26">
      <w:pPr>
        <w:pStyle w:val="Caption"/>
      </w:pPr>
      <w:r w:rsidRPr="00730F25">
        <w:t xml:space="preserve">Estimated eligible population of patients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000" w:firstRow="0" w:lastRow="0" w:firstColumn="0" w:lastColumn="0" w:noHBand="0" w:noVBand="0"/>
      </w:tblPr>
      <w:tblGrid>
        <w:gridCol w:w="4384"/>
        <w:gridCol w:w="984"/>
        <w:gridCol w:w="985"/>
        <w:gridCol w:w="985"/>
        <w:gridCol w:w="985"/>
        <w:gridCol w:w="983"/>
      </w:tblGrid>
      <w:tr w:rsidR="00894E26" w:rsidRPr="000E678F" w:rsidTr="000C1463">
        <w:trPr>
          <w:tblHeader/>
        </w:trPr>
        <w:tc>
          <w:tcPr>
            <w:tcW w:w="2356" w:type="pct"/>
            <w:tcBorders>
              <w:bottom w:val="single" w:sz="4" w:space="0" w:color="auto"/>
            </w:tcBorders>
          </w:tcPr>
          <w:p w:rsidR="00894E26" w:rsidRPr="000E678F" w:rsidRDefault="00894E26" w:rsidP="000C1463">
            <w:pPr>
              <w:pStyle w:val="Tabletextboldleft"/>
              <w:spacing w:before="20" w:after="20"/>
            </w:pPr>
            <w:r w:rsidRPr="000E678F">
              <w:t>Description</w:t>
            </w:r>
          </w:p>
        </w:tc>
        <w:tc>
          <w:tcPr>
            <w:tcW w:w="529" w:type="pct"/>
            <w:tcBorders>
              <w:bottom w:val="single" w:sz="4" w:space="0" w:color="auto"/>
            </w:tcBorders>
          </w:tcPr>
          <w:p w:rsidR="00894E26" w:rsidRPr="000E678F" w:rsidRDefault="00894E26" w:rsidP="000C1463">
            <w:pPr>
              <w:pStyle w:val="Tabletextbold"/>
              <w:spacing w:before="20" w:after="20"/>
              <w:jc w:val="right"/>
            </w:pPr>
            <w:r w:rsidRPr="000E678F">
              <w:t>2015</w:t>
            </w:r>
          </w:p>
        </w:tc>
        <w:tc>
          <w:tcPr>
            <w:tcW w:w="529" w:type="pct"/>
            <w:tcBorders>
              <w:bottom w:val="single" w:sz="4" w:space="0" w:color="auto"/>
            </w:tcBorders>
          </w:tcPr>
          <w:p w:rsidR="00894E26" w:rsidRPr="000E678F" w:rsidRDefault="00894E26" w:rsidP="000C1463">
            <w:pPr>
              <w:pStyle w:val="Tabletextbold"/>
              <w:spacing w:before="20" w:after="20"/>
              <w:jc w:val="right"/>
            </w:pPr>
            <w:r w:rsidRPr="000E678F">
              <w:t>2016</w:t>
            </w:r>
          </w:p>
        </w:tc>
        <w:tc>
          <w:tcPr>
            <w:tcW w:w="529" w:type="pct"/>
            <w:tcBorders>
              <w:bottom w:val="single" w:sz="4" w:space="0" w:color="auto"/>
            </w:tcBorders>
          </w:tcPr>
          <w:p w:rsidR="00894E26" w:rsidRPr="000E678F" w:rsidRDefault="00894E26" w:rsidP="000C1463">
            <w:pPr>
              <w:pStyle w:val="Tabletextbold"/>
              <w:spacing w:before="20" w:after="20"/>
              <w:jc w:val="right"/>
            </w:pPr>
            <w:r w:rsidRPr="000E678F">
              <w:t>2017</w:t>
            </w:r>
          </w:p>
        </w:tc>
        <w:tc>
          <w:tcPr>
            <w:tcW w:w="529" w:type="pct"/>
            <w:tcBorders>
              <w:bottom w:val="single" w:sz="4" w:space="0" w:color="auto"/>
            </w:tcBorders>
          </w:tcPr>
          <w:p w:rsidR="00894E26" w:rsidRPr="000E678F" w:rsidRDefault="00894E26" w:rsidP="000C1463">
            <w:pPr>
              <w:pStyle w:val="Tabletextbold"/>
              <w:spacing w:before="20" w:after="20"/>
              <w:jc w:val="right"/>
            </w:pPr>
            <w:r w:rsidRPr="000E678F">
              <w:t>2018</w:t>
            </w:r>
          </w:p>
        </w:tc>
        <w:tc>
          <w:tcPr>
            <w:tcW w:w="529" w:type="pct"/>
            <w:tcBorders>
              <w:bottom w:val="single" w:sz="4" w:space="0" w:color="auto"/>
            </w:tcBorders>
          </w:tcPr>
          <w:p w:rsidR="00894E26" w:rsidRPr="000E678F" w:rsidRDefault="00894E26" w:rsidP="000C1463">
            <w:pPr>
              <w:pStyle w:val="Tabletextbold"/>
              <w:spacing w:before="20" w:after="20"/>
              <w:jc w:val="right"/>
            </w:pPr>
            <w:r w:rsidRPr="000E678F">
              <w:t>2019</w:t>
            </w:r>
          </w:p>
        </w:tc>
      </w:tr>
      <w:tr w:rsidR="00894E26" w:rsidRPr="000E678F" w:rsidTr="000C1463">
        <w:trPr>
          <w:trHeight w:val="36"/>
        </w:trPr>
        <w:tc>
          <w:tcPr>
            <w:tcW w:w="2356" w:type="pct"/>
          </w:tcPr>
          <w:p w:rsidR="00894E26" w:rsidRPr="000E678F" w:rsidRDefault="00894E26" w:rsidP="000C1463">
            <w:pPr>
              <w:pStyle w:val="Tabletext"/>
              <w:spacing w:before="20" w:after="20"/>
            </w:pPr>
            <w:r>
              <w:rPr>
                <w:bCs/>
              </w:rPr>
              <w:t xml:space="preserve">Number of </w:t>
            </w:r>
            <w:r w:rsidRPr="000E678F">
              <w:rPr>
                <w:bCs/>
              </w:rPr>
              <w:t xml:space="preserve">T-IORT </w:t>
            </w:r>
            <w:r>
              <w:rPr>
                <w:bCs/>
              </w:rPr>
              <w:t xml:space="preserve">procedures </w:t>
            </w:r>
            <w:r w:rsidRPr="000E678F">
              <w:rPr>
                <w:bCs/>
              </w:rPr>
              <w:t>- based on 10% annual growth of BCS</w:t>
            </w:r>
          </w:p>
        </w:tc>
        <w:tc>
          <w:tcPr>
            <w:tcW w:w="529" w:type="pct"/>
          </w:tcPr>
          <w:p w:rsidR="00894E26" w:rsidRPr="000E678F" w:rsidRDefault="00894E26" w:rsidP="000C1463">
            <w:pPr>
              <w:pStyle w:val="Tabletext"/>
              <w:spacing w:before="20" w:after="20"/>
              <w:jc w:val="right"/>
              <w:rPr>
                <w:color w:val="000000"/>
              </w:rPr>
            </w:pPr>
            <w:r w:rsidRPr="000E678F">
              <w:rPr>
                <w:color w:val="000000"/>
              </w:rPr>
              <w:t>198</w:t>
            </w:r>
          </w:p>
        </w:tc>
        <w:tc>
          <w:tcPr>
            <w:tcW w:w="529" w:type="pct"/>
          </w:tcPr>
          <w:p w:rsidR="00894E26" w:rsidRPr="000E678F" w:rsidRDefault="00894E26" w:rsidP="000C1463">
            <w:pPr>
              <w:pStyle w:val="Tabletext"/>
              <w:spacing w:before="20" w:after="20"/>
              <w:jc w:val="right"/>
              <w:rPr>
                <w:color w:val="000000"/>
              </w:rPr>
            </w:pPr>
            <w:r w:rsidRPr="000E678F">
              <w:rPr>
                <w:color w:val="000000"/>
              </w:rPr>
              <w:t>436</w:t>
            </w:r>
          </w:p>
        </w:tc>
        <w:tc>
          <w:tcPr>
            <w:tcW w:w="529" w:type="pct"/>
          </w:tcPr>
          <w:p w:rsidR="00894E26" w:rsidRPr="000E678F" w:rsidRDefault="00894E26" w:rsidP="000C1463">
            <w:pPr>
              <w:pStyle w:val="Tabletext"/>
              <w:spacing w:before="20" w:after="20"/>
              <w:jc w:val="right"/>
              <w:rPr>
                <w:color w:val="000000"/>
              </w:rPr>
            </w:pPr>
            <w:r w:rsidRPr="000E678F">
              <w:rPr>
                <w:color w:val="000000"/>
              </w:rPr>
              <w:t>970</w:t>
            </w:r>
          </w:p>
        </w:tc>
        <w:tc>
          <w:tcPr>
            <w:tcW w:w="529" w:type="pct"/>
          </w:tcPr>
          <w:p w:rsidR="00894E26" w:rsidRPr="000E678F" w:rsidRDefault="00894E26" w:rsidP="000C1463">
            <w:pPr>
              <w:pStyle w:val="Tabletext"/>
              <w:spacing w:before="20" w:after="20"/>
              <w:jc w:val="right"/>
              <w:rPr>
                <w:color w:val="000000"/>
              </w:rPr>
            </w:pPr>
            <w:r w:rsidRPr="000E678F">
              <w:rPr>
                <w:color w:val="000000"/>
              </w:rPr>
              <w:t>2</w:t>
            </w:r>
            <w:r>
              <w:rPr>
                <w:color w:val="000000"/>
              </w:rPr>
              <w:t>,</w:t>
            </w:r>
            <w:r w:rsidRPr="000E678F">
              <w:rPr>
                <w:color w:val="000000"/>
              </w:rPr>
              <w:t>133</w:t>
            </w:r>
          </w:p>
        </w:tc>
        <w:tc>
          <w:tcPr>
            <w:tcW w:w="529" w:type="pct"/>
          </w:tcPr>
          <w:p w:rsidR="00894E26" w:rsidRPr="000E678F" w:rsidRDefault="00894E26" w:rsidP="000C1463">
            <w:pPr>
              <w:pStyle w:val="Tabletext"/>
              <w:spacing w:before="20" w:after="20"/>
              <w:jc w:val="right"/>
              <w:rPr>
                <w:color w:val="000000"/>
              </w:rPr>
            </w:pPr>
            <w:r w:rsidRPr="000E678F">
              <w:rPr>
                <w:color w:val="000000"/>
              </w:rPr>
              <w:t>4</w:t>
            </w:r>
            <w:r>
              <w:rPr>
                <w:color w:val="000000"/>
              </w:rPr>
              <w:t>,</w:t>
            </w:r>
            <w:r w:rsidRPr="000E678F">
              <w:rPr>
                <w:color w:val="000000"/>
              </w:rPr>
              <w:t>759</w:t>
            </w:r>
          </w:p>
        </w:tc>
      </w:tr>
      <w:tr w:rsidR="00894E26" w:rsidRPr="000E678F" w:rsidTr="000C1463">
        <w:trPr>
          <w:trHeight w:val="144"/>
        </w:trPr>
        <w:tc>
          <w:tcPr>
            <w:tcW w:w="2356" w:type="pct"/>
          </w:tcPr>
          <w:p w:rsidR="00894E26" w:rsidRPr="000E678F" w:rsidRDefault="00894E26" w:rsidP="000C1463">
            <w:pPr>
              <w:pStyle w:val="Tabletext"/>
              <w:spacing w:before="20" w:after="20"/>
              <w:rPr>
                <w:bCs/>
              </w:rPr>
            </w:pPr>
            <w:r>
              <w:rPr>
                <w:bCs/>
              </w:rPr>
              <w:t xml:space="preserve">Number of </w:t>
            </w:r>
            <w:r w:rsidRPr="000E678F">
              <w:rPr>
                <w:bCs/>
              </w:rPr>
              <w:t>T-IORT</w:t>
            </w:r>
            <w:r>
              <w:rPr>
                <w:bCs/>
              </w:rPr>
              <w:t xml:space="preserve"> procedures</w:t>
            </w:r>
            <w:r w:rsidRPr="000E678F">
              <w:rPr>
                <w:bCs/>
              </w:rPr>
              <w:t xml:space="preserve"> - based on 5% annual growth of BCS</w:t>
            </w:r>
          </w:p>
        </w:tc>
        <w:tc>
          <w:tcPr>
            <w:tcW w:w="529" w:type="pct"/>
          </w:tcPr>
          <w:p w:rsidR="00894E26" w:rsidRPr="000E678F" w:rsidRDefault="00894E26" w:rsidP="000C1463">
            <w:pPr>
              <w:pStyle w:val="Tabletext"/>
              <w:spacing w:before="20" w:after="20"/>
              <w:jc w:val="right"/>
              <w:rPr>
                <w:color w:val="000000"/>
              </w:rPr>
            </w:pPr>
            <w:r w:rsidRPr="000E678F">
              <w:rPr>
                <w:color w:val="000000"/>
              </w:rPr>
              <w:t>181</w:t>
            </w:r>
          </w:p>
        </w:tc>
        <w:tc>
          <w:tcPr>
            <w:tcW w:w="529" w:type="pct"/>
          </w:tcPr>
          <w:p w:rsidR="00894E26" w:rsidRPr="000E678F" w:rsidRDefault="00894E26" w:rsidP="000C1463">
            <w:pPr>
              <w:pStyle w:val="Tabletext"/>
              <w:spacing w:before="20" w:after="20"/>
              <w:jc w:val="right"/>
              <w:rPr>
                <w:color w:val="000000"/>
              </w:rPr>
            </w:pPr>
            <w:r w:rsidRPr="000E678F">
              <w:rPr>
                <w:color w:val="000000"/>
              </w:rPr>
              <w:t>379</w:t>
            </w:r>
          </w:p>
        </w:tc>
        <w:tc>
          <w:tcPr>
            <w:tcW w:w="529" w:type="pct"/>
          </w:tcPr>
          <w:p w:rsidR="00894E26" w:rsidRPr="000E678F" w:rsidRDefault="00894E26" w:rsidP="000C1463">
            <w:pPr>
              <w:pStyle w:val="Tabletext"/>
              <w:spacing w:before="20" w:after="20"/>
              <w:jc w:val="right"/>
              <w:rPr>
                <w:color w:val="000000"/>
              </w:rPr>
            </w:pPr>
            <w:r w:rsidRPr="000E678F">
              <w:rPr>
                <w:color w:val="000000"/>
              </w:rPr>
              <w:t>805</w:t>
            </w:r>
          </w:p>
        </w:tc>
        <w:tc>
          <w:tcPr>
            <w:tcW w:w="529" w:type="pct"/>
          </w:tcPr>
          <w:p w:rsidR="00894E26" w:rsidRPr="000E678F" w:rsidRDefault="00894E26" w:rsidP="000C1463">
            <w:pPr>
              <w:pStyle w:val="Tabletext"/>
              <w:spacing w:before="20" w:after="20"/>
              <w:jc w:val="right"/>
              <w:rPr>
                <w:color w:val="000000"/>
              </w:rPr>
            </w:pPr>
            <w:r w:rsidRPr="000E678F">
              <w:rPr>
                <w:color w:val="000000"/>
              </w:rPr>
              <w:t>1</w:t>
            </w:r>
            <w:r>
              <w:rPr>
                <w:color w:val="000000"/>
              </w:rPr>
              <w:t>,</w:t>
            </w:r>
            <w:r w:rsidRPr="000E678F">
              <w:rPr>
                <w:color w:val="000000"/>
              </w:rPr>
              <w:t>691</w:t>
            </w:r>
          </w:p>
        </w:tc>
        <w:tc>
          <w:tcPr>
            <w:tcW w:w="529" w:type="pct"/>
          </w:tcPr>
          <w:p w:rsidR="00894E26" w:rsidRPr="000E678F" w:rsidRDefault="00894E26" w:rsidP="000C1463">
            <w:pPr>
              <w:pStyle w:val="Tabletext"/>
              <w:spacing w:before="20" w:after="20"/>
              <w:jc w:val="right"/>
              <w:rPr>
                <w:color w:val="000000"/>
              </w:rPr>
            </w:pPr>
            <w:r w:rsidRPr="000E678F">
              <w:rPr>
                <w:color w:val="000000"/>
              </w:rPr>
              <w:t>3</w:t>
            </w:r>
            <w:r>
              <w:rPr>
                <w:color w:val="000000"/>
              </w:rPr>
              <w:t>,</w:t>
            </w:r>
            <w:r w:rsidRPr="000E678F">
              <w:rPr>
                <w:color w:val="000000"/>
              </w:rPr>
              <w:t>600</w:t>
            </w:r>
          </w:p>
        </w:tc>
      </w:tr>
      <w:tr w:rsidR="00894E26" w:rsidRPr="000E678F" w:rsidTr="000C1463">
        <w:trPr>
          <w:trHeight w:val="28"/>
        </w:trPr>
        <w:tc>
          <w:tcPr>
            <w:tcW w:w="2356" w:type="pct"/>
          </w:tcPr>
          <w:p w:rsidR="00894E26" w:rsidRDefault="00894E26" w:rsidP="000C1463">
            <w:pPr>
              <w:pStyle w:val="Tabletext"/>
              <w:spacing w:before="20" w:after="20"/>
              <w:rPr>
                <w:bCs/>
              </w:rPr>
            </w:pPr>
            <w:r w:rsidRPr="00621014">
              <w:t xml:space="preserve">Number of patients swapping mastectomy with </w:t>
            </w:r>
            <w:r>
              <w:t xml:space="preserve">BCS </w:t>
            </w:r>
            <w:r w:rsidRPr="00C52D51">
              <w:rPr>
                <w:vertAlign w:val="superscript"/>
              </w:rPr>
              <w:t>a</w:t>
            </w:r>
          </w:p>
        </w:tc>
        <w:tc>
          <w:tcPr>
            <w:tcW w:w="529" w:type="pct"/>
          </w:tcPr>
          <w:p w:rsidR="00894E26" w:rsidRPr="000E678F" w:rsidRDefault="00894E26" w:rsidP="000C1463">
            <w:pPr>
              <w:pStyle w:val="Tabletext"/>
              <w:spacing w:before="20" w:after="20"/>
              <w:jc w:val="right"/>
              <w:rPr>
                <w:color w:val="000000"/>
              </w:rPr>
            </w:pPr>
            <w:r>
              <w:rPr>
                <w:color w:val="000000"/>
              </w:rPr>
              <w:t>0</w:t>
            </w:r>
          </w:p>
        </w:tc>
        <w:tc>
          <w:tcPr>
            <w:tcW w:w="529" w:type="pct"/>
          </w:tcPr>
          <w:p w:rsidR="00894E26" w:rsidRPr="000E678F" w:rsidRDefault="00894E26" w:rsidP="000C1463">
            <w:pPr>
              <w:pStyle w:val="Tabletext"/>
              <w:spacing w:before="20" w:after="20"/>
              <w:jc w:val="right"/>
              <w:rPr>
                <w:color w:val="000000"/>
              </w:rPr>
            </w:pPr>
            <w:r w:rsidRPr="00621014">
              <w:t>41</w:t>
            </w:r>
          </w:p>
        </w:tc>
        <w:tc>
          <w:tcPr>
            <w:tcW w:w="529" w:type="pct"/>
          </w:tcPr>
          <w:p w:rsidR="00894E26" w:rsidRPr="000E678F" w:rsidRDefault="00894E26" w:rsidP="000C1463">
            <w:pPr>
              <w:pStyle w:val="Tabletext"/>
              <w:spacing w:before="20" w:after="20"/>
              <w:jc w:val="right"/>
              <w:rPr>
                <w:color w:val="000000"/>
              </w:rPr>
            </w:pPr>
            <w:r w:rsidRPr="00621014">
              <w:t>120</w:t>
            </w:r>
          </w:p>
        </w:tc>
        <w:tc>
          <w:tcPr>
            <w:tcW w:w="529" w:type="pct"/>
          </w:tcPr>
          <w:p w:rsidR="00894E26" w:rsidRPr="000E678F" w:rsidRDefault="00894E26" w:rsidP="000C1463">
            <w:pPr>
              <w:pStyle w:val="Tabletext"/>
              <w:spacing w:before="20" w:after="20"/>
              <w:jc w:val="right"/>
              <w:rPr>
                <w:color w:val="000000"/>
              </w:rPr>
            </w:pPr>
            <w:r w:rsidRPr="00621014">
              <w:t>280</w:t>
            </w:r>
          </w:p>
        </w:tc>
        <w:tc>
          <w:tcPr>
            <w:tcW w:w="529" w:type="pct"/>
          </w:tcPr>
          <w:p w:rsidR="00894E26" w:rsidRPr="000E678F" w:rsidRDefault="00894E26" w:rsidP="000C1463">
            <w:pPr>
              <w:pStyle w:val="Tabletext"/>
              <w:spacing w:before="20" w:after="20"/>
              <w:jc w:val="right"/>
              <w:rPr>
                <w:color w:val="000000"/>
              </w:rPr>
            </w:pPr>
            <w:r w:rsidRPr="00621014">
              <w:t>489</w:t>
            </w:r>
          </w:p>
        </w:tc>
      </w:tr>
      <w:tr w:rsidR="00894E26" w:rsidRPr="000E678F" w:rsidTr="000C1463">
        <w:trPr>
          <w:trHeight w:val="28"/>
        </w:trPr>
        <w:tc>
          <w:tcPr>
            <w:tcW w:w="2356" w:type="pct"/>
          </w:tcPr>
          <w:p w:rsidR="00894E26" w:rsidRDefault="00894E26" w:rsidP="000C1463">
            <w:pPr>
              <w:pStyle w:val="Tabletext"/>
              <w:spacing w:before="20" w:after="20"/>
              <w:rPr>
                <w:bCs/>
              </w:rPr>
            </w:pPr>
            <w:r w:rsidRPr="00621014">
              <w:t xml:space="preserve">Number of patients swapping mastectomy with </w:t>
            </w:r>
            <w:r>
              <w:t xml:space="preserve">BCS </w:t>
            </w:r>
            <w:r w:rsidRPr="00C52D51">
              <w:rPr>
                <w:vertAlign w:val="superscript"/>
              </w:rPr>
              <w:t>b</w:t>
            </w:r>
          </w:p>
        </w:tc>
        <w:tc>
          <w:tcPr>
            <w:tcW w:w="529" w:type="pct"/>
          </w:tcPr>
          <w:p w:rsidR="00894E26" w:rsidRPr="000E678F" w:rsidRDefault="00894E26" w:rsidP="000C1463">
            <w:pPr>
              <w:pStyle w:val="Tabletext"/>
              <w:spacing w:before="20" w:after="20"/>
              <w:jc w:val="right"/>
              <w:rPr>
                <w:color w:val="000000"/>
              </w:rPr>
            </w:pPr>
            <w:r>
              <w:rPr>
                <w:color w:val="000000"/>
              </w:rPr>
              <w:t>0</w:t>
            </w:r>
          </w:p>
        </w:tc>
        <w:tc>
          <w:tcPr>
            <w:tcW w:w="529" w:type="pct"/>
          </w:tcPr>
          <w:p w:rsidR="00894E26" w:rsidRPr="000E678F" w:rsidRDefault="00894E26" w:rsidP="000C1463">
            <w:pPr>
              <w:pStyle w:val="Tabletext"/>
              <w:spacing w:before="20" w:after="20"/>
              <w:jc w:val="right"/>
              <w:rPr>
                <w:color w:val="000000"/>
              </w:rPr>
            </w:pPr>
            <w:r w:rsidRPr="00621014">
              <w:t>82</w:t>
            </w:r>
          </w:p>
        </w:tc>
        <w:tc>
          <w:tcPr>
            <w:tcW w:w="529" w:type="pct"/>
          </w:tcPr>
          <w:p w:rsidR="00894E26" w:rsidRPr="000E678F" w:rsidRDefault="00894E26" w:rsidP="000C1463">
            <w:pPr>
              <w:pStyle w:val="Tabletext"/>
              <w:spacing w:before="20" w:after="20"/>
              <w:jc w:val="right"/>
              <w:rPr>
                <w:color w:val="000000"/>
              </w:rPr>
            </w:pPr>
            <w:r w:rsidRPr="00621014">
              <w:t>240</w:t>
            </w:r>
          </w:p>
        </w:tc>
        <w:tc>
          <w:tcPr>
            <w:tcW w:w="529" w:type="pct"/>
          </w:tcPr>
          <w:p w:rsidR="00894E26" w:rsidRPr="000E678F" w:rsidRDefault="00894E26" w:rsidP="000C1463">
            <w:pPr>
              <w:pStyle w:val="Tabletext"/>
              <w:spacing w:before="20" w:after="20"/>
              <w:jc w:val="right"/>
              <w:rPr>
                <w:color w:val="000000"/>
              </w:rPr>
            </w:pPr>
            <w:r w:rsidRPr="00621014">
              <w:t>420</w:t>
            </w:r>
          </w:p>
        </w:tc>
        <w:tc>
          <w:tcPr>
            <w:tcW w:w="529" w:type="pct"/>
          </w:tcPr>
          <w:p w:rsidR="00894E26" w:rsidRPr="000E678F" w:rsidRDefault="00894E26" w:rsidP="000C1463">
            <w:pPr>
              <w:pStyle w:val="Tabletext"/>
              <w:spacing w:before="20" w:after="20"/>
              <w:jc w:val="right"/>
              <w:rPr>
                <w:color w:val="000000"/>
              </w:rPr>
            </w:pPr>
            <w:r w:rsidRPr="00621014">
              <w:t>652</w:t>
            </w:r>
          </w:p>
        </w:tc>
      </w:tr>
    </w:tbl>
    <w:p w:rsidR="00894E26" w:rsidRDefault="00894E26" w:rsidP="00894E26">
      <w:pPr>
        <w:pStyle w:val="LastTablefootnote"/>
        <w:spacing w:after="0"/>
        <w:rPr>
          <w:sz w:val="20"/>
          <w:lang w:eastAsia="en-US"/>
        </w:rPr>
      </w:pPr>
      <w:r w:rsidRPr="0058665D">
        <w:rPr>
          <w:sz w:val="20"/>
          <w:lang w:eastAsia="en-US"/>
        </w:rPr>
        <w:t>Abbreviations: BCS; breast conserving surgery; T-IORT; targeted intraoperative radiotherapy.</w:t>
      </w:r>
    </w:p>
    <w:p w:rsidR="00894E26" w:rsidRPr="00893B36" w:rsidRDefault="00894E26" w:rsidP="00894E26">
      <w:pPr>
        <w:pStyle w:val="LastTablefootnote"/>
        <w:spacing w:after="0"/>
        <w:rPr>
          <w:sz w:val="20"/>
          <w:lang w:eastAsia="en-US"/>
        </w:rPr>
      </w:pPr>
      <w:proofErr w:type="gramStart"/>
      <w:r w:rsidRPr="00893B36">
        <w:rPr>
          <w:sz w:val="20"/>
          <w:vertAlign w:val="superscript"/>
          <w:lang w:eastAsia="en-US"/>
        </w:rPr>
        <w:t>a</w:t>
      </w:r>
      <w:proofErr w:type="gramEnd"/>
      <w:r w:rsidRPr="00893B36">
        <w:rPr>
          <w:sz w:val="20"/>
          <w:lang w:eastAsia="en-US"/>
        </w:rPr>
        <w:t xml:space="preserve"> Swapping Scenario 1 assumes 2% in </w:t>
      </w:r>
      <w:r>
        <w:rPr>
          <w:sz w:val="20"/>
          <w:lang w:eastAsia="en-US"/>
        </w:rPr>
        <w:t>Year 2</w:t>
      </w:r>
      <w:r w:rsidRPr="00893B36">
        <w:rPr>
          <w:sz w:val="20"/>
          <w:lang w:eastAsia="en-US"/>
        </w:rPr>
        <w:t xml:space="preserve">, 5% in </w:t>
      </w:r>
      <w:r>
        <w:rPr>
          <w:sz w:val="20"/>
          <w:lang w:eastAsia="en-US"/>
        </w:rPr>
        <w:t>Year 3</w:t>
      </w:r>
      <w:r w:rsidRPr="00893B36">
        <w:rPr>
          <w:sz w:val="20"/>
          <w:lang w:eastAsia="en-US"/>
        </w:rPr>
        <w:t xml:space="preserve">, 10% in </w:t>
      </w:r>
      <w:r>
        <w:rPr>
          <w:sz w:val="20"/>
          <w:lang w:eastAsia="en-US"/>
        </w:rPr>
        <w:t>Year 4</w:t>
      </w:r>
      <w:r w:rsidRPr="00893B36">
        <w:rPr>
          <w:sz w:val="20"/>
          <w:lang w:eastAsia="en-US"/>
        </w:rPr>
        <w:t xml:space="preserve"> and 15% in </w:t>
      </w:r>
      <w:r>
        <w:rPr>
          <w:sz w:val="20"/>
          <w:lang w:eastAsia="en-US"/>
        </w:rPr>
        <w:t>Year 5</w:t>
      </w:r>
      <w:r w:rsidRPr="00893B36">
        <w:rPr>
          <w:sz w:val="20"/>
          <w:lang w:eastAsia="en-US"/>
        </w:rPr>
        <w:t>.</w:t>
      </w:r>
    </w:p>
    <w:p w:rsidR="00894E26" w:rsidRPr="00893B36" w:rsidRDefault="00894E26" w:rsidP="00894E26">
      <w:pPr>
        <w:pStyle w:val="LastTablefootnote"/>
        <w:keepLines w:val="0"/>
        <w:spacing w:after="0"/>
        <w:rPr>
          <w:sz w:val="20"/>
          <w:lang w:eastAsia="en-US"/>
        </w:rPr>
      </w:pPr>
      <w:proofErr w:type="gramStart"/>
      <w:r w:rsidRPr="00893B36">
        <w:rPr>
          <w:sz w:val="20"/>
          <w:vertAlign w:val="superscript"/>
          <w:lang w:eastAsia="en-US"/>
        </w:rPr>
        <w:t>b</w:t>
      </w:r>
      <w:proofErr w:type="gramEnd"/>
      <w:r w:rsidRPr="00893B36">
        <w:rPr>
          <w:sz w:val="20"/>
          <w:lang w:eastAsia="en-US"/>
        </w:rPr>
        <w:t xml:space="preserve"> Swapping Scenario 2 assumes 4% in </w:t>
      </w:r>
      <w:r>
        <w:rPr>
          <w:sz w:val="20"/>
          <w:lang w:eastAsia="en-US"/>
        </w:rPr>
        <w:t>Year 2</w:t>
      </w:r>
      <w:r w:rsidRPr="00893B36">
        <w:rPr>
          <w:sz w:val="20"/>
          <w:lang w:eastAsia="en-US"/>
        </w:rPr>
        <w:t xml:space="preserve">, 10% in </w:t>
      </w:r>
      <w:r>
        <w:rPr>
          <w:sz w:val="20"/>
          <w:lang w:eastAsia="en-US"/>
        </w:rPr>
        <w:t>Year 3</w:t>
      </w:r>
      <w:r w:rsidRPr="00893B36">
        <w:rPr>
          <w:sz w:val="20"/>
          <w:lang w:eastAsia="en-US"/>
        </w:rPr>
        <w:t xml:space="preserve">, 15% in </w:t>
      </w:r>
      <w:r>
        <w:rPr>
          <w:sz w:val="20"/>
          <w:lang w:eastAsia="en-US"/>
        </w:rPr>
        <w:t>Year 4</w:t>
      </w:r>
      <w:r w:rsidRPr="00893B36">
        <w:rPr>
          <w:sz w:val="20"/>
          <w:lang w:eastAsia="en-US"/>
        </w:rPr>
        <w:t xml:space="preserve"> and 20% in </w:t>
      </w:r>
      <w:r>
        <w:rPr>
          <w:sz w:val="20"/>
          <w:lang w:eastAsia="en-US"/>
        </w:rPr>
        <w:t>Year 5</w:t>
      </w:r>
      <w:r w:rsidRPr="00893B36">
        <w:rPr>
          <w:sz w:val="20"/>
          <w:lang w:eastAsia="en-US"/>
        </w:rPr>
        <w:t>.</w:t>
      </w:r>
    </w:p>
    <w:p w:rsidR="00894E26" w:rsidRDefault="00894E26" w:rsidP="00894E26"/>
    <w:p w:rsidR="00894E26" w:rsidRDefault="00894E26" w:rsidP="00894E26">
      <w:r>
        <w:t>The estimated net financial impact to the combined MBS and OPHG budget of</w:t>
      </w:r>
      <w:r w:rsidRPr="00E44B6F">
        <w:t xml:space="preserve"> listing T</w:t>
      </w:r>
      <w:r>
        <w:noBreakHyphen/>
      </w:r>
      <w:r w:rsidRPr="00E44B6F">
        <w:t>IORT for the treatment of early stage breast cancer</w:t>
      </w:r>
      <w:r>
        <w:t xml:space="preserve"> are based on the applicant’s original average cost per patient, and do not use the recalculated costs from the Critique. The applicant did not provide separate estimates of cost to the MBS over time.</w:t>
      </w:r>
    </w:p>
    <w:p w:rsidR="00894E26" w:rsidRPr="001D2DC0" w:rsidRDefault="00894E26" w:rsidP="00894E26"/>
    <w:p w:rsidR="00894E26" w:rsidRPr="00AA01D3" w:rsidRDefault="00894E26" w:rsidP="00894E26">
      <w:pPr>
        <w:pStyle w:val="Caption"/>
      </w:pPr>
      <w:r>
        <w:t>Total MBS and OPHG budget saving in the first 5 years of MBS listing</w:t>
      </w:r>
    </w:p>
    <w:tbl>
      <w:tblPr>
        <w:tblStyle w:val="TableGrid"/>
        <w:tblW w:w="5000" w:type="pct"/>
        <w:tblCellMar>
          <w:left w:w="57" w:type="dxa"/>
          <w:right w:w="57" w:type="dxa"/>
        </w:tblCellMar>
        <w:tblLook w:val="04A0" w:firstRow="1" w:lastRow="0" w:firstColumn="1" w:lastColumn="0" w:noHBand="0" w:noVBand="1"/>
        <w:tblCaption w:val="Total MBS and OPHG budget saving int her first 5 years of MBS listing"/>
      </w:tblPr>
      <w:tblGrid>
        <w:gridCol w:w="3977"/>
        <w:gridCol w:w="1065"/>
        <w:gridCol w:w="1065"/>
        <w:gridCol w:w="1065"/>
        <w:gridCol w:w="1066"/>
        <w:gridCol w:w="1068"/>
      </w:tblGrid>
      <w:tr w:rsidR="00894E26" w:rsidRPr="00007B2D" w:rsidTr="000C1463">
        <w:trPr>
          <w:trHeight w:val="28"/>
          <w:tblHeader/>
        </w:trPr>
        <w:tc>
          <w:tcPr>
            <w:tcW w:w="2136" w:type="pct"/>
            <w:noWrap/>
          </w:tcPr>
          <w:p w:rsidR="00894E26" w:rsidRPr="00CC67BC" w:rsidRDefault="00894E26" w:rsidP="000C1463">
            <w:pPr>
              <w:pStyle w:val="Tabletextboldleft"/>
              <w:spacing w:before="20" w:after="20"/>
            </w:pPr>
            <w:r w:rsidRPr="00CC67BC">
              <w:t>Description</w:t>
            </w:r>
          </w:p>
        </w:tc>
        <w:tc>
          <w:tcPr>
            <w:tcW w:w="572" w:type="pct"/>
            <w:noWrap/>
          </w:tcPr>
          <w:p w:rsidR="00894E26" w:rsidRPr="00CC67BC" w:rsidRDefault="00894E26" w:rsidP="000C1463">
            <w:pPr>
              <w:pStyle w:val="Tabletextbold"/>
              <w:spacing w:before="20" w:after="20"/>
            </w:pPr>
            <w:r w:rsidRPr="00CC67BC">
              <w:t>2015</w:t>
            </w:r>
          </w:p>
        </w:tc>
        <w:tc>
          <w:tcPr>
            <w:tcW w:w="572" w:type="pct"/>
            <w:noWrap/>
          </w:tcPr>
          <w:p w:rsidR="00894E26" w:rsidRPr="00CC67BC" w:rsidRDefault="00894E26" w:rsidP="000C1463">
            <w:pPr>
              <w:pStyle w:val="Tabletextbold"/>
              <w:spacing w:before="20" w:after="20"/>
            </w:pPr>
            <w:r w:rsidRPr="00CC67BC">
              <w:t>2016</w:t>
            </w:r>
          </w:p>
        </w:tc>
        <w:tc>
          <w:tcPr>
            <w:tcW w:w="572" w:type="pct"/>
            <w:noWrap/>
          </w:tcPr>
          <w:p w:rsidR="00894E26" w:rsidRPr="00CC67BC" w:rsidRDefault="00894E26" w:rsidP="000C1463">
            <w:pPr>
              <w:pStyle w:val="Tabletextbold"/>
              <w:spacing w:before="20" w:after="20"/>
            </w:pPr>
            <w:r w:rsidRPr="00CC67BC">
              <w:t>2017</w:t>
            </w:r>
          </w:p>
        </w:tc>
        <w:tc>
          <w:tcPr>
            <w:tcW w:w="573" w:type="pct"/>
            <w:noWrap/>
          </w:tcPr>
          <w:p w:rsidR="00894E26" w:rsidRPr="00CC67BC" w:rsidRDefault="00894E26" w:rsidP="000C1463">
            <w:pPr>
              <w:pStyle w:val="Tabletextbold"/>
              <w:spacing w:before="20" w:after="20"/>
            </w:pPr>
            <w:r w:rsidRPr="00CC67BC">
              <w:t>2018</w:t>
            </w:r>
          </w:p>
        </w:tc>
        <w:tc>
          <w:tcPr>
            <w:tcW w:w="574" w:type="pct"/>
            <w:noWrap/>
          </w:tcPr>
          <w:p w:rsidR="00894E26" w:rsidRPr="00CC67BC" w:rsidRDefault="00894E26" w:rsidP="000C1463">
            <w:pPr>
              <w:pStyle w:val="Tabletextbold"/>
              <w:spacing w:before="20" w:after="20"/>
            </w:pPr>
            <w:r w:rsidRPr="00CC67BC">
              <w:t>2019</w:t>
            </w:r>
          </w:p>
        </w:tc>
      </w:tr>
      <w:tr w:rsidR="00894E26" w:rsidRPr="00007B2D" w:rsidTr="000C1463">
        <w:trPr>
          <w:trHeight w:val="28"/>
        </w:trPr>
        <w:tc>
          <w:tcPr>
            <w:tcW w:w="2136" w:type="pct"/>
            <w:shd w:val="clear" w:color="auto" w:fill="BFBFBF" w:themeFill="background1" w:themeFillShade="BF"/>
            <w:noWrap/>
          </w:tcPr>
          <w:p w:rsidR="00894E26" w:rsidRPr="00CC67BC" w:rsidRDefault="00894E26" w:rsidP="000C1463">
            <w:pPr>
              <w:pStyle w:val="Tabletext"/>
              <w:spacing w:before="20" w:after="20"/>
            </w:pPr>
            <w:r w:rsidRPr="00CC67BC">
              <w:t>Scenario 1</w:t>
            </w: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3" w:type="pct"/>
            <w:shd w:val="clear" w:color="auto" w:fill="BFBFBF" w:themeFill="background1" w:themeFillShade="BF"/>
            <w:noWrap/>
          </w:tcPr>
          <w:p w:rsidR="00894E26" w:rsidRPr="00CC67BC" w:rsidRDefault="00894E26" w:rsidP="000C1463">
            <w:pPr>
              <w:pStyle w:val="Tabletext"/>
              <w:spacing w:before="20" w:after="20"/>
              <w:jc w:val="right"/>
            </w:pPr>
          </w:p>
        </w:tc>
        <w:tc>
          <w:tcPr>
            <w:tcW w:w="574" w:type="pct"/>
            <w:shd w:val="clear" w:color="auto" w:fill="BFBFBF" w:themeFill="background1" w:themeFillShade="BF"/>
            <w:noWrap/>
          </w:tcPr>
          <w:p w:rsidR="00894E26" w:rsidRPr="00CC67BC" w:rsidRDefault="00894E26" w:rsidP="000C1463">
            <w:pPr>
              <w:pStyle w:val="Tabletext"/>
              <w:spacing w:before="20" w:after="20"/>
              <w:jc w:val="right"/>
            </w:pPr>
          </w:p>
        </w:tc>
      </w:tr>
      <w:tr w:rsidR="00894E26" w:rsidRPr="00007B2D" w:rsidTr="000C1463">
        <w:trPr>
          <w:trHeight w:val="28"/>
        </w:trPr>
        <w:tc>
          <w:tcPr>
            <w:tcW w:w="2136" w:type="pct"/>
            <w:noWrap/>
          </w:tcPr>
          <w:p w:rsidR="00894E26" w:rsidRPr="00CC67BC" w:rsidRDefault="00894E26" w:rsidP="000C1463">
            <w:pPr>
              <w:pStyle w:val="Tabletext"/>
              <w:spacing w:before="20" w:after="20"/>
            </w:pPr>
            <w:r w:rsidRPr="00CC67BC">
              <w:t>MBS &amp; OHPG Budget saving – 10% growth of BCS</w:t>
            </w:r>
          </w:p>
        </w:tc>
        <w:tc>
          <w:tcPr>
            <w:tcW w:w="572" w:type="pct"/>
            <w:shd w:val="clear" w:color="auto" w:fill="auto"/>
            <w:noWrap/>
          </w:tcPr>
          <w:p w:rsidR="00894E26" w:rsidRPr="00CC67BC" w:rsidRDefault="00894E26" w:rsidP="000C1463">
            <w:pPr>
              <w:pStyle w:val="Tabletext"/>
              <w:spacing w:before="20" w:after="20"/>
              <w:jc w:val="right"/>
            </w:pPr>
            <w:r w:rsidRPr="00CC67BC">
              <w:t>$1,509,855</w:t>
            </w:r>
          </w:p>
        </w:tc>
        <w:tc>
          <w:tcPr>
            <w:tcW w:w="572" w:type="pct"/>
            <w:shd w:val="clear" w:color="auto" w:fill="auto"/>
            <w:noWrap/>
          </w:tcPr>
          <w:p w:rsidR="00894E26" w:rsidRPr="00CC67BC" w:rsidRDefault="00894E26" w:rsidP="000C1463">
            <w:pPr>
              <w:pStyle w:val="Tabletext"/>
              <w:spacing w:before="20" w:after="20"/>
              <w:jc w:val="right"/>
            </w:pPr>
            <w:r w:rsidRPr="00CC67BC">
              <w:t>$3,324,731</w:t>
            </w:r>
          </w:p>
        </w:tc>
        <w:tc>
          <w:tcPr>
            <w:tcW w:w="572" w:type="pct"/>
            <w:shd w:val="clear" w:color="auto" w:fill="auto"/>
            <w:noWrap/>
          </w:tcPr>
          <w:p w:rsidR="00894E26" w:rsidRPr="00CC67BC" w:rsidRDefault="00894E26" w:rsidP="000C1463">
            <w:pPr>
              <w:pStyle w:val="Tabletext"/>
              <w:spacing w:before="20" w:after="20"/>
              <w:jc w:val="right"/>
            </w:pPr>
            <w:r w:rsidRPr="00CC67BC">
              <w:t>$7,396,764</w:t>
            </w:r>
          </w:p>
        </w:tc>
        <w:tc>
          <w:tcPr>
            <w:tcW w:w="573" w:type="pct"/>
            <w:shd w:val="clear" w:color="auto" w:fill="auto"/>
            <w:noWrap/>
          </w:tcPr>
          <w:p w:rsidR="00894E26" w:rsidRPr="00CC67BC" w:rsidRDefault="00894E26" w:rsidP="000C1463">
            <w:pPr>
              <w:pStyle w:val="Tabletext"/>
              <w:spacing w:before="20" w:after="20"/>
              <w:jc w:val="right"/>
            </w:pPr>
            <w:r w:rsidRPr="00CC67BC">
              <w:t>16,265,255</w:t>
            </w:r>
          </w:p>
        </w:tc>
        <w:tc>
          <w:tcPr>
            <w:tcW w:w="574" w:type="pct"/>
            <w:shd w:val="clear" w:color="auto" w:fill="auto"/>
            <w:noWrap/>
          </w:tcPr>
          <w:p w:rsidR="00894E26" w:rsidRPr="00CC67BC" w:rsidRDefault="00894E26" w:rsidP="000C1463">
            <w:pPr>
              <w:pStyle w:val="Tabletext"/>
              <w:spacing w:before="20" w:after="20"/>
              <w:jc w:val="right"/>
            </w:pPr>
            <w:r w:rsidRPr="00CC67BC">
              <w:t>$36,289,897</w:t>
            </w:r>
          </w:p>
        </w:tc>
      </w:tr>
      <w:tr w:rsidR="00894E26" w:rsidRPr="00007B2D" w:rsidTr="000C1463">
        <w:trPr>
          <w:trHeight w:val="28"/>
        </w:trPr>
        <w:tc>
          <w:tcPr>
            <w:tcW w:w="2136" w:type="pct"/>
            <w:noWrap/>
          </w:tcPr>
          <w:p w:rsidR="00894E26" w:rsidRPr="00CC67BC" w:rsidRDefault="00894E26" w:rsidP="000C1463">
            <w:pPr>
              <w:pStyle w:val="Tabletext"/>
              <w:spacing w:before="20" w:after="20"/>
            </w:pPr>
            <w:r w:rsidRPr="00CC67BC">
              <w:t>MBS &amp; OHPG Budget saving – 5% growth of BCS</w:t>
            </w:r>
          </w:p>
        </w:tc>
        <w:tc>
          <w:tcPr>
            <w:tcW w:w="572" w:type="pct"/>
            <w:noWrap/>
          </w:tcPr>
          <w:p w:rsidR="00894E26" w:rsidRPr="00CC67BC" w:rsidRDefault="00894E26" w:rsidP="000C1463">
            <w:pPr>
              <w:pStyle w:val="Tabletext"/>
              <w:spacing w:before="20" w:after="20"/>
              <w:jc w:val="right"/>
            </w:pPr>
            <w:r w:rsidRPr="00CC67BC">
              <w:t>$1,380,221</w:t>
            </w:r>
          </w:p>
        </w:tc>
        <w:tc>
          <w:tcPr>
            <w:tcW w:w="572" w:type="pct"/>
            <w:noWrap/>
          </w:tcPr>
          <w:p w:rsidR="00894E26" w:rsidRPr="00CC67BC" w:rsidRDefault="00894E26" w:rsidP="000C1463">
            <w:pPr>
              <w:pStyle w:val="Tabletext"/>
              <w:spacing w:before="20" w:after="20"/>
              <w:jc w:val="right"/>
            </w:pPr>
            <w:r w:rsidRPr="00CC67BC">
              <w:t>$2,890,076</w:t>
            </w:r>
          </w:p>
        </w:tc>
        <w:tc>
          <w:tcPr>
            <w:tcW w:w="572" w:type="pct"/>
            <w:noWrap/>
          </w:tcPr>
          <w:p w:rsidR="00894E26" w:rsidRPr="00CC67BC" w:rsidRDefault="00894E26" w:rsidP="000C1463">
            <w:pPr>
              <w:pStyle w:val="Tabletext"/>
              <w:spacing w:before="20" w:after="20"/>
              <w:jc w:val="right"/>
            </w:pPr>
            <w:r w:rsidRPr="00CC67BC">
              <w:t>$6,138,552</w:t>
            </w:r>
          </w:p>
        </w:tc>
        <w:tc>
          <w:tcPr>
            <w:tcW w:w="573" w:type="pct"/>
            <w:noWrap/>
          </w:tcPr>
          <w:p w:rsidR="00894E26" w:rsidRPr="00CC67BC" w:rsidRDefault="00894E26" w:rsidP="000C1463">
            <w:pPr>
              <w:pStyle w:val="Tabletext"/>
              <w:spacing w:before="20" w:after="20"/>
              <w:jc w:val="right"/>
            </w:pPr>
            <w:r w:rsidRPr="00CC67BC">
              <w:t>$12,894,771</w:t>
            </w:r>
          </w:p>
        </w:tc>
        <w:tc>
          <w:tcPr>
            <w:tcW w:w="574" w:type="pct"/>
            <w:noWrap/>
          </w:tcPr>
          <w:p w:rsidR="00894E26" w:rsidRPr="00CC67BC" w:rsidRDefault="00894E26" w:rsidP="000C1463">
            <w:pPr>
              <w:pStyle w:val="Tabletext"/>
              <w:spacing w:before="20" w:after="20"/>
              <w:jc w:val="right"/>
            </w:pPr>
            <w:r w:rsidRPr="00CC67BC">
              <w:t>$27,451,908</w:t>
            </w:r>
          </w:p>
        </w:tc>
      </w:tr>
      <w:tr w:rsidR="00894E26" w:rsidRPr="00007B2D" w:rsidTr="000C1463">
        <w:trPr>
          <w:trHeight w:val="28"/>
        </w:trPr>
        <w:tc>
          <w:tcPr>
            <w:tcW w:w="2136" w:type="pct"/>
            <w:shd w:val="clear" w:color="auto" w:fill="BFBFBF" w:themeFill="background1" w:themeFillShade="BF"/>
            <w:noWrap/>
          </w:tcPr>
          <w:p w:rsidR="00894E26" w:rsidRPr="00CC67BC" w:rsidRDefault="00894E26" w:rsidP="000C1463">
            <w:pPr>
              <w:pStyle w:val="Tabletext"/>
              <w:spacing w:before="20" w:after="20"/>
            </w:pPr>
            <w:r w:rsidRPr="00CC67BC">
              <w:t>Scenario 2</w:t>
            </w: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3" w:type="pct"/>
            <w:shd w:val="clear" w:color="auto" w:fill="BFBFBF" w:themeFill="background1" w:themeFillShade="BF"/>
            <w:noWrap/>
          </w:tcPr>
          <w:p w:rsidR="00894E26" w:rsidRPr="00CC67BC" w:rsidRDefault="00894E26" w:rsidP="000C1463">
            <w:pPr>
              <w:pStyle w:val="Tabletext"/>
              <w:spacing w:before="20" w:after="20"/>
              <w:jc w:val="right"/>
            </w:pPr>
          </w:p>
        </w:tc>
        <w:tc>
          <w:tcPr>
            <w:tcW w:w="574" w:type="pct"/>
            <w:shd w:val="clear" w:color="auto" w:fill="BFBFBF" w:themeFill="background1" w:themeFillShade="BF"/>
            <w:noWrap/>
          </w:tcPr>
          <w:p w:rsidR="00894E26" w:rsidRPr="00CC67BC" w:rsidRDefault="00894E26" w:rsidP="000C1463">
            <w:pPr>
              <w:pStyle w:val="Tabletext"/>
              <w:spacing w:before="20" w:after="20"/>
              <w:jc w:val="right"/>
            </w:pPr>
          </w:p>
        </w:tc>
      </w:tr>
      <w:tr w:rsidR="00894E26" w:rsidRPr="00007B2D" w:rsidTr="000C1463">
        <w:trPr>
          <w:trHeight w:val="28"/>
        </w:trPr>
        <w:tc>
          <w:tcPr>
            <w:tcW w:w="2136" w:type="pct"/>
            <w:noWrap/>
          </w:tcPr>
          <w:p w:rsidR="00894E26" w:rsidRPr="00CC67BC" w:rsidRDefault="00894E26" w:rsidP="000C1463">
            <w:pPr>
              <w:pStyle w:val="Tabletext"/>
              <w:spacing w:before="20" w:after="20"/>
            </w:pPr>
            <w:r w:rsidRPr="00CC67BC">
              <w:t>MBS &amp; OHPG Budget saving – 10% growth of BCS</w:t>
            </w:r>
          </w:p>
        </w:tc>
        <w:tc>
          <w:tcPr>
            <w:tcW w:w="572" w:type="pct"/>
            <w:noWrap/>
          </w:tcPr>
          <w:p w:rsidR="00894E26" w:rsidRPr="00CC67BC" w:rsidRDefault="00894E26" w:rsidP="000C1463">
            <w:pPr>
              <w:pStyle w:val="Tabletext"/>
              <w:spacing w:before="20" w:after="20"/>
              <w:jc w:val="right"/>
            </w:pPr>
            <w:r w:rsidRPr="00CC67BC">
              <w:t>$1,609,126</w:t>
            </w:r>
          </w:p>
        </w:tc>
        <w:tc>
          <w:tcPr>
            <w:tcW w:w="572" w:type="pct"/>
            <w:noWrap/>
          </w:tcPr>
          <w:p w:rsidR="00894E26" w:rsidRPr="00CC67BC" w:rsidRDefault="00894E26" w:rsidP="000C1463">
            <w:pPr>
              <w:pStyle w:val="Tabletext"/>
              <w:spacing w:before="20" w:after="20"/>
              <w:jc w:val="right"/>
            </w:pPr>
            <w:r w:rsidRPr="00CC67BC">
              <w:t>$3,543,328</w:t>
            </w:r>
          </w:p>
        </w:tc>
        <w:tc>
          <w:tcPr>
            <w:tcW w:w="572" w:type="pct"/>
            <w:noWrap/>
          </w:tcPr>
          <w:p w:rsidR="00894E26" w:rsidRPr="00CC67BC" w:rsidRDefault="00894E26" w:rsidP="000C1463">
            <w:pPr>
              <w:pStyle w:val="Tabletext"/>
              <w:spacing w:before="20" w:after="20"/>
              <w:jc w:val="right"/>
            </w:pPr>
            <w:r w:rsidRPr="00CC67BC">
              <w:t>$7,883,093</w:t>
            </w:r>
          </w:p>
        </w:tc>
        <w:tc>
          <w:tcPr>
            <w:tcW w:w="573" w:type="pct"/>
            <w:noWrap/>
          </w:tcPr>
          <w:p w:rsidR="00894E26" w:rsidRPr="00CC67BC" w:rsidRDefault="00894E26" w:rsidP="000C1463">
            <w:pPr>
              <w:pStyle w:val="Tabletext"/>
              <w:spacing w:before="20" w:after="20"/>
              <w:jc w:val="right"/>
            </w:pPr>
            <w:r w:rsidRPr="00CC67BC">
              <w:t>$17,334,678</w:t>
            </w:r>
          </w:p>
        </w:tc>
        <w:tc>
          <w:tcPr>
            <w:tcW w:w="574" w:type="pct"/>
            <w:noWrap/>
          </w:tcPr>
          <w:p w:rsidR="00894E26" w:rsidRPr="00CC67BC" w:rsidRDefault="00894E26" w:rsidP="000C1463">
            <w:pPr>
              <w:pStyle w:val="Tabletext"/>
              <w:spacing w:before="20" w:after="20"/>
              <w:jc w:val="right"/>
            </w:pPr>
            <w:r w:rsidRPr="00CC67BC">
              <w:t>$38,675,917</w:t>
            </w:r>
          </w:p>
        </w:tc>
      </w:tr>
      <w:tr w:rsidR="00894E26" w:rsidRPr="00007B2D" w:rsidTr="000C1463">
        <w:trPr>
          <w:trHeight w:val="140"/>
        </w:trPr>
        <w:tc>
          <w:tcPr>
            <w:tcW w:w="2136" w:type="pct"/>
            <w:noWrap/>
          </w:tcPr>
          <w:p w:rsidR="00894E26" w:rsidRPr="00CC67BC" w:rsidRDefault="00894E26" w:rsidP="000C1463">
            <w:pPr>
              <w:pStyle w:val="Tabletext"/>
              <w:spacing w:before="20" w:after="20"/>
            </w:pPr>
            <w:r w:rsidRPr="00CC67BC">
              <w:t>MBS &amp; OHPG Budget saving – 5% growth of BCS</w:t>
            </w:r>
          </w:p>
        </w:tc>
        <w:tc>
          <w:tcPr>
            <w:tcW w:w="572" w:type="pct"/>
            <w:noWrap/>
          </w:tcPr>
          <w:p w:rsidR="00894E26" w:rsidRPr="00CC67BC" w:rsidRDefault="00894E26" w:rsidP="000C1463">
            <w:pPr>
              <w:pStyle w:val="Tabletext"/>
              <w:spacing w:before="20" w:after="20"/>
              <w:jc w:val="right"/>
            </w:pPr>
            <w:r w:rsidRPr="00CC67BC">
              <w:t>$1,470,969</w:t>
            </w:r>
          </w:p>
        </w:tc>
        <w:tc>
          <w:tcPr>
            <w:tcW w:w="572" w:type="pct"/>
            <w:noWrap/>
          </w:tcPr>
          <w:p w:rsidR="00894E26" w:rsidRPr="00CC67BC" w:rsidRDefault="00894E26" w:rsidP="000C1463">
            <w:pPr>
              <w:pStyle w:val="Tabletext"/>
              <w:spacing w:before="20" w:after="20"/>
              <w:jc w:val="right"/>
            </w:pPr>
            <w:r w:rsidRPr="00CC67BC">
              <w:t>$3,080,095</w:t>
            </w:r>
          </w:p>
        </w:tc>
        <w:tc>
          <w:tcPr>
            <w:tcW w:w="572" w:type="pct"/>
            <w:noWrap/>
          </w:tcPr>
          <w:p w:rsidR="00894E26" w:rsidRPr="00CC67BC" w:rsidRDefault="00894E26" w:rsidP="000C1463">
            <w:pPr>
              <w:pStyle w:val="Tabletext"/>
              <w:spacing w:before="20" w:after="20"/>
              <w:jc w:val="right"/>
            </w:pPr>
            <w:r w:rsidRPr="00CC67BC">
              <w:t>$6,542,155</w:t>
            </w:r>
          </w:p>
        </w:tc>
        <w:tc>
          <w:tcPr>
            <w:tcW w:w="573" w:type="pct"/>
            <w:noWrap/>
          </w:tcPr>
          <w:p w:rsidR="00894E26" w:rsidRPr="00CC67BC" w:rsidRDefault="00894E26" w:rsidP="000C1463">
            <w:pPr>
              <w:pStyle w:val="Tabletext"/>
              <w:spacing w:before="20" w:after="20"/>
              <w:jc w:val="right"/>
            </w:pPr>
            <w:r w:rsidRPr="00CC67BC">
              <w:t>$13,742,588</w:t>
            </w:r>
          </w:p>
        </w:tc>
        <w:tc>
          <w:tcPr>
            <w:tcW w:w="574" w:type="pct"/>
            <w:noWrap/>
          </w:tcPr>
          <w:p w:rsidR="00894E26" w:rsidRPr="00CC67BC" w:rsidRDefault="00894E26" w:rsidP="000C1463">
            <w:pPr>
              <w:pStyle w:val="Tabletext"/>
              <w:spacing w:before="20" w:after="20"/>
              <w:jc w:val="right"/>
            </w:pPr>
            <w:r w:rsidRPr="00CC67BC">
              <w:t>$29,256,840</w:t>
            </w:r>
          </w:p>
        </w:tc>
      </w:tr>
      <w:tr w:rsidR="00894E26" w:rsidRPr="00007B2D" w:rsidTr="000C1463">
        <w:trPr>
          <w:trHeight w:val="28"/>
        </w:trPr>
        <w:tc>
          <w:tcPr>
            <w:tcW w:w="2136" w:type="pct"/>
            <w:shd w:val="clear" w:color="auto" w:fill="BFBFBF" w:themeFill="background1" w:themeFillShade="BF"/>
            <w:noWrap/>
          </w:tcPr>
          <w:p w:rsidR="00894E26" w:rsidRPr="00CC67BC" w:rsidRDefault="00894E26" w:rsidP="000C1463">
            <w:pPr>
              <w:pStyle w:val="Tabletext"/>
              <w:spacing w:before="20" w:after="20"/>
            </w:pPr>
            <w:r w:rsidRPr="00CC67BC">
              <w:t>Scenario 3</w:t>
            </w: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2" w:type="pct"/>
            <w:shd w:val="clear" w:color="auto" w:fill="BFBFBF" w:themeFill="background1" w:themeFillShade="BF"/>
            <w:noWrap/>
          </w:tcPr>
          <w:p w:rsidR="00894E26" w:rsidRPr="00CC67BC" w:rsidRDefault="00894E26" w:rsidP="000C1463">
            <w:pPr>
              <w:pStyle w:val="Tabletext"/>
              <w:spacing w:before="20" w:after="20"/>
              <w:jc w:val="right"/>
            </w:pPr>
          </w:p>
        </w:tc>
        <w:tc>
          <w:tcPr>
            <w:tcW w:w="573" w:type="pct"/>
            <w:shd w:val="clear" w:color="auto" w:fill="BFBFBF" w:themeFill="background1" w:themeFillShade="BF"/>
            <w:noWrap/>
          </w:tcPr>
          <w:p w:rsidR="00894E26" w:rsidRPr="00CC67BC" w:rsidRDefault="00894E26" w:rsidP="000C1463">
            <w:pPr>
              <w:pStyle w:val="Tabletext"/>
              <w:spacing w:before="20" w:after="20"/>
              <w:jc w:val="right"/>
            </w:pPr>
          </w:p>
        </w:tc>
        <w:tc>
          <w:tcPr>
            <w:tcW w:w="574" w:type="pct"/>
            <w:shd w:val="clear" w:color="auto" w:fill="BFBFBF" w:themeFill="background1" w:themeFillShade="BF"/>
            <w:noWrap/>
          </w:tcPr>
          <w:p w:rsidR="00894E26" w:rsidRPr="00CC67BC" w:rsidRDefault="00894E26" w:rsidP="000C1463">
            <w:pPr>
              <w:pStyle w:val="Tabletext"/>
              <w:spacing w:before="20" w:after="20"/>
              <w:jc w:val="right"/>
            </w:pPr>
          </w:p>
        </w:tc>
      </w:tr>
      <w:tr w:rsidR="00894E26" w:rsidRPr="00007B2D" w:rsidTr="000C1463">
        <w:trPr>
          <w:trHeight w:val="28"/>
        </w:trPr>
        <w:tc>
          <w:tcPr>
            <w:tcW w:w="2136" w:type="pct"/>
            <w:noWrap/>
          </w:tcPr>
          <w:p w:rsidR="00894E26" w:rsidRPr="00CC67BC" w:rsidRDefault="00894E26" w:rsidP="000C1463">
            <w:pPr>
              <w:pStyle w:val="Tabletext"/>
              <w:spacing w:before="20" w:after="20"/>
            </w:pPr>
            <w:r w:rsidRPr="00CC67BC">
              <w:t>MBS &amp; OHPG Budget costs</w:t>
            </w:r>
          </w:p>
        </w:tc>
        <w:tc>
          <w:tcPr>
            <w:tcW w:w="572" w:type="pct"/>
            <w:noWrap/>
          </w:tcPr>
          <w:p w:rsidR="00894E26" w:rsidRPr="00CC67BC" w:rsidRDefault="00894E26" w:rsidP="000C1463">
            <w:pPr>
              <w:pStyle w:val="Tabletext"/>
              <w:spacing w:before="20" w:after="20"/>
              <w:jc w:val="right"/>
            </w:pPr>
            <w:r w:rsidRPr="00CC67BC">
              <w:t>$0</w:t>
            </w:r>
          </w:p>
        </w:tc>
        <w:tc>
          <w:tcPr>
            <w:tcW w:w="572" w:type="pct"/>
            <w:noWrap/>
          </w:tcPr>
          <w:p w:rsidR="00894E26" w:rsidRPr="00CC67BC" w:rsidRDefault="00894E26" w:rsidP="000C1463">
            <w:pPr>
              <w:pStyle w:val="Tabletext"/>
              <w:spacing w:before="20" w:after="20"/>
              <w:jc w:val="right"/>
            </w:pPr>
            <w:r w:rsidRPr="00CC67BC">
              <w:t>$45,364</w:t>
            </w:r>
          </w:p>
        </w:tc>
        <w:tc>
          <w:tcPr>
            <w:tcW w:w="572" w:type="pct"/>
            <w:noWrap/>
          </w:tcPr>
          <w:p w:rsidR="00894E26" w:rsidRPr="00CC67BC" w:rsidRDefault="00894E26" w:rsidP="000C1463">
            <w:pPr>
              <w:pStyle w:val="Tabletext"/>
              <w:spacing w:before="20" w:after="20"/>
              <w:jc w:val="right"/>
            </w:pPr>
            <w:r w:rsidRPr="00CC67BC">
              <w:t>$132,772</w:t>
            </w:r>
          </w:p>
        </w:tc>
        <w:tc>
          <w:tcPr>
            <w:tcW w:w="573" w:type="pct"/>
            <w:noWrap/>
          </w:tcPr>
          <w:p w:rsidR="00894E26" w:rsidRPr="00CC67BC" w:rsidRDefault="00894E26" w:rsidP="000C1463">
            <w:pPr>
              <w:pStyle w:val="Tabletext"/>
              <w:spacing w:before="20" w:after="20"/>
              <w:jc w:val="right"/>
            </w:pPr>
            <w:r w:rsidRPr="00CC67BC">
              <w:t>$309,800</w:t>
            </w:r>
          </w:p>
        </w:tc>
        <w:tc>
          <w:tcPr>
            <w:tcW w:w="574" w:type="pct"/>
            <w:noWrap/>
          </w:tcPr>
          <w:p w:rsidR="00894E26" w:rsidRPr="00CC67BC" w:rsidRDefault="00894E26" w:rsidP="000C1463">
            <w:pPr>
              <w:pStyle w:val="Tabletext"/>
              <w:spacing w:before="20" w:after="20"/>
              <w:jc w:val="right"/>
            </w:pPr>
            <w:r w:rsidRPr="00CC67BC">
              <w:t>$541,044</w:t>
            </w:r>
          </w:p>
        </w:tc>
      </w:tr>
    </w:tbl>
    <w:p w:rsidR="00894E26" w:rsidRPr="00D12746" w:rsidRDefault="00894E26" w:rsidP="00894E26">
      <w:pPr>
        <w:pStyle w:val="Tablefootnotes"/>
        <w:keepNext w:val="0"/>
        <w:keepLines w:val="0"/>
        <w:rPr>
          <w:sz w:val="20"/>
        </w:rPr>
      </w:pPr>
      <w:r w:rsidRPr="0058665D">
        <w:rPr>
          <w:sz w:val="20"/>
        </w:rPr>
        <w:t xml:space="preserve">Abbreviations: </w:t>
      </w:r>
      <w:r>
        <w:rPr>
          <w:sz w:val="20"/>
        </w:rPr>
        <w:t xml:space="preserve">BCS, breast conserving surgery; </w:t>
      </w:r>
      <w:r w:rsidRPr="0058665D">
        <w:rPr>
          <w:sz w:val="20"/>
        </w:rPr>
        <w:t>MBS, Medicare Benefit</w:t>
      </w:r>
      <w:r>
        <w:rPr>
          <w:sz w:val="20"/>
        </w:rPr>
        <w:t>s</w:t>
      </w:r>
      <w:r w:rsidRPr="0058665D">
        <w:rPr>
          <w:sz w:val="20"/>
        </w:rPr>
        <w:t xml:space="preserve"> Sche</w:t>
      </w:r>
      <w:r>
        <w:rPr>
          <w:sz w:val="20"/>
        </w:rPr>
        <w:t>dule</w:t>
      </w:r>
      <w:r w:rsidRPr="0058665D">
        <w:rPr>
          <w:sz w:val="20"/>
        </w:rPr>
        <w:t xml:space="preserve">; OPHG, </w:t>
      </w:r>
      <w:r>
        <w:rPr>
          <w:sz w:val="20"/>
        </w:rPr>
        <w:t xml:space="preserve">Radiation </w:t>
      </w:r>
      <w:r w:rsidRPr="0058665D">
        <w:rPr>
          <w:sz w:val="20"/>
        </w:rPr>
        <w:t>Oncology Health Program</w:t>
      </w:r>
      <w:r>
        <w:rPr>
          <w:sz w:val="20"/>
        </w:rPr>
        <w:t xml:space="preserve"> Grant; WB-EBRT, whole breast </w:t>
      </w:r>
      <w:r w:rsidRPr="0058665D">
        <w:rPr>
          <w:sz w:val="20"/>
        </w:rPr>
        <w:t>external beam radiotherapy.</w:t>
      </w:r>
    </w:p>
    <w:p w:rsidR="009D1DFA" w:rsidRDefault="009D1DFA" w:rsidP="00D340DE">
      <w:pPr>
        <w:rPr>
          <w:b/>
          <w:szCs w:val="24"/>
        </w:rPr>
      </w:pPr>
    </w:p>
    <w:p w:rsidR="006A0D97" w:rsidRDefault="006A0D97" w:rsidP="006A0D97">
      <w:pPr>
        <w:pStyle w:val="Heading1"/>
        <w:numPr>
          <w:ilvl w:val="0"/>
          <w:numId w:val="23"/>
        </w:numPr>
        <w:ind w:hanging="720"/>
      </w:pPr>
      <w:r w:rsidRPr="006A0D97">
        <w:t>Key issues from ESC for MSAC</w:t>
      </w:r>
    </w:p>
    <w:p w:rsidR="006A0D97" w:rsidRDefault="006A0D97" w:rsidP="006A0D97"/>
    <w:p w:rsidR="00894E26" w:rsidRDefault="00894E26" w:rsidP="00894E26">
      <w:r>
        <w:t>ESC noted the proposed eligible population is a</w:t>
      </w:r>
      <w:r w:rsidRPr="002876BB">
        <w:t xml:space="preserve"> subpopulation of</w:t>
      </w:r>
      <w:r>
        <w:t xml:space="preserve"> the</w:t>
      </w:r>
      <w:r w:rsidRPr="002876BB">
        <w:t xml:space="preserve"> trial population</w:t>
      </w:r>
      <w:r>
        <w:t xml:space="preserve"> (women </w:t>
      </w:r>
      <w:r w:rsidRPr="00D12746">
        <w:t xml:space="preserve">aged over 45 </w:t>
      </w:r>
      <w:r>
        <w:t xml:space="preserve">years; T1 or T2 but less than </w:t>
      </w:r>
      <w:r w:rsidR="00C77052">
        <w:t xml:space="preserve">or equal to </w:t>
      </w:r>
      <w:r>
        <w:t>3cm; grade 1 or 2; node negative and ER positive). There was</w:t>
      </w:r>
      <w:r w:rsidRPr="002876BB">
        <w:t xml:space="preserve"> no subgroup analysis to support safety and efficacy in this population</w:t>
      </w:r>
      <w:r>
        <w:t xml:space="preserve">. </w:t>
      </w:r>
    </w:p>
    <w:p w:rsidR="00894E26" w:rsidRDefault="00894E26" w:rsidP="00894E26"/>
    <w:p w:rsidR="00894E26" w:rsidRDefault="00894E26" w:rsidP="00894E26">
      <w:r>
        <w:lastRenderedPageBreak/>
        <w:t xml:space="preserve">ESC also noted that </w:t>
      </w:r>
      <w:r w:rsidR="00CB11A4">
        <w:t xml:space="preserve">Australian </w:t>
      </w:r>
      <w:r>
        <w:t xml:space="preserve">women </w:t>
      </w:r>
      <w:r w:rsidR="00CB11A4">
        <w:t xml:space="preserve">participating </w:t>
      </w:r>
      <w:r>
        <w:t xml:space="preserve">in the study were </w:t>
      </w:r>
      <w:r w:rsidR="00CB11A4">
        <w:t xml:space="preserve">predominantly </w:t>
      </w:r>
      <w:r>
        <w:t xml:space="preserve">in the post-pathology </w:t>
      </w:r>
      <w:r w:rsidR="00CB11A4">
        <w:t>stratum</w:t>
      </w:r>
      <w:r>
        <w:t xml:space="preserve">, </w:t>
      </w:r>
      <w:r w:rsidR="00C65280">
        <w:t>in which IORT was found to be associated with an increased rate of ipsilateral recurrence compared to WB-EBRT</w:t>
      </w:r>
      <w:r>
        <w:t>.</w:t>
      </w:r>
    </w:p>
    <w:p w:rsidR="00894E26" w:rsidRDefault="00894E26" w:rsidP="00894E26"/>
    <w:p w:rsidR="00990AE2" w:rsidRDefault="00894E26" w:rsidP="00990AE2">
      <w:r w:rsidRPr="003672D6">
        <w:t xml:space="preserve">ESC agreed that </w:t>
      </w:r>
      <w:r>
        <w:t>the MBS item descriptor should align with the i</w:t>
      </w:r>
      <w:r w:rsidRPr="003672D6">
        <w:t>nclusion criteria for</w:t>
      </w:r>
      <w:r>
        <w:t xml:space="preserve"> the</w:t>
      </w:r>
      <w:r w:rsidRPr="003672D6">
        <w:t xml:space="preserve"> </w:t>
      </w:r>
      <w:r>
        <w:t xml:space="preserve">key </w:t>
      </w:r>
      <w:r w:rsidRPr="003672D6">
        <w:t>trial</w:t>
      </w:r>
      <w:r>
        <w:t>.</w:t>
      </w:r>
    </w:p>
    <w:p w:rsidR="002300A5" w:rsidRPr="009D53B5" w:rsidRDefault="002300A5" w:rsidP="00990AE2"/>
    <w:p w:rsidR="00894E26" w:rsidRDefault="00894E26" w:rsidP="00894E26">
      <w:r>
        <w:t xml:space="preserve">ESC considered that the evidence did not support the post-pathology use of </w:t>
      </w:r>
      <w:r w:rsidRPr="002876BB">
        <w:t xml:space="preserve">T-IORT </w:t>
      </w:r>
      <w:r>
        <w:t xml:space="preserve">as it was </w:t>
      </w:r>
      <w:r w:rsidR="00C65280">
        <w:t>less</w:t>
      </w:r>
      <w:r>
        <w:t xml:space="preserve"> </w:t>
      </w:r>
      <w:r w:rsidRPr="002876BB">
        <w:t xml:space="preserve">effective </w:t>
      </w:r>
      <w:r w:rsidR="00C65280">
        <w:t xml:space="preserve">than WB-EBRT </w:t>
      </w:r>
      <w:r w:rsidRPr="002876BB">
        <w:t>in reducing local recurrence</w:t>
      </w:r>
      <w:r>
        <w:t>.</w:t>
      </w:r>
    </w:p>
    <w:p w:rsidR="00894E26" w:rsidRDefault="00894E26" w:rsidP="00894E26"/>
    <w:p w:rsidR="00894E26" w:rsidRDefault="00894E26" w:rsidP="00894E26">
      <w:r w:rsidRPr="0030316C">
        <w:t>ESC noted that the median follow</w:t>
      </w:r>
      <w:r>
        <w:t>-</w:t>
      </w:r>
      <w:r w:rsidRPr="0030316C">
        <w:t>up time in the trial was two years and five months. ESC was concerned that the short duration of follow</w:t>
      </w:r>
      <w:r>
        <w:t>-</w:t>
      </w:r>
      <w:r w:rsidRPr="0030316C">
        <w:t>up may not be sufficient</w:t>
      </w:r>
      <w:r w:rsidR="00C65280">
        <w:t>ly long</w:t>
      </w:r>
      <w:r w:rsidRPr="0030316C">
        <w:t xml:space="preserve"> for </w:t>
      </w:r>
      <w:r w:rsidR="00C65280">
        <w:t>a meaningful evaluation</w:t>
      </w:r>
      <w:r w:rsidR="00C65280" w:rsidRPr="0030316C">
        <w:t xml:space="preserve"> </w:t>
      </w:r>
      <w:r w:rsidRPr="0030316C">
        <w:t>of local recurrence and</w:t>
      </w:r>
      <w:r w:rsidR="00C65280">
        <w:t xml:space="preserve"> cancer-related</w:t>
      </w:r>
      <w:r w:rsidRPr="0030316C">
        <w:t xml:space="preserve"> mortality </w:t>
      </w:r>
      <w:r w:rsidR="00C65280">
        <w:t>in this low-risk group</w:t>
      </w:r>
      <w:r w:rsidRPr="0030316C">
        <w:t xml:space="preserve">. </w:t>
      </w:r>
    </w:p>
    <w:p w:rsidR="00894E26" w:rsidRDefault="00894E26" w:rsidP="00894E26"/>
    <w:p w:rsidR="00894E26" w:rsidRPr="0030316C" w:rsidRDefault="00894E26">
      <w:r>
        <w:t xml:space="preserve">ESC also noted the Faculty of Radiation Oncology’s views opposing </w:t>
      </w:r>
      <w:r w:rsidRPr="00D23571">
        <w:t>early adoption without a minimum of 10 years of follow-up data</w:t>
      </w:r>
      <w:r>
        <w:t>.</w:t>
      </w:r>
    </w:p>
    <w:p w:rsidR="00894E26" w:rsidRDefault="00894E26"/>
    <w:p w:rsidR="00894E26" w:rsidRDefault="00894E26" w:rsidP="00AE74D4">
      <w:pPr>
        <w:tabs>
          <w:tab w:val="left" w:pos="720"/>
        </w:tabs>
      </w:pPr>
      <w:r>
        <w:t xml:space="preserve">ESC was concerned that the cost of treatment had been not been calculated consistently in the trial arms. </w:t>
      </w:r>
    </w:p>
    <w:p w:rsidR="002300A5" w:rsidRPr="00303441" w:rsidRDefault="002300A5" w:rsidP="00AE74D4">
      <w:pPr>
        <w:tabs>
          <w:tab w:val="left" w:pos="720"/>
        </w:tabs>
      </w:pPr>
    </w:p>
    <w:p w:rsidR="00C27C95" w:rsidRPr="00C27C95" w:rsidRDefault="00C27C95" w:rsidP="002E17C3">
      <w:pPr>
        <w:pStyle w:val="CommentText"/>
        <w:rPr>
          <w:sz w:val="24"/>
          <w:szCs w:val="24"/>
        </w:rPr>
      </w:pPr>
      <w:r>
        <w:rPr>
          <w:sz w:val="24"/>
          <w:szCs w:val="24"/>
        </w:rPr>
        <w:t xml:space="preserve">However, ESC noted that </w:t>
      </w:r>
      <w:r w:rsidRPr="00C27C95">
        <w:rPr>
          <w:sz w:val="24"/>
          <w:szCs w:val="24"/>
        </w:rPr>
        <w:t>mortality within each group (whether overall or cancer-related) was not significantly different between IORT &amp; WB-EBRT, although it conceded that</w:t>
      </w:r>
      <w:r w:rsidR="002E17C3">
        <w:rPr>
          <w:sz w:val="24"/>
          <w:szCs w:val="24"/>
        </w:rPr>
        <w:t xml:space="preserve"> </w:t>
      </w:r>
      <w:r w:rsidR="002300A5">
        <w:rPr>
          <w:sz w:val="24"/>
          <w:szCs w:val="24"/>
        </w:rPr>
        <w:t xml:space="preserve">mortality </w:t>
      </w:r>
      <w:r w:rsidRPr="00C27C95">
        <w:rPr>
          <w:sz w:val="24"/>
          <w:szCs w:val="24"/>
        </w:rPr>
        <w:t>was higher in the pre-path</w:t>
      </w:r>
      <w:r w:rsidR="002E17C3">
        <w:rPr>
          <w:sz w:val="24"/>
          <w:szCs w:val="24"/>
        </w:rPr>
        <w:t>ology</w:t>
      </w:r>
      <w:r w:rsidRPr="00C27C95">
        <w:rPr>
          <w:sz w:val="24"/>
          <w:szCs w:val="24"/>
        </w:rPr>
        <w:t xml:space="preserve"> than the post-path</w:t>
      </w:r>
      <w:r w:rsidR="003351B1">
        <w:rPr>
          <w:sz w:val="24"/>
          <w:szCs w:val="24"/>
        </w:rPr>
        <w:t>ology</w:t>
      </w:r>
      <w:r w:rsidRPr="00C27C95">
        <w:rPr>
          <w:sz w:val="24"/>
          <w:szCs w:val="24"/>
        </w:rPr>
        <w:t xml:space="preserve"> group (</w:t>
      </w:r>
      <w:r>
        <w:rPr>
          <w:sz w:val="24"/>
          <w:szCs w:val="24"/>
        </w:rPr>
        <w:t xml:space="preserve">this is of uncertain </w:t>
      </w:r>
      <w:r w:rsidRPr="00C27C95">
        <w:rPr>
          <w:sz w:val="24"/>
          <w:szCs w:val="24"/>
        </w:rPr>
        <w:t>significan</w:t>
      </w:r>
      <w:r>
        <w:rPr>
          <w:sz w:val="24"/>
          <w:szCs w:val="24"/>
        </w:rPr>
        <w:t>ce</w:t>
      </w:r>
      <w:r w:rsidRPr="00C27C95">
        <w:rPr>
          <w:sz w:val="24"/>
          <w:szCs w:val="24"/>
        </w:rPr>
        <w:t>)</w:t>
      </w:r>
    </w:p>
    <w:p w:rsidR="00894E26" w:rsidRDefault="00894E26" w:rsidP="00894E26"/>
    <w:p w:rsidR="00894E26" w:rsidRDefault="00894E26" w:rsidP="00894E26">
      <w:r>
        <w:t xml:space="preserve">ESC noted that the non-inferiority claim is based on a 2.5% margin. The landscape for the claim of non-inferiority </w:t>
      </w:r>
      <w:r w:rsidR="0034709D">
        <w:t xml:space="preserve">may have </w:t>
      </w:r>
      <w:r>
        <w:t>changed significantly</w:t>
      </w:r>
      <w:r w:rsidR="0034709D">
        <w:t xml:space="preserve"> since this margin was </w:t>
      </w:r>
      <w:r w:rsidR="0034709D" w:rsidRPr="0034709D">
        <w:t xml:space="preserve">based on </w:t>
      </w:r>
      <w:r w:rsidR="0034709D">
        <w:t>an estimated 5-year</w:t>
      </w:r>
      <w:r w:rsidR="0034709D" w:rsidRPr="0034709D">
        <w:t xml:space="preserve"> local recurrence rate of 6%</w:t>
      </w:r>
      <w:r w:rsidR="0034709D">
        <w:t xml:space="preserve"> derived from older trial data</w:t>
      </w:r>
      <w:r>
        <w:t>. The trial star</w:t>
      </w:r>
      <w:r w:rsidRPr="009D53B5">
        <w:t>t</w:t>
      </w:r>
      <w:r>
        <w:t>ed</w:t>
      </w:r>
      <w:r w:rsidRPr="009D53B5">
        <w:t xml:space="preserve"> recruiting patients in </w:t>
      </w:r>
      <w:r>
        <w:t xml:space="preserve">the early </w:t>
      </w:r>
      <w:r w:rsidRPr="009D53B5">
        <w:t xml:space="preserve">2000s </w:t>
      </w:r>
      <w:r>
        <w:t xml:space="preserve">and, over the decade of the </w:t>
      </w:r>
      <w:r w:rsidRPr="009D53B5">
        <w:t>study</w:t>
      </w:r>
      <w:r>
        <w:t>,</w:t>
      </w:r>
      <w:r w:rsidRPr="009D53B5">
        <w:t xml:space="preserve"> outcomes have</w:t>
      </w:r>
      <w:r>
        <w:t xml:space="preserve"> improved. ESC expressed doubt regarding the continued relevance of the 2.5% margin. </w:t>
      </w:r>
    </w:p>
    <w:p w:rsidR="00894E26" w:rsidRDefault="00894E26" w:rsidP="00894E26"/>
    <w:p w:rsidR="00894E26" w:rsidRPr="00D12746" w:rsidRDefault="00894E26" w:rsidP="00894E26">
      <w:r>
        <w:t xml:space="preserve">ESC noted that a cost-minimisation analysis based on the TARGIT-A trial with three scenarios was used. ESC considered that this approach was not appropriate for two of the scenarios (scenario 2 – post-pathology stratum, and scenario 3 - </w:t>
      </w:r>
      <w:r w:rsidRPr="00303441">
        <w:t>subcutaneous mastectomy</w:t>
      </w:r>
      <w:r>
        <w:t xml:space="preserve">), as </w:t>
      </w:r>
      <w:r w:rsidRPr="009D53B5">
        <w:t>non</w:t>
      </w:r>
      <w:r>
        <w:noBreakHyphen/>
      </w:r>
      <w:r w:rsidRPr="009D53B5">
        <w:t xml:space="preserve">inferiority </w:t>
      </w:r>
      <w:r w:rsidR="0034709D">
        <w:t>had</w:t>
      </w:r>
      <w:r w:rsidR="0034709D" w:rsidRPr="009D53B5">
        <w:t xml:space="preserve"> </w:t>
      </w:r>
      <w:r w:rsidRPr="00D12746">
        <w:t>not been demonstrated</w:t>
      </w:r>
      <w:r w:rsidR="0034709D">
        <w:t xml:space="preserve"> for those scenarios</w:t>
      </w:r>
      <w:r w:rsidRPr="00D12746">
        <w:t>.</w:t>
      </w:r>
    </w:p>
    <w:p w:rsidR="00894E26" w:rsidRPr="00D12746" w:rsidRDefault="00894E26" w:rsidP="00894E26"/>
    <w:p w:rsidR="00894E26" w:rsidRDefault="00894E26" w:rsidP="00894E26">
      <w:r w:rsidRPr="00D12746">
        <w:t>ESC was also concerned that there were no pre</w:t>
      </w:r>
      <w:r>
        <w:t>-modelling studies to support some economic claims.</w:t>
      </w:r>
    </w:p>
    <w:p w:rsidR="0034709D" w:rsidRDefault="0034709D" w:rsidP="00894E26"/>
    <w:p w:rsidR="0034709D" w:rsidRDefault="0034709D" w:rsidP="0034709D">
      <w:r>
        <w:t xml:space="preserve">ESC noted that the applicant’s submission was based on the applicant’s preferred protocol which diverges from the advice of the protocol advisory subcommittee (PASC). </w:t>
      </w:r>
    </w:p>
    <w:p w:rsidR="00345141" w:rsidRDefault="00894E26" w:rsidP="00345141">
      <w:r>
        <w:t>ESC noted that the total savings to MBS and health budgets may be over-estimated</w:t>
      </w:r>
      <w:r w:rsidR="0034709D">
        <w:t xml:space="preserve"> </w:t>
      </w:r>
      <w:r w:rsidR="000E39E3">
        <w:t>due to a range of  uncertainties in the estimates of potential utilisation, including:</w:t>
      </w:r>
    </w:p>
    <w:p w:rsidR="00894E26" w:rsidRDefault="00894E26" w:rsidP="002300A5">
      <w:pPr>
        <w:pStyle w:val="ListParagraph"/>
        <w:numPr>
          <w:ilvl w:val="0"/>
          <w:numId w:val="37"/>
        </w:numPr>
      </w:pPr>
      <w:r>
        <w:t>access to services due to substantial capital and service cost for the device;</w:t>
      </w:r>
    </w:p>
    <w:p w:rsidR="00894E26" w:rsidRDefault="00894E26" w:rsidP="00894E26">
      <w:pPr>
        <w:pStyle w:val="ListParagraph"/>
        <w:numPr>
          <w:ilvl w:val="0"/>
          <w:numId w:val="30"/>
        </w:numPr>
        <w:contextualSpacing w:val="0"/>
      </w:pPr>
      <w:r>
        <w:t>capacity of the healthcare system to provide the service;</w:t>
      </w:r>
    </w:p>
    <w:p w:rsidR="00894E26" w:rsidRDefault="00894E26" w:rsidP="00894E26">
      <w:pPr>
        <w:pStyle w:val="ListParagraph"/>
        <w:numPr>
          <w:ilvl w:val="0"/>
          <w:numId w:val="30"/>
        </w:numPr>
        <w:contextualSpacing w:val="0"/>
      </w:pPr>
      <w:r>
        <w:t>patient choice, given the risk of local recurrence with no overall mortality benefit; and</w:t>
      </w:r>
    </w:p>
    <w:p w:rsidR="00894E26" w:rsidRPr="00D23571" w:rsidRDefault="00894E26" w:rsidP="00894E26">
      <w:pPr>
        <w:pStyle w:val="ListParagraph"/>
        <w:numPr>
          <w:ilvl w:val="0"/>
          <w:numId w:val="30"/>
        </w:numPr>
        <w:contextualSpacing w:val="0"/>
      </w:pPr>
      <w:r w:rsidRPr="00D23571">
        <w:t>Australian centres</w:t>
      </w:r>
      <w:r>
        <w:t>’</w:t>
      </w:r>
      <w:r w:rsidRPr="00D23571">
        <w:t>/clinicians</w:t>
      </w:r>
      <w:r>
        <w:t>’</w:t>
      </w:r>
      <w:r w:rsidRPr="00D23571">
        <w:t xml:space="preserve"> </w:t>
      </w:r>
      <w:r>
        <w:t>likelihood of</w:t>
      </w:r>
      <w:r w:rsidRPr="00D23571">
        <w:t xml:space="preserve"> adopt</w:t>
      </w:r>
      <w:r>
        <w:t>ing</w:t>
      </w:r>
      <w:r w:rsidRPr="00D23571">
        <w:t xml:space="preserve"> T-IORT</w:t>
      </w:r>
      <w:r>
        <w:t>,</w:t>
      </w:r>
      <w:r w:rsidRPr="00D23571">
        <w:t xml:space="preserve"> due to the poor performance of the post-pathology stratum (favo</w:t>
      </w:r>
      <w:r>
        <w:t>ured by Australian study sites).</w:t>
      </w:r>
    </w:p>
    <w:p w:rsidR="00894E26" w:rsidRDefault="00894E26" w:rsidP="00894E26"/>
    <w:p w:rsidR="00894E26" w:rsidRPr="00D12746" w:rsidRDefault="00894E26" w:rsidP="002300A5">
      <w:r>
        <w:t xml:space="preserve">ESC noted that the proposed MBS </w:t>
      </w:r>
      <w:r w:rsidRPr="00D12746">
        <w:t xml:space="preserve">item criteria stemmed from the multi-national trial </w:t>
      </w:r>
      <w:r w:rsidR="000E39E3">
        <w:t>upon which</w:t>
      </w:r>
      <w:r w:rsidR="000E39E3" w:rsidRPr="00D12746">
        <w:t xml:space="preserve"> </w:t>
      </w:r>
      <w:r w:rsidRPr="00D12746">
        <w:t xml:space="preserve">this application was based. ESC noted that the trial did not specify peri or post-menopausal women, but that it </w:t>
      </w:r>
      <w:r w:rsidR="000E39E3">
        <w:t>specified women aged 45 years</w:t>
      </w:r>
      <w:r w:rsidR="00324F04">
        <w:t xml:space="preserve"> and over</w:t>
      </w:r>
      <w:r w:rsidRPr="00D12746">
        <w:t xml:space="preserve">. </w:t>
      </w:r>
    </w:p>
    <w:p w:rsidR="002300A5" w:rsidRDefault="002300A5" w:rsidP="002300A5">
      <w:pPr>
        <w:tabs>
          <w:tab w:val="left" w:pos="720"/>
        </w:tabs>
      </w:pPr>
    </w:p>
    <w:p w:rsidR="00894E26" w:rsidRDefault="00894E26" w:rsidP="002300A5">
      <w:pPr>
        <w:tabs>
          <w:tab w:val="left" w:pos="720"/>
        </w:tabs>
      </w:pPr>
      <w:r w:rsidRPr="00D12746">
        <w:t xml:space="preserve">ESC noted that the proposed item descriptor is too </w:t>
      </w:r>
      <w:r>
        <w:t>broad</w:t>
      </w:r>
      <w:r w:rsidRPr="005D6105">
        <w:t xml:space="preserve"> and leaves access open to other forms of IO radiotherapy. </w:t>
      </w:r>
    </w:p>
    <w:p w:rsidR="006A0D97" w:rsidRPr="006A0D97" w:rsidRDefault="006A0D97" w:rsidP="006A0D97"/>
    <w:p w:rsidR="00BC1364" w:rsidRDefault="00BC1364" w:rsidP="00DD2858">
      <w:pPr>
        <w:pStyle w:val="Heading1"/>
        <w:numPr>
          <w:ilvl w:val="0"/>
          <w:numId w:val="23"/>
        </w:numPr>
        <w:ind w:hanging="720"/>
      </w:pPr>
      <w:r w:rsidRPr="008D5885">
        <w:t>Other significant factors</w:t>
      </w:r>
    </w:p>
    <w:p w:rsidR="009D1DFA" w:rsidRDefault="009D1DFA" w:rsidP="009D1DFA"/>
    <w:p w:rsidR="009D1DFA" w:rsidRPr="009D1DFA" w:rsidRDefault="009D1DFA" w:rsidP="009D1DFA">
      <w:proofErr w:type="gramStart"/>
      <w: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0326C9" w:rsidRDefault="00FF7AAF" w:rsidP="00230D6B">
      <w:pPr>
        <w:rPr>
          <w:color w:val="0070C0"/>
          <w:szCs w:val="24"/>
        </w:rPr>
      </w:pPr>
      <w:r w:rsidRPr="002300A5">
        <w:rPr>
          <w:color w:val="000000" w:themeColor="text1"/>
          <w:szCs w:val="24"/>
        </w:rPr>
        <w:t>This Public Summary, due to page limitation constraints, cannot adequately reflect the weight of evidence supporting the use of Targeted intraoperative radiotherapy (T-IORT) for early breast cancer.  Please refer to the two main papers</w:t>
      </w:r>
      <w:r w:rsidR="005758CC" w:rsidRPr="002300A5">
        <w:rPr>
          <w:color w:val="000000" w:themeColor="text1"/>
          <w:szCs w:val="24"/>
        </w:rPr>
        <w:t xml:space="preserve"> published in the Lancet</w:t>
      </w:r>
      <w:r w:rsidRPr="002300A5">
        <w:rPr>
          <w:color w:val="000000" w:themeColor="text1"/>
          <w:szCs w:val="24"/>
        </w:rPr>
        <w:t xml:space="preserve"> reporting on the key clinical trial, TARGIT-A Randomised Trial - Vaidya et al 2010 &amp; Vaidya et al 2014</w:t>
      </w:r>
      <w:r>
        <w:rPr>
          <w:color w:val="0070C0"/>
          <w:szCs w:val="24"/>
        </w:rPr>
        <w:t>.</w:t>
      </w:r>
    </w:p>
    <w:p w:rsidR="000326C9" w:rsidRDefault="000326C9"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9D1DFA">
      <w:headerReference w:type="even" r:id="rId13"/>
      <w:headerReference w:type="default" r:id="rId14"/>
      <w:footerReference w:type="even" r:id="rId15"/>
      <w:footerReference w:type="default" r:id="rId16"/>
      <w:headerReference w:type="first" r:id="rId17"/>
      <w:footerReference w:type="first" r:id="rId18"/>
      <w:pgSz w:w="11906" w:h="16838"/>
      <w:pgMar w:top="851" w:right="1274"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3F" w:rsidRDefault="00545E3F" w:rsidP="00065623">
      <w:r>
        <w:separator/>
      </w:r>
    </w:p>
  </w:endnote>
  <w:endnote w:type="continuationSeparator" w:id="0">
    <w:p w:rsidR="00545E3F" w:rsidRDefault="00545E3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B7" w:rsidRDefault="00982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982AB7" w:rsidRDefault="00982AB7">
        <w:pPr>
          <w:pStyle w:val="Footer"/>
          <w:jc w:val="right"/>
        </w:pPr>
        <w:r>
          <w:fldChar w:fldCharType="begin"/>
        </w:r>
        <w:r>
          <w:instrText xml:space="preserve"> PAGE   \* MERGEFORMAT </w:instrText>
        </w:r>
        <w:r>
          <w:fldChar w:fldCharType="separate"/>
        </w:r>
        <w:r w:rsidR="00695DFA">
          <w:rPr>
            <w:noProof/>
          </w:rPr>
          <w:t>3</w:t>
        </w:r>
        <w:r>
          <w:rPr>
            <w:noProof/>
          </w:rPr>
          <w:fldChar w:fldCharType="end"/>
        </w:r>
      </w:p>
    </w:sdtContent>
  </w:sdt>
  <w:p w:rsidR="00982AB7" w:rsidRDefault="00982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B7" w:rsidRDefault="00982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3F" w:rsidRDefault="00545E3F" w:rsidP="00065623">
      <w:r>
        <w:separator/>
      </w:r>
    </w:p>
  </w:footnote>
  <w:footnote w:type="continuationSeparator" w:id="0">
    <w:p w:rsidR="00545E3F" w:rsidRDefault="00545E3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B7" w:rsidRDefault="00982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B7" w:rsidRDefault="00982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B7" w:rsidRDefault="00982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87619D5"/>
    <w:multiLevelType w:val="hybridMultilevel"/>
    <w:tmpl w:val="0E2C14DA"/>
    <w:lvl w:ilvl="0" w:tplc="6658BF2A">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252EF4"/>
    <w:multiLevelType w:val="hybridMultilevel"/>
    <w:tmpl w:val="0DC8F04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2855A04"/>
    <w:multiLevelType w:val="hybridMultilevel"/>
    <w:tmpl w:val="85FCA99A"/>
    <w:lvl w:ilvl="0" w:tplc="45A64B8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F076FD"/>
    <w:multiLevelType w:val="hybridMultilevel"/>
    <w:tmpl w:val="1C32F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CF2896"/>
    <w:multiLevelType w:val="hybridMultilevel"/>
    <w:tmpl w:val="7444D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265D11"/>
    <w:multiLevelType w:val="hybridMultilevel"/>
    <w:tmpl w:val="5DBC6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48E45EA"/>
    <w:multiLevelType w:val="hybridMultilevel"/>
    <w:tmpl w:val="B2ACE944"/>
    <w:lvl w:ilvl="0" w:tplc="7F7885DC">
      <w:start w:val="1"/>
      <w:numFmt w:val="bullet"/>
      <w:lvlText w:val=""/>
      <w:lvlJc w:val="left"/>
      <w:pPr>
        <w:tabs>
          <w:tab w:val="num" w:pos="720"/>
        </w:tabs>
        <w:ind w:left="720" w:hanging="360"/>
      </w:pPr>
      <w:rPr>
        <w:rFonts w:ascii="Wingdings" w:hAnsi="Wingdings" w:hint="default"/>
      </w:rPr>
    </w:lvl>
    <w:lvl w:ilvl="1" w:tplc="BA3ACCFA" w:tentative="1">
      <w:start w:val="1"/>
      <w:numFmt w:val="bullet"/>
      <w:lvlText w:val=""/>
      <w:lvlJc w:val="left"/>
      <w:pPr>
        <w:tabs>
          <w:tab w:val="num" w:pos="1440"/>
        </w:tabs>
        <w:ind w:left="1440" w:hanging="360"/>
      </w:pPr>
      <w:rPr>
        <w:rFonts w:ascii="Wingdings" w:hAnsi="Wingdings" w:hint="default"/>
      </w:rPr>
    </w:lvl>
    <w:lvl w:ilvl="2" w:tplc="2996DD70" w:tentative="1">
      <w:start w:val="1"/>
      <w:numFmt w:val="bullet"/>
      <w:lvlText w:val=""/>
      <w:lvlJc w:val="left"/>
      <w:pPr>
        <w:tabs>
          <w:tab w:val="num" w:pos="2160"/>
        </w:tabs>
        <w:ind w:left="2160" w:hanging="360"/>
      </w:pPr>
      <w:rPr>
        <w:rFonts w:ascii="Wingdings" w:hAnsi="Wingdings" w:hint="default"/>
      </w:rPr>
    </w:lvl>
    <w:lvl w:ilvl="3" w:tplc="9E98CF44" w:tentative="1">
      <w:start w:val="1"/>
      <w:numFmt w:val="bullet"/>
      <w:lvlText w:val=""/>
      <w:lvlJc w:val="left"/>
      <w:pPr>
        <w:tabs>
          <w:tab w:val="num" w:pos="2880"/>
        </w:tabs>
        <w:ind w:left="2880" w:hanging="360"/>
      </w:pPr>
      <w:rPr>
        <w:rFonts w:ascii="Wingdings" w:hAnsi="Wingdings" w:hint="default"/>
      </w:rPr>
    </w:lvl>
    <w:lvl w:ilvl="4" w:tplc="FBB29E6A" w:tentative="1">
      <w:start w:val="1"/>
      <w:numFmt w:val="bullet"/>
      <w:lvlText w:val=""/>
      <w:lvlJc w:val="left"/>
      <w:pPr>
        <w:tabs>
          <w:tab w:val="num" w:pos="3600"/>
        </w:tabs>
        <w:ind w:left="3600" w:hanging="360"/>
      </w:pPr>
      <w:rPr>
        <w:rFonts w:ascii="Wingdings" w:hAnsi="Wingdings" w:hint="default"/>
      </w:rPr>
    </w:lvl>
    <w:lvl w:ilvl="5" w:tplc="C002A66C" w:tentative="1">
      <w:start w:val="1"/>
      <w:numFmt w:val="bullet"/>
      <w:lvlText w:val=""/>
      <w:lvlJc w:val="left"/>
      <w:pPr>
        <w:tabs>
          <w:tab w:val="num" w:pos="4320"/>
        </w:tabs>
        <w:ind w:left="4320" w:hanging="360"/>
      </w:pPr>
      <w:rPr>
        <w:rFonts w:ascii="Wingdings" w:hAnsi="Wingdings" w:hint="default"/>
      </w:rPr>
    </w:lvl>
    <w:lvl w:ilvl="6" w:tplc="F1E6B4CA" w:tentative="1">
      <w:start w:val="1"/>
      <w:numFmt w:val="bullet"/>
      <w:lvlText w:val=""/>
      <w:lvlJc w:val="left"/>
      <w:pPr>
        <w:tabs>
          <w:tab w:val="num" w:pos="5040"/>
        </w:tabs>
        <w:ind w:left="5040" w:hanging="360"/>
      </w:pPr>
      <w:rPr>
        <w:rFonts w:ascii="Wingdings" w:hAnsi="Wingdings" w:hint="default"/>
      </w:rPr>
    </w:lvl>
    <w:lvl w:ilvl="7" w:tplc="59D6C34C" w:tentative="1">
      <w:start w:val="1"/>
      <w:numFmt w:val="bullet"/>
      <w:lvlText w:val=""/>
      <w:lvlJc w:val="left"/>
      <w:pPr>
        <w:tabs>
          <w:tab w:val="num" w:pos="5760"/>
        </w:tabs>
        <w:ind w:left="5760" w:hanging="360"/>
      </w:pPr>
      <w:rPr>
        <w:rFonts w:ascii="Wingdings" w:hAnsi="Wingdings" w:hint="default"/>
      </w:rPr>
    </w:lvl>
    <w:lvl w:ilvl="8" w:tplc="B8728556" w:tentative="1">
      <w:start w:val="1"/>
      <w:numFmt w:val="bullet"/>
      <w:lvlText w:val=""/>
      <w:lvlJc w:val="left"/>
      <w:pPr>
        <w:tabs>
          <w:tab w:val="num" w:pos="6480"/>
        </w:tabs>
        <w:ind w:left="6480" w:hanging="360"/>
      </w:pPr>
      <w:rPr>
        <w:rFonts w:ascii="Wingdings" w:hAnsi="Wingdings" w:hint="default"/>
      </w:r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20335C"/>
    <w:multiLevelType w:val="hybridMultilevel"/>
    <w:tmpl w:val="FA18F68A"/>
    <w:lvl w:ilvl="0" w:tplc="D7A0C5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52D3554"/>
    <w:multiLevelType w:val="hybridMultilevel"/>
    <w:tmpl w:val="17F8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244DCB"/>
    <w:multiLevelType w:val="hybridMultilevel"/>
    <w:tmpl w:val="379A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F30CBE"/>
    <w:multiLevelType w:val="hybridMultilevel"/>
    <w:tmpl w:val="FE604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EF040E6"/>
    <w:multiLevelType w:val="hybridMultilevel"/>
    <w:tmpl w:val="DECCB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01324F"/>
    <w:multiLevelType w:val="hybridMultilevel"/>
    <w:tmpl w:val="051C4F34"/>
    <w:lvl w:ilvl="0" w:tplc="45A64B8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1"/>
  </w:num>
  <w:num w:numId="4">
    <w:abstractNumId w:val="22"/>
  </w:num>
  <w:num w:numId="5">
    <w:abstractNumId w:val="11"/>
  </w:num>
  <w:num w:numId="6">
    <w:abstractNumId w:val="21"/>
  </w:num>
  <w:num w:numId="7">
    <w:abstractNumId w:val="25"/>
  </w:num>
  <w:num w:numId="8">
    <w:abstractNumId w:val="16"/>
  </w:num>
  <w:num w:numId="9">
    <w:abstractNumId w:val="36"/>
  </w:num>
  <w:num w:numId="10">
    <w:abstractNumId w:val="0"/>
  </w:num>
  <w:num w:numId="11">
    <w:abstractNumId w:val="24"/>
  </w:num>
  <w:num w:numId="12">
    <w:abstractNumId w:val="26"/>
  </w:num>
  <w:num w:numId="13">
    <w:abstractNumId w:val="5"/>
  </w:num>
  <w:num w:numId="14">
    <w:abstractNumId w:val="33"/>
  </w:num>
  <w:num w:numId="15">
    <w:abstractNumId w:val="23"/>
  </w:num>
  <w:num w:numId="16">
    <w:abstractNumId w:val="29"/>
  </w:num>
  <w:num w:numId="17">
    <w:abstractNumId w:val="17"/>
  </w:num>
  <w:num w:numId="18">
    <w:abstractNumId w:val="19"/>
  </w:num>
  <w:num w:numId="19">
    <w:abstractNumId w:val="31"/>
  </w:num>
  <w:num w:numId="20">
    <w:abstractNumId w:val="30"/>
  </w:num>
  <w:num w:numId="21">
    <w:abstractNumId w:val="3"/>
  </w:num>
  <w:num w:numId="22">
    <w:abstractNumId w:val="10"/>
  </w:num>
  <w:num w:numId="23">
    <w:abstractNumId w:val="2"/>
  </w:num>
  <w:num w:numId="24">
    <w:abstractNumId w:val="8"/>
  </w:num>
  <w:num w:numId="25">
    <w:abstractNumId w:val="18"/>
  </w:num>
  <w:num w:numId="26">
    <w:abstractNumId w:val="4"/>
  </w:num>
  <w:num w:numId="27">
    <w:abstractNumId w:val="6"/>
  </w:num>
  <w:num w:numId="28">
    <w:abstractNumId w:val="12"/>
  </w:num>
  <w:num w:numId="29">
    <w:abstractNumId w:val="28"/>
  </w:num>
  <w:num w:numId="30">
    <w:abstractNumId w:val="35"/>
  </w:num>
  <w:num w:numId="31">
    <w:abstractNumId w:val="34"/>
  </w:num>
  <w:num w:numId="32">
    <w:abstractNumId w:val="13"/>
  </w:num>
  <w:num w:numId="33">
    <w:abstractNumId w:val="15"/>
  </w:num>
  <w:num w:numId="34">
    <w:abstractNumId w:val="27"/>
  </w:num>
  <w:num w:numId="35">
    <w:abstractNumId w:val="32"/>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F8C"/>
    <w:rsid w:val="00011A36"/>
    <w:rsid w:val="000326C9"/>
    <w:rsid w:val="000341B2"/>
    <w:rsid w:val="00047606"/>
    <w:rsid w:val="00056958"/>
    <w:rsid w:val="00056A89"/>
    <w:rsid w:val="00065623"/>
    <w:rsid w:val="000756B9"/>
    <w:rsid w:val="00096B67"/>
    <w:rsid w:val="00096DAF"/>
    <w:rsid w:val="000A1A60"/>
    <w:rsid w:val="000C1463"/>
    <w:rsid w:val="000C2F47"/>
    <w:rsid w:val="000D6C00"/>
    <w:rsid w:val="000E2B47"/>
    <w:rsid w:val="000E39E3"/>
    <w:rsid w:val="000E4D4F"/>
    <w:rsid w:val="000E4E04"/>
    <w:rsid w:val="000F14B4"/>
    <w:rsid w:val="000F75DF"/>
    <w:rsid w:val="001067F8"/>
    <w:rsid w:val="00126C99"/>
    <w:rsid w:val="001328FA"/>
    <w:rsid w:val="00147AAF"/>
    <w:rsid w:val="001552C0"/>
    <w:rsid w:val="001640B1"/>
    <w:rsid w:val="00167D8C"/>
    <w:rsid w:val="0018435E"/>
    <w:rsid w:val="001D5CFC"/>
    <w:rsid w:val="001F7FCB"/>
    <w:rsid w:val="00200F1D"/>
    <w:rsid w:val="002041A1"/>
    <w:rsid w:val="002054F0"/>
    <w:rsid w:val="002300A5"/>
    <w:rsid w:val="00230D6B"/>
    <w:rsid w:val="00232068"/>
    <w:rsid w:val="002330F2"/>
    <w:rsid w:val="002362D8"/>
    <w:rsid w:val="00243D9E"/>
    <w:rsid w:val="00253B66"/>
    <w:rsid w:val="00261DF1"/>
    <w:rsid w:val="00267365"/>
    <w:rsid w:val="00271F18"/>
    <w:rsid w:val="00282779"/>
    <w:rsid w:val="0028334D"/>
    <w:rsid w:val="00292007"/>
    <w:rsid w:val="002A6E03"/>
    <w:rsid w:val="002B7FFA"/>
    <w:rsid w:val="002C2BCF"/>
    <w:rsid w:val="002E0AD7"/>
    <w:rsid w:val="002E17C3"/>
    <w:rsid w:val="002E19E9"/>
    <w:rsid w:val="002F279D"/>
    <w:rsid w:val="002F43B8"/>
    <w:rsid w:val="00315F62"/>
    <w:rsid w:val="00324F04"/>
    <w:rsid w:val="003351B1"/>
    <w:rsid w:val="00335DD1"/>
    <w:rsid w:val="00344BDA"/>
    <w:rsid w:val="00345141"/>
    <w:rsid w:val="0034554D"/>
    <w:rsid w:val="0034709D"/>
    <w:rsid w:val="00352224"/>
    <w:rsid w:val="003671E6"/>
    <w:rsid w:val="00373D56"/>
    <w:rsid w:val="00384272"/>
    <w:rsid w:val="00385F8A"/>
    <w:rsid w:val="00386D67"/>
    <w:rsid w:val="00392D69"/>
    <w:rsid w:val="003945B8"/>
    <w:rsid w:val="003952E8"/>
    <w:rsid w:val="003B6D64"/>
    <w:rsid w:val="003D7F29"/>
    <w:rsid w:val="003F4B5A"/>
    <w:rsid w:val="003F6068"/>
    <w:rsid w:val="003F621C"/>
    <w:rsid w:val="004044A2"/>
    <w:rsid w:val="00405A6B"/>
    <w:rsid w:val="00407B1F"/>
    <w:rsid w:val="00414C57"/>
    <w:rsid w:val="0041758C"/>
    <w:rsid w:val="00424A7F"/>
    <w:rsid w:val="00432041"/>
    <w:rsid w:val="0043608A"/>
    <w:rsid w:val="004539DE"/>
    <w:rsid w:val="0048648D"/>
    <w:rsid w:val="004A2CF1"/>
    <w:rsid w:val="004C3035"/>
    <w:rsid w:val="004C307F"/>
    <w:rsid w:val="004D0412"/>
    <w:rsid w:val="004D4BD1"/>
    <w:rsid w:val="004E4BA8"/>
    <w:rsid w:val="004F5F95"/>
    <w:rsid w:val="004F7B7C"/>
    <w:rsid w:val="00503622"/>
    <w:rsid w:val="0052243D"/>
    <w:rsid w:val="00532435"/>
    <w:rsid w:val="00535462"/>
    <w:rsid w:val="00545E3F"/>
    <w:rsid w:val="00550354"/>
    <w:rsid w:val="00571236"/>
    <w:rsid w:val="00572124"/>
    <w:rsid w:val="005758CC"/>
    <w:rsid w:val="0057733C"/>
    <w:rsid w:val="00585DC6"/>
    <w:rsid w:val="00590A30"/>
    <w:rsid w:val="005953A1"/>
    <w:rsid w:val="005A2A11"/>
    <w:rsid w:val="005D0332"/>
    <w:rsid w:val="005D0D8C"/>
    <w:rsid w:val="005F5723"/>
    <w:rsid w:val="006019E0"/>
    <w:rsid w:val="00640D96"/>
    <w:rsid w:val="0067272D"/>
    <w:rsid w:val="006801F1"/>
    <w:rsid w:val="00695DFA"/>
    <w:rsid w:val="006A0D97"/>
    <w:rsid w:val="006C0A91"/>
    <w:rsid w:val="006C4B25"/>
    <w:rsid w:val="007054BB"/>
    <w:rsid w:val="00707064"/>
    <w:rsid w:val="00715F94"/>
    <w:rsid w:val="0072173C"/>
    <w:rsid w:val="00724D5F"/>
    <w:rsid w:val="00730683"/>
    <w:rsid w:val="00744069"/>
    <w:rsid w:val="0075261F"/>
    <w:rsid w:val="00754223"/>
    <w:rsid w:val="0075468E"/>
    <w:rsid w:val="007665D8"/>
    <w:rsid w:val="00766E36"/>
    <w:rsid w:val="007765F4"/>
    <w:rsid w:val="00776633"/>
    <w:rsid w:val="007770E2"/>
    <w:rsid w:val="00784D53"/>
    <w:rsid w:val="007875B1"/>
    <w:rsid w:val="00797797"/>
    <w:rsid w:val="007A63C9"/>
    <w:rsid w:val="007B32D1"/>
    <w:rsid w:val="007B4202"/>
    <w:rsid w:val="007B7095"/>
    <w:rsid w:val="007D24E1"/>
    <w:rsid w:val="007E5394"/>
    <w:rsid w:val="007F4CE9"/>
    <w:rsid w:val="007F4E20"/>
    <w:rsid w:val="00822C7E"/>
    <w:rsid w:val="00844C50"/>
    <w:rsid w:val="00847060"/>
    <w:rsid w:val="00856A33"/>
    <w:rsid w:val="00892620"/>
    <w:rsid w:val="00894E26"/>
    <w:rsid w:val="008C7D37"/>
    <w:rsid w:val="008D13F6"/>
    <w:rsid w:val="008D5885"/>
    <w:rsid w:val="008E22F3"/>
    <w:rsid w:val="008F63AB"/>
    <w:rsid w:val="00921740"/>
    <w:rsid w:val="00923FA2"/>
    <w:rsid w:val="00945F5E"/>
    <w:rsid w:val="0096060D"/>
    <w:rsid w:val="00974A50"/>
    <w:rsid w:val="0097585A"/>
    <w:rsid w:val="00981996"/>
    <w:rsid w:val="00982AB7"/>
    <w:rsid w:val="00990AE2"/>
    <w:rsid w:val="009924B0"/>
    <w:rsid w:val="009942C9"/>
    <w:rsid w:val="009A6A69"/>
    <w:rsid w:val="009B35C4"/>
    <w:rsid w:val="009C3C95"/>
    <w:rsid w:val="009C630A"/>
    <w:rsid w:val="009D1DFA"/>
    <w:rsid w:val="009E0D98"/>
    <w:rsid w:val="00A068A1"/>
    <w:rsid w:val="00A1205A"/>
    <w:rsid w:val="00A1207D"/>
    <w:rsid w:val="00A12FD8"/>
    <w:rsid w:val="00A17C5A"/>
    <w:rsid w:val="00A2123C"/>
    <w:rsid w:val="00A31D53"/>
    <w:rsid w:val="00A346FC"/>
    <w:rsid w:val="00A64B2B"/>
    <w:rsid w:val="00A84F93"/>
    <w:rsid w:val="00A868D9"/>
    <w:rsid w:val="00A868E2"/>
    <w:rsid w:val="00AB1AC5"/>
    <w:rsid w:val="00AB3BFC"/>
    <w:rsid w:val="00AC4AC4"/>
    <w:rsid w:val="00AC4F2E"/>
    <w:rsid w:val="00AC5BE0"/>
    <w:rsid w:val="00AD0C37"/>
    <w:rsid w:val="00AD385F"/>
    <w:rsid w:val="00AE6E2A"/>
    <w:rsid w:val="00AE74D4"/>
    <w:rsid w:val="00B066E6"/>
    <w:rsid w:val="00B232DF"/>
    <w:rsid w:val="00B3079E"/>
    <w:rsid w:val="00B31E9C"/>
    <w:rsid w:val="00B51C6D"/>
    <w:rsid w:val="00B550FC"/>
    <w:rsid w:val="00B552AA"/>
    <w:rsid w:val="00B6521C"/>
    <w:rsid w:val="00B83E6F"/>
    <w:rsid w:val="00B86D64"/>
    <w:rsid w:val="00BA4AC5"/>
    <w:rsid w:val="00BC1364"/>
    <w:rsid w:val="00BC7DE9"/>
    <w:rsid w:val="00BF1B4F"/>
    <w:rsid w:val="00BF479B"/>
    <w:rsid w:val="00C02577"/>
    <w:rsid w:val="00C129B7"/>
    <w:rsid w:val="00C20BEE"/>
    <w:rsid w:val="00C22B5A"/>
    <w:rsid w:val="00C2788E"/>
    <w:rsid w:val="00C27C95"/>
    <w:rsid w:val="00C30199"/>
    <w:rsid w:val="00C451D8"/>
    <w:rsid w:val="00C65280"/>
    <w:rsid w:val="00C67DD2"/>
    <w:rsid w:val="00C755F4"/>
    <w:rsid w:val="00C76F5C"/>
    <w:rsid w:val="00C77052"/>
    <w:rsid w:val="00C96BAD"/>
    <w:rsid w:val="00CA6944"/>
    <w:rsid w:val="00CB0F8E"/>
    <w:rsid w:val="00CB11A4"/>
    <w:rsid w:val="00CB7E7D"/>
    <w:rsid w:val="00CC2911"/>
    <w:rsid w:val="00CF0C6D"/>
    <w:rsid w:val="00CF32A4"/>
    <w:rsid w:val="00CF7307"/>
    <w:rsid w:val="00CF7C68"/>
    <w:rsid w:val="00D06F49"/>
    <w:rsid w:val="00D124FA"/>
    <w:rsid w:val="00D131A8"/>
    <w:rsid w:val="00D32A18"/>
    <w:rsid w:val="00D340DE"/>
    <w:rsid w:val="00D365A5"/>
    <w:rsid w:val="00D44156"/>
    <w:rsid w:val="00D55723"/>
    <w:rsid w:val="00D62FAD"/>
    <w:rsid w:val="00D70450"/>
    <w:rsid w:val="00D70A64"/>
    <w:rsid w:val="00D75FDE"/>
    <w:rsid w:val="00D83BFD"/>
    <w:rsid w:val="00D90A38"/>
    <w:rsid w:val="00D965E0"/>
    <w:rsid w:val="00DA0515"/>
    <w:rsid w:val="00DA171E"/>
    <w:rsid w:val="00DA56AA"/>
    <w:rsid w:val="00DB5833"/>
    <w:rsid w:val="00DC099B"/>
    <w:rsid w:val="00DD2858"/>
    <w:rsid w:val="00DE09A0"/>
    <w:rsid w:val="00DE5FFD"/>
    <w:rsid w:val="00E03E33"/>
    <w:rsid w:val="00E06F3D"/>
    <w:rsid w:val="00E128E9"/>
    <w:rsid w:val="00E221B4"/>
    <w:rsid w:val="00E337E9"/>
    <w:rsid w:val="00E361C7"/>
    <w:rsid w:val="00E3642A"/>
    <w:rsid w:val="00E40BE9"/>
    <w:rsid w:val="00E415C4"/>
    <w:rsid w:val="00E50016"/>
    <w:rsid w:val="00E50EAA"/>
    <w:rsid w:val="00E656D6"/>
    <w:rsid w:val="00E977EE"/>
    <w:rsid w:val="00EA67A2"/>
    <w:rsid w:val="00EC4F98"/>
    <w:rsid w:val="00EF7B8D"/>
    <w:rsid w:val="00F12F02"/>
    <w:rsid w:val="00F35134"/>
    <w:rsid w:val="00F41812"/>
    <w:rsid w:val="00F73333"/>
    <w:rsid w:val="00F83220"/>
    <w:rsid w:val="00F95D8F"/>
    <w:rsid w:val="00F9737D"/>
    <w:rsid w:val="00FA1DF3"/>
    <w:rsid w:val="00FA7009"/>
    <w:rsid w:val="00FB1940"/>
    <w:rsid w:val="00FB26F2"/>
    <w:rsid w:val="00FB350A"/>
    <w:rsid w:val="00FC5F7A"/>
    <w:rsid w:val="00FE731D"/>
    <w:rsid w:val="00FF5BB1"/>
    <w:rsid w:val="00FF73F2"/>
    <w:rsid w:val="00FF7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C451D8"/>
    <w:pPr>
      <w:tabs>
        <w:tab w:val="left" w:pos="4320"/>
      </w:tabs>
      <w:spacing w:before="12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C451D8"/>
    <w:rPr>
      <w:rFonts w:ascii="Arial" w:eastAsia="Times New Roman" w:hAnsi="Arial" w:cs="Arial"/>
      <w:b/>
      <w:i/>
      <w:color w:val="000080"/>
      <w:sz w:val="28"/>
      <w:szCs w:val="28"/>
    </w:rPr>
  </w:style>
  <w:style w:type="paragraph" w:customStyle="1" w:styleId="ESHeading2">
    <w:name w:val="ES Heading 2"/>
    <w:basedOn w:val="Heading2"/>
    <w:link w:val="ESHeading2Char"/>
    <w:qFormat/>
    <w:rsid w:val="00724D5F"/>
    <w:pPr>
      <w:keepLines w:val="0"/>
      <w:spacing w:before="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724D5F"/>
    <w:rPr>
      <w:rFonts w:ascii="Garamond" w:eastAsia="Times New Roman" w:hAnsi="Garamond" w:cstheme="majorBidi"/>
      <w:b/>
      <w:bCs/>
      <w:iCs/>
      <w:color w:val="4F81BD" w:themeColor="accent1"/>
      <w:sz w:val="26"/>
      <w:szCs w:val="28"/>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locked/>
    <w:rsid w:val="00724D5F"/>
    <w:pPr>
      <w:keepNext/>
      <w:spacing w:after="40"/>
      <w:ind w:left="709" w:hanging="709"/>
    </w:pPr>
    <w:rPr>
      <w:rFonts w:ascii="Arial Narrow" w:hAnsi="Arial Narrow" w:cs="Tahoma"/>
      <w:b/>
      <w:sz w:val="20"/>
      <w:lang w:val="en-GB" w:eastAsia="ja-JP"/>
    </w:rPr>
  </w:style>
  <w:style w:type="paragraph" w:customStyle="1" w:styleId="Tabletext">
    <w:name w:val="Table text"/>
    <w:basedOn w:val="Normal"/>
    <w:link w:val="TabletextChar"/>
    <w:qFormat/>
    <w:rsid w:val="00D75FDE"/>
    <w:rPr>
      <w:rFonts w:ascii="Arial Narrow" w:hAnsi="Arial Narrow"/>
      <w:sz w:val="20"/>
      <w:lang w:eastAsia="en-US"/>
    </w:rPr>
  </w:style>
  <w:style w:type="character" w:customStyle="1" w:styleId="TabletextChar">
    <w:name w:val="Table text Char"/>
    <w:basedOn w:val="DefaultParagraphFont"/>
    <w:link w:val="Tabletext"/>
    <w:rsid w:val="00D75FDE"/>
    <w:rPr>
      <w:rFonts w:ascii="Arial Narrow" w:eastAsia="Times New Roman" w:hAnsi="Arial Narrow"/>
      <w:sz w:val="20"/>
      <w:szCs w:val="20"/>
      <w:lang w:eastAsia="en-US"/>
    </w:rPr>
  </w:style>
  <w:style w:type="paragraph" w:customStyle="1" w:styleId="Tabletextboldleft">
    <w:name w:val="Table text bold left"/>
    <w:basedOn w:val="Normal"/>
    <w:link w:val="TabletextboldleftChar"/>
    <w:qFormat/>
    <w:rsid w:val="00D75FDE"/>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75FDE"/>
    <w:rPr>
      <w:rFonts w:ascii="Arial Narrow" w:eastAsia="Times New Roman" w:hAnsi="Arial Narrow" w:cs="Arial"/>
      <w:b/>
      <w:sz w:val="20"/>
      <w:szCs w:val="20"/>
      <w:lang w:eastAsia="en-US"/>
    </w:rPr>
  </w:style>
  <w:style w:type="paragraph" w:customStyle="1" w:styleId="LastTablefootnote">
    <w:name w:val="Last Table footnote"/>
    <w:basedOn w:val="Normal"/>
    <w:next w:val="Normal"/>
    <w:link w:val="LastTablefootnoteChar"/>
    <w:qFormat/>
    <w:rsid w:val="00D75FDE"/>
    <w:pPr>
      <w:keepLines/>
      <w:spacing w:after="240"/>
    </w:pPr>
    <w:rPr>
      <w:rFonts w:ascii="Arial Narrow" w:hAnsi="Arial Narrow" w:cs="Arial"/>
      <w:sz w:val="16"/>
    </w:rPr>
  </w:style>
  <w:style w:type="character" w:customStyle="1" w:styleId="LastTablefootnoteChar">
    <w:name w:val="Last Table footnote Char"/>
    <w:basedOn w:val="DefaultParagraphFont"/>
    <w:link w:val="LastTablefootnote"/>
    <w:rsid w:val="00D75FDE"/>
    <w:rPr>
      <w:rFonts w:ascii="Arial Narrow" w:eastAsia="Times New Roman" w:hAnsi="Arial Narrow" w:cs="Arial"/>
      <w:sz w:val="16"/>
      <w:szCs w:val="20"/>
    </w:rPr>
  </w:style>
  <w:style w:type="paragraph" w:customStyle="1" w:styleId="Tabletextrightalignedwindent">
    <w:name w:val="Table text right aligned w indent"/>
    <w:basedOn w:val="Tabletext"/>
    <w:link w:val="TabletextrightalignedwindentChar"/>
    <w:qFormat/>
    <w:rsid w:val="00D75FDE"/>
    <w:pPr>
      <w:ind w:right="227"/>
      <w:jc w:val="right"/>
    </w:pPr>
  </w:style>
  <w:style w:type="character" w:customStyle="1" w:styleId="TabletextrightalignedwindentChar">
    <w:name w:val="Table text right aligned w indent Char"/>
    <w:basedOn w:val="TabletextChar"/>
    <w:link w:val="Tabletextrightalignedwindent"/>
    <w:rsid w:val="00D75FDE"/>
    <w:rPr>
      <w:rFonts w:ascii="Arial Narrow" w:eastAsia="Times New Roman" w:hAnsi="Arial Narrow"/>
      <w:sz w:val="20"/>
      <w:szCs w:val="20"/>
      <w:lang w:eastAsia="en-US"/>
    </w:rPr>
  </w:style>
  <w:style w:type="paragraph" w:customStyle="1" w:styleId="Tablefootnotes">
    <w:name w:val="Table footnotes"/>
    <w:basedOn w:val="Normal"/>
    <w:next w:val="LastTablefootnote"/>
    <w:link w:val="TablefootnotesChar"/>
    <w:qFormat/>
    <w:rsid w:val="00D75FDE"/>
    <w:pPr>
      <w:keepNext/>
      <w:keepLines/>
    </w:pPr>
    <w:rPr>
      <w:rFonts w:ascii="Arial Narrow" w:hAnsi="Arial Narrow" w:cs="Arial"/>
      <w:sz w:val="16"/>
      <w:lang w:eastAsia="en-US"/>
    </w:rPr>
  </w:style>
  <w:style w:type="character" w:customStyle="1" w:styleId="TablefootnotesChar">
    <w:name w:val="Table footnotes Char"/>
    <w:basedOn w:val="DefaultParagraphFont"/>
    <w:link w:val="Tablefootnotes"/>
    <w:rsid w:val="00D75FDE"/>
    <w:rPr>
      <w:rFonts w:ascii="Arial Narrow" w:eastAsia="Times New Roman" w:hAnsi="Arial Narrow" w:cs="Arial"/>
      <w:sz w:val="16"/>
      <w:szCs w:val="20"/>
      <w:lang w:eastAsia="en-US"/>
    </w:rPr>
  </w:style>
  <w:style w:type="paragraph" w:customStyle="1" w:styleId="Tabletextbold">
    <w:name w:val="Table text bold"/>
    <w:basedOn w:val="Normal"/>
    <w:link w:val="TabletextboldChar"/>
    <w:qFormat/>
    <w:rsid w:val="00D75FDE"/>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75FDE"/>
    <w:rPr>
      <w:rFonts w:ascii="Arial Narrow" w:eastAsia="Times New Roman" w:hAnsi="Arial Narrow" w:cs="Arial"/>
      <w:b/>
      <w:sz w:val="20"/>
      <w:szCs w:val="20"/>
      <w:lang w:eastAsia="en-US"/>
    </w:rPr>
  </w:style>
  <w:style w:type="paragraph" w:styleId="BodyText">
    <w:name w:val="Body Text"/>
    <w:basedOn w:val="Normal"/>
    <w:link w:val="BodyTextChar"/>
    <w:uiPriority w:val="99"/>
    <w:unhideWhenUsed/>
    <w:rsid w:val="00D75FDE"/>
    <w:pPr>
      <w:jc w:val="both"/>
    </w:pPr>
    <w:rPr>
      <w:rFonts w:ascii="Garamond" w:hAnsi="Garamond"/>
      <w:szCs w:val="24"/>
      <w:lang w:eastAsia="en-US"/>
    </w:rPr>
  </w:style>
  <w:style w:type="character" w:customStyle="1" w:styleId="BodyTextChar">
    <w:name w:val="Body Text Char"/>
    <w:basedOn w:val="DefaultParagraphFont"/>
    <w:link w:val="BodyText"/>
    <w:uiPriority w:val="99"/>
    <w:rsid w:val="00D75FDE"/>
    <w:rPr>
      <w:rFonts w:ascii="Garamond" w:eastAsia="Times New Roman" w:hAnsi="Garamond"/>
      <w:sz w:val="24"/>
      <w:szCs w:val="24"/>
      <w:lang w:eastAsia="en-US"/>
    </w:rPr>
  </w:style>
  <w:style w:type="table" w:styleId="TableGrid">
    <w:name w:val="Table Grid"/>
    <w:basedOn w:val="TableNormal"/>
    <w:uiPriority w:val="59"/>
    <w:locked/>
    <w:rsid w:val="00D75F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rPr>
      <w:cantSplit/>
    </w:trPr>
  </w:style>
  <w:style w:type="paragraph" w:customStyle="1" w:styleId="Style2">
    <w:name w:val="Style2"/>
    <w:basedOn w:val="Normal"/>
    <w:link w:val="Style2Char"/>
    <w:qFormat/>
    <w:rsid w:val="00D75FDE"/>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D75FDE"/>
    <w:rPr>
      <w:rFonts w:ascii="Arial" w:eastAsia="Times New Roman" w:hAnsi="Arial" w:cs="Arial"/>
      <w:color w:val="3366FF"/>
      <w:sz w:val="24"/>
      <w:szCs w:val="24"/>
    </w:rPr>
  </w:style>
  <w:style w:type="paragraph" w:styleId="Revision">
    <w:name w:val="Revision"/>
    <w:hidden/>
    <w:uiPriority w:val="99"/>
    <w:semiHidden/>
    <w:rsid w:val="00F9737D"/>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C451D8"/>
    <w:pPr>
      <w:tabs>
        <w:tab w:val="left" w:pos="4320"/>
      </w:tabs>
      <w:spacing w:before="12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C451D8"/>
    <w:rPr>
      <w:rFonts w:ascii="Arial" w:eastAsia="Times New Roman" w:hAnsi="Arial" w:cs="Arial"/>
      <w:b/>
      <w:i/>
      <w:color w:val="000080"/>
      <w:sz w:val="28"/>
      <w:szCs w:val="28"/>
    </w:rPr>
  </w:style>
  <w:style w:type="paragraph" w:customStyle="1" w:styleId="ESHeading2">
    <w:name w:val="ES Heading 2"/>
    <w:basedOn w:val="Heading2"/>
    <w:link w:val="ESHeading2Char"/>
    <w:qFormat/>
    <w:rsid w:val="00724D5F"/>
    <w:pPr>
      <w:keepLines w:val="0"/>
      <w:spacing w:before="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724D5F"/>
    <w:rPr>
      <w:rFonts w:ascii="Garamond" w:eastAsia="Times New Roman" w:hAnsi="Garamond" w:cstheme="majorBidi"/>
      <w:b/>
      <w:bCs/>
      <w:iCs/>
      <w:color w:val="4F81BD" w:themeColor="accent1"/>
      <w:sz w:val="26"/>
      <w:szCs w:val="28"/>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locked/>
    <w:rsid w:val="00724D5F"/>
    <w:pPr>
      <w:keepNext/>
      <w:spacing w:after="40"/>
      <w:ind w:left="709" w:hanging="709"/>
    </w:pPr>
    <w:rPr>
      <w:rFonts w:ascii="Arial Narrow" w:hAnsi="Arial Narrow" w:cs="Tahoma"/>
      <w:b/>
      <w:sz w:val="20"/>
      <w:lang w:val="en-GB" w:eastAsia="ja-JP"/>
    </w:rPr>
  </w:style>
  <w:style w:type="paragraph" w:customStyle="1" w:styleId="Tabletext">
    <w:name w:val="Table text"/>
    <w:basedOn w:val="Normal"/>
    <w:link w:val="TabletextChar"/>
    <w:qFormat/>
    <w:rsid w:val="00D75FDE"/>
    <w:rPr>
      <w:rFonts w:ascii="Arial Narrow" w:hAnsi="Arial Narrow"/>
      <w:sz w:val="20"/>
      <w:lang w:eastAsia="en-US"/>
    </w:rPr>
  </w:style>
  <w:style w:type="character" w:customStyle="1" w:styleId="TabletextChar">
    <w:name w:val="Table text Char"/>
    <w:basedOn w:val="DefaultParagraphFont"/>
    <w:link w:val="Tabletext"/>
    <w:rsid w:val="00D75FDE"/>
    <w:rPr>
      <w:rFonts w:ascii="Arial Narrow" w:eastAsia="Times New Roman" w:hAnsi="Arial Narrow"/>
      <w:sz w:val="20"/>
      <w:szCs w:val="20"/>
      <w:lang w:eastAsia="en-US"/>
    </w:rPr>
  </w:style>
  <w:style w:type="paragraph" w:customStyle="1" w:styleId="Tabletextboldleft">
    <w:name w:val="Table text bold left"/>
    <w:basedOn w:val="Normal"/>
    <w:link w:val="TabletextboldleftChar"/>
    <w:qFormat/>
    <w:rsid w:val="00D75FDE"/>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75FDE"/>
    <w:rPr>
      <w:rFonts w:ascii="Arial Narrow" w:eastAsia="Times New Roman" w:hAnsi="Arial Narrow" w:cs="Arial"/>
      <w:b/>
      <w:sz w:val="20"/>
      <w:szCs w:val="20"/>
      <w:lang w:eastAsia="en-US"/>
    </w:rPr>
  </w:style>
  <w:style w:type="paragraph" w:customStyle="1" w:styleId="LastTablefootnote">
    <w:name w:val="Last Table footnote"/>
    <w:basedOn w:val="Normal"/>
    <w:next w:val="Normal"/>
    <w:link w:val="LastTablefootnoteChar"/>
    <w:qFormat/>
    <w:rsid w:val="00D75FDE"/>
    <w:pPr>
      <w:keepLines/>
      <w:spacing w:after="240"/>
    </w:pPr>
    <w:rPr>
      <w:rFonts w:ascii="Arial Narrow" w:hAnsi="Arial Narrow" w:cs="Arial"/>
      <w:sz w:val="16"/>
    </w:rPr>
  </w:style>
  <w:style w:type="character" w:customStyle="1" w:styleId="LastTablefootnoteChar">
    <w:name w:val="Last Table footnote Char"/>
    <w:basedOn w:val="DefaultParagraphFont"/>
    <w:link w:val="LastTablefootnote"/>
    <w:rsid w:val="00D75FDE"/>
    <w:rPr>
      <w:rFonts w:ascii="Arial Narrow" w:eastAsia="Times New Roman" w:hAnsi="Arial Narrow" w:cs="Arial"/>
      <w:sz w:val="16"/>
      <w:szCs w:val="20"/>
    </w:rPr>
  </w:style>
  <w:style w:type="paragraph" w:customStyle="1" w:styleId="Tabletextrightalignedwindent">
    <w:name w:val="Table text right aligned w indent"/>
    <w:basedOn w:val="Tabletext"/>
    <w:link w:val="TabletextrightalignedwindentChar"/>
    <w:qFormat/>
    <w:rsid w:val="00D75FDE"/>
    <w:pPr>
      <w:ind w:right="227"/>
      <w:jc w:val="right"/>
    </w:pPr>
  </w:style>
  <w:style w:type="character" w:customStyle="1" w:styleId="TabletextrightalignedwindentChar">
    <w:name w:val="Table text right aligned w indent Char"/>
    <w:basedOn w:val="TabletextChar"/>
    <w:link w:val="Tabletextrightalignedwindent"/>
    <w:rsid w:val="00D75FDE"/>
    <w:rPr>
      <w:rFonts w:ascii="Arial Narrow" w:eastAsia="Times New Roman" w:hAnsi="Arial Narrow"/>
      <w:sz w:val="20"/>
      <w:szCs w:val="20"/>
      <w:lang w:eastAsia="en-US"/>
    </w:rPr>
  </w:style>
  <w:style w:type="paragraph" w:customStyle="1" w:styleId="Tablefootnotes">
    <w:name w:val="Table footnotes"/>
    <w:basedOn w:val="Normal"/>
    <w:next w:val="LastTablefootnote"/>
    <w:link w:val="TablefootnotesChar"/>
    <w:qFormat/>
    <w:rsid w:val="00D75FDE"/>
    <w:pPr>
      <w:keepNext/>
      <w:keepLines/>
    </w:pPr>
    <w:rPr>
      <w:rFonts w:ascii="Arial Narrow" w:hAnsi="Arial Narrow" w:cs="Arial"/>
      <w:sz w:val="16"/>
      <w:lang w:eastAsia="en-US"/>
    </w:rPr>
  </w:style>
  <w:style w:type="character" w:customStyle="1" w:styleId="TablefootnotesChar">
    <w:name w:val="Table footnotes Char"/>
    <w:basedOn w:val="DefaultParagraphFont"/>
    <w:link w:val="Tablefootnotes"/>
    <w:rsid w:val="00D75FDE"/>
    <w:rPr>
      <w:rFonts w:ascii="Arial Narrow" w:eastAsia="Times New Roman" w:hAnsi="Arial Narrow" w:cs="Arial"/>
      <w:sz w:val="16"/>
      <w:szCs w:val="20"/>
      <w:lang w:eastAsia="en-US"/>
    </w:rPr>
  </w:style>
  <w:style w:type="paragraph" w:customStyle="1" w:styleId="Tabletextbold">
    <w:name w:val="Table text bold"/>
    <w:basedOn w:val="Normal"/>
    <w:link w:val="TabletextboldChar"/>
    <w:qFormat/>
    <w:rsid w:val="00D75FDE"/>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75FDE"/>
    <w:rPr>
      <w:rFonts w:ascii="Arial Narrow" w:eastAsia="Times New Roman" w:hAnsi="Arial Narrow" w:cs="Arial"/>
      <w:b/>
      <w:sz w:val="20"/>
      <w:szCs w:val="20"/>
      <w:lang w:eastAsia="en-US"/>
    </w:rPr>
  </w:style>
  <w:style w:type="paragraph" w:styleId="BodyText">
    <w:name w:val="Body Text"/>
    <w:basedOn w:val="Normal"/>
    <w:link w:val="BodyTextChar"/>
    <w:uiPriority w:val="99"/>
    <w:unhideWhenUsed/>
    <w:rsid w:val="00D75FDE"/>
    <w:pPr>
      <w:jc w:val="both"/>
    </w:pPr>
    <w:rPr>
      <w:rFonts w:ascii="Garamond" w:hAnsi="Garamond"/>
      <w:szCs w:val="24"/>
      <w:lang w:eastAsia="en-US"/>
    </w:rPr>
  </w:style>
  <w:style w:type="character" w:customStyle="1" w:styleId="BodyTextChar">
    <w:name w:val="Body Text Char"/>
    <w:basedOn w:val="DefaultParagraphFont"/>
    <w:link w:val="BodyText"/>
    <w:uiPriority w:val="99"/>
    <w:rsid w:val="00D75FDE"/>
    <w:rPr>
      <w:rFonts w:ascii="Garamond" w:eastAsia="Times New Roman" w:hAnsi="Garamond"/>
      <w:sz w:val="24"/>
      <w:szCs w:val="24"/>
      <w:lang w:eastAsia="en-US"/>
    </w:rPr>
  </w:style>
  <w:style w:type="table" w:styleId="TableGrid">
    <w:name w:val="Table Grid"/>
    <w:basedOn w:val="TableNormal"/>
    <w:uiPriority w:val="59"/>
    <w:locked/>
    <w:rsid w:val="00D75F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rPr>
      <w:cantSplit/>
    </w:trPr>
  </w:style>
  <w:style w:type="paragraph" w:customStyle="1" w:styleId="Style2">
    <w:name w:val="Style2"/>
    <w:basedOn w:val="Normal"/>
    <w:link w:val="Style2Char"/>
    <w:qFormat/>
    <w:rsid w:val="00D75FDE"/>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D75FDE"/>
    <w:rPr>
      <w:rFonts w:ascii="Arial" w:eastAsia="Times New Roman" w:hAnsi="Arial" w:cs="Arial"/>
      <w:color w:val="3366FF"/>
      <w:sz w:val="24"/>
      <w:szCs w:val="24"/>
    </w:rPr>
  </w:style>
  <w:style w:type="paragraph" w:styleId="Revision">
    <w:name w:val="Revision"/>
    <w:hidden/>
    <w:uiPriority w:val="99"/>
    <w:semiHidden/>
    <w:rsid w:val="00F9737D"/>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993">
      <w:bodyDiv w:val="1"/>
      <w:marLeft w:val="0"/>
      <w:marRight w:val="0"/>
      <w:marTop w:val="0"/>
      <w:marBottom w:val="0"/>
      <w:divBdr>
        <w:top w:val="none" w:sz="0" w:space="0" w:color="auto"/>
        <w:left w:val="none" w:sz="0" w:space="0" w:color="auto"/>
        <w:bottom w:val="none" w:sz="0" w:space="0" w:color="auto"/>
        <w:right w:val="none" w:sz="0" w:space="0" w:color="auto"/>
      </w:divBdr>
    </w:div>
    <w:div w:id="1215506703">
      <w:bodyDiv w:val="1"/>
      <w:marLeft w:val="0"/>
      <w:marRight w:val="0"/>
      <w:marTop w:val="0"/>
      <w:marBottom w:val="0"/>
      <w:divBdr>
        <w:top w:val="none" w:sz="0" w:space="0" w:color="auto"/>
        <w:left w:val="none" w:sz="0" w:space="0" w:color="auto"/>
        <w:bottom w:val="none" w:sz="0" w:space="0" w:color="auto"/>
        <w:right w:val="none" w:sz="0" w:space="0" w:color="auto"/>
      </w:divBdr>
    </w:div>
    <w:div w:id="130924244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41031908">
      <w:bodyDiv w:val="1"/>
      <w:marLeft w:val="0"/>
      <w:marRight w:val="0"/>
      <w:marTop w:val="0"/>
      <w:marBottom w:val="0"/>
      <w:divBdr>
        <w:top w:val="none" w:sz="0" w:space="0" w:color="auto"/>
        <w:left w:val="none" w:sz="0" w:space="0" w:color="auto"/>
        <w:bottom w:val="none" w:sz="0" w:space="0" w:color="auto"/>
        <w:right w:val="none" w:sz="0" w:space="0" w:color="auto"/>
      </w:divBdr>
      <w:divsChild>
        <w:div w:id="2074235269">
          <w:marLeft w:val="547"/>
          <w:marRight w:val="0"/>
          <w:marTop w:val="106"/>
          <w:marBottom w:val="0"/>
          <w:divBdr>
            <w:top w:val="none" w:sz="0" w:space="0" w:color="auto"/>
            <w:left w:val="none" w:sz="0" w:space="0" w:color="auto"/>
            <w:bottom w:val="none" w:sz="0" w:space="0" w:color="auto"/>
            <w:right w:val="none" w:sz="0" w:space="0" w:color="auto"/>
          </w:divBdr>
        </w:div>
        <w:div w:id="64880831">
          <w:marLeft w:val="547"/>
          <w:marRight w:val="0"/>
          <w:marTop w:val="106"/>
          <w:marBottom w:val="0"/>
          <w:divBdr>
            <w:top w:val="none" w:sz="0" w:space="0" w:color="auto"/>
            <w:left w:val="none" w:sz="0" w:space="0" w:color="auto"/>
            <w:bottom w:val="none" w:sz="0" w:space="0" w:color="auto"/>
            <w:right w:val="none" w:sz="0" w:space="0" w:color="auto"/>
          </w:divBdr>
        </w:div>
        <w:div w:id="1562253019">
          <w:marLeft w:val="547"/>
          <w:marRight w:val="0"/>
          <w:marTop w:val="106"/>
          <w:marBottom w:val="0"/>
          <w:divBdr>
            <w:top w:val="none" w:sz="0" w:space="0" w:color="auto"/>
            <w:left w:val="none" w:sz="0" w:space="0" w:color="auto"/>
            <w:bottom w:val="none" w:sz="0" w:space="0" w:color="auto"/>
            <w:right w:val="none" w:sz="0" w:space="0" w:color="auto"/>
          </w:divBdr>
        </w:div>
        <w:div w:id="1641692826">
          <w:marLeft w:val="547"/>
          <w:marRight w:val="0"/>
          <w:marTop w:val="106"/>
          <w:marBottom w:val="0"/>
          <w:divBdr>
            <w:top w:val="none" w:sz="0" w:space="0" w:color="auto"/>
            <w:left w:val="none" w:sz="0" w:space="0" w:color="auto"/>
            <w:bottom w:val="none" w:sz="0" w:space="0" w:color="auto"/>
            <w:right w:val="none" w:sz="0" w:space="0" w:color="auto"/>
          </w:divBdr>
        </w:div>
        <w:div w:id="169457438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29F7-96B7-4C82-986C-A3480D64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4802</Words>
  <Characters>27486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2014-01-23T05:11:00Z</cp:lastPrinted>
  <dcterms:created xsi:type="dcterms:W3CDTF">2015-05-18T05:26:00Z</dcterms:created>
  <dcterms:modified xsi:type="dcterms:W3CDTF">2015-05-18T05:26:00Z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