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F895" w14:textId="77777777" w:rsidR="009D5F97" w:rsidRDefault="009D5F97" w:rsidP="009D5F97">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Pr>
          <w:rFonts w:ascii="Arial" w:hAnsi="Arial" w:cs="Arial"/>
          <w:b/>
          <w:bCs/>
          <w:color w:val="000080"/>
          <w:sz w:val="36"/>
          <w:szCs w:val="36"/>
        </w:rPr>
        <w:t>Medical Services Advisory Committee (MSAC)</w:t>
      </w:r>
      <w:r>
        <w:rPr>
          <w:rFonts w:ascii="Arial" w:hAnsi="Arial" w:cs="Arial"/>
          <w:b/>
          <w:bCs/>
          <w:color w:val="000080"/>
          <w:sz w:val="36"/>
          <w:szCs w:val="36"/>
        </w:rPr>
        <w:br/>
      </w:r>
      <w:r w:rsidRPr="00F76D74">
        <w:rPr>
          <w:rFonts w:ascii="Arial" w:hAnsi="Arial" w:cs="Arial"/>
          <w:b/>
          <w:bCs/>
          <w:color w:val="000080"/>
          <w:sz w:val="36"/>
          <w:szCs w:val="36"/>
        </w:rPr>
        <w:t>Public Summary Document</w:t>
      </w:r>
    </w:p>
    <w:p w14:paraId="7A128FDE" w14:textId="37014DD0" w:rsidR="00772829" w:rsidRPr="00CE28E3" w:rsidRDefault="00772829" w:rsidP="00772829">
      <w:pPr>
        <w:pStyle w:val="Subtitle"/>
      </w:pPr>
      <w:r w:rsidRPr="00CE28E3">
        <w:t xml:space="preserve">Application No. </w:t>
      </w:r>
      <w:r w:rsidR="00957E62" w:rsidRPr="00C16530">
        <w:t>1778</w:t>
      </w:r>
      <w:r w:rsidRPr="00C16530">
        <w:t xml:space="preserve"> – </w:t>
      </w:r>
      <w:r w:rsidR="00C16530" w:rsidRPr="00C16530">
        <w:t>Fibroblast growth factor 23 (FGF-23) testing for patients with a high pre-test probability of X-linked hypophosphatemia (XLH) to determine eligibility for burosumab on the Pharmaceutical Benefits Scheme (PBS)</w:t>
      </w:r>
    </w:p>
    <w:p w14:paraId="35263561" w14:textId="1311B9C9" w:rsidR="00772829" w:rsidRPr="00CE28E3" w:rsidRDefault="00772829" w:rsidP="00AD239C">
      <w:pPr>
        <w:tabs>
          <w:tab w:val="left" w:pos="3686"/>
        </w:tabs>
        <w:spacing w:after="240"/>
        <w:ind w:left="3600" w:hanging="360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B04DE1" w:rsidRPr="008A512F">
        <w:rPr>
          <w:rFonts w:ascii="Arial" w:hAnsi="Arial" w:cs="Arial"/>
          <w:b/>
          <w:szCs w:val="24"/>
        </w:rPr>
        <w:t xml:space="preserve">Department of Health and </w:t>
      </w:r>
      <w:r w:rsidR="00C94E03" w:rsidRPr="008A512F">
        <w:rPr>
          <w:rFonts w:ascii="Arial" w:hAnsi="Arial" w:cs="Arial"/>
          <w:b/>
          <w:szCs w:val="24"/>
        </w:rPr>
        <w:t>Aged Care</w:t>
      </w:r>
      <w:r w:rsidR="00A16318" w:rsidRPr="008A512F">
        <w:rPr>
          <w:rFonts w:ascii="Arial" w:hAnsi="Arial" w:cs="Arial"/>
          <w:b/>
          <w:szCs w:val="24"/>
        </w:rPr>
        <w:t xml:space="preserve"> on behalf of</w:t>
      </w:r>
      <w:r w:rsidR="00AD239C" w:rsidRPr="008A512F">
        <w:rPr>
          <w:rFonts w:ascii="Arial" w:hAnsi="Arial" w:cs="Arial"/>
          <w:b/>
          <w:szCs w:val="24"/>
        </w:rPr>
        <w:t xml:space="preserve"> the </w:t>
      </w:r>
      <w:r w:rsidR="00544428" w:rsidRPr="008A512F">
        <w:rPr>
          <w:rFonts w:ascii="Arial" w:hAnsi="Arial" w:cs="Arial"/>
          <w:b/>
          <w:szCs w:val="24"/>
        </w:rPr>
        <w:t xml:space="preserve">Hypophosphatemic Working Party </w:t>
      </w:r>
      <w:r w:rsidR="00C9233F">
        <w:rPr>
          <w:rFonts w:ascii="Arial" w:hAnsi="Arial" w:cs="Arial"/>
          <w:b/>
          <w:szCs w:val="24"/>
        </w:rPr>
        <w:t xml:space="preserve">of the </w:t>
      </w:r>
      <w:r w:rsidR="00AD239C" w:rsidRPr="008A512F">
        <w:rPr>
          <w:rFonts w:ascii="Arial" w:hAnsi="Arial" w:cs="Arial"/>
          <w:b/>
          <w:szCs w:val="24"/>
        </w:rPr>
        <w:t xml:space="preserve">Australian and New Zealand Bone </w:t>
      </w:r>
      <w:r w:rsidR="00AB4537" w:rsidRPr="008A512F">
        <w:rPr>
          <w:rFonts w:ascii="Arial" w:hAnsi="Arial" w:cs="Arial"/>
          <w:b/>
          <w:szCs w:val="24"/>
        </w:rPr>
        <w:t xml:space="preserve">and </w:t>
      </w:r>
      <w:r w:rsidR="00AD239C" w:rsidRPr="008A512F">
        <w:rPr>
          <w:rFonts w:ascii="Arial" w:hAnsi="Arial" w:cs="Arial"/>
          <w:b/>
          <w:szCs w:val="24"/>
        </w:rPr>
        <w:t>Mineral Society</w:t>
      </w:r>
    </w:p>
    <w:p w14:paraId="15DA9C4A" w14:textId="2E225A15" w:rsidR="009A3778" w:rsidRDefault="00772829" w:rsidP="009D5F97">
      <w:pPr>
        <w:tabs>
          <w:tab w:val="left" w:pos="3544"/>
        </w:tabs>
        <w:spacing w:after="360"/>
        <w:rPr>
          <w:rFonts w:ascii="Arial" w:hAnsi="Arial" w:cs="Arial"/>
          <w:b/>
          <w:szCs w:val="24"/>
        </w:rPr>
      </w:pPr>
      <w:r w:rsidRPr="00CE28E3">
        <w:rPr>
          <w:rFonts w:ascii="Arial" w:hAnsi="Arial" w:cs="Arial"/>
          <w:b/>
          <w:szCs w:val="24"/>
        </w:rPr>
        <w:t>Date of MSAC consideration:</w:t>
      </w:r>
      <w:r w:rsidRPr="00CE28E3">
        <w:rPr>
          <w:rFonts w:ascii="Arial" w:hAnsi="Arial" w:cs="Arial"/>
          <w:b/>
          <w:szCs w:val="24"/>
        </w:rPr>
        <w:tab/>
      </w:r>
      <w:r w:rsidR="00044202" w:rsidRPr="00044202">
        <w:rPr>
          <w:rFonts w:ascii="Arial" w:hAnsi="Arial" w:cs="Arial"/>
          <w:b/>
          <w:szCs w:val="24"/>
        </w:rPr>
        <w:t>1 – 2 August 2024</w:t>
      </w:r>
    </w:p>
    <w:p w14:paraId="2BB0CB7A" w14:textId="2C2877F6" w:rsidR="009D5F97" w:rsidRPr="009D5F97" w:rsidRDefault="009D5F97" w:rsidP="009D5F97">
      <w:pPr>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bookmarkStart w:id="0" w:name="_Toc166073998"/>
      <w:r>
        <w:t>1.</w:t>
      </w:r>
      <w:r>
        <w:tab/>
      </w:r>
      <w:r w:rsidR="00772829" w:rsidRPr="00CE28E3">
        <w:t xml:space="preserve">Purpose </w:t>
      </w:r>
      <w:r w:rsidR="00772829" w:rsidRPr="009D5F97">
        <w:t>of</w:t>
      </w:r>
      <w:r w:rsidR="00772829" w:rsidRPr="00CE28E3">
        <w:t xml:space="preserve"> application</w:t>
      </w:r>
      <w:bookmarkEnd w:id="0"/>
    </w:p>
    <w:p w14:paraId="724AC703" w14:textId="030A50D6" w:rsidR="0085106C" w:rsidRDefault="00A545C9" w:rsidP="007338D3">
      <w:bookmarkStart w:id="1" w:name="_Hlk69734469"/>
      <w:r w:rsidRPr="00946089">
        <w:t xml:space="preserve">An application requesting Medicare Benefits Schedule (MBS) listing of fibroblast growth factor 23 (FGF-23) testing for patients with a high pre-test probability of </w:t>
      </w:r>
      <w:bookmarkStart w:id="2" w:name="_Hlk167373846"/>
      <w:r w:rsidRPr="00946089">
        <w:t xml:space="preserve">X-linked hypophosphatemia </w:t>
      </w:r>
      <w:bookmarkEnd w:id="2"/>
      <w:r w:rsidRPr="00946089">
        <w:t xml:space="preserve">(XLH) to determine eligibility for burosumab on the Pharmaceutical Benefits Scheme (PBS) </w:t>
      </w:r>
      <w:r w:rsidR="000D3117" w:rsidRPr="00946089">
        <w:t>h</w:t>
      </w:r>
      <w:r w:rsidRPr="00946089">
        <w:t xml:space="preserve">as </w:t>
      </w:r>
      <w:r w:rsidR="000D3117" w:rsidRPr="00946089">
        <w:t>been</w:t>
      </w:r>
      <w:r w:rsidRPr="00946089">
        <w:t xml:space="preserve"> </w:t>
      </w:r>
      <w:r w:rsidR="0087330D">
        <w:rPr>
          <w:iCs/>
        </w:rPr>
        <w:t>submitted</w:t>
      </w:r>
      <w:r w:rsidRPr="00946089">
        <w:t xml:space="preserve"> by the Department of Health and Aged Care</w:t>
      </w:r>
      <w:r w:rsidR="00E175DB">
        <w:t xml:space="preserve"> (the department)</w:t>
      </w:r>
      <w:r w:rsidR="00C368D7">
        <w:t xml:space="preserve"> on behalf of the </w:t>
      </w:r>
      <w:r w:rsidR="0082631F" w:rsidRPr="00C368D7">
        <w:t xml:space="preserve">Hypophosphatemic Working Party </w:t>
      </w:r>
      <w:r w:rsidR="0082631F">
        <w:t xml:space="preserve">of the </w:t>
      </w:r>
      <w:r w:rsidR="00C368D7" w:rsidRPr="00C368D7">
        <w:t xml:space="preserve">Australian and New Zealand Bone and Mineral Society </w:t>
      </w:r>
      <w:r w:rsidR="00CF2C13">
        <w:t>(ANZBMS)</w:t>
      </w:r>
      <w:r w:rsidRPr="00946089">
        <w:t>.</w:t>
      </w:r>
    </w:p>
    <w:p w14:paraId="5FADBB1F" w14:textId="77777777" w:rsidR="009D5F97" w:rsidRDefault="009D5F97" w:rsidP="009D5F97">
      <w:pPr>
        <w:pStyle w:val="Heading2"/>
        <w:numPr>
          <w:ilvl w:val="0"/>
          <w:numId w:val="0"/>
        </w:numPr>
      </w:pPr>
      <w:r>
        <w:t>2.</w:t>
      </w:r>
      <w:r>
        <w:tab/>
        <w:t>MSAC’s advice to the Minister</w:t>
      </w:r>
    </w:p>
    <w:p w14:paraId="33A786AB" w14:textId="0B795120" w:rsidR="009D5F97" w:rsidRDefault="009D5F97" w:rsidP="3F3DCD6A">
      <w:pPr>
        <w:spacing w:after="240" w:line="240" w:lineRule="auto"/>
        <w:rPr>
          <w:rFonts w:eastAsia="Franklin Gothic Book" w:cs="Franklin Gothic Book"/>
          <w:color w:val="000000" w:themeColor="text1"/>
        </w:rPr>
      </w:pPr>
      <w:r w:rsidRPr="72B25BDB">
        <w:rPr>
          <w:rFonts w:eastAsia="Calibri" w:cs="Times New Roman"/>
        </w:rPr>
        <w:t xml:space="preserve">After considering the strength of the available evidence in relation to comparative safety, clinical effectiveness, </w:t>
      </w:r>
      <w:proofErr w:type="gramStart"/>
      <w:r w:rsidRPr="72B25BDB">
        <w:rPr>
          <w:rFonts w:eastAsia="Calibri" w:cs="Times New Roman"/>
        </w:rPr>
        <w:t>cost-effectiveness</w:t>
      </w:r>
      <w:proofErr w:type="gramEnd"/>
      <w:r w:rsidRPr="72B25BDB">
        <w:rPr>
          <w:rFonts w:eastAsia="Calibri" w:cs="Times New Roman"/>
        </w:rPr>
        <w:t xml:space="preserve"> and total cost,</w:t>
      </w:r>
      <w:r w:rsidR="704B5579" w:rsidRPr="72B25BDB">
        <w:rPr>
          <w:rFonts w:eastAsia="Franklin Gothic Book" w:cs="Franklin Gothic Book"/>
          <w:color w:val="000000" w:themeColor="text1"/>
        </w:rPr>
        <w:t xml:space="preserve"> MSAC supported the creation of a new MBS item </w:t>
      </w:r>
      <w:r w:rsidR="790E1A5B" w:rsidRPr="72B25BDB">
        <w:rPr>
          <w:rFonts w:eastAsia="Franklin Gothic Book" w:cs="Franklin Gothic Book"/>
          <w:color w:val="000000" w:themeColor="text1"/>
        </w:rPr>
        <w:t xml:space="preserve">(below) </w:t>
      </w:r>
      <w:r w:rsidR="704B5579" w:rsidRPr="72B25BDB">
        <w:rPr>
          <w:rFonts w:eastAsia="Franklin Gothic Book" w:cs="Franklin Gothic Book"/>
          <w:color w:val="000000" w:themeColor="text1"/>
        </w:rPr>
        <w:t>for FGF-23 testing to determine eligibility for burosumab on the PBS in patients with a high pre-test probability of X-linked hypophosphatemia (XLH). MSAC considered that there was a clear clinical need for this test as it was required to determine eligibility for a PBS-listed therapy (</w:t>
      </w:r>
      <w:proofErr w:type="spellStart"/>
      <w:r w:rsidR="704B5579" w:rsidRPr="72B25BDB">
        <w:rPr>
          <w:rFonts w:eastAsia="Franklin Gothic Book" w:cs="Franklin Gothic Book"/>
          <w:color w:val="000000" w:themeColor="text1"/>
        </w:rPr>
        <w:t>burosomab</w:t>
      </w:r>
      <w:proofErr w:type="spellEnd"/>
      <w:r w:rsidR="704B5579" w:rsidRPr="72B25BDB">
        <w:rPr>
          <w:rFonts w:eastAsia="Franklin Gothic Book" w:cs="Franklin Gothic Book"/>
          <w:color w:val="000000" w:themeColor="text1"/>
        </w:rPr>
        <w:t>), the test would be used by a small patient cohort and the financial impact of the test was low.</w:t>
      </w:r>
    </w:p>
    <w:p w14:paraId="7AFB918C" w14:textId="2337B08D" w:rsidR="3F3DCD6A" w:rsidRDefault="704B5579" w:rsidP="00EA5C45">
      <w:pPr>
        <w:spacing w:after="240" w:line="240" w:lineRule="auto"/>
        <w:rPr>
          <w:rFonts w:eastAsia="Franklin Gothic Book" w:cs="Franklin Gothic Book"/>
          <w:color w:val="000000" w:themeColor="text1"/>
        </w:rPr>
      </w:pPr>
      <w:r w:rsidRPr="3F3DCD6A">
        <w:rPr>
          <w:rFonts w:eastAsia="Franklin Gothic Book" w:cs="Franklin Gothic Book"/>
          <w:color w:val="000000" w:themeColor="text1"/>
        </w:rPr>
        <w:t>MSAC noted the late request from the applicant to broaden the scope of the test to include FGF-23 testing for the diagnosis of all types of FGF-23 dependent hypophosphatemia (beyond the diagnosis of XLH alone). MSAC requested that the need for assessment of this request should be weighed against the resources required and proposed that the Department of Health and Aged Care seek MSAC Executive advice on a suitable pathway for consideration of this request.</w:t>
      </w:r>
    </w:p>
    <w:tbl>
      <w:tblPr>
        <w:tblStyle w:val="TableGrid"/>
        <w:tblW w:w="0" w:type="auto"/>
        <w:tblLook w:val="04A0" w:firstRow="1" w:lastRow="0" w:firstColumn="1" w:lastColumn="0" w:noHBand="0" w:noVBand="1"/>
        <w:tblDescription w:val="Consumer summary of MSAC consideration"/>
      </w:tblPr>
      <w:tblGrid>
        <w:gridCol w:w="9016"/>
      </w:tblGrid>
      <w:tr w:rsidR="00171E5F" w14:paraId="1AB55318" w14:textId="77777777" w:rsidTr="002C4CE5">
        <w:tc>
          <w:tcPr>
            <w:tcW w:w="9016" w:type="dxa"/>
          </w:tcPr>
          <w:p w14:paraId="12AD3ACC" w14:textId="77777777" w:rsidR="00171E5F" w:rsidRDefault="00171E5F" w:rsidP="00E45B3B">
            <w:pPr>
              <w:pStyle w:val="TableText"/>
            </w:pPr>
            <w:r w:rsidRPr="007E073F">
              <w:t xml:space="preserve">Category 6 – Pathology Services  </w:t>
            </w:r>
            <w:r>
              <w:t xml:space="preserve">                                                                         </w:t>
            </w:r>
            <w:r w:rsidRPr="007E073F">
              <w:t>Group P2 – Chemical (to be confirmed)</w:t>
            </w:r>
          </w:p>
        </w:tc>
      </w:tr>
      <w:tr w:rsidR="00171E5F" w14:paraId="4EC64C7F" w14:textId="77777777" w:rsidTr="002C4CE5">
        <w:tc>
          <w:tcPr>
            <w:tcW w:w="9016" w:type="dxa"/>
          </w:tcPr>
          <w:p w14:paraId="1E493E36" w14:textId="0DCC19FE" w:rsidR="00171E5F" w:rsidRDefault="00171E5F" w:rsidP="00E45B3B">
            <w:pPr>
              <w:pStyle w:val="TableText"/>
              <w:spacing w:after="120"/>
            </w:pPr>
            <w:r w:rsidRPr="007E073F">
              <w:t xml:space="preserve">MBS item XXXXX </w:t>
            </w:r>
          </w:p>
          <w:p w14:paraId="24ABB005" w14:textId="17948041" w:rsidR="00171E5F" w:rsidRDefault="00171E5F" w:rsidP="00E45B3B">
            <w:pPr>
              <w:pStyle w:val="TableText"/>
              <w:spacing w:after="120"/>
            </w:pPr>
            <w:r w:rsidRPr="007E073F">
              <w:t>Fibroblast growth factor 23 quantification in serum or plasma</w:t>
            </w:r>
            <w:r>
              <w:t>,</w:t>
            </w:r>
            <w:r w:rsidRPr="007E073F">
              <w:t xml:space="preserve"> requested by a specialist or consultant physician </w:t>
            </w:r>
            <w:r>
              <w:t xml:space="preserve">to </w:t>
            </w:r>
            <w:r w:rsidRPr="007E073F">
              <w:t>determine eligibility for a</w:t>
            </w:r>
            <w:r>
              <w:t xml:space="preserve"> </w:t>
            </w:r>
            <w:r w:rsidRPr="007C0042">
              <w:t>relevant</w:t>
            </w:r>
            <w:r w:rsidRPr="007E073F">
              <w:t xml:space="preserve"> treatment listed on the Pharmaceutical Benefits Schedule</w:t>
            </w:r>
          </w:p>
          <w:p w14:paraId="698C848F" w14:textId="77777777" w:rsidR="00171E5F" w:rsidRDefault="00171E5F" w:rsidP="00E45B3B">
            <w:pPr>
              <w:pStyle w:val="TableText"/>
            </w:pPr>
            <w:r w:rsidRPr="00BA3993">
              <w:t>Fee:</w:t>
            </w:r>
            <w:r w:rsidRPr="007E073F">
              <w:t xml:space="preserve"> </w:t>
            </w:r>
            <w:r>
              <w:t xml:space="preserve">$90.00   </w:t>
            </w:r>
            <w:r w:rsidRPr="00BA3993">
              <w:rPr>
                <w:szCs w:val="20"/>
              </w:rPr>
              <w:t>Benefit:</w:t>
            </w:r>
            <w:r w:rsidRPr="00C7644B">
              <w:rPr>
                <w:szCs w:val="20"/>
              </w:rPr>
              <w:t xml:space="preserve"> 75% = $</w:t>
            </w:r>
            <w:r>
              <w:rPr>
                <w:szCs w:val="20"/>
              </w:rPr>
              <w:t xml:space="preserve">67.50   </w:t>
            </w:r>
            <w:r w:rsidRPr="00C7644B">
              <w:rPr>
                <w:szCs w:val="20"/>
              </w:rPr>
              <w:t>85% = $</w:t>
            </w:r>
            <w:r>
              <w:rPr>
                <w:szCs w:val="20"/>
              </w:rPr>
              <w:t>76.50</w:t>
            </w:r>
          </w:p>
        </w:tc>
      </w:tr>
      <w:tr w:rsidR="009D5F97" w:rsidRPr="00C86E49" w14:paraId="3DC35D66" w14:textId="77777777" w:rsidTr="7E7E20CF">
        <w:trPr>
          <w:tblHeader/>
        </w:trPr>
        <w:tc>
          <w:tcPr>
            <w:tcW w:w="9016" w:type="dxa"/>
          </w:tcPr>
          <w:p w14:paraId="75A7B478" w14:textId="77777777" w:rsidR="009D5F97" w:rsidRPr="00C86E49" w:rsidRDefault="009D5F97" w:rsidP="00E45B3B">
            <w:pPr>
              <w:spacing w:after="200"/>
              <w:outlineLvl w:val="2"/>
              <w:rPr>
                <w:rFonts w:ascii="Franklin Gothic Medium" w:eastAsia="Calibri" w:hAnsi="Franklin Gothic Medium" w:cs="Times New Roman"/>
                <w:iCs/>
                <w:color w:val="1F3763"/>
                <w:sz w:val="24"/>
                <w:szCs w:val="24"/>
              </w:rPr>
            </w:pPr>
            <w:r w:rsidRPr="00C86E49">
              <w:rPr>
                <w:rFonts w:ascii="Franklin Gothic Medium" w:eastAsia="Times New Roman" w:hAnsi="Franklin Gothic Medium" w:cs="Times New Roman"/>
                <w:sz w:val="24"/>
                <w:szCs w:val="24"/>
              </w:rPr>
              <w:lastRenderedPageBreak/>
              <w:t>Consumer summary</w:t>
            </w:r>
          </w:p>
        </w:tc>
      </w:tr>
      <w:tr w:rsidR="005D0474" w:rsidRPr="00C86E49" w14:paraId="5711FCA3" w14:textId="77777777" w:rsidTr="7E7E20CF">
        <w:tc>
          <w:tcPr>
            <w:tcW w:w="9016" w:type="dxa"/>
          </w:tcPr>
          <w:p w14:paraId="4D3B2306" w14:textId="52F8BD28" w:rsidR="005D0474" w:rsidRDefault="005D0474" w:rsidP="005D0474">
            <w:r>
              <w:t>This is an application from the Australian Government Department of Health and Aged Care, on behalf of the Hypophosphatemic Working Party of the Australian and New Zealand Bone and Mineral Society (ANZBMS), requesting Medicare Benefits Schedule (MBS) listing of fibroblast growth factor 23 (FGF-23) testing for people with a high probability of X-linked hypophosphatemia (XLH).</w:t>
            </w:r>
          </w:p>
          <w:p w14:paraId="70BB816E" w14:textId="77777777" w:rsidR="005D0474" w:rsidRDefault="005D0474" w:rsidP="005D0474">
            <w:r>
              <w:t xml:space="preserve">XLH is a rare inherited condition that affects </w:t>
            </w:r>
            <w:proofErr w:type="gramStart"/>
            <w:r>
              <w:t>a number of</w:t>
            </w:r>
            <w:proofErr w:type="gramEnd"/>
            <w:r>
              <w:t xml:space="preserve"> body systems, including the bones. People with XLH have abnormally high levels of the hormone FGF-23 in their bodies. High FGF-23 levels lead to low levels of a mineral called phosphate. Phosphate is one of the minerals, along with calcium, that is stored in bones and used to build and keep them strong. Bone is a living, active tissue. It has its own specialised cells that work continuously to replace old bone tissue with new bone tissue over the whole lifecycle. Bone tissue is made of protein and collagen, which provides a framework for minerals that get laid down in the framework as tiny microcrystals. The minerals make bones </w:t>
            </w:r>
            <w:proofErr w:type="gramStart"/>
            <w:r>
              <w:t>hard</w:t>
            </w:r>
            <w:proofErr w:type="gramEnd"/>
            <w:r>
              <w:t xml:space="preserve"> and the collagen provides flexibility for the bone to resist breaking under tension. </w:t>
            </w:r>
          </w:p>
          <w:p w14:paraId="64615A83" w14:textId="77777777" w:rsidR="005D0474" w:rsidRDefault="005D0474" w:rsidP="005D0474">
            <w:r>
              <w:t>When there is not enough phosphate in the body, like in people with XLH, the bones can’t mineralise properly, so they grow to be malformed, painful and break easily. People with this condition, called rickets, osteomalacia, or ‘soft bone disease’, can have chronic pain and significant problems with muscle and joint function, limiting their mobility.</w:t>
            </w:r>
          </w:p>
          <w:p w14:paraId="05DA2FAE" w14:textId="3A6BC1DB" w:rsidR="005D0474" w:rsidRDefault="005D0474" w:rsidP="005D0474">
            <w:r>
              <w:t xml:space="preserve">The diagnosis of XLH includes </w:t>
            </w:r>
            <w:proofErr w:type="gramStart"/>
            <w:r>
              <w:t>a number of</w:t>
            </w:r>
            <w:proofErr w:type="gramEnd"/>
            <w:r>
              <w:t xml:space="preserve"> steps, one of which is testing for high FGF-23 levels (or unusually normal FGF-23 levels in people who have other symptoms of XLH). People who have a diagnosis of XLH including high or unusually normal FGF-23 levels are eligible to access burosumab, a medication for the treatment of XLH, on the Pharmaceutical Benefits Scheme (PBS).</w:t>
            </w:r>
          </w:p>
          <w:p w14:paraId="78FED6F5" w14:textId="68BF31F1" w:rsidR="005D0474" w:rsidRPr="000C3384" w:rsidRDefault="005D0474" w:rsidP="7E7E20CF">
            <w:r>
              <w:t>The proposed test to look for levels of FGF-23 is a simple blood test. People found to have high levels of FGF-23 and who are diagnosed with XLH can access burosumab, a medication that binds to and inactivates FGF-23. Treatment with burosumab is not a cure, but it increases phosphate levels which improves bone mineralisation and reduces the severity of rickets in people who have XLH.</w:t>
            </w:r>
          </w:p>
          <w:p w14:paraId="638974D4" w14:textId="09EBE98F" w:rsidR="005D0474" w:rsidRDefault="005D0474" w:rsidP="005D0474">
            <w:r>
              <w:t>Burosumab has been available on the PBS for 2 years and</w:t>
            </w:r>
            <w:r w:rsidDel="2C351573">
              <w:t xml:space="preserve"> people are currently accessing it </w:t>
            </w:r>
            <w:r>
              <w:t>through</w:t>
            </w:r>
            <w:r w:rsidDel="2C351573">
              <w:t xml:space="preserve"> a genetic test that isn’t </w:t>
            </w:r>
            <w:r>
              <w:t>perfect at detecting whether someone has</w:t>
            </w:r>
            <w:r w:rsidDel="00146D42">
              <w:t xml:space="preserve"> </w:t>
            </w:r>
            <w:r>
              <w:t xml:space="preserve">the gene that causes </w:t>
            </w:r>
            <w:r w:rsidDel="2C351573">
              <w:t xml:space="preserve">XLH. </w:t>
            </w:r>
            <w:r>
              <w:t>Also, the genetic test is not available in all parts of Australia.</w:t>
            </w:r>
          </w:p>
          <w:p w14:paraId="2B53E4B9" w14:textId="77777777" w:rsidR="005D0474" w:rsidRDefault="005D0474" w:rsidP="005D0474">
            <w:r>
              <w:t>MSAC noted that the budget impact of the proposed test will be very small, because the test is low cost and there are not many people suspected to have this condition (about 300 people in Australia). Once people are tested and diagnosed, the annual cost to the MBS will be even smaller because there won’t be many new cases each year.</w:t>
            </w:r>
          </w:p>
          <w:p w14:paraId="4C7A62C6" w14:textId="69A1BC39" w:rsidR="005D0474" w:rsidRPr="00146D42" w:rsidRDefault="005D0474" w:rsidP="005D0474">
            <w:pPr>
              <w:spacing w:line="259" w:lineRule="auto"/>
            </w:pPr>
            <w:r>
              <w:t>The ANZBMS, on behalf of which the application was made, also requested during the assessment process that the testing be expanded to all people suspected of having high FGF-23 levels resulting in low phosphate, not just those with suspected XLH. However, this</w:t>
            </w:r>
            <w:r w:rsidDel="2C351573">
              <w:t xml:space="preserve"> </w:t>
            </w:r>
            <w:r>
              <w:t>request came too late for MSAC to consider at their August 2024 meeting and evidence for these extra populations had not been provided for MSAC to consider. MSAC referred consideration of funding for the proposed broader population to the Department of Health and Aged Care</w:t>
            </w:r>
            <w:r w:rsidR="00FC557A">
              <w:t xml:space="preserve"> (the department)</w:t>
            </w:r>
            <w:r>
              <w:t xml:space="preserve">, and requested the department </w:t>
            </w:r>
            <w:r w:rsidRPr="3F3DCD6A">
              <w:rPr>
                <w:rFonts w:eastAsia="Franklin Gothic Book" w:cs="Franklin Gothic Book"/>
                <w:color w:val="000000" w:themeColor="text1"/>
              </w:rPr>
              <w:t xml:space="preserve">seek MSAC Executive advice on </w:t>
            </w:r>
            <w:r>
              <w:rPr>
                <w:rFonts w:eastAsia="Franklin Gothic Book" w:cs="Franklin Gothic Book"/>
                <w:color w:val="000000" w:themeColor="text1"/>
              </w:rPr>
              <w:t xml:space="preserve">the most suitable way to </w:t>
            </w:r>
            <w:r w:rsidRPr="3F3DCD6A">
              <w:rPr>
                <w:rFonts w:eastAsia="Franklin Gothic Book" w:cs="Franklin Gothic Book"/>
                <w:color w:val="000000" w:themeColor="text1"/>
              </w:rPr>
              <w:t>consider this request</w:t>
            </w:r>
            <w:r w:rsidRPr="34F67968">
              <w:rPr>
                <w:rFonts w:eastAsia="Franklin Gothic Book" w:cs="Franklin Gothic Book"/>
                <w:color w:val="000000" w:themeColor="text1"/>
              </w:rPr>
              <w:t>.</w:t>
            </w:r>
          </w:p>
          <w:p w14:paraId="0E2C3068" w14:textId="77777777" w:rsidR="005D0474" w:rsidRPr="00C86E49" w:rsidRDefault="005D0474" w:rsidP="005D0474">
            <w:pPr>
              <w:keepNext/>
              <w:keepLines/>
              <w:outlineLvl w:val="2"/>
              <w:rPr>
                <w:rFonts w:ascii="Franklin Gothic Medium" w:eastAsia="Times New Roman" w:hAnsi="Franklin Gothic Medium" w:cs="Times New Roman"/>
                <w:sz w:val="24"/>
                <w:szCs w:val="24"/>
              </w:rPr>
            </w:pPr>
            <w:r w:rsidRPr="00C86E49">
              <w:rPr>
                <w:rFonts w:ascii="Franklin Gothic Medium" w:eastAsia="Times New Roman" w:hAnsi="Franklin Gothic Medium" w:cs="Times New Roman"/>
                <w:sz w:val="24"/>
                <w:szCs w:val="24"/>
              </w:rPr>
              <w:t xml:space="preserve">MSAC’s advice to the </w:t>
            </w:r>
            <w:proofErr w:type="gramStart"/>
            <w:r w:rsidRPr="00C86E49">
              <w:rPr>
                <w:rFonts w:ascii="Franklin Gothic Medium" w:eastAsia="Times New Roman" w:hAnsi="Franklin Gothic Medium" w:cs="Times New Roman"/>
                <w:sz w:val="24"/>
                <w:szCs w:val="24"/>
              </w:rPr>
              <w:t>Commonwealth Minister</w:t>
            </w:r>
            <w:proofErr w:type="gramEnd"/>
            <w:r w:rsidRPr="00C86E49">
              <w:rPr>
                <w:rFonts w:ascii="Franklin Gothic Medium" w:eastAsia="Times New Roman" w:hAnsi="Franklin Gothic Medium" w:cs="Times New Roman"/>
                <w:sz w:val="24"/>
                <w:szCs w:val="24"/>
              </w:rPr>
              <w:t xml:space="preserve"> for Health and Aged Care</w:t>
            </w:r>
          </w:p>
          <w:p w14:paraId="37B5DDFD" w14:textId="5049BD87" w:rsidR="005D0474" w:rsidRPr="00C86E49" w:rsidRDefault="005D0474" w:rsidP="00A81A6B">
            <w:pPr>
              <w:spacing w:after="120"/>
              <w:rPr>
                <w:rFonts w:eastAsia="Calibri" w:cs="Times New Roman"/>
              </w:rPr>
            </w:pPr>
            <w:r>
              <w:t>MSAC supported listing FGF-23 testing for people with X-linked hypophosphatemia to access burosumab. MSAC considered the test to be safe and effective, and that it would have a very small impact on the MBS budget.</w:t>
            </w:r>
          </w:p>
        </w:tc>
      </w:tr>
    </w:tbl>
    <w:p w14:paraId="6815EF3A" w14:textId="77777777" w:rsidR="009D5F97" w:rsidRPr="00C86E49" w:rsidRDefault="009D5F97" w:rsidP="009D5F97">
      <w:pPr>
        <w:pStyle w:val="Heading2"/>
        <w:numPr>
          <w:ilvl w:val="1"/>
          <w:numId w:val="0"/>
        </w:numPr>
      </w:pPr>
      <w:r w:rsidRPr="00C86E49">
        <w:lastRenderedPageBreak/>
        <w:t>3.</w:t>
      </w:r>
      <w:r w:rsidRPr="00C86E49">
        <w:tab/>
        <w:t>Summary of consideration and rationale for MSAC’s advice</w:t>
      </w:r>
    </w:p>
    <w:p w14:paraId="5AA5F2FE" w14:textId="3384168A" w:rsidR="00A00E3E" w:rsidRDefault="00A00E3E" w:rsidP="00A00E3E">
      <w:r>
        <w:t xml:space="preserve">MSAC noted that this application submitted by the </w:t>
      </w:r>
      <w:r w:rsidR="00137F7E">
        <w:t>d</w:t>
      </w:r>
      <w:r>
        <w:t>epartment on behalf of the Hypophosphatemic Working Party of the Australian and New Zealand Bone and Mineral Society (ANZBMS) is for MBS listing of FGF-23 testing for patients with a high pre-test probability of XLH to determine eligibility for burosumab on the PBS.</w:t>
      </w:r>
    </w:p>
    <w:p w14:paraId="2B67E5A6" w14:textId="7DFA3342" w:rsidR="00A00E3E" w:rsidRDefault="00136575" w:rsidP="00A00E3E">
      <w:r>
        <w:t>I</w:t>
      </w:r>
      <w:r w:rsidR="00A00E3E">
        <w:t>n December 2023, the MSAC Executive advised that a</w:t>
      </w:r>
      <w:r w:rsidR="00690430">
        <w:t>n</w:t>
      </w:r>
      <w:r w:rsidR="00A00E3E">
        <w:t xml:space="preserve"> assessment focused on the financial implications of FGF-23 testing</w:t>
      </w:r>
      <w:r w:rsidR="16CD6C25">
        <w:t xml:space="preserve"> for burosumab access</w:t>
      </w:r>
      <w:r w:rsidR="00A00E3E">
        <w:t xml:space="preserve"> should be prepared</w:t>
      </w:r>
      <w:r w:rsidR="2B3F5B7D">
        <w:t xml:space="preserve"> for MSAC consideration</w:t>
      </w:r>
      <w:r w:rsidR="00A00E3E">
        <w:t xml:space="preserve">. </w:t>
      </w:r>
      <w:r w:rsidR="0B7EE553">
        <w:t xml:space="preserve">Given the population was defined by the co-dependency with the PBS eligibility criteria for burosumab, and the anticipated small population size and budget impact, </w:t>
      </w:r>
      <w:r w:rsidR="075CB44E">
        <w:t>t</w:t>
      </w:r>
      <w:r w:rsidR="00A00E3E">
        <w:t>he MSAC Executive advised that the focused assessment could proceed directly to MSAC, bypassing PASC and ESC.</w:t>
      </w:r>
    </w:p>
    <w:p w14:paraId="76A52011" w14:textId="5D837E35" w:rsidR="009534FC" w:rsidRDefault="009534FC" w:rsidP="009534FC">
      <w:pPr>
        <w:spacing w:after="240" w:line="240" w:lineRule="auto"/>
        <w:rPr>
          <w:rFonts w:eastAsia="Franklin Gothic Book" w:cs="Franklin Gothic Book"/>
          <w:color w:val="000000" w:themeColor="text1"/>
        </w:rPr>
      </w:pPr>
      <w:r>
        <w:t>MSAC noted the</w:t>
      </w:r>
      <w:r w:rsidR="54F48DE2">
        <w:t xml:space="preserve"> late</w:t>
      </w:r>
      <w:r>
        <w:t xml:space="preserve"> request by the ANZBMS </w:t>
      </w:r>
      <w:r w:rsidR="0022080B">
        <w:t>to expand</w:t>
      </w:r>
      <w:r w:rsidDel="0022080B">
        <w:t xml:space="preserve"> </w:t>
      </w:r>
      <w:r>
        <w:t xml:space="preserve">testing </w:t>
      </w:r>
      <w:r w:rsidR="0022080B">
        <w:t xml:space="preserve">to </w:t>
      </w:r>
      <w:r w:rsidR="003A3918">
        <w:t xml:space="preserve">include </w:t>
      </w:r>
      <w:r>
        <w:t>additional populations, that is, FGF-23 testing for the diagnosis of all types of FGF-23–dependent hypophosphatemia (beyond the diagnosis of XLH alone)</w:t>
      </w:r>
      <w:r w:rsidR="243E20C7">
        <w:t>.</w:t>
      </w:r>
      <w:r>
        <w:t xml:space="preserve"> </w:t>
      </w:r>
      <w:r w:rsidR="243E20C7">
        <w:t>This would</w:t>
      </w:r>
      <w:r>
        <w:t xml:space="preserve"> </w:t>
      </w:r>
      <w:r w:rsidR="79231C7F">
        <w:t xml:space="preserve">extend testing to </w:t>
      </w:r>
      <w:r>
        <w:t xml:space="preserve">patients suspected of having other FGF-23 disorders that, while not eligible for burosumab treatment, might benefit from precise diagnosis of the disorder. MSAC noted that the ANZBMS advised that, although the diagnostic pathway is similar, there are a small number of diagnoses in addition to XLH that also have </w:t>
      </w:r>
      <w:r w:rsidR="0082411A">
        <w:t xml:space="preserve">high levels of </w:t>
      </w:r>
      <w:r>
        <w:t>FGF-23 as a cause for hypophosphatemia, such as tumour-induced hypophosphatemia, autosomal dominant and autosomal recessive hypophosphatemic rickets, fibrous dysplasia/McCune–Albright syndrome, iron infusion</w:t>
      </w:r>
      <w:r w:rsidR="3B39778C">
        <w:t>-associated hypophosphatemia</w:t>
      </w:r>
      <w:r>
        <w:t xml:space="preserve"> and post-renal transplantation. However, MSAC noted that the request </w:t>
      </w:r>
      <w:r w:rsidR="002D6CDE">
        <w:t xml:space="preserve">was too </w:t>
      </w:r>
      <w:r>
        <w:t>late</w:t>
      </w:r>
      <w:r w:rsidR="002D6CDE">
        <w:t xml:space="preserve"> to be assessed</w:t>
      </w:r>
      <w:r>
        <w:t xml:space="preserve"> and that </w:t>
      </w:r>
      <w:r w:rsidR="0067240C">
        <w:t xml:space="preserve">evidence for </w:t>
      </w:r>
      <w:r>
        <w:t xml:space="preserve">these additional populations </w:t>
      </w:r>
      <w:r w:rsidR="29D51E80">
        <w:t xml:space="preserve">was </w:t>
      </w:r>
      <w:r>
        <w:t>not included within the current application and assessment.</w:t>
      </w:r>
      <w:r w:rsidRPr="009534FC">
        <w:rPr>
          <w:rFonts w:eastAsia="Franklin Gothic Book" w:cs="Franklin Gothic Book"/>
          <w:color w:val="000000" w:themeColor="text1"/>
        </w:rPr>
        <w:t xml:space="preserve"> </w:t>
      </w:r>
      <w:r w:rsidR="00DB3F1F">
        <w:t xml:space="preserve">Therefore, </w:t>
      </w:r>
      <w:r w:rsidR="00C958CF">
        <w:t xml:space="preserve">MSAC referred consideration of funding for the proposed broader population to the </w:t>
      </w:r>
      <w:r w:rsidR="00137F7E">
        <w:t>d</w:t>
      </w:r>
      <w:r w:rsidR="00C958CF">
        <w:t xml:space="preserve">epartment, and requested the department </w:t>
      </w:r>
      <w:r w:rsidR="00C958CF" w:rsidRPr="4BF92DDE">
        <w:rPr>
          <w:rFonts w:eastAsia="Franklin Gothic Book" w:cs="Franklin Gothic Book"/>
          <w:color w:val="000000" w:themeColor="text1"/>
        </w:rPr>
        <w:t>seek MSAC Executive advice on the most suitable way to consider this request.</w:t>
      </w:r>
    </w:p>
    <w:p w14:paraId="4BE1CFF2" w14:textId="5E058619" w:rsidR="00A00E3E" w:rsidRDefault="00A00E3E" w:rsidP="00A00E3E">
      <w:r>
        <w:t>MSAC noted that burosumab has been available on the PBS for 2 years</w:t>
      </w:r>
      <w:r w:rsidR="00F76A02">
        <w:t xml:space="preserve"> and </w:t>
      </w:r>
      <w:r>
        <w:t xml:space="preserve">patients have been accessing burosumab through renal disorder genetic testing for </w:t>
      </w:r>
      <w:r w:rsidRPr="3F3DCD6A">
        <w:rPr>
          <w:i/>
          <w:iCs/>
        </w:rPr>
        <w:t>PHEX</w:t>
      </w:r>
      <w:r>
        <w:t xml:space="preserve"> pathogenic variants. A new, specific MBS item for FGF-23 testing</w:t>
      </w:r>
      <w:r w:rsidR="28574A15">
        <w:t xml:space="preserve"> for XLH diagnosis</w:t>
      </w:r>
      <w:r>
        <w:t xml:space="preserve"> to access burosumab would be more appropriate, as </w:t>
      </w:r>
      <w:r w:rsidRPr="3F3DCD6A">
        <w:rPr>
          <w:i/>
          <w:iCs/>
        </w:rPr>
        <w:t>PHEX</w:t>
      </w:r>
      <w:r>
        <w:t xml:space="preserve"> testing only captures about 80% of people with XLH.</w:t>
      </w:r>
    </w:p>
    <w:p w14:paraId="33BA6007" w14:textId="64F0872C" w:rsidR="000F7F82" w:rsidRDefault="3607CD85" w:rsidP="00A00E3E">
      <w:r>
        <w:t xml:space="preserve">MSAC noted the proposal to exclude patients from FGF-23 testing if they already have a documented confirmation of a </w:t>
      </w:r>
      <w:r w:rsidRPr="3F3DCD6A">
        <w:rPr>
          <w:i/>
          <w:iCs/>
        </w:rPr>
        <w:t>PHEX</w:t>
      </w:r>
      <w:r>
        <w:t xml:space="preserve"> pathogenic variant. The </w:t>
      </w:r>
      <w:r w:rsidR="008D4C26">
        <w:t>d</w:t>
      </w:r>
      <w:r>
        <w:t>epartment</w:t>
      </w:r>
      <w:r w:rsidR="004E6EDD">
        <w:t xml:space="preserve"> </w:t>
      </w:r>
      <w:r w:rsidR="008D4C26">
        <w:t>advised</w:t>
      </w:r>
      <w:r>
        <w:t xml:space="preserve"> that it would not be possible to monitor if </w:t>
      </w:r>
      <w:r w:rsidRPr="3F3DCD6A">
        <w:rPr>
          <w:i/>
          <w:iCs/>
        </w:rPr>
        <w:t>PHEX</w:t>
      </w:r>
      <w:r>
        <w:t xml:space="preserve"> testing had been previously conducted, as these MBS items are not exclusively for </w:t>
      </w:r>
      <w:r w:rsidRPr="3F3DCD6A">
        <w:rPr>
          <w:i/>
          <w:iCs/>
        </w:rPr>
        <w:t>PHEX</w:t>
      </w:r>
      <w:r>
        <w:t xml:space="preserve"> variant </w:t>
      </w:r>
      <w:proofErr w:type="gramStart"/>
      <w:r>
        <w:t>testing</w:t>
      </w:r>
      <w:proofErr w:type="gramEnd"/>
      <w:r>
        <w:t xml:space="preserve"> and some patients move in and out of the public and private testing space. Thus, MSAC concluded that it would be impractical to impose any restriction preventing patients who have already accessed </w:t>
      </w:r>
      <w:r w:rsidRPr="3F3DCD6A">
        <w:rPr>
          <w:i/>
          <w:iCs/>
        </w:rPr>
        <w:t>PHEX</w:t>
      </w:r>
      <w:r>
        <w:t xml:space="preserve"> testing from accessing FGF-23 testing, but this may be included as an Explanatory Note.</w:t>
      </w:r>
    </w:p>
    <w:p w14:paraId="30F34B0F" w14:textId="6E2C475B" w:rsidR="00A00E3E" w:rsidRPr="00C71723" w:rsidRDefault="00A00E3E" w:rsidP="00A00E3E">
      <w:r>
        <w:t>MSAC noted the public consultation feedback</w:t>
      </w:r>
      <w:r w:rsidR="274CAD66">
        <w:t xml:space="preserve"> from three organisations: Australian Pathology, Public Pathology Australia and ANZBMS.</w:t>
      </w:r>
      <w:r>
        <w:t xml:space="preserve"> </w:t>
      </w:r>
      <w:r w:rsidR="4185243B">
        <w:t xml:space="preserve">Feedback from Australian Pathology and Public Pathology Australia focussed on pathology considerations including the proposed MBS fee. </w:t>
      </w:r>
      <w:r>
        <w:t>Feedback</w:t>
      </w:r>
      <w:r w:rsidR="49A2120A">
        <w:t xml:space="preserve"> from ANZBMS</w:t>
      </w:r>
      <w:r>
        <w:t xml:space="preserve"> </w:t>
      </w:r>
      <w:r w:rsidR="36AA41C2">
        <w:t xml:space="preserve">was supportive, </w:t>
      </w:r>
      <w:r>
        <w:t>includ</w:t>
      </w:r>
      <w:r w:rsidR="242FA6C1">
        <w:t>ing</w:t>
      </w:r>
      <w:r>
        <w:t xml:space="preserve"> that </w:t>
      </w:r>
      <w:r w:rsidR="007237E0">
        <w:t xml:space="preserve">burosumab treatment leads to </w:t>
      </w:r>
      <w:r>
        <w:t>significant improvements in quality of life (stiffness, muscle and bone pain and physical function)</w:t>
      </w:r>
      <w:r w:rsidR="00873DD4">
        <w:t>. MBS funding of the FGF-23 test</w:t>
      </w:r>
      <w:r w:rsidR="00614F0D">
        <w:t xml:space="preserve"> will particularly </w:t>
      </w:r>
      <w:r w:rsidR="001A6550">
        <w:t>benefit</w:t>
      </w:r>
      <w:r w:rsidDel="001A6550">
        <w:t xml:space="preserve"> </w:t>
      </w:r>
      <w:r>
        <w:t xml:space="preserve">patients in lower socioeconomic groups </w:t>
      </w:r>
      <w:r w:rsidR="003911BD">
        <w:t xml:space="preserve">by </w:t>
      </w:r>
      <w:r w:rsidR="004D25B5">
        <w:t xml:space="preserve">helping them to arrive </w:t>
      </w:r>
      <w:r w:rsidR="00AF02C8">
        <w:t xml:space="preserve">at a diagnosis of XLH </w:t>
      </w:r>
      <w:r w:rsidR="0084591B">
        <w:t xml:space="preserve">which will </w:t>
      </w:r>
      <w:r w:rsidR="008221BF">
        <w:t xml:space="preserve">enable </w:t>
      </w:r>
      <w:r w:rsidR="00DC1B68">
        <w:t xml:space="preserve">them to </w:t>
      </w:r>
      <w:r w:rsidR="008221BF">
        <w:t>access</w:t>
      </w:r>
      <w:r w:rsidR="005C36E3">
        <w:t xml:space="preserve"> </w:t>
      </w:r>
      <w:r>
        <w:t xml:space="preserve">treatment, thus ensuring equity of access. </w:t>
      </w:r>
      <w:r w:rsidR="2D3CC0C1">
        <w:t>ANZBMS also stated that</w:t>
      </w:r>
      <w:r>
        <w:t xml:space="preserve"> the test would rapidly rule out patients with non-FGF-23 causes of kidney phosphate wasting who would otherwise require more expensive diagnostic services such as gallium-</w:t>
      </w:r>
      <w:proofErr w:type="spellStart"/>
      <w:r>
        <w:t>Dotatate</w:t>
      </w:r>
      <w:proofErr w:type="spellEnd"/>
      <w:r>
        <w:t xml:space="preserve"> PET imaging. Finally, MSAC noted that the </w:t>
      </w:r>
      <w:r w:rsidR="4D89B0FE">
        <w:t>ANZBMS</w:t>
      </w:r>
      <w:r>
        <w:t xml:space="preserve"> stated that FGF-23 testing would enable testing of family members of patients with confirmed </w:t>
      </w:r>
      <w:r>
        <w:lastRenderedPageBreak/>
        <w:t>XLH who also demonstrate reduced phosphate, leading to a more accurate recognition of this disorder.</w:t>
      </w:r>
    </w:p>
    <w:p w14:paraId="0093579E" w14:textId="3CE0DF2C" w:rsidR="00A00E3E" w:rsidRDefault="00A00E3E">
      <w:r>
        <w:t xml:space="preserve">MSAC noted the proposed MBS descriptor and fee, and that the MSAC Executive </w:t>
      </w:r>
      <w:r w:rsidR="3E9F49F4">
        <w:t xml:space="preserve">had suggested </w:t>
      </w:r>
      <w:r>
        <w:t xml:space="preserve">a </w:t>
      </w:r>
      <w:r w:rsidR="2DD34E95">
        <w:t xml:space="preserve">more </w:t>
      </w:r>
      <w:r>
        <w:t>detailed item descriptor aligning with the PBS listing for burosumab. However, MSAC noted that</w:t>
      </w:r>
      <w:r w:rsidR="7E644958">
        <w:t xml:space="preserve"> the increased complexity added to the MBS item by</w:t>
      </w:r>
      <w:r>
        <w:t xml:space="preserve"> repeating the</w:t>
      </w:r>
      <w:r w:rsidR="0077014D">
        <w:t xml:space="preserve"> PBS</w:t>
      </w:r>
      <w:r>
        <w:t xml:space="preserve"> requirements increases the risk that patients will have to pay </w:t>
      </w:r>
      <w:r w:rsidR="17EBE55E">
        <w:t xml:space="preserve">out-of-pocket </w:t>
      </w:r>
      <w:r>
        <w:t>for FGF-23 testing</w:t>
      </w:r>
      <w:r w:rsidR="00B31400">
        <w:t xml:space="preserve"> </w:t>
      </w:r>
      <w:r w:rsidR="00884D3E">
        <w:t>as</w:t>
      </w:r>
      <w:r w:rsidR="004D42D9">
        <w:t xml:space="preserve"> pathology laboratories </w:t>
      </w:r>
      <w:r w:rsidR="005025D0">
        <w:t xml:space="preserve">would have difficulty ascertaining whether patients met the </w:t>
      </w:r>
      <w:r w:rsidR="0045262C">
        <w:t xml:space="preserve">PBS </w:t>
      </w:r>
      <w:r w:rsidR="005025D0">
        <w:t xml:space="preserve">requirements </w:t>
      </w:r>
      <w:r w:rsidR="00063770">
        <w:t xml:space="preserve">and </w:t>
      </w:r>
      <w:r w:rsidR="00646CE1">
        <w:t xml:space="preserve">if they could not be certain, would </w:t>
      </w:r>
      <w:r w:rsidR="008017AD">
        <w:t>be required</w:t>
      </w:r>
      <w:r w:rsidR="00646CE1">
        <w:t xml:space="preserve"> to </w:t>
      </w:r>
      <w:r w:rsidR="00FC669D">
        <w:t>bill the patient privately</w:t>
      </w:r>
      <w:r w:rsidR="00DD0F72">
        <w:t>.</w:t>
      </w:r>
      <w:r>
        <w:t xml:space="preserve"> MSAC therefore </w:t>
      </w:r>
      <w:r w:rsidR="2E567189">
        <w:t>support</w:t>
      </w:r>
      <w:r w:rsidR="00DD0F72">
        <w:t>ed</w:t>
      </w:r>
      <w:r w:rsidR="2E567189">
        <w:t xml:space="preserve"> </w:t>
      </w:r>
      <w:r>
        <w:t xml:space="preserve">the </w:t>
      </w:r>
      <w:r w:rsidR="00A75646">
        <w:t xml:space="preserve">simplified </w:t>
      </w:r>
      <w:r>
        <w:t>MBS descriptor as proposed</w:t>
      </w:r>
      <w:r w:rsidR="3BC25196">
        <w:t xml:space="preserve"> by the department</w:t>
      </w:r>
      <w:r>
        <w:t>.</w:t>
      </w:r>
    </w:p>
    <w:p w14:paraId="2F9501B8" w14:textId="1A9E234C" w:rsidR="00A00E3E" w:rsidRDefault="00A00E3E" w:rsidP="00A00E3E">
      <w:r>
        <w:t>MSAC noted feedback regarding the proposed fee ($90). Public Pathology Australia and</w:t>
      </w:r>
      <w:r w:rsidR="603EFDD7">
        <w:t xml:space="preserve"> the</w:t>
      </w:r>
      <w:r>
        <w:t xml:space="preserve"> ANZBMS Clinical Practice and Therapeutics Committees were both supportive of the fee, whereas Australian Pathology was not. Australian Pathology cited that one laboratory’s fee for the service was $111.10 </w:t>
      </w:r>
      <w:r w:rsidR="1FAA67A4">
        <w:t xml:space="preserve">and that </w:t>
      </w:r>
      <w:r>
        <w:t xml:space="preserve">additional costs </w:t>
      </w:r>
      <w:r w:rsidR="23F5E1A0">
        <w:t xml:space="preserve">are also </w:t>
      </w:r>
      <w:r>
        <w:t xml:space="preserve">associated with collecting, </w:t>
      </w:r>
      <w:proofErr w:type="gramStart"/>
      <w:r>
        <w:t>freezing</w:t>
      </w:r>
      <w:proofErr w:type="gramEnd"/>
      <w:r>
        <w:t xml:space="preserve"> and transporting the sample to the reference laboratory. However, MSAC advised that these additional costs were available for rebate under other MBS items, and it was not appropriate to include them in the testing fee. Therefore, MSAC considered the fee of $90 to be appropriate.</w:t>
      </w:r>
    </w:p>
    <w:p w14:paraId="13B14BF2" w14:textId="625EABC5" w:rsidR="00A00E3E" w:rsidRDefault="00A00E3E" w:rsidP="631BFAAC">
      <w:r>
        <w:t>MSAC agreed with the proposed population in the Department-contracted assessment report (DCAR), which was patients with a high pre-test probability of XLH rickets to establish a diagnosis or disease (sub)classification in symptomatic or affected patients with suspected XLH. Such patients</w:t>
      </w:r>
      <w:r w:rsidDel="00A00E3E">
        <w:t xml:space="preserve"> </w:t>
      </w:r>
      <w:r w:rsidR="39366616">
        <w:t xml:space="preserve">would </w:t>
      </w:r>
      <w:r>
        <w:t xml:space="preserve">be identified by elevated (or inappropriately normal) serum or plasma FGF-23 levels, in conjunction with other diagnostic findings, to determine eligibility for treatment with burosumab. MSAC noted that </w:t>
      </w:r>
      <w:r w:rsidR="00AD60F9">
        <w:t xml:space="preserve">recommendations </w:t>
      </w:r>
      <w:r w:rsidR="00BE42BA">
        <w:t xml:space="preserve">from </w:t>
      </w:r>
      <w:r>
        <w:t xml:space="preserve">clinical guidelines and consensus statements vary and do not always include FGF-23 testing as part of the essential testing for a diagnosis of XLH, but that testing is required to access </w:t>
      </w:r>
      <w:r w:rsidR="00BE42BA">
        <w:t xml:space="preserve">PBS listed </w:t>
      </w:r>
      <w:r>
        <w:t xml:space="preserve">burosumab. MSAC also considered the comparator of no testing and no access to burosumab to be appropriate but noted that genetic testing for a </w:t>
      </w:r>
      <w:r w:rsidRPr="3F3DCD6A">
        <w:rPr>
          <w:i/>
          <w:iCs/>
        </w:rPr>
        <w:t>PHEX</w:t>
      </w:r>
      <w:r>
        <w:t xml:space="preserve"> pathogenic variant to gain access to burosumab could be considered a comparator to FGF-23 testing.</w:t>
      </w:r>
    </w:p>
    <w:p w14:paraId="7198DCF4" w14:textId="7E454109" w:rsidR="00A00E3E" w:rsidRPr="00AF46D8" w:rsidRDefault="04658B19" w:rsidP="00A00E3E">
      <w:r>
        <w:t>MSAC noted that the current application did not include an economic evaluation, and that instead, a total budget impact approach was taken. The total budget impact of FGF-23 testing for patients with a high pre-test probability of XLH to the MBS was $3,</w:t>
      </w:r>
      <w:r w:rsidR="78F6B4BB">
        <w:t>366</w:t>
      </w:r>
      <w:r>
        <w:t xml:space="preserve"> in </w:t>
      </w:r>
      <w:r w:rsidR="000D0BCF">
        <w:t>Y</w:t>
      </w:r>
      <w:r>
        <w:t xml:space="preserve">ear 1, decreasing to $765 in </w:t>
      </w:r>
      <w:r w:rsidR="00B1223B">
        <w:t>Y</w:t>
      </w:r>
      <w:r>
        <w:t>ear </w:t>
      </w:r>
      <w:r w:rsidR="6907ADC1">
        <w:t>6</w:t>
      </w:r>
      <w:r>
        <w:t>.</w:t>
      </w:r>
    </w:p>
    <w:p w14:paraId="6710B69D" w14:textId="3E58B076" w:rsidR="00772829" w:rsidRPr="00CE28E3" w:rsidRDefault="009D5F97" w:rsidP="002A18BE">
      <w:pPr>
        <w:pStyle w:val="Heading2"/>
        <w:numPr>
          <w:ilvl w:val="0"/>
          <w:numId w:val="0"/>
        </w:numPr>
      </w:pPr>
      <w:bookmarkStart w:id="3" w:name="_Toc166073999"/>
      <w:bookmarkStart w:id="4" w:name="_Ref167887174"/>
      <w:bookmarkStart w:id="5" w:name="_Ref167887190"/>
      <w:bookmarkEnd w:id="1"/>
      <w:r>
        <w:t>4</w:t>
      </w:r>
      <w:r w:rsidR="00C36633">
        <w:t>.</w:t>
      </w:r>
      <w:r w:rsidR="00C36633">
        <w:tab/>
      </w:r>
      <w:r w:rsidR="00772829" w:rsidRPr="00CE28E3">
        <w:t>Background</w:t>
      </w:r>
      <w:bookmarkEnd w:id="3"/>
      <w:bookmarkEnd w:id="4"/>
      <w:bookmarkEnd w:id="5"/>
    </w:p>
    <w:p w14:paraId="13F21BB5" w14:textId="21899B0F" w:rsidR="002F157C" w:rsidRDefault="00042EF2" w:rsidP="00A7781E">
      <w:bookmarkStart w:id="6" w:name="_Hlk69734494"/>
      <w:r>
        <w:t>The Medical Services Advi</w:t>
      </w:r>
      <w:r w:rsidR="003709D4">
        <w:t>s</w:t>
      </w:r>
      <w:r>
        <w:t>o</w:t>
      </w:r>
      <w:r w:rsidR="003709D4">
        <w:t>r</w:t>
      </w:r>
      <w:r>
        <w:t>y Committee (</w:t>
      </w:r>
      <w:r w:rsidR="002F157C" w:rsidRPr="00CE28E3">
        <w:t>MSAC</w:t>
      </w:r>
      <w:r>
        <w:t>)</w:t>
      </w:r>
      <w:r w:rsidR="002F157C" w:rsidRPr="00CE28E3">
        <w:t xml:space="preserve"> has not previously considered </w:t>
      </w:r>
      <w:r w:rsidR="002F157C">
        <w:t>FGF-23 testing</w:t>
      </w:r>
      <w:r w:rsidR="002F157C" w:rsidRPr="00CE28E3">
        <w:t xml:space="preserve"> for </w:t>
      </w:r>
      <w:r w:rsidR="002F157C" w:rsidRPr="00946089">
        <w:t>determin</w:t>
      </w:r>
      <w:r w:rsidR="002F157C">
        <w:t>ing</w:t>
      </w:r>
      <w:r w:rsidR="002F157C" w:rsidRPr="00946089">
        <w:t xml:space="preserve"> eligibility for burosumab on the PBS</w:t>
      </w:r>
      <w:r w:rsidR="002F157C">
        <w:t>.</w:t>
      </w:r>
    </w:p>
    <w:p w14:paraId="47A72708" w14:textId="658D8829" w:rsidR="00F9687F" w:rsidRDefault="00A7781E" w:rsidP="00554459">
      <w:r>
        <w:t xml:space="preserve">Burosumab was listed on the PBS on 1 November 2022 for the treatment of XLH. </w:t>
      </w:r>
      <w:r w:rsidR="00F9687F">
        <w:t xml:space="preserve">The Pharmaceutical Benefits Advisory Committee (PBAC) application history for burosumab is summarised in </w:t>
      </w:r>
      <w:r w:rsidR="00F9687F">
        <w:fldChar w:fldCharType="begin"/>
      </w:r>
      <w:r w:rsidR="00F9687F">
        <w:instrText xml:space="preserve"> REF _Ref69480768 \h </w:instrText>
      </w:r>
      <w:r w:rsidR="00F9687F">
        <w:fldChar w:fldCharType="separate"/>
      </w:r>
      <w:r w:rsidR="00A367FC" w:rsidRPr="00CE28E3">
        <w:t>Table</w:t>
      </w:r>
      <w:r w:rsidR="00A367FC">
        <w:t> </w:t>
      </w:r>
      <w:r w:rsidR="00A367FC">
        <w:rPr>
          <w:noProof/>
        </w:rPr>
        <w:t>1</w:t>
      </w:r>
      <w:r w:rsidR="00F9687F">
        <w:fldChar w:fldCharType="end"/>
      </w:r>
      <w:r w:rsidR="00F9687F">
        <w:t>.</w:t>
      </w:r>
    </w:p>
    <w:p w14:paraId="6C7AA4F8" w14:textId="6443E5B2" w:rsidR="00554459" w:rsidRDefault="00554459" w:rsidP="00554459">
      <w:r>
        <w:t>To access burosumab on the PBS a patient must</w:t>
      </w:r>
      <w:r w:rsidR="00444127">
        <w:t xml:space="preserve"> meet the </w:t>
      </w:r>
      <w:r w:rsidR="004876C4">
        <w:t xml:space="preserve">following </w:t>
      </w:r>
      <w:r w:rsidR="00444127">
        <w:t>clinical criteria</w:t>
      </w:r>
      <w:r>
        <w:t>:</w:t>
      </w:r>
    </w:p>
    <w:p w14:paraId="3817A38C" w14:textId="3458DB6D" w:rsidR="00554459" w:rsidRPr="0068654B" w:rsidRDefault="0096286F" w:rsidP="00F90AFE">
      <w:pPr>
        <w:pStyle w:val="Nnumberedlist"/>
        <w:numPr>
          <w:ilvl w:val="0"/>
          <w:numId w:val="18"/>
        </w:numPr>
        <w:spacing w:after="120"/>
        <w:ind w:left="357" w:hanging="357"/>
        <w:rPr>
          <w:rFonts w:ascii="Franklin Gothic Book" w:hAnsi="Franklin Gothic Book"/>
        </w:rPr>
      </w:pPr>
      <w:r w:rsidRPr="0068654B">
        <w:rPr>
          <w:rFonts w:ascii="Franklin Gothic Book" w:hAnsi="Franklin Gothic Book"/>
        </w:rPr>
        <w:t>h</w:t>
      </w:r>
      <w:r w:rsidR="00554459" w:rsidRPr="0068654B">
        <w:rPr>
          <w:rFonts w:ascii="Franklin Gothic Book" w:hAnsi="Franklin Gothic Book"/>
        </w:rPr>
        <w:t xml:space="preserve">ave a documented confirmation of </w:t>
      </w:r>
      <w:r w:rsidR="00B743D0" w:rsidRPr="0068654B">
        <w:rPr>
          <w:rFonts w:ascii="Franklin Gothic Book" w:hAnsi="Franklin Gothic Book"/>
        </w:rPr>
        <w:t xml:space="preserve">phosphate-regulating endopeptidase homolog X-linked (PHEX) pathogenic </w:t>
      </w:r>
      <w:proofErr w:type="gramStart"/>
      <w:r w:rsidR="00B743D0" w:rsidRPr="0068654B">
        <w:rPr>
          <w:rFonts w:ascii="Franklin Gothic Book" w:hAnsi="Franklin Gothic Book"/>
        </w:rPr>
        <w:t>variant</w:t>
      </w:r>
      <w:r w:rsidR="00554459" w:rsidRPr="0068654B">
        <w:rPr>
          <w:rFonts w:ascii="Franklin Gothic Book" w:hAnsi="Franklin Gothic Book"/>
        </w:rPr>
        <w:t>;</w:t>
      </w:r>
      <w:proofErr w:type="gramEnd"/>
      <w:r w:rsidR="00554459" w:rsidRPr="0068654B">
        <w:rPr>
          <w:rFonts w:ascii="Franklin Gothic Book" w:hAnsi="Franklin Gothic Book"/>
        </w:rPr>
        <w:t xml:space="preserve"> OR</w:t>
      </w:r>
    </w:p>
    <w:p w14:paraId="7DEA0999" w14:textId="610AED08" w:rsidR="00554459" w:rsidRPr="0068654B" w:rsidRDefault="0096286F" w:rsidP="00F90AFE">
      <w:pPr>
        <w:pStyle w:val="Nnumberedlist"/>
        <w:numPr>
          <w:ilvl w:val="0"/>
          <w:numId w:val="18"/>
        </w:numPr>
        <w:spacing w:after="120"/>
        <w:ind w:left="357" w:hanging="357"/>
        <w:rPr>
          <w:rFonts w:ascii="Franklin Gothic Book" w:hAnsi="Franklin Gothic Book"/>
        </w:rPr>
      </w:pPr>
      <w:r w:rsidRPr="0068654B">
        <w:rPr>
          <w:rFonts w:ascii="Franklin Gothic Book" w:hAnsi="Franklin Gothic Book"/>
        </w:rPr>
        <w:t>h</w:t>
      </w:r>
      <w:r w:rsidR="00554459" w:rsidRPr="0068654B">
        <w:rPr>
          <w:rFonts w:ascii="Franklin Gothic Book" w:hAnsi="Franklin Gothic Book"/>
        </w:rPr>
        <w:t xml:space="preserve">ave a confirmed diagnosis of XLH demonstrated by the presence of </w:t>
      </w:r>
      <w:proofErr w:type="gramStart"/>
      <w:r w:rsidR="00554459" w:rsidRPr="0068654B">
        <w:rPr>
          <w:rFonts w:ascii="Franklin Gothic Book" w:hAnsi="Franklin Gothic Book"/>
        </w:rPr>
        <w:t>all of</w:t>
      </w:r>
      <w:proofErr w:type="gramEnd"/>
      <w:r w:rsidR="00554459" w:rsidRPr="0068654B">
        <w:rPr>
          <w:rFonts w:ascii="Franklin Gothic Book" w:hAnsi="Franklin Gothic Book"/>
        </w:rPr>
        <w:t xml:space="preserve"> the following: </w:t>
      </w:r>
    </w:p>
    <w:p w14:paraId="167F2753" w14:textId="61A9AD1A" w:rsidR="00554459" w:rsidRPr="0068654B" w:rsidRDefault="00554459" w:rsidP="00F90AFE">
      <w:pPr>
        <w:pStyle w:val="Nnumberedlist"/>
        <w:numPr>
          <w:ilvl w:val="0"/>
          <w:numId w:val="19"/>
        </w:numPr>
        <w:spacing w:after="120"/>
        <w:ind w:left="1434" w:hanging="357"/>
        <w:rPr>
          <w:rFonts w:ascii="Franklin Gothic Book" w:hAnsi="Franklin Gothic Book"/>
        </w:rPr>
      </w:pPr>
      <w:r w:rsidRPr="0068654B">
        <w:rPr>
          <w:rFonts w:ascii="Franklin Gothic Book" w:hAnsi="Franklin Gothic Book"/>
        </w:rPr>
        <w:t xml:space="preserve">a serum phosphate concentration below the age adjusted lower limit of </w:t>
      </w:r>
      <w:proofErr w:type="gramStart"/>
      <w:r w:rsidRPr="0068654B">
        <w:rPr>
          <w:rFonts w:ascii="Franklin Gothic Book" w:hAnsi="Franklin Gothic Book"/>
        </w:rPr>
        <w:t>normal</w:t>
      </w:r>
      <w:proofErr w:type="gramEnd"/>
      <w:r w:rsidRPr="0068654B">
        <w:rPr>
          <w:rFonts w:ascii="Franklin Gothic Book" w:hAnsi="Franklin Gothic Book"/>
        </w:rPr>
        <w:t xml:space="preserve"> </w:t>
      </w:r>
    </w:p>
    <w:p w14:paraId="27144EA1" w14:textId="56C7DD83" w:rsidR="00554459" w:rsidRPr="0068654B" w:rsidRDefault="00554459" w:rsidP="00F90AFE">
      <w:pPr>
        <w:pStyle w:val="Nnumberedlist"/>
        <w:numPr>
          <w:ilvl w:val="0"/>
          <w:numId w:val="19"/>
        </w:numPr>
        <w:spacing w:after="120"/>
        <w:ind w:left="1434" w:hanging="357"/>
        <w:rPr>
          <w:rFonts w:ascii="Franklin Gothic Book" w:hAnsi="Franklin Gothic Book"/>
        </w:rPr>
      </w:pPr>
      <w:r w:rsidRPr="0068654B">
        <w:rPr>
          <w:rFonts w:ascii="Franklin Gothic Book" w:hAnsi="Franklin Gothic Book"/>
        </w:rPr>
        <w:lastRenderedPageBreak/>
        <w:t xml:space="preserve">current or historical (for those with growth plate fusion) radiographic X-ray evidence of rickets </w:t>
      </w:r>
    </w:p>
    <w:p w14:paraId="51194829" w14:textId="05E9B544" w:rsidR="00554459" w:rsidRPr="0068654B" w:rsidRDefault="00554459" w:rsidP="00F90AFE">
      <w:pPr>
        <w:pStyle w:val="Nnumberedlist"/>
        <w:numPr>
          <w:ilvl w:val="0"/>
          <w:numId w:val="19"/>
        </w:numPr>
        <w:spacing w:after="120"/>
        <w:ind w:left="1434" w:hanging="357"/>
        <w:rPr>
          <w:rFonts w:ascii="Franklin Gothic Book" w:hAnsi="Franklin Gothic Book"/>
        </w:rPr>
      </w:pPr>
      <w:r w:rsidRPr="0068654B">
        <w:rPr>
          <w:rFonts w:ascii="Franklin Gothic Book" w:hAnsi="Franklin Gothic Book"/>
        </w:rPr>
        <w:t xml:space="preserve">elevated (or inappropriately normal) serum or plasma FGF-23 levels of above the mean of the assay-specific reference range </w:t>
      </w:r>
    </w:p>
    <w:p w14:paraId="17B5AD74" w14:textId="3AE0193B" w:rsidR="00554459" w:rsidRPr="0068654B" w:rsidRDefault="00554459" w:rsidP="00F90AFE">
      <w:pPr>
        <w:pStyle w:val="Nnumberedlist"/>
        <w:numPr>
          <w:ilvl w:val="0"/>
          <w:numId w:val="19"/>
        </w:numPr>
        <w:spacing w:after="120"/>
        <w:ind w:left="1434" w:hanging="357"/>
        <w:rPr>
          <w:rFonts w:ascii="Franklin Gothic Book" w:hAnsi="Franklin Gothic Book"/>
        </w:rPr>
      </w:pPr>
      <w:r w:rsidRPr="0068654B">
        <w:rPr>
          <w:rFonts w:ascii="Franklin Gothic Book" w:hAnsi="Franklin Gothic Book"/>
        </w:rPr>
        <w:t>renal phosphate wasting demonstrated by a ratio of tubular maximum reabsorption rate of phosphate to glomerular filtration rate (</w:t>
      </w:r>
      <w:proofErr w:type="spellStart"/>
      <w:r w:rsidRPr="0068654B">
        <w:rPr>
          <w:rFonts w:ascii="Franklin Gothic Book" w:hAnsi="Franklin Gothic Book"/>
        </w:rPr>
        <w:t>TmP</w:t>
      </w:r>
      <w:proofErr w:type="spellEnd"/>
      <w:r w:rsidRPr="0068654B">
        <w:rPr>
          <w:rFonts w:ascii="Franklin Gothic Book" w:hAnsi="Franklin Gothic Book"/>
        </w:rPr>
        <w:t>/GFR) according to age specific normal ranges using the second morning urine void and paired serum sample measuring phosphate and creatinine.</w:t>
      </w:r>
    </w:p>
    <w:p w14:paraId="1732B5F3" w14:textId="6974BFA0" w:rsidR="00922902" w:rsidRPr="0068654B" w:rsidRDefault="00EF1C6A" w:rsidP="000805A1">
      <w:r>
        <w:t>Item (iii) under the second bullet</w:t>
      </w:r>
      <w:r w:rsidR="00EC05A4">
        <w:t xml:space="preserve"> point</w:t>
      </w:r>
      <w:r>
        <w:t xml:space="preserve"> is the subject of this application</w:t>
      </w:r>
      <w:r w:rsidR="001B4F96">
        <w:t>.</w:t>
      </w:r>
    </w:p>
    <w:p w14:paraId="22438B7E" w14:textId="5A9D8129" w:rsidR="00536588" w:rsidRDefault="00A7781E" w:rsidP="00D82012">
      <w:r>
        <w:t xml:space="preserve">The co-dependency of the FGF-23 test </w:t>
      </w:r>
      <w:r w:rsidR="00862AAD">
        <w:t xml:space="preserve">and burosumab </w:t>
      </w:r>
      <w:r>
        <w:t>was not identified during the PBAC process</w:t>
      </w:r>
      <w:r w:rsidR="00F64C64">
        <w:t xml:space="preserve">, and FGF-23 testing is not currently </w:t>
      </w:r>
      <w:r w:rsidR="007E2ACD">
        <w:t>funded</w:t>
      </w:r>
      <w:r w:rsidR="00F64C64">
        <w:t xml:space="preserve"> on the MBS</w:t>
      </w:r>
      <w:r>
        <w:t>.</w:t>
      </w:r>
      <w:r w:rsidR="00B00B7C">
        <w:t xml:space="preserve"> To access burosumab on the PBS</w:t>
      </w:r>
      <w:r w:rsidR="6B028D43">
        <w:t>,</w:t>
      </w:r>
      <w:r w:rsidR="00B00B7C">
        <w:t xml:space="preserve"> the cost of FGF-23 testing </w:t>
      </w:r>
      <w:r w:rsidR="003B3AD9">
        <w:t xml:space="preserve">is </w:t>
      </w:r>
      <w:r w:rsidR="00B00B7C">
        <w:t>currently borne by the patient or the hospital</w:t>
      </w:r>
      <w:r w:rsidR="00E1039B">
        <w:t>.</w:t>
      </w:r>
      <w:r w:rsidR="005D4635">
        <w:t xml:space="preserve"> All other tests required to confirm a diagnosis of XLH for the purpose of accessing burosumab on the PBS are funded on the MBS</w:t>
      </w:r>
      <w:r w:rsidR="00081664">
        <w:t xml:space="preserve">. </w:t>
      </w:r>
    </w:p>
    <w:p w14:paraId="6B8F9EEC" w14:textId="6F44E306" w:rsidR="00A7781E" w:rsidRDefault="00A85A70" w:rsidP="00A7781E">
      <w:r>
        <w:t>In October 2023</w:t>
      </w:r>
      <w:r w:rsidR="00D1447B">
        <w:t>,</w:t>
      </w:r>
      <w:r>
        <w:t xml:space="preserve"> t</w:t>
      </w:r>
      <w:r w:rsidR="00A7781E">
        <w:t xml:space="preserve">he Hypophosphatemic Working Party of the ANZBMS </w:t>
      </w:r>
      <w:r w:rsidR="00AC76EF">
        <w:t>sought</w:t>
      </w:r>
      <w:r w:rsidR="00A7781E">
        <w:t xml:space="preserve"> advice </w:t>
      </w:r>
      <w:r w:rsidR="00AC76EF">
        <w:t>from</w:t>
      </w:r>
      <w:r w:rsidR="00A7781E">
        <w:t xml:space="preserve"> the </w:t>
      </w:r>
      <w:r w:rsidR="00E676F1">
        <w:t>d</w:t>
      </w:r>
      <w:r w:rsidR="00A7781E">
        <w:t>epartment on how to request a new MBS item for the analysis of plasma or serum FGF-23</w:t>
      </w:r>
      <w:r w:rsidR="00492291" w:rsidRPr="00492291">
        <w:t xml:space="preserve"> </w:t>
      </w:r>
      <w:r w:rsidR="00492291" w:rsidRPr="0042679D">
        <w:t xml:space="preserve">in patients with a high pre-test probability of XLH who otherwise may have to pay </w:t>
      </w:r>
      <w:r w:rsidR="00D33B84">
        <w:t xml:space="preserve">privately </w:t>
      </w:r>
      <w:r w:rsidR="00492291" w:rsidRPr="0042679D">
        <w:t xml:space="preserve">for the test </w:t>
      </w:r>
      <w:proofErr w:type="gramStart"/>
      <w:r w:rsidR="00492291" w:rsidRPr="0042679D">
        <w:t>in order to</w:t>
      </w:r>
      <w:proofErr w:type="gramEnd"/>
      <w:r w:rsidR="00492291" w:rsidRPr="0042679D">
        <w:t xml:space="preserve"> gain access to burosumab treatment on the PBS</w:t>
      </w:r>
      <w:r w:rsidR="00A7781E" w:rsidRPr="00DB3469">
        <w:t>.</w:t>
      </w:r>
      <w:r w:rsidR="00A7781E">
        <w:t xml:space="preserve"> The PBAC Executive referred the matter to the MSAC Executive with advice that MBS funding for FGF-23 testing should be pursued, and the current PBS eligibility criteria should be retained.</w:t>
      </w:r>
      <w:r w:rsidR="008F63FC">
        <w:t xml:space="preserve"> </w:t>
      </w:r>
      <w:r w:rsidR="00FA1F40">
        <w:t>The</w:t>
      </w:r>
      <w:r w:rsidR="00986CA7">
        <w:t xml:space="preserve"> MSAC Executive advised that a</w:t>
      </w:r>
      <w:r w:rsidR="006E71CE">
        <w:t xml:space="preserve"> brief</w:t>
      </w:r>
      <w:r w:rsidR="00986CA7">
        <w:t xml:space="preserve"> assessment report </w:t>
      </w:r>
      <w:r w:rsidR="00A7781E">
        <w:t xml:space="preserve">focused on the financial implications of FGF-23 testing </w:t>
      </w:r>
      <w:r w:rsidR="006E71CE">
        <w:t>should be developed for MSAC consideration</w:t>
      </w:r>
      <w:r w:rsidR="00E71414">
        <w:t xml:space="preserve"> and</w:t>
      </w:r>
      <w:r w:rsidR="00A7781E">
        <w:t xml:space="preserve"> could proceed on the direct pathway to MSAC, bypassing </w:t>
      </w:r>
      <w:r w:rsidR="00646790">
        <w:t>the PICO Advisory Sub-</w:t>
      </w:r>
      <w:r w:rsidR="007913FE">
        <w:t>c</w:t>
      </w:r>
      <w:r w:rsidR="00646790">
        <w:t>ommittee (</w:t>
      </w:r>
      <w:r w:rsidR="00A7781E">
        <w:t>PASC</w:t>
      </w:r>
      <w:r w:rsidR="00646790">
        <w:t>)</w:t>
      </w:r>
      <w:r w:rsidR="00A7781E">
        <w:t xml:space="preserve"> and the </w:t>
      </w:r>
      <w:r w:rsidR="00646790">
        <w:t>Evaluation Sub-</w:t>
      </w:r>
      <w:r w:rsidR="00B60178">
        <w:t>c</w:t>
      </w:r>
      <w:r w:rsidR="00646790">
        <w:t>ommittee (</w:t>
      </w:r>
      <w:r w:rsidR="00A7781E">
        <w:t>ESC</w:t>
      </w:r>
      <w:r w:rsidR="00646790">
        <w:t>)</w:t>
      </w:r>
      <w:r w:rsidR="00A7781E">
        <w:t xml:space="preserve">. </w:t>
      </w:r>
    </w:p>
    <w:p w14:paraId="6EC12EDF" w14:textId="4AEB0A91" w:rsidR="0068682C" w:rsidRPr="00CE28E3" w:rsidRDefault="0068682C" w:rsidP="0068682C">
      <w:pPr>
        <w:pStyle w:val="Caption"/>
      </w:pPr>
      <w:bookmarkStart w:id="7" w:name="_Ref69480768"/>
      <w:bookmarkStart w:id="8" w:name="_Hlk69734557"/>
      <w:bookmarkEnd w:id="6"/>
      <w:r w:rsidRPr="00CE28E3">
        <w:t>Table</w:t>
      </w:r>
      <w:r w:rsidR="004A4FDF">
        <w:t> </w:t>
      </w:r>
      <w:r w:rsidR="00BF42A8">
        <w:fldChar w:fldCharType="begin"/>
      </w:r>
      <w:r w:rsidR="00BF42A8">
        <w:instrText xml:space="preserve"> SEQ Table \* ARABIC </w:instrText>
      </w:r>
      <w:r w:rsidR="00BF42A8">
        <w:fldChar w:fldCharType="separate"/>
      </w:r>
      <w:r w:rsidR="00A367FC">
        <w:rPr>
          <w:noProof/>
        </w:rPr>
        <w:t>1</w:t>
      </w:r>
      <w:r w:rsidR="00BF42A8">
        <w:rPr>
          <w:noProof/>
        </w:rPr>
        <w:fldChar w:fldCharType="end"/>
      </w:r>
      <w:bookmarkEnd w:id="7"/>
      <w:r w:rsidRPr="00CE28E3">
        <w:tab/>
      </w:r>
      <w:r w:rsidR="00E76EE7">
        <w:t>PBAC application history</w:t>
      </w:r>
      <w:r w:rsidR="005057DF">
        <w:t xml:space="preserve"> for burosumab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BAC application history for burosumab"/>
        <w:tblDescription w:val="This table outlines the PBAC application history for burosumab including the meeting date, application details, population and PBAC outcomes. "/>
      </w:tblPr>
      <w:tblGrid>
        <w:gridCol w:w="908"/>
        <w:gridCol w:w="2184"/>
        <w:gridCol w:w="5924"/>
      </w:tblGrid>
      <w:tr w:rsidR="00F57885" w:rsidRPr="00CE28E3" w14:paraId="2BDCC27B" w14:textId="77777777" w:rsidTr="0093790F">
        <w:trPr>
          <w:tblHeader/>
        </w:trPr>
        <w:tc>
          <w:tcPr>
            <w:tcW w:w="0" w:type="auto"/>
            <w:shd w:val="clear" w:color="auto" w:fill="auto"/>
          </w:tcPr>
          <w:p w14:paraId="58F6A808" w14:textId="3D54C420" w:rsidR="00F57885" w:rsidRPr="00CE28E3" w:rsidRDefault="00D60DAE" w:rsidP="00824458">
            <w:pPr>
              <w:pStyle w:val="In-tableHeading"/>
            </w:pPr>
            <w:bookmarkStart w:id="9" w:name="ColumnTitle_Table1"/>
            <w:bookmarkStart w:id="10" w:name="_Hlk68275590"/>
            <w:bookmarkEnd w:id="9"/>
            <w:r>
              <w:t>PBAC meeting</w:t>
            </w:r>
          </w:p>
        </w:tc>
        <w:tc>
          <w:tcPr>
            <w:tcW w:w="0" w:type="auto"/>
            <w:shd w:val="clear" w:color="auto" w:fill="auto"/>
          </w:tcPr>
          <w:p w14:paraId="322A878A" w14:textId="7F17DE4E" w:rsidR="00F57885" w:rsidRDefault="006142A6" w:rsidP="00824458">
            <w:pPr>
              <w:pStyle w:val="In-tableHeading"/>
            </w:pPr>
            <w:r>
              <w:t xml:space="preserve">Application </w:t>
            </w:r>
            <w:r w:rsidR="00C40394">
              <w:t>details</w:t>
            </w:r>
          </w:p>
          <w:p w14:paraId="09992FB9" w14:textId="30F018D5" w:rsidR="006142A6" w:rsidRPr="00CE28E3" w:rsidRDefault="006142A6" w:rsidP="000F0BC3">
            <w:pPr>
              <w:pStyle w:val="In-tableHeading"/>
              <w:spacing w:before="120"/>
            </w:pPr>
            <w:r>
              <w:t>Population</w:t>
            </w:r>
          </w:p>
        </w:tc>
        <w:tc>
          <w:tcPr>
            <w:tcW w:w="0" w:type="auto"/>
            <w:shd w:val="clear" w:color="auto" w:fill="auto"/>
          </w:tcPr>
          <w:p w14:paraId="54C88680" w14:textId="7ABEB0FB" w:rsidR="00F57885" w:rsidRPr="00CE28E3" w:rsidRDefault="00950B9D" w:rsidP="00824458">
            <w:pPr>
              <w:pStyle w:val="In-tableHeading"/>
            </w:pPr>
            <w:r>
              <w:t>K</w:t>
            </w:r>
            <w:r w:rsidR="009E57C3">
              <w:t>ey points</w:t>
            </w:r>
          </w:p>
        </w:tc>
      </w:tr>
      <w:tr w:rsidR="00F57885" w:rsidRPr="00CE28E3" w14:paraId="0D0A7682" w14:textId="77777777" w:rsidTr="0093790F">
        <w:tc>
          <w:tcPr>
            <w:tcW w:w="0" w:type="auto"/>
          </w:tcPr>
          <w:p w14:paraId="4F1DA453" w14:textId="2334EC40" w:rsidR="00F57885" w:rsidRPr="00CE28E3" w:rsidRDefault="00596DE9" w:rsidP="00824458">
            <w:pPr>
              <w:pStyle w:val="TableText"/>
            </w:pPr>
            <w:r>
              <w:t>March 2021</w:t>
            </w:r>
          </w:p>
        </w:tc>
        <w:tc>
          <w:tcPr>
            <w:tcW w:w="0" w:type="auto"/>
          </w:tcPr>
          <w:p w14:paraId="2984BB21" w14:textId="62049C4E" w:rsidR="0008243D" w:rsidRDefault="0068000E" w:rsidP="00824458">
            <w:pPr>
              <w:pStyle w:val="TableText"/>
              <w:rPr>
                <w:szCs w:val="20"/>
              </w:rPr>
            </w:pPr>
            <w:r w:rsidRPr="0068000E">
              <w:rPr>
                <w:szCs w:val="20"/>
              </w:rPr>
              <w:t xml:space="preserve">BUROSUMAB, </w:t>
            </w:r>
            <w:r w:rsidR="00625CAB">
              <w:rPr>
                <w:szCs w:val="20"/>
              </w:rPr>
              <w:br/>
            </w:r>
            <w:r w:rsidRPr="0068000E">
              <w:rPr>
                <w:szCs w:val="20"/>
              </w:rPr>
              <w:t xml:space="preserve">Injection 10 mg in 1 mL, Injection 20 mg in 1 mL, Injection 30 mg in 1 mL </w:t>
            </w:r>
          </w:p>
          <w:p w14:paraId="28C87347" w14:textId="670F2076" w:rsidR="00F57885" w:rsidRDefault="0068000E" w:rsidP="00824458">
            <w:pPr>
              <w:pStyle w:val="TableText"/>
              <w:rPr>
                <w:szCs w:val="20"/>
              </w:rPr>
            </w:pPr>
            <w:r w:rsidRPr="0068000E">
              <w:rPr>
                <w:szCs w:val="20"/>
              </w:rPr>
              <w:t>Kyowa Kirin Australia Pty Ltd</w:t>
            </w:r>
            <w:r w:rsidR="00DC49FB" w:rsidRPr="00171870">
              <w:rPr>
                <w:rFonts w:eastAsia="Times New Roman" w:cs="Arial"/>
                <w:snapToGrid w:val="0"/>
                <w:szCs w:val="20"/>
              </w:rPr>
              <w:t>®</w:t>
            </w:r>
          </w:p>
          <w:p w14:paraId="3F35F478" w14:textId="4FD40706" w:rsidR="00C40394" w:rsidRPr="00CE28E3" w:rsidRDefault="00BA0B78" w:rsidP="00BA0B78">
            <w:pPr>
              <w:pStyle w:val="TableText"/>
              <w:spacing w:before="120" w:after="120"/>
              <w:rPr>
                <w:szCs w:val="20"/>
              </w:rPr>
            </w:pPr>
            <w:r w:rsidRPr="00BA0B78">
              <w:rPr>
                <w:szCs w:val="20"/>
              </w:rPr>
              <w:t>Paediatric patients (&lt;</w:t>
            </w:r>
            <w:r w:rsidR="008E2A10">
              <w:rPr>
                <w:szCs w:val="20"/>
              </w:rPr>
              <w:t> </w:t>
            </w:r>
            <w:r w:rsidRPr="00BA0B78">
              <w:rPr>
                <w:szCs w:val="20"/>
              </w:rPr>
              <w:t>18</w:t>
            </w:r>
            <w:r w:rsidR="008E2A10">
              <w:rPr>
                <w:szCs w:val="20"/>
              </w:rPr>
              <w:t> </w:t>
            </w:r>
            <w:r w:rsidRPr="00BA0B78">
              <w:rPr>
                <w:szCs w:val="20"/>
              </w:rPr>
              <w:t xml:space="preserve">years) with a confirmed diagnosis of </w:t>
            </w:r>
            <w:r w:rsidR="00664D37">
              <w:rPr>
                <w:szCs w:val="20"/>
              </w:rPr>
              <w:t>XLH</w:t>
            </w:r>
          </w:p>
        </w:tc>
        <w:tc>
          <w:tcPr>
            <w:tcW w:w="0" w:type="auto"/>
          </w:tcPr>
          <w:p w14:paraId="274F9E4F" w14:textId="5B3615F0" w:rsidR="00F57885" w:rsidRDefault="00950B9D" w:rsidP="00824458">
            <w:pPr>
              <w:pStyle w:val="TableText"/>
            </w:pPr>
            <w:r>
              <w:t xml:space="preserve">Outcome: </w:t>
            </w:r>
            <w:r w:rsidR="00E307B8">
              <w:t>Rejected</w:t>
            </w:r>
          </w:p>
          <w:p w14:paraId="574D3652" w14:textId="6D2FC025" w:rsidR="00C35411" w:rsidRDefault="00EF44A9" w:rsidP="00CD72DA">
            <w:pPr>
              <w:pStyle w:val="TableText"/>
              <w:numPr>
                <w:ilvl w:val="0"/>
                <w:numId w:val="12"/>
              </w:numPr>
            </w:pPr>
            <w:r w:rsidRPr="00EF44A9">
              <w:t>The PBAC considered that there were complex issues relating to the clinical evidence presented and the proposed restriction. In addition, the PBAC considered that the ICER was high and likely underestimated and that the financial estimates were highly uncertain.</w:t>
            </w:r>
          </w:p>
          <w:p w14:paraId="65BB0569" w14:textId="11AE530D" w:rsidR="00A629ED" w:rsidRDefault="007B4BC6" w:rsidP="00CD72DA">
            <w:pPr>
              <w:pStyle w:val="TableText"/>
              <w:numPr>
                <w:ilvl w:val="0"/>
                <w:numId w:val="12"/>
              </w:numPr>
            </w:pPr>
            <w:r>
              <w:t>T</w:t>
            </w:r>
            <w:r w:rsidR="00A629ED" w:rsidRPr="00A629ED">
              <w:t xml:space="preserve">he PBAC noted that the proposed restriction only required patients to have ‘confirmed XLH in the patient’s medical </w:t>
            </w:r>
            <w:proofErr w:type="gramStart"/>
            <w:r w:rsidR="00A629ED" w:rsidRPr="00A629ED">
              <w:t>records’</w:t>
            </w:r>
            <w:proofErr w:type="gramEnd"/>
            <w:r w:rsidR="00A629ED" w:rsidRPr="00A629ED">
              <w:t xml:space="preserve">. The PBAC recommended that the restriction include more clinically based criteria such as serum phosphate levels and radiographic evidence of rickets and include confirmation of a PHEX pathogenic variant. </w:t>
            </w:r>
          </w:p>
          <w:p w14:paraId="19E493EB" w14:textId="5A2861C8" w:rsidR="00D26E91" w:rsidRDefault="00D26E91" w:rsidP="00CD72DA">
            <w:pPr>
              <w:pStyle w:val="TableText"/>
              <w:numPr>
                <w:ilvl w:val="0"/>
                <w:numId w:val="12"/>
              </w:numPr>
            </w:pPr>
            <w:r>
              <w:t>T</w:t>
            </w:r>
            <w:r w:rsidRPr="00D26E91">
              <w:t>he PBAC recommended that any future submission should present all the available clinical data for burosumab use in children and in adults</w:t>
            </w:r>
            <w:r w:rsidR="006503A1">
              <w:t>.</w:t>
            </w:r>
          </w:p>
          <w:p w14:paraId="13F08427" w14:textId="5C10788C" w:rsidR="00976686" w:rsidRPr="00CE28E3" w:rsidRDefault="00976686" w:rsidP="00CD72DA">
            <w:pPr>
              <w:pStyle w:val="TableText"/>
              <w:numPr>
                <w:ilvl w:val="0"/>
                <w:numId w:val="12"/>
              </w:numPr>
            </w:pPr>
            <w:r w:rsidRPr="00976686">
              <w:t>The PBAC advised that a resubmission, which proposed revised restrictions, presented all available clinical data, included a substantial price reduction and a revised economic evaluation, presented updated utilisation and financial impact estimates, and which presented a proposed RSA for the age agnostic XLH population, could be lodged using the standard re</w:t>
            </w:r>
            <w:r w:rsidR="00FC0C61">
              <w:t>-</w:t>
            </w:r>
            <w:r w:rsidRPr="00976686">
              <w:t>entry pathway.</w:t>
            </w:r>
          </w:p>
        </w:tc>
      </w:tr>
      <w:tr w:rsidR="00F57885" w:rsidRPr="00CE28E3" w14:paraId="4C3B6A2C" w14:textId="77777777" w:rsidTr="0093790F">
        <w:tc>
          <w:tcPr>
            <w:tcW w:w="0" w:type="auto"/>
          </w:tcPr>
          <w:p w14:paraId="3ADC1FC4" w14:textId="4775E942" w:rsidR="00F57885" w:rsidRPr="00CE28E3" w:rsidRDefault="00596DE9" w:rsidP="00824458">
            <w:pPr>
              <w:pStyle w:val="TableText"/>
            </w:pPr>
            <w:r>
              <w:t>March 2022</w:t>
            </w:r>
          </w:p>
        </w:tc>
        <w:tc>
          <w:tcPr>
            <w:tcW w:w="0" w:type="auto"/>
          </w:tcPr>
          <w:p w14:paraId="7F967155" w14:textId="2D458C58" w:rsidR="00171870" w:rsidRDefault="00171870" w:rsidP="00824458">
            <w:pPr>
              <w:pStyle w:val="TableText"/>
              <w:rPr>
                <w:rFonts w:eastAsia="Times New Roman" w:cs="Arial"/>
                <w:snapToGrid w:val="0"/>
                <w:szCs w:val="20"/>
              </w:rPr>
            </w:pPr>
            <w:r w:rsidRPr="00171870">
              <w:rPr>
                <w:rFonts w:eastAsia="Times New Roman" w:cs="Arial"/>
                <w:snapToGrid w:val="0"/>
                <w:szCs w:val="20"/>
              </w:rPr>
              <w:t xml:space="preserve">BUROSUMAB, </w:t>
            </w:r>
            <w:r w:rsidR="00625CAB">
              <w:rPr>
                <w:rFonts w:eastAsia="Times New Roman" w:cs="Arial"/>
                <w:snapToGrid w:val="0"/>
                <w:szCs w:val="20"/>
              </w:rPr>
              <w:br/>
            </w:r>
            <w:r w:rsidRPr="00171870">
              <w:rPr>
                <w:rFonts w:eastAsia="Times New Roman" w:cs="Arial"/>
                <w:snapToGrid w:val="0"/>
                <w:szCs w:val="20"/>
              </w:rPr>
              <w:t xml:space="preserve">Injection 10 mg in 1 mL, Injection 20 mg in 1 mL, Injection 30 mg in 1 mL </w:t>
            </w:r>
          </w:p>
          <w:p w14:paraId="3D79105E" w14:textId="77777777" w:rsidR="00F57885" w:rsidRDefault="00171870" w:rsidP="00824458">
            <w:pPr>
              <w:pStyle w:val="TableText"/>
              <w:rPr>
                <w:rFonts w:eastAsia="Times New Roman" w:cs="Arial"/>
                <w:snapToGrid w:val="0"/>
                <w:szCs w:val="20"/>
              </w:rPr>
            </w:pPr>
            <w:r w:rsidRPr="00171870">
              <w:rPr>
                <w:rFonts w:eastAsia="Times New Roman" w:cs="Arial"/>
                <w:snapToGrid w:val="0"/>
                <w:szCs w:val="20"/>
              </w:rPr>
              <w:lastRenderedPageBreak/>
              <w:t>Kyowa Kirin Australia Pty Ltd®</w:t>
            </w:r>
          </w:p>
          <w:p w14:paraId="29BB6916" w14:textId="7E685285" w:rsidR="00940978" w:rsidRPr="00CE28E3" w:rsidRDefault="00685DB4" w:rsidP="00940978">
            <w:pPr>
              <w:pStyle w:val="TableText"/>
              <w:spacing w:before="120"/>
              <w:rPr>
                <w:rFonts w:eastAsia="Times New Roman" w:cs="Arial"/>
                <w:snapToGrid w:val="0"/>
                <w:szCs w:val="20"/>
              </w:rPr>
            </w:pPr>
            <w:r w:rsidRPr="00685DB4">
              <w:rPr>
                <w:rFonts w:eastAsia="Times New Roman" w:cs="Arial"/>
                <w:snapToGrid w:val="0"/>
                <w:szCs w:val="20"/>
              </w:rPr>
              <w:t>Patients with a diagnosis of XLH confirmed by specified genetic and/or clinical/laboratory criteria</w:t>
            </w:r>
          </w:p>
        </w:tc>
        <w:tc>
          <w:tcPr>
            <w:tcW w:w="0" w:type="auto"/>
          </w:tcPr>
          <w:p w14:paraId="7444DAF9" w14:textId="575CE209" w:rsidR="00F57885" w:rsidRDefault="00950B9D" w:rsidP="00824458">
            <w:pPr>
              <w:pStyle w:val="TableText"/>
              <w:rPr>
                <w:rFonts w:eastAsia="Times New Roman" w:cs="Arial"/>
                <w:bCs/>
                <w:snapToGrid w:val="0"/>
                <w:szCs w:val="20"/>
              </w:rPr>
            </w:pPr>
            <w:r>
              <w:rPr>
                <w:rFonts w:eastAsia="Times New Roman" w:cs="Arial"/>
                <w:bCs/>
                <w:snapToGrid w:val="0"/>
                <w:szCs w:val="20"/>
              </w:rPr>
              <w:lastRenderedPageBreak/>
              <w:t xml:space="preserve">Outcome: </w:t>
            </w:r>
            <w:r w:rsidR="00320C55">
              <w:rPr>
                <w:rFonts w:eastAsia="Times New Roman" w:cs="Arial"/>
                <w:bCs/>
                <w:snapToGrid w:val="0"/>
                <w:szCs w:val="20"/>
              </w:rPr>
              <w:t>Not recommended</w:t>
            </w:r>
          </w:p>
          <w:p w14:paraId="1E322A4D" w14:textId="7775DE37" w:rsidR="00330E0E" w:rsidRDefault="000A785D" w:rsidP="00CD72DA">
            <w:pPr>
              <w:pStyle w:val="TableText"/>
              <w:numPr>
                <w:ilvl w:val="0"/>
                <w:numId w:val="13"/>
              </w:numPr>
              <w:rPr>
                <w:rFonts w:eastAsia="Times New Roman" w:cs="Arial"/>
                <w:bCs/>
                <w:snapToGrid w:val="0"/>
                <w:szCs w:val="20"/>
              </w:rPr>
            </w:pPr>
            <w:r>
              <w:rPr>
                <w:rFonts w:eastAsia="Times New Roman" w:cs="Arial"/>
                <w:bCs/>
                <w:snapToGrid w:val="0"/>
                <w:szCs w:val="20"/>
              </w:rPr>
              <w:t xml:space="preserve">The resubmission included </w:t>
            </w:r>
            <w:r w:rsidR="00ED5D5F">
              <w:rPr>
                <w:rFonts w:eastAsia="Times New Roman" w:cs="Arial"/>
                <w:bCs/>
                <w:snapToGrid w:val="0"/>
                <w:szCs w:val="20"/>
              </w:rPr>
              <w:t xml:space="preserve">an age agnostic </w:t>
            </w:r>
            <w:r w:rsidR="009344D9">
              <w:rPr>
                <w:rFonts w:eastAsia="Times New Roman" w:cs="Arial"/>
                <w:bCs/>
                <w:snapToGrid w:val="0"/>
                <w:szCs w:val="20"/>
              </w:rPr>
              <w:t>requested listing</w:t>
            </w:r>
            <w:r w:rsidR="00ED5D5F">
              <w:rPr>
                <w:rFonts w:eastAsia="Times New Roman" w:cs="Arial"/>
                <w:bCs/>
                <w:snapToGrid w:val="0"/>
                <w:szCs w:val="20"/>
              </w:rPr>
              <w:t xml:space="preserve">. </w:t>
            </w:r>
          </w:p>
          <w:p w14:paraId="509D36B7" w14:textId="6F8DBB14" w:rsidR="00AF23CE" w:rsidRDefault="00D96771" w:rsidP="00CD72DA">
            <w:pPr>
              <w:pStyle w:val="TableText"/>
              <w:numPr>
                <w:ilvl w:val="0"/>
                <w:numId w:val="13"/>
              </w:numPr>
              <w:rPr>
                <w:rFonts w:eastAsia="Times New Roman" w:cs="Arial"/>
                <w:bCs/>
                <w:snapToGrid w:val="0"/>
                <w:szCs w:val="20"/>
              </w:rPr>
            </w:pPr>
            <w:r>
              <w:rPr>
                <w:rFonts w:eastAsia="Times New Roman" w:cs="Arial"/>
                <w:bCs/>
                <w:snapToGrid w:val="0"/>
                <w:szCs w:val="20"/>
              </w:rPr>
              <w:t xml:space="preserve">The </w:t>
            </w:r>
            <w:r w:rsidR="006D3A6F" w:rsidRPr="006D3A6F">
              <w:rPr>
                <w:rFonts w:eastAsia="Times New Roman" w:cs="Arial"/>
                <w:bCs/>
                <w:snapToGrid w:val="0"/>
                <w:szCs w:val="20"/>
              </w:rPr>
              <w:t xml:space="preserve">requested restriction </w:t>
            </w:r>
            <w:r w:rsidR="00BF3527">
              <w:rPr>
                <w:rFonts w:eastAsia="Times New Roman" w:cs="Arial"/>
                <w:bCs/>
                <w:snapToGrid w:val="0"/>
                <w:szCs w:val="20"/>
              </w:rPr>
              <w:t>regarding</w:t>
            </w:r>
            <w:r w:rsidR="00BF3527" w:rsidRPr="006D3A6F">
              <w:rPr>
                <w:rFonts w:eastAsia="Times New Roman" w:cs="Arial"/>
                <w:bCs/>
                <w:snapToGrid w:val="0"/>
                <w:szCs w:val="20"/>
              </w:rPr>
              <w:t xml:space="preserve"> clinically defined initiation</w:t>
            </w:r>
            <w:r w:rsidR="00BF3527">
              <w:rPr>
                <w:rFonts w:eastAsia="Times New Roman" w:cs="Arial"/>
                <w:bCs/>
                <w:snapToGrid w:val="0"/>
                <w:szCs w:val="20"/>
              </w:rPr>
              <w:t xml:space="preserve"> criteria</w:t>
            </w:r>
            <w:r w:rsidR="00BF3527" w:rsidRPr="006D3A6F">
              <w:rPr>
                <w:rFonts w:eastAsia="Times New Roman" w:cs="Arial"/>
                <w:bCs/>
                <w:snapToGrid w:val="0"/>
                <w:szCs w:val="20"/>
              </w:rPr>
              <w:t xml:space="preserve"> </w:t>
            </w:r>
            <w:r w:rsidR="006D3A6F" w:rsidRPr="006D3A6F">
              <w:rPr>
                <w:rFonts w:eastAsia="Times New Roman" w:cs="Arial"/>
                <w:bCs/>
                <w:snapToGrid w:val="0"/>
                <w:szCs w:val="20"/>
              </w:rPr>
              <w:t xml:space="preserve">was amended to reflect outcomes of </w:t>
            </w:r>
            <w:r w:rsidR="005E1C7A">
              <w:rPr>
                <w:rFonts w:eastAsia="Times New Roman" w:cs="Arial"/>
                <w:bCs/>
                <w:snapToGrid w:val="0"/>
                <w:szCs w:val="20"/>
              </w:rPr>
              <w:t xml:space="preserve">a PBAC-convened clinical expert </w:t>
            </w:r>
            <w:r w:rsidR="005E1C7A">
              <w:rPr>
                <w:rFonts w:eastAsia="Times New Roman" w:cs="Arial"/>
                <w:bCs/>
                <w:snapToGrid w:val="0"/>
                <w:szCs w:val="20"/>
              </w:rPr>
              <w:lastRenderedPageBreak/>
              <w:t>consultation</w:t>
            </w:r>
            <w:r w:rsidR="006D3A6F" w:rsidRPr="006D3A6F">
              <w:rPr>
                <w:rFonts w:eastAsia="Times New Roman" w:cs="Arial"/>
                <w:bCs/>
                <w:snapToGrid w:val="0"/>
                <w:szCs w:val="20"/>
              </w:rPr>
              <w:t xml:space="preserve"> meeting </w:t>
            </w:r>
            <w:r w:rsidR="00F53EF8">
              <w:rPr>
                <w:rFonts w:eastAsia="Times New Roman" w:cs="Arial"/>
                <w:bCs/>
                <w:snapToGrid w:val="0"/>
                <w:szCs w:val="20"/>
              </w:rPr>
              <w:t>held in May 2021</w:t>
            </w:r>
            <w:r>
              <w:rPr>
                <w:rFonts w:eastAsia="Times New Roman" w:cs="Arial"/>
                <w:bCs/>
                <w:snapToGrid w:val="0"/>
                <w:szCs w:val="20"/>
              </w:rPr>
              <w:t>.</w:t>
            </w:r>
            <w:r w:rsidR="00E62145">
              <w:rPr>
                <w:rFonts w:eastAsia="Times New Roman" w:cs="Arial"/>
                <w:bCs/>
                <w:snapToGrid w:val="0"/>
                <w:szCs w:val="20"/>
              </w:rPr>
              <w:t xml:space="preserve"> </w:t>
            </w:r>
            <w:r w:rsidR="00AF6D4A">
              <w:rPr>
                <w:rFonts w:eastAsia="Times New Roman" w:cs="Arial"/>
                <w:bCs/>
                <w:snapToGrid w:val="0"/>
                <w:szCs w:val="20"/>
              </w:rPr>
              <w:t xml:space="preserve">This </w:t>
            </w:r>
            <w:r w:rsidR="00254095">
              <w:rPr>
                <w:rFonts w:eastAsia="Times New Roman" w:cs="Arial"/>
                <w:bCs/>
                <w:snapToGrid w:val="0"/>
                <w:szCs w:val="20"/>
              </w:rPr>
              <w:t xml:space="preserve">wording is consistent with the </w:t>
            </w:r>
            <w:r w:rsidR="00D52B57">
              <w:rPr>
                <w:rFonts w:eastAsia="Times New Roman" w:cs="Arial"/>
                <w:bCs/>
                <w:snapToGrid w:val="0"/>
                <w:szCs w:val="20"/>
              </w:rPr>
              <w:t xml:space="preserve">approved listing and includes </w:t>
            </w:r>
            <w:r w:rsidR="00905E68">
              <w:rPr>
                <w:rFonts w:eastAsia="Times New Roman" w:cs="Arial"/>
                <w:bCs/>
                <w:snapToGrid w:val="0"/>
                <w:szCs w:val="20"/>
              </w:rPr>
              <w:t>FGF-23 testing.</w:t>
            </w:r>
          </w:p>
          <w:p w14:paraId="1B827286" w14:textId="616FEF0A" w:rsidR="00320C55" w:rsidRDefault="00F2517A" w:rsidP="00CD72DA">
            <w:pPr>
              <w:pStyle w:val="TableText"/>
              <w:numPr>
                <w:ilvl w:val="0"/>
                <w:numId w:val="13"/>
              </w:numPr>
              <w:rPr>
                <w:rFonts w:eastAsia="Times New Roman" w:cs="Arial"/>
                <w:bCs/>
                <w:snapToGrid w:val="0"/>
                <w:szCs w:val="20"/>
              </w:rPr>
            </w:pPr>
            <w:r>
              <w:rPr>
                <w:rFonts w:eastAsia="Times New Roman" w:cs="Arial"/>
                <w:bCs/>
                <w:snapToGrid w:val="0"/>
                <w:szCs w:val="20"/>
              </w:rPr>
              <w:t>T</w:t>
            </w:r>
            <w:r w:rsidRPr="00F2517A">
              <w:rPr>
                <w:rFonts w:eastAsia="Times New Roman" w:cs="Arial"/>
                <w:bCs/>
                <w:snapToGrid w:val="0"/>
                <w:szCs w:val="20"/>
              </w:rPr>
              <w:t xml:space="preserve">he PBAC considered that the ICER was unacceptably high at the proposed price </w:t>
            </w:r>
            <w:r w:rsidR="0052287E">
              <w:rPr>
                <w:rFonts w:eastAsia="Times New Roman" w:cs="Arial"/>
                <w:bCs/>
                <w:snapToGrid w:val="0"/>
                <w:szCs w:val="20"/>
              </w:rPr>
              <w:t>and that</w:t>
            </w:r>
            <w:r w:rsidRPr="00F2517A">
              <w:rPr>
                <w:rFonts w:eastAsia="Times New Roman" w:cs="Arial"/>
                <w:bCs/>
                <w:snapToGrid w:val="0"/>
                <w:szCs w:val="20"/>
              </w:rPr>
              <w:t xml:space="preserve"> a</w:t>
            </w:r>
            <w:r w:rsidR="004C6C64">
              <w:rPr>
                <w:rFonts w:eastAsia="Times New Roman" w:cs="Arial"/>
                <w:bCs/>
                <w:snapToGrid w:val="0"/>
                <w:szCs w:val="20"/>
              </w:rPr>
              <w:t>n</w:t>
            </w:r>
            <w:r w:rsidRPr="00F2517A">
              <w:rPr>
                <w:rFonts w:eastAsia="Times New Roman" w:cs="Arial"/>
                <w:bCs/>
                <w:snapToGrid w:val="0"/>
                <w:szCs w:val="20"/>
              </w:rPr>
              <w:t xml:space="preserve"> RSA was needed to address substantial uncertainties around the financial estimates, including the impact associated with use of higher doses.</w:t>
            </w:r>
          </w:p>
          <w:p w14:paraId="1B48E7A6" w14:textId="523C114A" w:rsidR="00F8755E" w:rsidRDefault="00565042" w:rsidP="00CD72DA">
            <w:pPr>
              <w:pStyle w:val="TableText"/>
              <w:numPr>
                <w:ilvl w:val="0"/>
                <w:numId w:val="13"/>
              </w:numPr>
              <w:rPr>
                <w:rFonts w:eastAsia="Times New Roman" w:cs="Arial"/>
                <w:bCs/>
                <w:snapToGrid w:val="0"/>
                <w:szCs w:val="20"/>
              </w:rPr>
            </w:pPr>
            <w:r w:rsidRPr="00565042">
              <w:rPr>
                <w:rFonts w:eastAsia="Times New Roman" w:cs="Arial"/>
                <w:bCs/>
                <w:snapToGrid w:val="0"/>
                <w:szCs w:val="20"/>
              </w:rPr>
              <w:t>The PBAC considered the outstanding issues could be resolved in a simple resubmission for burosumab</w:t>
            </w:r>
            <w:r w:rsidR="00F8755E">
              <w:rPr>
                <w:rFonts w:eastAsia="Times New Roman" w:cs="Arial"/>
                <w:bCs/>
                <w:snapToGrid w:val="0"/>
                <w:szCs w:val="20"/>
              </w:rPr>
              <w:t xml:space="preserve"> and that an </w:t>
            </w:r>
            <w:r w:rsidR="00833193" w:rsidRPr="00833193">
              <w:rPr>
                <w:rFonts w:eastAsia="Times New Roman" w:cs="Arial"/>
                <w:bCs/>
                <w:snapToGrid w:val="0"/>
                <w:szCs w:val="20"/>
              </w:rPr>
              <w:t>early resolution pathway would be acceptable.</w:t>
            </w:r>
            <w:r w:rsidR="00F8755E">
              <w:t xml:space="preserve"> </w:t>
            </w:r>
            <w:r w:rsidR="00EA6617">
              <w:t xml:space="preserve">It was </w:t>
            </w:r>
            <w:r w:rsidR="00EA6B5B">
              <w:rPr>
                <w:rFonts w:eastAsia="Times New Roman" w:cs="Arial"/>
                <w:bCs/>
                <w:snapToGrid w:val="0"/>
                <w:szCs w:val="20"/>
              </w:rPr>
              <w:t>noted that the</w:t>
            </w:r>
            <w:r w:rsidR="00F8755E" w:rsidRPr="00F8755E">
              <w:rPr>
                <w:rFonts w:eastAsia="Times New Roman" w:cs="Arial"/>
                <w:bCs/>
                <w:snapToGrid w:val="0"/>
                <w:szCs w:val="20"/>
              </w:rPr>
              <w:t xml:space="preserve"> following changes may address the outstanding issues without requiring further re-evaluation:  </w:t>
            </w:r>
          </w:p>
          <w:p w14:paraId="59FD219D" w14:textId="7DD0477B" w:rsidR="00F8755E" w:rsidRDefault="004C6C64" w:rsidP="00CD72DA">
            <w:pPr>
              <w:pStyle w:val="TableText"/>
              <w:numPr>
                <w:ilvl w:val="1"/>
                <w:numId w:val="13"/>
              </w:numPr>
              <w:rPr>
                <w:rFonts w:eastAsia="Times New Roman" w:cs="Arial"/>
                <w:bCs/>
                <w:snapToGrid w:val="0"/>
                <w:szCs w:val="20"/>
              </w:rPr>
            </w:pPr>
            <w:r>
              <w:rPr>
                <w:rFonts w:eastAsia="Times New Roman" w:cs="Arial"/>
                <w:bCs/>
                <w:snapToGrid w:val="0"/>
                <w:szCs w:val="20"/>
              </w:rPr>
              <w:t>a</w:t>
            </w:r>
            <w:r w:rsidR="00F8755E" w:rsidRPr="00F8755E">
              <w:rPr>
                <w:rFonts w:eastAsia="Times New Roman" w:cs="Arial"/>
                <w:bCs/>
                <w:snapToGrid w:val="0"/>
                <w:szCs w:val="20"/>
              </w:rPr>
              <w:t xml:space="preserve"> further price reduction which results in ICERs of approximately $255,000 to &lt; $355,000 per QALY for both the paediatric and adult populations; and</w:t>
            </w:r>
          </w:p>
          <w:p w14:paraId="15BB4464" w14:textId="2287F1C1" w:rsidR="00565042" w:rsidRPr="00CE28E3" w:rsidRDefault="004C6C64" w:rsidP="00CD72DA">
            <w:pPr>
              <w:pStyle w:val="TableText"/>
              <w:numPr>
                <w:ilvl w:val="1"/>
                <w:numId w:val="13"/>
              </w:numPr>
              <w:rPr>
                <w:rFonts w:eastAsia="Times New Roman" w:cs="Arial"/>
                <w:bCs/>
                <w:snapToGrid w:val="0"/>
                <w:szCs w:val="20"/>
              </w:rPr>
            </w:pPr>
            <w:r>
              <w:rPr>
                <w:rFonts w:eastAsia="Times New Roman" w:cs="Arial"/>
                <w:bCs/>
                <w:snapToGrid w:val="0"/>
                <w:szCs w:val="20"/>
              </w:rPr>
              <w:t>a</w:t>
            </w:r>
            <w:r w:rsidR="00F8755E" w:rsidRPr="00F8755E">
              <w:rPr>
                <w:rFonts w:eastAsia="Times New Roman" w:cs="Arial"/>
                <w:bCs/>
                <w:snapToGrid w:val="0"/>
                <w:szCs w:val="20"/>
              </w:rPr>
              <w:t xml:space="preserve"> revised RSA which offers a rebate of 100% for use over the financial impact estimates.</w:t>
            </w:r>
          </w:p>
        </w:tc>
      </w:tr>
      <w:tr w:rsidR="00F57885" w:rsidRPr="00CE28E3" w14:paraId="3B9AD9C3" w14:textId="77777777" w:rsidTr="0093790F">
        <w:tc>
          <w:tcPr>
            <w:tcW w:w="0" w:type="auto"/>
          </w:tcPr>
          <w:p w14:paraId="23382853" w14:textId="6FAADC9B" w:rsidR="00F57885" w:rsidRPr="00CE28E3" w:rsidRDefault="00645A8B" w:rsidP="00824458">
            <w:pPr>
              <w:pStyle w:val="TableText"/>
            </w:pPr>
            <w:r>
              <w:lastRenderedPageBreak/>
              <w:t>May 2022</w:t>
            </w:r>
          </w:p>
        </w:tc>
        <w:tc>
          <w:tcPr>
            <w:tcW w:w="0" w:type="auto"/>
          </w:tcPr>
          <w:p w14:paraId="7B51C715" w14:textId="3C030A44" w:rsidR="0054094F" w:rsidRDefault="0054094F" w:rsidP="00824458">
            <w:pPr>
              <w:pStyle w:val="TableText"/>
            </w:pPr>
            <w:r w:rsidRPr="0054094F">
              <w:t xml:space="preserve">BUROSUMAB, </w:t>
            </w:r>
            <w:r w:rsidR="00DC49FB">
              <w:br/>
            </w:r>
            <w:r w:rsidRPr="0054094F">
              <w:t xml:space="preserve">Injection 10 mg in 1 mL, Injection 20 mg in 1 mL, Injection 30 mg in 1 mL </w:t>
            </w:r>
          </w:p>
          <w:p w14:paraId="303E195E" w14:textId="77777777" w:rsidR="00F57885" w:rsidRDefault="0054094F" w:rsidP="00824458">
            <w:pPr>
              <w:pStyle w:val="TableText"/>
            </w:pPr>
            <w:r w:rsidRPr="0054094F">
              <w:t>Kyowa Kirin Australia Pty Ltd®</w:t>
            </w:r>
          </w:p>
          <w:p w14:paraId="3C6FBFDC" w14:textId="595FF733" w:rsidR="0054094F" w:rsidRPr="00CE28E3" w:rsidRDefault="0054094F" w:rsidP="0054094F">
            <w:pPr>
              <w:pStyle w:val="TableText"/>
              <w:spacing w:before="120"/>
            </w:pPr>
            <w:r w:rsidRPr="00685DB4">
              <w:rPr>
                <w:rFonts w:eastAsia="Times New Roman" w:cs="Arial"/>
                <w:snapToGrid w:val="0"/>
                <w:szCs w:val="20"/>
              </w:rPr>
              <w:t>Patients with a diagnosis of XLH confirmed by specified genetic and/or clinical/laboratory criteria</w:t>
            </w:r>
          </w:p>
        </w:tc>
        <w:tc>
          <w:tcPr>
            <w:tcW w:w="0" w:type="auto"/>
          </w:tcPr>
          <w:p w14:paraId="6B734B18" w14:textId="25E0CA8F" w:rsidR="00F57885" w:rsidRDefault="00954427" w:rsidP="00824458">
            <w:pPr>
              <w:pStyle w:val="TableText"/>
              <w:rPr>
                <w:rFonts w:eastAsia="Times New Roman" w:cs="Arial"/>
                <w:bCs/>
                <w:snapToGrid w:val="0"/>
                <w:szCs w:val="20"/>
              </w:rPr>
            </w:pPr>
            <w:r>
              <w:rPr>
                <w:rFonts w:eastAsia="Times New Roman" w:cs="Arial"/>
                <w:bCs/>
                <w:snapToGrid w:val="0"/>
                <w:szCs w:val="20"/>
              </w:rPr>
              <w:t xml:space="preserve">Outcome: </w:t>
            </w:r>
            <w:r w:rsidR="001F39C8">
              <w:rPr>
                <w:rFonts w:eastAsia="Times New Roman" w:cs="Arial"/>
                <w:bCs/>
                <w:snapToGrid w:val="0"/>
                <w:szCs w:val="20"/>
              </w:rPr>
              <w:t>Recommended</w:t>
            </w:r>
          </w:p>
          <w:p w14:paraId="3DDA8226" w14:textId="77777777" w:rsidR="001F39C8" w:rsidRDefault="009474D3" w:rsidP="00CD72DA">
            <w:pPr>
              <w:pStyle w:val="TableText"/>
              <w:numPr>
                <w:ilvl w:val="0"/>
                <w:numId w:val="14"/>
              </w:numPr>
              <w:rPr>
                <w:rFonts w:eastAsia="Times New Roman" w:cs="Arial"/>
                <w:bCs/>
                <w:snapToGrid w:val="0"/>
                <w:szCs w:val="20"/>
              </w:rPr>
            </w:pPr>
            <w:r w:rsidRPr="009474D3">
              <w:rPr>
                <w:rFonts w:eastAsia="Times New Roman" w:cs="Arial"/>
                <w:bCs/>
                <w:snapToGrid w:val="0"/>
                <w:szCs w:val="20"/>
              </w:rPr>
              <w:t xml:space="preserve">The PBAC recommended the listing of burosumab for the treatment of patients </w:t>
            </w:r>
            <w:r w:rsidR="008C4282">
              <w:rPr>
                <w:rFonts w:eastAsia="Times New Roman" w:cs="Arial"/>
                <w:bCs/>
                <w:snapToGrid w:val="0"/>
                <w:szCs w:val="20"/>
              </w:rPr>
              <w:t xml:space="preserve">with </w:t>
            </w:r>
            <w:r w:rsidRPr="009474D3">
              <w:rPr>
                <w:rFonts w:eastAsia="Times New Roman" w:cs="Arial"/>
                <w:bCs/>
                <w:snapToGrid w:val="0"/>
                <w:szCs w:val="20"/>
              </w:rPr>
              <w:t xml:space="preserve">XLH. The PBAC noted the high clinical need and previous strong consumer support for treatments for this condition. The PBAC considered that the ICERs for both the paediatric and adult populations were acceptable at the proposed price and that the proposed </w:t>
            </w:r>
            <w:r w:rsidR="00CE0EDF">
              <w:rPr>
                <w:rFonts w:eastAsia="Times New Roman" w:cs="Arial"/>
                <w:bCs/>
                <w:snapToGrid w:val="0"/>
                <w:szCs w:val="20"/>
              </w:rPr>
              <w:t>RSA</w:t>
            </w:r>
            <w:r w:rsidRPr="009474D3">
              <w:rPr>
                <w:rFonts w:eastAsia="Times New Roman" w:cs="Arial"/>
                <w:bCs/>
                <w:snapToGrid w:val="0"/>
                <w:szCs w:val="20"/>
              </w:rPr>
              <w:t xml:space="preserve"> was adequate to manage the risks associated with the uncertainties relating to the estimated financial impact to the PBS.</w:t>
            </w:r>
          </w:p>
          <w:p w14:paraId="26202E3E" w14:textId="6CEBCBF4" w:rsidR="00D8575E" w:rsidRPr="00CE28E3" w:rsidRDefault="00D8575E" w:rsidP="00CD72DA">
            <w:pPr>
              <w:pStyle w:val="TableText"/>
              <w:numPr>
                <w:ilvl w:val="0"/>
                <w:numId w:val="14"/>
              </w:numPr>
              <w:rPr>
                <w:rFonts w:eastAsia="Times New Roman" w:cs="Arial"/>
                <w:bCs/>
                <w:snapToGrid w:val="0"/>
                <w:szCs w:val="20"/>
              </w:rPr>
            </w:pPr>
            <w:r>
              <w:rPr>
                <w:rFonts w:eastAsia="Times New Roman" w:cs="Arial"/>
                <w:bCs/>
                <w:snapToGrid w:val="0"/>
                <w:szCs w:val="20"/>
              </w:rPr>
              <w:t xml:space="preserve">No changes were made to the </w:t>
            </w:r>
            <w:r w:rsidR="000B6837">
              <w:rPr>
                <w:rFonts w:eastAsia="Times New Roman" w:cs="Arial"/>
                <w:bCs/>
                <w:snapToGrid w:val="0"/>
                <w:szCs w:val="20"/>
              </w:rPr>
              <w:t xml:space="preserve">requested restriction </w:t>
            </w:r>
            <w:proofErr w:type="gramStart"/>
            <w:r w:rsidR="0013442B">
              <w:rPr>
                <w:rFonts w:eastAsia="Times New Roman" w:cs="Arial"/>
                <w:bCs/>
                <w:snapToGrid w:val="0"/>
                <w:szCs w:val="20"/>
              </w:rPr>
              <w:t>in regard to</w:t>
            </w:r>
            <w:proofErr w:type="gramEnd"/>
            <w:r w:rsidR="0013442B">
              <w:rPr>
                <w:rFonts w:eastAsia="Times New Roman" w:cs="Arial"/>
                <w:bCs/>
                <w:snapToGrid w:val="0"/>
                <w:szCs w:val="20"/>
              </w:rPr>
              <w:t xml:space="preserve"> clinically defined initiation criteria </w:t>
            </w:r>
            <w:r w:rsidR="000B6837">
              <w:rPr>
                <w:rFonts w:eastAsia="Times New Roman" w:cs="Arial"/>
                <w:bCs/>
                <w:snapToGrid w:val="0"/>
                <w:szCs w:val="20"/>
              </w:rPr>
              <w:t>in this resubmission.</w:t>
            </w:r>
          </w:p>
        </w:tc>
      </w:tr>
    </w:tbl>
    <w:p w14:paraId="742154B4" w14:textId="2F81D1E3" w:rsidR="00385988" w:rsidRDefault="007E4733" w:rsidP="00283B3E">
      <w:pPr>
        <w:pStyle w:val="TableFigureFooter"/>
        <w:spacing w:after="0"/>
      </w:pPr>
      <w:bookmarkStart w:id="11" w:name="_Hlk68275617"/>
      <w:bookmarkEnd w:id="10"/>
      <w:r>
        <w:t>FGF-23 = </w:t>
      </w:r>
      <w:r w:rsidR="00A400EE">
        <w:t xml:space="preserve">fibroblast growth factor 23; </w:t>
      </w:r>
      <w:r w:rsidR="00152DBE">
        <w:t xml:space="preserve">ICER = incremental cost effectiveness ratio; </w:t>
      </w:r>
      <w:r w:rsidR="006142A6">
        <w:t>PBAC = Pharmaceutical Benefits Advisory Committee</w:t>
      </w:r>
      <w:r w:rsidR="00FC0C61">
        <w:t xml:space="preserve">; </w:t>
      </w:r>
      <w:r w:rsidR="00CE0EDF">
        <w:t xml:space="preserve">PBS = Pharmaceutical Benefits Scheme; </w:t>
      </w:r>
      <w:r w:rsidR="0074529D">
        <w:t>PHEX =</w:t>
      </w:r>
      <w:r w:rsidR="00CA0619" w:rsidRPr="00CA0619">
        <w:t xml:space="preserve"> phosphate-regulating endopeptidase homolog X-linked</w:t>
      </w:r>
      <w:r w:rsidR="00CA0619">
        <w:t>;</w:t>
      </w:r>
      <w:r w:rsidR="0074529D">
        <w:t> </w:t>
      </w:r>
      <w:r w:rsidR="00CE0EDF">
        <w:t xml:space="preserve">QALY = quality adjusted life year; </w:t>
      </w:r>
      <w:r w:rsidR="00FC0C61">
        <w:t>RSA = </w:t>
      </w:r>
      <w:r w:rsidR="001C2900">
        <w:t xml:space="preserve">Risk Sharing </w:t>
      </w:r>
      <w:r w:rsidR="001C2900" w:rsidRPr="00283B3E">
        <w:t>Arrangement</w:t>
      </w:r>
      <w:r w:rsidR="00937D38">
        <w:t>; XLH =</w:t>
      </w:r>
      <w:r w:rsidR="00937D38" w:rsidRPr="00937D38">
        <w:t xml:space="preserve"> X-linked hypophosphatemia</w:t>
      </w:r>
      <w:r w:rsidR="001C2900">
        <w:t>.</w:t>
      </w:r>
    </w:p>
    <w:p w14:paraId="5C3BC340" w14:textId="49ADA467" w:rsidR="00283B3E" w:rsidRPr="00283B3E" w:rsidRDefault="00283B3E" w:rsidP="00283B3E">
      <w:pPr>
        <w:pStyle w:val="TableFigureFooter"/>
        <w:spacing w:before="0"/>
      </w:pPr>
      <w:r>
        <w:t xml:space="preserve">Source: </w:t>
      </w:r>
      <w:hyperlink r:id="rId9" w:tooltip="This link goes to the PBS website Public Summary Documents page" w:history="1">
        <w:r w:rsidRPr="005C6729">
          <w:rPr>
            <w:rStyle w:val="Hyperlink"/>
          </w:rPr>
          <w:t>PBAC Public Summary Documents</w:t>
        </w:r>
      </w:hyperlink>
      <w:r w:rsidR="009762EF">
        <w:t xml:space="preserve"> for the relevant applications</w:t>
      </w:r>
      <w:r w:rsidR="00E6074A">
        <w:t xml:space="preserve">. </w:t>
      </w:r>
    </w:p>
    <w:p w14:paraId="0A769D72" w14:textId="2FF8FA0E" w:rsidR="00642A2B" w:rsidRPr="00283B3E" w:rsidRDefault="00FB0CB5" w:rsidP="004B3DB7">
      <w:pPr>
        <w:pStyle w:val="Heading3"/>
      </w:pPr>
      <w:r>
        <w:t xml:space="preserve">Request to expand </w:t>
      </w:r>
      <w:proofErr w:type="gramStart"/>
      <w:r w:rsidR="007C4BB5">
        <w:t>application</w:t>
      </w:r>
      <w:proofErr w:type="gramEnd"/>
    </w:p>
    <w:p w14:paraId="40746D15" w14:textId="5EA0883C" w:rsidR="00BE679E" w:rsidRDefault="3DF5FA2D" w:rsidP="0098658C">
      <w:pPr>
        <w:spacing w:before="240"/>
      </w:pPr>
      <w:r>
        <w:t>During the preparation of th</w:t>
      </w:r>
      <w:r w:rsidR="009D5F97">
        <w:t>e</w:t>
      </w:r>
      <w:r>
        <w:t xml:space="preserve"> assessment report</w:t>
      </w:r>
      <w:r w:rsidR="753F5FCB">
        <w:t xml:space="preserve"> </w:t>
      </w:r>
      <w:r w:rsidR="40A16CF3">
        <w:t xml:space="preserve">the </w:t>
      </w:r>
      <w:r>
        <w:t>Hypophosphatemic Working Party</w:t>
      </w:r>
      <w:r w:rsidR="16A6D812">
        <w:t xml:space="preserve"> </w:t>
      </w:r>
      <w:r w:rsidR="001D1A1A">
        <w:t xml:space="preserve">made an additional </w:t>
      </w:r>
      <w:r w:rsidR="16A6D812">
        <w:t>request</w:t>
      </w:r>
      <w:r>
        <w:t xml:space="preserve"> </w:t>
      </w:r>
      <w:r w:rsidR="49040BAE">
        <w:t>to</w:t>
      </w:r>
      <w:r>
        <w:t xml:space="preserve"> expan</w:t>
      </w:r>
      <w:r w:rsidR="49040BAE">
        <w:t>d</w:t>
      </w:r>
      <w:r>
        <w:t xml:space="preserve"> the scope of the application to include FGF-23 testing for the diagnosis of all types of FGF-23 dependent hypophosphatemia</w:t>
      </w:r>
      <w:r w:rsidR="008931EB">
        <w:t xml:space="preserve"> (beyond the diagnosis of X-linked hypophosphatemia alone</w:t>
      </w:r>
      <w:r w:rsidR="008931EB">
        <w:softHyphen/>
        <w:t>)</w:t>
      </w:r>
      <w:r>
        <w:t xml:space="preserve">. </w:t>
      </w:r>
      <w:r w:rsidR="6D8597E4">
        <w:t xml:space="preserve">This would include tumour induced hypophosphatemia, autosomal dominant and autosomal recessive hypophosphatemic rickets, fibrous dysplasia/McCune-Albright syndrome, iron infusion-associated hypophosphatemia, and post renal transplantation hypophosphatemia. </w:t>
      </w:r>
    </w:p>
    <w:p w14:paraId="4B07B97C" w14:textId="4F9743AE" w:rsidR="001C65DF" w:rsidRDefault="6D8597E4" w:rsidP="00AA275E">
      <w:r>
        <w:t>Th</w:t>
      </w:r>
      <w:r w:rsidR="25D22462">
        <w:t xml:space="preserve">e proposal </w:t>
      </w:r>
      <w:r w:rsidR="4DCB3039">
        <w:t>included both an</w:t>
      </w:r>
      <w:r>
        <w:t xml:space="preserve"> expan</w:t>
      </w:r>
      <w:r w:rsidR="4DCB3039">
        <w:t>sion of</w:t>
      </w:r>
      <w:r>
        <w:t xml:space="preserve"> </w:t>
      </w:r>
      <w:r w:rsidR="25D22462">
        <w:t xml:space="preserve">the population </w:t>
      </w:r>
      <w:r w:rsidR="31245CB4">
        <w:t xml:space="preserve">(from </w:t>
      </w:r>
      <w:r w:rsidR="54A476D4">
        <w:t xml:space="preserve">patients with a </w:t>
      </w:r>
      <w:r w:rsidR="31245CB4">
        <w:t>high</w:t>
      </w:r>
      <w:r w:rsidR="08639551">
        <w:t xml:space="preserve"> pre-test </w:t>
      </w:r>
      <w:r w:rsidR="31245CB4">
        <w:t xml:space="preserve">probability of XLH to </w:t>
      </w:r>
      <w:r w:rsidR="4BACEA37">
        <w:t>patients who may have any</w:t>
      </w:r>
      <w:r w:rsidR="7B636D6A">
        <w:t xml:space="preserve"> type of FGF-23 dependent hypophosphatemia</w:t>
      </w:r>
      <w:r w:rsidR="4DCB3039">
        <w:t>)</w:t>
      </w:r>
      <w:r w:rsidR="78C5958F">
        <w:t>,</w:t>
      </w:r>
      <w:r w:rsidR="4DCB3039">
        <w:t xml:space="preserve"> </w:t>
      </w:r>
      <w:r w:rsidR="3757AF57">
        <w:t>a</w:t>
      </w:r>
      <w:r w:rsidR="54A476D4">
        <w:t xml:space="preserve">s well as </w:t>
      </w:r>
      <w:r w:rsidR="3B11B81A">
        <w:t>a</w:t>
      </w:r>
      <w:r w:rsidR="54A476D4">
        <w:t xml:space="preserve"> change to the</w:t>
      </w:r>
      <w:r w:rsidR="3757AF57">
        <w:t xml:space="preserve"> indication </w:t>
      </w:r>
      <w:r w:rsidR="25D22462">
        <w:t>for testing</w:t>
      </w:r>
      <w:r>
        <w:t xml:space="preserve"> </w:t>
      </w:r>
      <w:r w:rsidR="54A476D4">
        <w:t>(from</w:t>
      </w:r>
      <w:r w:rsidR="001E5500">
        <w:t xml:space="preserve"> only</w:t>
      </w:r>
      <w:r w:rsidR="54A476D4">
        <w:t xml:space="preserve"> a</w:t>
      </w:r>
      <w:r w:rsidR="003D3CA7">
        <w:t>ss</w:t>
      </w:r>
      <w:r w:rsidR="54A476D4">
        <w:t>ess</w:t>
      </w:r>
      <w:r w:rsidR="304ADA50">
        <w:t>ing</w:t>
      </w:r>
      <w:r w:rsidR="54A476D4">
        <w:t xml:space="preserve"> </w:t>
      </w:r>
      <w:r w:rsidR="003D3CA7">
        <w:t xml:space="preserve">eligibility </w:t>
      </w:r>
      <w:r w:rsidR="00167C07">
        <w:t>for</w:t>
      </w:r>
      <w:r w:rsidR="54A476D4">
        <w:t xml:space="preserve"> burosumab</w:t>
      </w:r>
      <w:r w:rsidR="77B1E87A">
        <w:t xml:space="preserve"> on the PBS</w:t>
      </w:r>
      <w:r w:rsidR="54A476D4">
        <w:t xml:space="preserve"> to </w:t>
      </w:r>
      <w:r w:rsidR="00633196">
        <w:t xml:space="preserve">also including the </w:t>
      </w:r>
      <w:r w:rsidR="54A476D4">
        <w:t xml:space="preserve">diagnosis of </w:t>
      </w:r>
      <w:r w:rsidR="00A8319F">
        <w:t xml:space="preserve">all types of </w:t>
      </w:r>
      <w:r w:rsidR="54A476D4">
        <w:t xml:space="preserve">FGF-23 dependent hypophosphatemia). </w:t>
      </w:r>
      <w:r w:rsidR="3B11B81A">
        <w:t xml:space="preserve">This request </w:t>
      </w:r>
      <w:r>
        <w:t xml:space="preserve">was beyond the scope of the </w:t>
      </w:r>
      <w:r w:rsidR="00AA275E">
        <w:t>current brief</w:t>
      </w:r>
      <w:r>
        <w:t xml:space="preserve"> assessment that was requested by the MSAC Executive specifically </w:t>
      </w:r>
      <w:r w:rsidR="7540D47C">
        <w:t>for</w:t>
      </w:r>
      <w:r>
        <w:t xml:space="preserve"> FGF-23 testing</w:t>
      </w:r>
      <w:r w:rsidR="00FF0789">
        <w:t xml:space="preserve"> to confirm the diagnosis of XLH</w:t>
      </w:r>
      <w:r>
        <w:t xml:space="preserve"> for the purpose of accessing burosumab on the PBS</w:t>
      </w:r>
      <w:r w:rsidR="5C35C2DE">
        <w:t xml:space="preserve">. </w:t>
      </w:r>
    </w:p>
    <w:p w14:paraId="4FE0FBEC" w14:textId="6A5E8208" w:rsidR="00CA6F2F" w:rsidRPr="00F75D63" w:rsidRDefault="00FE5A70" w:rsidP="00AA275E">
      <w:r>
        <w:t xml:space="preserve">Estimation of the </w:t>
      </w:r>
      <w:r w:rsidR="002A2FF3">
        <w:t xml:space="preserve">utilisation and </w:t>
      </w:r>
      <w:r w:rsidR="00577B07">
        <w:t xml:space="preserve">financial impact of </w:t>
      </w:r>
      <w:r w:rsidR="00AB4F2A">
        <w:t xml:space="preserve">the expansion of </w:t>
      </w:r>
      <w:r w:rsidR="002039B5">
        <w:t xml:space="preserve">FGF-23 testing </w:t>
      </w:r>
      <w:r w:rsidR="002816A6">
        <w:t>to</w:t>
      </w:r>
      <w:r w:rsidR="00632CDD">
        <w:t xml:space="preserve"> include</w:t>
      </w:r>
      <w:r w:rsidR="002816A6" w:rsidRPr="008E1EB4">
        <w:t xml:space="preserve"> </w:t>
      </w:r>
      <w:r w:rsidR="002039B5" w:rsidRPr="008E1EB4">
        <w:t xml:space="preserve">the diagnosis of </w:t>
      </w:r>
      <w:r w:rsidR="00A45CED">
        <w:t xml:space="preserve">any type of </w:t>
      </w:r>
      <w:r w:rsidR="002039B5" w:rsidRPr="008E1EB4">
        <w:t>FGF-23 dependent hypophosphatemia</w:t>
      </w:r>
      <w:r w:rsidR="002039B5">
        <w:t xml:space="preserve"> </w:t>
      </w:r>
      <w:r w:rsidR="000831A8">
        <w:t xml:space="preserve">would </w:t>
      </w:r>
      <w:r w:rsidR="002039B5">
        <w:t xml:space="preserve">require consideration of the position of </w:t>
      </w:r>
      <w:r w:rsidR="000831A8">
        <w:t xml:space="preserve">the test within the diagnostic pathway for children and </w:t>
      </w:r>
      <w:r w:rsidR="00412E1F">
        <w:t>adults in the Australian setting</w:t>
      </w:r>
      <w:r w:rsidR="001C7880">
        <w:t xml:space="preserve">, and </w:t>
      </w:r>
      <w:r w:rsidR="0077159F">
        <w:t xml:space="preserve">assessment of </w:t>
      </w:r>
      <w:r w:rsidR="001C7880">
        <w:t>t</w:t>
      </w:r>
      <w:r w:rsidR="00B65670">
        <w:t xml:space="preserve">he clinical utility of FGF-23 testing </w:t>
      </w:r>
      <w:r w:rsidR="00A03167">
        <w:t>in th</w:t>
      </w:r>
      <w:r w:rsidR="00BF2B4F">
        <w:t>ese</w:t>
      </w:r>
      <w:r w:rsidR="00A03167">
        <w:t xml:space="preserve"> </w:t>
      </w:r>
      <w:r w:rsidR="0012063D">
        <w:t xml:space="preserve">expanded </w:t>
      </w:r>
      <w:r w:rsidR="00A03167" w:rsidRPr="002C6BD8">
        <w:t>population</w:t>
      </w:r>
      <w:r w:rsidR="00BF2B4F">
        <w:t>s</w:t>
      </w:r>
      <w:r w:rsidR="00A225ED" w:rsidRPr="002C6BD8">
        <w:t>.</w:t>
      </w:r>
      <w:r w:rsidR="003F57A5" w:rsidRPr="002C6BD8">
        <w:t xml:space="preserve"> </w:t>
      </w:r>
    </w:p>
    <w:p w14:paraId="6F52500A" w14:textId="219F447E" w:rsidR="00772829" w:rsidRPr="00CE28E3" w:rsidRDefault="009D5F97" w:rsidP="002A18BE">
      <w:pPr>
        <w:pStyle w:val="Heading2"/>
        <w:numPr>
          <w:ilvl w:val="0"/>
          <w:numId w:val="0"/>
        </w:numPr>
      </w:pPr>
      <w:bookmarkStart w:id="12" w:name="_Toc166074000"/>
      <w:bookmarkEnd w:id="8"/>
      <w:bookmarkEnd w:id="11"/>
      <w:r>
        <w:lastRenderedPageBreak/>
        <w:t>5</w:t>
      </w:r>
      <w:r w:rsidR="00C36633">
        <w:t>.</w:t>
      </w:r>
      <w:r w:rsidR="00C36633">
        <w:tab/>
      </w:r>
      <w:r w:rsidR="00772829" w:rsidRPr="00CE28E3">
        <w:t>Prerequisites to implementation of any funding advice</w:t>
      </w:r>
      <w:bookmarkEnd w:id="12"/>
    </w:p>
    <w:p w14:paraId="5CD9FBE1" w14:textId="3C844F0A" w:rsidR="006F4A50" w:rsidRDefault="003B4CC2" w:rsidP="006F4A50">
      <w:r>
        <w:t xml:space="preserve">FGF-23 testing is already </w:t>
      </w:r>
      <w:r w:rsidR="00EA0F79">
        <w:t xml:space="preserve">being performed in Australia by select laboratories. </w:t>
      </w:r>
      <w:r w:rsidR="51F3FB1A">
        <w:t xml:space="preserve">As is the case for other pathology tests, </w:t>
      </w:r>
      <w:r w:rsidR="00224BFD">
        <w:t>FGF-23 testing involves in-vitro diagnostic medical devices (IVDs)</w:t>
      </w:r>
      <w:r w:rsidR="005F484E">
        <w:t xml:space="preserve"> that require approval by the Therapeutic Goods Administration (TGA)</w:t>
      </w:r>
      <w:r w:rsidR="2D07D660">
        <w:t xml:space="preserve"> and inclusion on the Australian Register of Therape</w:t>
      </w:r>
      <w:r w:rsidR="42568501">
        <w:t>u</w:t>
      </w:r>
      <w:r w:rsidR="2D07D660">
        <w:t>tic Goods (ARTG)</w:t>
      </w:r>
      <w:r w:rsidR="663F2F7E">
        <w:t xml:space="preserve">, or in house IVDs developed by the laboratories </w:t>
      </w:r>
      <w:r w:rsidR="2EF393F6">
        <w:t xml:space="preserve">that </w:t>
      </w:r>
      <w:r w:rsidR="663F2F7E">
        <w:t xml:space="preserve">are accredited by the National </w:t>
      </w:r>
      <w:r w:rsidR="28BD80BE">
        <w:t>Association of Testing Authorities (NATA) and notified to the TGA</w:t>
      </w:r>
      <w:r w:rsidR="001B657E">
        <w:t xml:space="preserve">. </w:t>
      </w:r>
    </w:p>
    <w:p w14:paraId="6960622A" w14:textId="34007CFB" w:rsidR="003328A9" w:rsidRDefault="00C13662" w:rsidP="00C13662">
      <w:r>
        <w:t xml:space="preserve">It is noted that </w:t>
      </w:r>
      <w:r w:rsidR="00790748" w:rsidRPr="00790748">
        <w:t xml:space="preserve">NSW Health Pathology </w:t>
      </w:r>
      <w:r w:rsidR="00623B86">
        <w:t>(</w:t>
      </w:r>
      <w:r w:rsidR="00790748" w:rsidRPr="00790748">
        <w:t>Royal North Shore Hospital Laboratory</w:t>
      </w:r>
      <w:r w:rsidR="00623B86">
        <w:t>)</w:t>
      </w:r>
      <w:r w:rsidRPr="006D0D5F">
        <w:t xml:space="preserve">, </w:t>
      </w:r>
      <w:r w:rsidR="000218F9" w:rsidRPr="006D0D5F">
        <w:t>Alfred Pathology Service</w:t>
      </w:r>
      <w:r w:rsidR="0079568F">
        <w:t xml:space="preserve"> </w:t>
      </w:r>
      <w:r w:rsidR="00623B86">
        <w:t>(</w:t>
      </w:r>
      <w:r w:rsidR="000218F9" w:rsidRPr="006D0D5F">
        <w:t>Alfre</w:t>
      </w:r>
      <w:r w:rsidR="003B134F">
        <w:t>d</w:t>
      </w:r>
      <w:r w:rsidR="000218F9" w:rsidRPr="006D0D5F">
        <w:t xml:space="preserve"> Hospital</w:t>
      </w:r>
      <w:r w:rsidR="00623B86">
        <w:t>)</w:t>
      </w:r>
      <w:r w:rsidR="00CD1C7C">
        <w:t>,</w:t>
      </w:r>
      <w:r w:rsidR="000218F9" w:rsidRPr="006D0D5F">
        <w:t xml:space="preserve"> and Pathology</w:t>
      </w:r>
      <w:r w:rsidR="000218F9">
        <w:t xml:space="preserve"> Queensland Central Laboratory</w:t>
      </w:r>
      <w:r>
        <w:t xml:space="preserve"> are currently NATA accredited to perform FGF-23 testing</w:t>
      </w:r>
      <w:r w:rsidR="00ED0ED8">
        <w:t xml:space="preserve"> </w:t>
      </w:r>
      <w:r w:rsidR="00B25DB6">
        <w:t>and appear to be the only laboratories in Australia performing the test</w:t>
      </w:r>
      <w:r>
        <w:t xml:space="preserve">. </w:t>
      </w:r>
    </w:p>
    <w:p w14:paraId="44C3B242" w14:textId="61043ED8" w:rsidR="00772829" w:rsidRPr="00CE28E3" w:rsidRDefault="009D5F97" w:rsidP="002A18BE">
      <w:pPr>
        <w:pStyle w:val="Heading2"/>
        <w:numPr>
          <w:ilvl w:val="0"/>
          <w:numId w:val="0"/>
        </w:numPr>
      </w:pPr>
      <w:bookmarkStart w:id="13" w:name="_Toc166074001"/>
      <w:bookmarkStart w:id="14" w:name="_Ref167444447"/>
      <w:r>
        <w:t>6</w:t>
      </w:r>
      <w:r w:rsidR="00C36633">
        <w:t>.</w:t>
      </w:r>
      <w:r w:rsidR="00C36633">
        <w:tab/>
      </w:r>
      <w:r w:rsidR="00772829" w:rsidRPr="00CE28E3">
        <w:t>Proposal for public funding</w:t>
      </w:r>
      <w:bookmarkEnd w:id="13"/>
      <w:bookmarkEnd w:id="14"/>
    </w:p>
    <w:p w14:paraId="75B5420D" w14:textId="6D2ADC81" w:rsidR="00FB2A46" w:rsidRDefault="00FB2A46" w:rsidP="00E5524A">
      <w:r>
        <w:t xml:space="preserve">A new MBS item </w:t>
      </w:r>
      <w:r w:rsidR="00F831AB">
        <w:t>has been</w:t>
      </w:r>
      <w:r>
        <w:t xml:space="preserve"> proposed for FGF-23 testing</w:t>
      </w:r>
      <w:r w:rsidR="00AF0670">
        <w:t xml:space="preserve"> </w:t>
      </w:r>
      <w:r w:rsidR="00AF0670" w:rsidRPr="00946089">
        <w:t xml:space="preserve">to determine eligibility for burosumab on the </w:t>
      </w:r>
      <w:r w:rsidR="00AF0670">
        <w:t>PBS.</w:t>
      </w:r>
    </w:p>
    <w:p w14:paraId="0A2C1C1E" w14:textId="54D0B8AB" w:rsidR="006F5AA0" w:rsidRDefault="00E5524A" w:rsidP="00E5524A">
      <w:r>
        <w:t xml:space="preserve">XLH is caused by a mutation in the PHEX gene, leading to elevated FGF-23 levels and consequent hypophosphatemia due to increased phosphaturia and suppression of 1,25-dihydroxyvitamin D synthesis. </w:t>
      </w:r>
      <w:r w:rsidR="0051280F">
        <w:t>L</w:t>
      </w:r>
      <w:r w:rsidR="00100815" w:rsidRPr="00100815">
        <w:t xml:space="preserve">ow phosphate levels result in under-mineralisation of the skeleton, a condition called rickets or osteomalacia. </w:t>
      </w:r>
      <w:r w:rsidR="006D2372">
        <w:t>Burosumab, a</w:t>
      </w:r>
      <w:r w:rsidR="006D2372" w:rsidRPr="00413E90">
        <w:t xml:space="preserve"> monoclonal antibody, binds to FGF</w:t>
      </w:r>
      <w:r w:rsidR="006D2372">
        <w:t>-</w:t>
      </w:r>
      <w:r w:rsidR="006D2372" w:rsidRPr="00413E90">
        <w:t>23 and reduces its action on the kidney to excrete phosphate</w:t>
      </w:r>
      <w:r w:rsidR="006D2372">
        <w:t>,</w:t>
      </w:r>
      <w:r w:rsidR="006D2372" w:rsidRPr="00413E90">
        <w:t xml:space="preserve"> thus increasing serum phosphate and allowing bone mineralisation to return to normal.</w:t>
      </w:r>
    </w:p>
    <w:p w14:paraId="1B51E158" w14:textId="311310A2" w:rsidR="00E5524A" w:rsidRDefault="00E5524A" w:rsidP="00E5524A">
      <w:r w:rsidRPr="00402455">
        <w:t xml:space="preserve">Intact FGF-23 (iFGF-23) levels are </w:t>
      </w:r>
      <w:r>
        <w:t xml:space="preserve">reported to be </w:t>
      </w:r>
      <w:r w:rsidR="00B73950">
        <w:t>‘</w:t>
      </w:r>
      <w:r w:rsidRPr="00402455">
        <w:t>inappropriately normal</w:t>
      </w:r>
      <w:r w:rsidR="00B73950">
        <w:t>’</w:t>
      </w:r>
      <w:r w:rsidRPr="00402455">
        <w:t xml:space="preserve"> </w:t>
      </w:r>
      <w:r w:rsidR="00FF1B7D">
        <w:t xml:space="preserve">or elevated </w:t>
      </w:r>
      <w:r w:rsidRPr="00402455">
        <w:t xml:space="preserve">in 74.2% </w:t>
      </w:r>
      <w:r>
        <w:t>to</w:t>
      </w:r>
      <w:r w:rsidRPr="00402455">
        <w:t xml:space="preserve"> 100% of patients with XLH.</w:t>
      </w:r>
      <w:bookmarkStart w:id="15" w:name="_Ref170207387"/>
      <w:r w:rsidR="00146BF9">
        <w:rPr>
          <w:rStyle w:val="FootnoteReference"/>
        </w:rPr>
        <w:footnoteReference w:id="2"/>
      </w:r>
      <w:bookmarkEnd w:id="15"/>
      <w:r w:rsidRPr="00C72216">
        <w:t xml:space="preserve"> </w:t>
      </w:r>
    </w:p>
    <w:p w14:paraId="7093ED95" w14:textId="4371EA9F" w:rsidR="00AA2EFB" w:rsidRDefault="00776530" w:rsidP="00E5524A">
      <w:r>
        <w:t>Worldwide</w:t>
      </w:r>
      <w:r w:rsidR="00887B25">
        <w:t>,</w:t>
      </w:r>
      <w:r>
        <w:t xml:space="preserve"> t</w:t>
      </w:r>
      <w:r w:rsidR="00E5524A">
        <w:t xml:space="preserve">here is variation amongst FGF-23 assays in the type of FGF-23 detected (iFGF-23, or both intact and C-terminal FGF-23), whether the testing can be performed on plasma or serum, the sample volume required, units of measurement, and reference ranges. </w:t>
      </w:r>
      <w:r>
        <w:t xml:space="preserve">The three laboratories conducting FGF-23 testing in Australia </w:t>
      </w:r>
      <w:r w:rsidRPr="00776530">
        <w:t xml:space="preserve">use the same immunoassay </w:t>
      </w:r>
      <w:r w:rsidR="00D537E7">
        <w:t>(</w:t>
      </w:r>
      <w:proofErr w:type="spellStart"/>
      <w:r w:rsidR="00D537E7" w:rsidRPr="00776530">
        <w:t>Diasorin</w:t>
      </w:r>
      <w:proofErr w:type="spellEnd"/>
      <w:r w:rsidR="00D537E7" w:rsidRPr="00776530">
        <w:t xml:space="preserve"> Liaison</w:t>
      </w:r>
      <w:r w:rsidR="00D537E7">
        <w:t>)</w:t>
      </w:r>
      <w:r w:rsidR="00616E61">
        <w:t xml:space="preserve"> – which detects iFGF23 – and</w:t>
      </w:r>
      <w:r w:rsidRPr="00776530">
        <w:t xml:space="preserve"> </w:t>
      </w:r>
      <w:r w:rsidR="00616E61">
        <w:t xml:space="preserve">apply </w:t>
      </w:r>
      <w:r w:rsidRPr="00776530">
        <w:t>the same reference interval.</w:t>
      </w:r>
      <w:r w:rsidR="00616E61">
        <w:t xml:space="preserve"> </w:t>
      </w:r>
    </w:p>
    <w:p w14:paraId="2F3EB1D4" w14:textId="71F12E45" w:rsidR="00E5524A" w:rsidRDefault="00E5524A" w:rsidP="00E5524A">
      <w:r>
        <w:t xml:space="preserve">FGF-23 levels can also be influenced by </w:t>
      </w:r>
      <w:r w:rsidR="00C44609">
        <w:t xml:space="preserve">phosphate and vitamin D therapy </w:t>
      </w:r>
      <w:r>
        <w:t>and are most informative in untreated patients.</w:t>
      </w:r>
      <w:bookmarkStart w:id="16" w:name="_Ref170210151"/>
      <w:r w:rsidR="00C61524">
        <w:rPr>
          <w:rStyle w:val="FootnoteReference"/>
        </w:rPr>
        <w:footnoteReference w:id="3"/>
      </w:r>
      <w:bookmarkEnd w:id="16"/>
      <w:r>
        <w:t xml:space="preserve"> </w:t>
      </w:r>
      <w:r w:rsidR="009537DE">
        <w:t>For this reason</w:t>
      </w:r>
      <w:r w:rsidR="00A10CD7">
        <w:t>,</w:t>
      </w:r>
      <w:r w:rsidR="009537DE">
        <w:t xml:space="preserve"> t</w:t>
      </w:r>
      <w:r w:rsidR="009537DE" w:rsidRPr="0043295F">
        <w:t>he</w:t>
      </w:r>
      <w:r w:rsidR="009537DE">
        <w:t xml:space="preserve"> 2022 ‘</w:t>
      </w:r>
      <w:r w:rsidR="009537DE" w:rsidRPr="00455F11">
        <w:t>Interdisciplinary management of FGF23-related phosphate wasting syndromes</w:t>
      </w:r>
      <w:r w:rsidR="00D80362">
        <w:t>: a</w:t>
      </w:r>
      <w:r w:rsidR="009537DE" w:rsidRPr="00455F11">
        <w:t xml:space="preserve"> consensus statement on the evaluation, diagnosis and care of patients with X-linked </w:t>
      </w:r>
      <w:proofErr w:type="spellStart"/>
      <w:r w:rsidR="009537DE" w:rsidRPr="00455F11">
        <w:t>hypophosphataemia</w:t>
      </w:r>
      <w:proofErr w:type="spellEnd"/>
      <w:r w:rsidR="009537DE">
        <w:t>’</w:t>
      </w:r>
      <w:r w:rsidR="009537DE" w:rsidRPr="00455F11">
        <w:t xml:space="preserve"> </w:t>
      </w:r>
      <w:r w:rsidR="009537DE">
        <w:t>suggests that f</w:t>
      </w:r>
      <w:r w:rsidR="009537DE" w:rsidRPr="00827D2A">
        <w:t xml:space="preserve">or initial </w:t>
      </w:r>
      <w:r w:rsidR="009537DE" w:rsidRPr="00827D2A">
        <w:lastRenderedPageBreak/>
        <w:t>diagnostic purposes</w:t>
      </w:r>
      <w:r w:rsidR="009537DE">
        <w:t xml:space="preserve">, </w:t>
      </w:r>
      <w:r w:rsidR="009537DE" w:rsidRPr="00827D2A">
        <w:t>FGF</w:t>
      </w:r>
      <w:r w:rsidR="009537DE">
        <w:t>-</w:t>
      </w:r>
      <w:r w:rsidR="009537DE" w:rsidRPr="00827D2A">
        <w:t xml:space="preserve">23 plasma samples be collected </w:t>
      </w:r>
      <w:r w:rsidR="009537DE">
        <w:t>one</w:t>
      </w:r>
      <w:r w:rsidR="009537DE" w:rsidRPr="00827D2A">
        <w:t xml:space="preserve"> to </w:t>
      </w:r>
      <w:r w:rsidR="009537DE">
        <w:t>two</w:t>
      </w:r>
      <w:r w:rsidR="009537DE" w:rsidRPr="00827D2A">
        <w:t xml:space="preserve"> weeks after phosphate and calcitriol </w:t>
      </w:r>
      <w:r w:rsidR="00094EC5">
        <w:t>(active f</w:t>
      </w:r>
      <w:r w:rsidR="00576781">
        <w:t>or</w:t>
      </w:r>
      <w:r w:rsidR="00094EC5">
        <w:t>m of Vitamin D)</w:t>
      </w:r>
      <w:r w:rsidR="009537DE" w:rsidRPr="00827D2A">
        <w:t xml:space="preserve"> discontinuation if the patient is already receiving treatment.</w:t>
      </w:r>
      <w:bookmarkStart w:id="17" w:name="_Ref170211198"/>
      <w:r w:rsidR="009537DE">
        <w:rPr>
          <w:rStyle w:val="FootnoteReference"/>
        </w:rPr>
        <w:footnoteReference w:id="4"/>
      </w:r>
      <w:bookmarkEnd w:id="17"/>
    </w:p>
    <w:p w14:paraId="1338E916" w14:textId="6E79C5A9" w:rsidR="00E5524A" w:rsidRDefault="00E5524A" w:rsidP="00E5524A">
      <w:r w:rsidRPr="009576D4">
        <w:t xml:space="preserve">The </w:t>
      </w:r>
      <w:r w:rsidR="00AF4695">
        <w:t>2023 ‘</w:t>
      </w:r>
      <w:r w:rsidRPr="009576D4">
        <w:t>Asia-Pacific consensus recommendations on X-linked hypophosphatemia</w:t>
      </w:r>
      <w:r w:rsidR="00AF4695">
        <w:t>’</w:t>
      </w:r>
      <w:r w:rsidRPr="009576D4">
        <w:t xml:space="preserve"> </w:t>
      </w:r>
      <w:r>
        <w:t>recognise</w:t>
      </w:r>
      <w:r w:rsidR="00F24B9C">
        <w:t>s</w:t>
      </w:r>
      <w:r>
        <w:t xml:space="preserve"> these limitations, advising</w:t>
      </w:r>
      <w:r w:rsidRPr="009576D4">
        <w:t xml:space="preserve"> that ‘results should be interpreted with caution because of lack of standardization and potential influence by treatment’</w:t>
      </w:r>
      <w:r>
        <w:t>.</w:t>
      </w:r>
      <w:r w:rsidR="002965B3" w:rsidRPr="007338D3">
        <w:rPr>
          <w:vertAlign w:val="superscript"/>
        </w:rPr>
        <w:fldChar w:fldCharType="begin"/>
      </w:r>
      <w:r w:rsidR="002965B3" w:rsidRPr="007338D3">
        <w:rPr>
          <w:vertAlign w:val="superscript"/>
        </w:rPr>
        <w:instrText xml:space="preserve"> NOTEREF _Ref170207387 \h </w:instrText>
      </w:r>
      <w:r w:rsidR="002965B3">
        <w:rPr>
          <w:vertAlign w:val="superscript"/>
        </w:rPr>
        <w:instrText xml:space="preserve"> \* MERGEFORMAT </w:instrText>
      </w:r>
      <w:r w:rsidR="002965B3" w:rsidRPr="007338D3">
        <w:rPr>
          <w:vertAlign w:val="superscript"/>
        </w:rPr>
      </w:r>
      <w:r w:rsidR="002965B3" w:rsidRPr="007338D3">
        <w:rPr>
          <w:vertAlign w:val="superscript"/>
        </w:rPr>
        <w:fldChar w:fldCharType="separate"/>
      </w:r>
      <w:r w:rsidR="00A367FC">
        <w:rPr>
          <w:vertAlign w:val="superscript"/>
        </w:rPr>
        <w:t>1</w:t>
      </w:r>
      <w:r w:rsidR="002965B3" w:rsidRPr="007338D3">
        <w:rPr>
          <w:vertAlign w:val="superscript"/>
        </w:rPr>
        <w:fldChar w:fldCharType="end"/>
      </w:r>
    </w:p>
    <w:p w14:paraId="2D246821" w14:textId="10B08C4D" w:rsidR="000E6B87" w:rsidRPr="000E6B87" w:rsidRDefault="00F831AB" w:rsidP="007E073F">
      <w:pPr>
        <w:pStyle w:val="Heading3"/>
      </w:pPr>
      <w:r>
        <w:t>Proposed descriptor</w:t>
      </w:r>
    </w:p>
    <w:p w14:paraId="32F9E81A" w14:textId="6C47BA04" w:rsidR="00C002B2" w:rsidRDefault="003D017D" w:rsidP="002B7920">
      <w:r>
        <w:t xml:space="preserve">The </w:t>
      </w:r>
      <w:r w:rsidR="00096885">
        <w:t xml:space="preserve">MBS item </w:t>
      </w:r>
      <w:r>
        <w:t>proposed by the department</w:t>
      </w:r>
      <w:r w:rsidR="00390238">
        <w:t xml:space="preserve"> for consideration by the MSAC Executive</w:t>
      </w:r>
      <w:r>
        <w:t xml:space="preserve"> is presented in </w:t>
      </w:r>
      <w:r>
        <w:fldChar w:fldCharType="begin"/>
      </w:r>
      <w:r>
        <w:instrText xml:space="preserve"> REF _Ref169788613 \h </w:instrText>
      </w:r>
      <w:r>
        <w:fldChar w:fldCharType="separate"/>
      </w:r>
      <w:r w:rsidR="00A367FC">
        <w:t xml:space="preserve">Table </w:t>
      </w:r>
      <w:r w:rsidR="00A367FC" w:rsidRPr="05EFC71D">
        <w:rPr>
          <w:noProof/>
        </w:rPr>
        <w:t>2</w:t>
      </w:r>
      <w:r>
        <w:fldChar w:fldCharType="end"/>
      </w:r>
      <w:r w:rsidR="00A258D9">
        <w:t xml:space="preserve">. The </w:t>
      </w:r>
      <w:r w:rsidR="007E073F">
        <w:t xml:space="preserve">proposed item </w:t>
      </w:r>
      <w:r w:rsidR="000679BF">
        <w:t xml:space="preserve">reflected </w:t>
      </w:r>
      <w:r w:rsidR="00A258D9">
        <w:t>the department's preference</w:t>
      </w:r>
      <w:r w:rsidR="001327D6">
        <w:t xml:space="preserve"> for simplified wording</w:t>
      </w:r>
      <w:r w:rsidR="00730DF3">
        <w:t xml:space="preserve"> </w:t>
      </w:r>
      <w:r w:rsidR="004C61BD">
        <w:t xml:space="preserve">without reproduction of </w:t>
      </w:r>
      <w:r w:rsidR="00730DF3">
        <w:t xml:space="preserve">the clinical criteria </w:t>
      </w:r>
      <w:r w:rsidR="00256C38">
        <w:t>from</w:t>
      </w:r>
      <w:r w:rsidR="00730DF3">
        <w:t xml:space="preserve"> the PBS restriction for burosumab.</w:t>
      </w:r>
    </w:p>
    <w:p w14:paraId="7213C3AB" w14:textId="2EC6CDF1" w:rsidR="003D017D" w:rsidRDefault="003D017D" w:rsidP="00D42384">
      <w:pPr>
        <w:pStyle w:val="Caption"/>
        <w:ind w:left="720" w:hanging="720"/>
      </w:pPr>
      <w:bookmarkStart w:id="18" w:name="_Ref169788613"/>
      <w:r>
        <w:t xml:space="preserve">Table </w:t>
      </w:r>
      <w:r w:rsidR="00BF42A8">
        <w:fldChar w:fldCharType="begin"/>
      </w:r>
      <w:r w:rsidR="00BF42A8">
        <w:instrText xml:space="preserve"> SEQ Table \* ARABIC </w:instrText>
      </w:r>
      <w:r w:rsidR="00BF42A8">
        <w:fldChar w:fldCharType="separate"/>
      </w:r>
      <w:r w:rsidR="00A367FC" w:rsidRPr="3BAAF1C7">
        <w:rPr>
          <w:noProof/>
        </w:rPr>
        <w:t>2</w:t>
      </w:r>
      <w:r w:rsidR="00BF42A8">
        <w:rPr>
          <w:noProof/>
        </w:rPr>
        <w:fldChar w:fldCharType="end"/>
      </w:r>
      <w:bookmarkEnd w:id="18"/>
      <w:r>
        <w:tab/>
      </w:r>
      <w:r w:rsidR="0095666B">
        <w:t xml:space="preserve">MBS item proposed </w:t>
      </w:r>
      <w:r w:rsidR="009D6FA6">
        <w:t xml:space="preserve">by the department </w:t>
      </w:r>
      <w:r w:rsidR="0095666B">
        <w:t xml:space="preserve">for FGF-23 testing to determine eligibility for burosumab on the </w:t>
      </w:r>
      <w:proofErr w:type="gramStart"/>
      <w:r w:rsidR="0095666B">
        <w:t>PBS</w:t>
      </w:r>
      <w:proofErr w:type="gramEnd"/>
    </w:p>
    <w:tbl>
      <w:tblPr>
        <w:tblStyle w:val="TableGrid"/>
        <w:tblW w:w="0" w:type="auto"/>
        <w:tblLook w:val="04A0" w:firstRow="1" w:lastRow="0" w:firstColumn="1" w:lastColumn="0" w:noHBand="0" w:noVBand="1"/>
      </w:tblPr>
      <w:tblGrid>
        <w:gridCol w:w="9016"/>
      </w:tblGrid>
      <w:tr w:rsidR="00672849" w14:paraId="440A042D" w14:textId="77777777" w:rsidTr="00672849">
        <w:tc>
          <w:tcPr>
            <w:tcW w:w="9016" w:type="dxa"/>
          </w:tcPr>
          <w:p w14:paraId="4D6CD005" w14:textId="77777777" w:rsidR="00672849" w:rsidRDefault="007E073F" w:rsidP="00A644DB">
            <w:pPr>
              <w:pStyle w:val="TableText"/>
              <w:keepNext/>
            </w:pPr>
            <w:r w:rsidRPr="007E073F">
              <w:t xml:space="preserve">Category 6 – Pathology Services  </w:t>
            </w:r>
          </w:p>
          <w:p w14:paraId="0A218C24" w14:textId="50A0C919" w:rsidR="007E073F" w:rsidRDefault="007E073F" w:rsidP="00A644DB">
            <w:pPr>
              <w:pStyle w:val="TableText"/>
              <w:keepNext/>
            </w:pPr>
            <w:r w:rsidRPr="007E073F">
              <w:t>Group P2 – Chemical (</w:t>
            </w:r>
            <w:r w:rsidR="00D63544" w:rsidRPr="007E073F">
              <w:t>to be confirmed</w:t>
            </w:r>
            <w:r w:rsidRPr="007E073F">
              <w:t>)</w:t>
            </w:r>
          </w:p>
        </w:tc>
      </w:tr>
      <w:tr w:rsidR="00672849" w14:paraId="277DA49C" w14:textId="77777777" w:rsidTr="00672849">
        <w:tc>
          <w:tcPr>
            <w:tcW w:w="9016" w:type="dxa"/>
          </w:tcPr>
          <w:p w14:paraId="7028FBC7" w14:textId="77777777" w:rsidR="00A644DB" w:rsidRDefault="007E073F" w:rsidP="00A644DB">
            <w:pPr>
              <w:pStyle w:val="TableText"/>
              <w:keepNext/>
            </w:pPr>
            <w:r w:rsidRPr="007E073F">
              <w:t xml:space="preserve">MBS item number XXXXX </w:t>
            </w:r>
          </w:p>
          <w:p w14:paraId="55F53122" w14:textId="4C88F5BE" w:rsidR="00A644DB" w:rsidRDefault="007E073F" w:rsidP="00A644DB">
            <w:pPr>
              <w:pStyle w:val="TableText"/>
              <w:keepNext/>
            </w:pPr>
            <w:r w:rsidRPr="007E073F">
              <w:t xml:space="preserve">Fibroblast growth factor 23, quantification in serum or plasma for the diagnosis of hypophosphatemia if: </w:t>
            </w:r>
          </w:p>
          <w:p w14:paraId="7D28AF95" w14:textId="1CE4D188" w:rsidR="00A644DB" w:rsidRDefault="007E073F" w:rsidP="005F33BA">
            <w:pPr>
              <w:pStyle w:val="TableText"/>
              <w:keepNext/>
              <w:numPr>
                <w:ilvl w:val="0"/>
                <w:numId w:val="30"/>
              </w:numPr>
            </w:pPr>
            <w:r w:rsidRPr="007E073F">
              <w:t xml:space="preserve">the service is requested by a specialist or consultant </w:t>
            </w:r>
            <w:proofErr w:type="gramStart"/>
            <w:r w:rsidRPr="007E073F">
              <w:t>physician</w:t>
            </w:r>
            <w:proofErr w:type="gramEnd"/>
            <w:r w:rsidRPr="007E073F">
              <w:t xml:space="preserve"> </w:t>
            </w:r>
          </w:p>
          <w:p w14:paraId="04466105" w14:textId="4120E618" w:rsidR="00FD3B3B" w:rsidRDefault="007E073F" w:rsidP="00A644DB">
            <w:pPr>
              <w:pStyle w:val="TableText"/>
              <w:keepNext/>
            </w:pPr>
            <w:r w:rsidRPr="007E073F">
              <w:t xml:space="preserve">To determine eligibility for a treatment listed on the Pharmaceutical Benefits Schedule </w:t>
            </w:r>
          </w:p>
          <w:p w14:paraId="4F4F124B" w14:textId="3D83CC6E" w:rsidR="00672849" w:rsidRDefault="007E073F" w:rsidP="00A644DB">
            <w:pPr>
              <w:pStyle w:val="TableText"/>
              <w:keepNext/>
            </w:pPr>
            <w:r w:rsidRPr="007E073F">
              <w:t>Fee: to be confirmed</w:t>
            </w:r>
          </w:p>
        </w:tc>
      </w:tr>
    </w:tbl>
    <w:p w14:paraId="5092C994" w14:textId="434FA2B7" w:rsidR="000E43A7" w:rsidRDefault="009A5D74" w:rsidP="00A427E7">
      <w:pPr>
        <w:pStyle w:val="TableFigureFooter"/>
        <w:spacing w:after="0"/>
      </w:pPr>
      <w:r>
        <w:t>FGF-23 = fibroblast growth factor 23; MBS = Medicare Benefits Schedule; PBS = Pharmaceutical Benefits Scheme.</w:t>
      </w:r>
    </w:p>
    <w:p w14:paraId="0B88D4D2" w14:textId="35542478" w:rsidR="00ED2E84" w:rsidRPr="002E493F" w:rsidRDefault="00EB065D" w:rsidP="00D42384">
      <w:pPr>
        <w:pStyle w:val="TableFigureFooter"/>
        <w:spacing w:before="0"/>
      </w:pPr>
      <w:r>
        <w:t xml:space="preserve">Source: </w:t>
      </w:r>
      <w:r w:rsidR="002A7E36">
        <w:t xml:space="preserve">MSAC Executive meeting documents, </w:t>
      </w:r>
      <w:r w:rsidR="00117985">
        <w:t>December 2023.</w:t>
      </w:r>
    </w:p>
    <w:p w14:paraId="0F5CBA47" w14:textId="534ECDAB" w:rsidR="007D35F4" w:rsidRPr="007D35F4" w:rsidRDefault="00AC6668" w:rsidP="007D35F4">
      <w:r>
        <w:t>T</w:t>
      </w:r>
      <w:r w:rsidR="00DB0DD4">
        <w:t xml:space="preserve">he </w:t>
      </w:r>
      <w:r w:rsidR="00DB0DD4" w:rsidRPr="00DB0DD4">
        <w:t xml:space="preserve">MSAC Executive </w:t>
      </w:r>
      <w:r>
        <w:t>reviewed</w:t>
      </w:r>
      <w:r w:rsidR="00521E64">
        <w:t xml:space="preserve"> the </w:t>
      </w:r>
      <w:r w:rsidR="009247C2">
        <w:t xml:space="preserve">department’s </w:t>
      </w:r>
      <w:r w:rsidR="00521E64">
        <w:t xml:space="preserve">proposed </w:t>
      </w:r>
      <w:r>
        <w:t xml:space="preserve">descriptor </w:t>
      </w:r>
      <w:r w:rsidR="00AD0687">
        <w:t xml:space="preserve">and </w:t>
      </w:r>
      <w:r w:rsidR="00DB0DD4" w:rsidRPr="00DB0DD4">
        <w:t xml:space="preserve">advised </w:t>
      </w:r>
      <w:r w:rsidR="000C549F">
        <w:t xml:space="preserve">that </w:t>
      </w:r>
      <w:r w:rsidR="00DB0DD4" w:rsidRPr="00DB0DD4">
        <w:t>the descriptor should be updated to align with the PBS listing for burosumab</w:t>
      </w:r>
      <w:r w:rsidR="000C549F">
        <w:t xml:space="preserve">. </w:t>
      </w:r>
      <w:r w:rsidR="000A1435">
        <w:t>The</w:t>
      </w:r>
      <w:r w:rsidR="009D0E3F">
        <w:t xml:space="preserve"> </w:t>
      </w:r>
      <w:r w:rsidR="009A751C">
        <w:t xml:space="preserve">MBS item </w:t>
      </w:r>
      <w:r w:rsidR="009D0E3F">
        <w:t xml:space="preserve">descriptor proposed by the MSAC Executive is </w:t>
      </w:r>
      <w:r w:rsidR="00762F2E">
        <w:t xml:space="preserve">presented </w:t>
      </w:r>
      <w:r w:rsidR="009D0E3F">
        <w:t xml:space="preserve">in </w:t>
      </w:r>
      <w:r w:rsidR="00D06FB6">
        <w:fldChar w:fldCharType="begin"/>
      </w:r>
      <w:r w:rsidR="00D06FB6">
        <w:instrText xml:space="preserve"> REF _Ref69481033 \h </w:instrText>
      </w:r>
      <w:r w:rsidR="007D35F4">
        <w:instrText xml:space="preserve"> \* MERGEFORMAT </w:instrText>
      </w:r>
      <w:r w:rsidR="00D06FB6">
        <w:fldChar w:fldCharType="separate"/>
      </w:r>
      <w:r w:rsidR="00A367FC">
        <w:t>Table 3</w:t>
      </w:r>
      <w:r w:rsidR="00D06FB6">
        <w:fldChar w:fldCharType="end"/>
      </w:r>
      <w:r w:rsidR="00D0125C">
        <w:t xml:space="preserve">. </w:t>
      </w:r>
      <w:r w:rsidR="008D16B5">
        <w:t xml:space="preserve">Suggested additions </w:t>
      </w:r>
      <w:r w:rsidR="008725AB">
        <w:t>(</w:t>
      </w:r>
      <w:r w:rsidR="009A11EA">
        <w:t>italics</w:t>
      </w:r>
      <w:r w:rsidR="008725AB">
        <w:t>) and deletions (strikethrough)</w:t>
      </w:r>
      <w:r w:rsidR="009A11EA">
        <w:t xml:space="preserve"> </w:t>
      </w:r>
      <w:r w:rsidR="00892500">
        <w:t>ha</w:t>
      </w:r>
      <w:r w:rsidR="00507648">
        <w:t>ve</w:t>
      </w:r>
      <w:r w:rsidR="00892500">
        <w:t xml:space="preserve"> been </w:t>
      </w:r>
      <w:r w:rsidR="00E327EA">
        <w:t xml:space="preserve">made </w:t>
      </w:r>
      <w:r w:rsidR="00892500">
        <w:t>by the</w:t>
      </w:r>
      <w:r w:rsidR="00EF352D">
        <w:t xml:space="preserve"> assessment group. </w:t>
      </w:r>
    </w:p>
    <w:p w14:paraId="39392CFD" w14:textId="286B0A83" w:rsidR="003328A9" w:rsidRPr="00CE28E3" w:rsidRDefault="00310C3F" w:rsidP="006C2794">
      <w:pPr>
        <w:pStyle w:val="Caption"/>
        <w:ind w:left="720" w:hanging="720"/>
        <w:rPr>
          <w:rFonts w:cs="Arial"/>
        </w:rPr>
      </w:pPr>
      <w:bookmarkStart w:id="19" w:name="_Ref69481033"/>
      <w:r>
        <w:lastRenderedPageBreak/>
        <w:t>Table</w:t>
      </w:r>
      <w:r w:rsidR="004A4FDF">
        <w:t> </w:t>
      </w:r>
      <w:r w:rsidR="00BF42A8">
        <w:fldChar w:fldCharType="begin"/>
      </w:r>
      <w:r w:rsidR="00BF42A8">
        <w:instrText xml:space="preserve"> SEQ Table \* ARABIC </w:instrText>
      </w:r>
      <w:r w:rsidR="00BF42A8">
        <w:fldChar w:fldCharType="separate"/>
      </w:r>
      <w:r w:rsidR="00A367FC">
        <w:rPr>
          <w:noProof/>
        </w:rPr>
        <w:t>3</w:t>
      </w:r>
      <w:r w:rsidR="00BF42A8">
        <w:rPr>
          <w:noProof/>
        </w:rPr>
        <w:fldChar w:fldCharType="end"/>
      </w:r>
      <w:bookmarkEnd w:id="19"/>
      <w:r w:rsidR="003328A9">
        <w:tab/>
      </w:r>
      <w:r w:rsidR="00B26622" w:rsidRPr="00CE28E3">
        <w:rPr>
          <w:rFonts w:cs="Arial"/>
        </w:rPr>
        <w:t>MBS item</w:t>
      </w:r>
      <w:r w:rsidR="003328A9" w:rsidRPr="00CE28E3">
        <w:rPr>
          <w:rFonts w:cs="Arial"/>
        </w:rPr>
        <w:t xml:space="preserve"> </w:t>
      </w:r>
      <w:r w:rsidR="00D42384">
        <w:rPr>
          <w:rFonts w:cs="Arial"/>
        </w:rPr>
        <w:t xml:space="preserve">proposed by MSAC Executive </w:t>
      </w:r>
      <w:r w:rsidR="00D06FB6">
        <w:rPr>
          <w:rFonts w:cs="Arial"/>
        </w:rPr>
        <w:t xml:space="preserve">for FGF-23 testing to determine eligibility for burosumab on the </w:t>
      </w:r>
      <w:proofErr w:type="gramStart"/>
      <w:r w:rsidR="00D06FB6">
        <w:rPr>
          <w:rFonts w:cs="Arial"/>
        </w:rPr>
        <w:t>PBS</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posed MBS item for FGF-23 testing to determine eligibility for burosumab on the PBS"/>
        <w:tblDescription w:val="This table outlines the proposed MBS item descriptor for FGF-23 testing to determine eligibility for burosumab on the PBS, as well as the proposed fee and benefit."/>
      </w:tblPr>
      <w:tblGrid>
        <w:gridCol w:w="9016"/>
      </w:tblGrid>
      <w:tr w:rsidR="003328A9" w:rsidRPr="00CE28E3" w14:paraId="7A70B700" w14:textId="77777777" w:rsidTr="56E807D8">
        <w:trPr>
          <w:trHeight w:val="351"/>
          <w:tblHead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FAF30" w14:textId="2D7F1C62" w:rsidR="003328A9" w:rsidRPr="00CE28E3" w:rsidRDefault="00E50A82" w:rsidP="00FB6BE3">
            <w:pPr>
              <w:pStyle w:val="TableText"/>
              <w:keepNext/>
              <w:rPr>
                <w:sz w:val="24"/>
              </w:rPr>
            </w:pPr>
            <w:r w:rsidRPr="00E50A82">
              <w:t>Category 6 – Pathology Services</w:t>
            </w:r>
            <w:r>
              <w:br/>
              <w:t>Group P2 – Chemical (</w:t>
            </w:r>
            <w:r w:rsidR="0053774A" w:rsidRPr="007E073F">
              <w:t>to be confirmed</w:t>
            </w:r>
            <w:r>
              <w:t>)</w:t>
            </w:r>
          </w:p>
        </w:tc>
      </w:tr>
      <w:tr w:rsidR="003328A9" w:rsidRPr="00CE28E3" w14:paraId="05A9B76F" w14:textId="77777777" w:rsidTr="56E807D8">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CFF45" w14:textId="5C0EAA27" w:rsidR="00604E37" w:rsidRPr="00604E37" w:rsidRDefault="00604E37" w:rsidP="00FB6BE3">
            <w:pPr>
              <w:keepNext/>
              <w:spacing w:after="120" w:line="240" w:lineRule="auto"/>
              <w:rPr>
                <w:rFonts w:ascii="Arial Narrow" w:hAnsi="Arial Narrow"/>
                <w:sz w:val="20"/>
                <w:szCs w:val="20"/>
                <w:lang w:val="en-US" w:eastAsia="ja-JP"/>
              </w:rPr>
            </w:pPr>
            <w:r w:rsidRPr="00604E37">
              <w:rPr>
                <w:rFonts w:ascii="Arial Narrow" w:hAnsi="Arial Narrow"/>
                <w:sz w:val="20"/>
                <w:szCs w:val="20"/>
                <w:lang w:val="en-US" w:eastAsia="ja-JP"/>
              </w:rPr>
              <w:t>Fibroblast growth factor 23, quantification in serum or plasma</w:t>
            </w:r>
            <w:r w:rsidR="00BF31F6">
              <w:rPr>
                <w:rFonts w:ascii="Arial Narrow" w:hAnsi="Arial Narrow"/>
                <w:i/>
                <w:iCs/>
                <w:sz w:val="20"/>
                <w:szCs w:val="20"/>
                <w:lang w:val="en-US" w:eastAsia="ja-JP"/>
              </w:rPr>
              <w:t>,</w:t>
            </w:r>
            <w:r w:rsidRPr="00604E37">
              <w:rPr>
                <w:rFonts w:ascii="Arial Narrow" w:hAnsi="Arial Narrow"/>
                <w:sz w:val="20"/>
                <w:szCs w:val="20"/>
                <w:lang w:val="en-US" w:eastAsia="ja-JP"/>
              </w:rPr>
              <w:t xml:space="preserve"> </w:t>
            </w:r>
            <w:r w:rsidR="00BF31F6" w:rsidRPr="00FB6BE3">
              <w:rPr>
                <w:rFonts w:ascii="Arial Narrow" w:hAnsi="Arial Narrow"/>
                <w:i/>
                <w:sz w:val="20"/>
                <w:szCs w:val="20"/>
                <w:lang w:val="en-US" w:eastAsia="ja-JP"/>
              </w:rPr>
              <w:t>to confirm a diagnosis of X-linked hypophosphatemia</w:t>
            </w:r>
            <w:r w:rsidR="00BF31F6">
              <w:rPr>
                <w:rFonts w:ascii="Arial Narrow" w:hAnsi="Arial Narrow"/>
                <w:i/>
                <w:sz w:val="20"/>
                <w:szCs w:val="20"/>
                <w:lang w:val="en-US" w:eastAsia="ja-JP"/>
              </w:rPr>
              <w:t>,</w:t>
            </w:r>
            <w:r w:rsidR="00BF31F6" w:rsidRPr="00FB6BE3">
              <w:rPr>
                <w:rFonts w:ascii="Arial Narrow" w:hAnsi="Arial Narrow"/>
                <w:sz w:val="20"/>
                <w:szCs w:val="20"/>
                <w:lang w:val="en-US" w:eastAsia="ja-JP"/>
              </w:rPr>
              <w:t xml:space="preserve"> </w:t>
            </w:r>
            <w:r w:rsidRPr="00604E37">
              <w:rPr>
                <w:rFonts w:ascii="Arial Narrow" w:hAnsi="Arial Narrow"/>
                <w:sz w:val="20"/>
                <w:szCs w:val="20"/>
                <w:lang w:val="en-US" w:eastAsia="ja-JP"/>
              </w:rPr>
              <w:t>if the service is requested by a specialist or consultant physician and the patient has:</w:t>
            </w:r>
          </w:p>
          <w:p w14:paraId="5A19D840" w14:textId="4FC0AF0A" w:rsidR="00604E37" w:rsidRPr="00604E37" w:rsidRDefault="00604E37" w:rsidP="00FB6BE3">
            <w:pPr>
              <w:keepNext/>
              <w:spacing w:after="120" w:line="240" w:lineRule="auto"/>
              <w:rPr>
                <w:rFonts w:ascii="Arial Narrow" w:hAnsi="Arial Narrow"/>
                <w:sz w:val="20"/>
                <w:szCs w:val="20"/>
                <w:lang w:val="en-US" w:eastAsia="ja-JP"/>
              </w:rPr>
            </w:pPr>
            <w:r w:rsidRPr="00604E37">
              <w:rPr>
                <w:rFonts w:ascii="Arial Narrow" w:hAnsi="Arial Narrow"/>
                <w:sz w:val="20"/>
                <w:szCs w:val="20"/>
                <w:lang w:val="en-US" w:eastAsia="ja-JP"/>
              </w:rPr>
              <w:t>(</w:t>
            </w:r>
            <w:proofErr w:type="spellStart"/>
            <w:r w:rsidRPr="00604E37">
              <w:rPr>
                <w:rFonts w:ascii="Arial Narrow" w:hAnsi="Arial Narrow"/>
                <w:sz w:val="20"/>
                <w:szCs w:val="20"/>
                <w:lang w:val="en-US" w:eastAsia="ja-JP"/>
              </w:rPr>
              <w:t>i</w:t>
            </w:r>
            <w:proofErr w:type="spellEnd"/>
            <w:r w:rsidRPr="00604E37">
              <w:rPr>
                <w:rFonts w:ascii="Arial Narrow" w:hAnsi="Arial Narrow"/>
                <w:sz w:val="20"/>
                <w:szCs w:val="20"/>
                <w:lang w:val="en-US" w:eastAsia="ja-JP"/>
              </w:rPr>
              <w:t>)</w:t>
            </w:r>
            <w:r w:rsidR="004F0065">
              <w:rPr>
                <w:rFonts w:ascii="Arial Narrow" w:hAnsi="Arial Narrow"/>
                <w:sz w:val="20"/>
                <w:szCs w:val="20"/>
                <w:lang w:val="en-US" w:eastAsia="ja-JP"/>
              </w:rPr>
              <w:t xml:space="preserve"> </w:t>
            </w:r>
            <w:r w:rsidRPr="00604E37">
              <w:rPr>
                <w:rFonts w:ascii="Arial Narrow" w:hAnsi="Arial Narrow"/>
                <w:sz w:val="20"/>
                <w:szCs w:val="20"/>
                <w:lang w:val="en-US" w:eastAsia="ja-JP"/>
              </w:rPr>
              <w:t>current radiographic X-ray evidence of rickets or for those with growth plate fusion</w:t>
            </w:r>
            <w:r w:rsidR="005F41D2">
              <w:rPr>
                <w:rFonts w:ascii="Arial Narrow" w:hAnsi="Arial Narrow"/>
                <w:sz w:val="20"/>
                <w:szCs w:val="20"/>
                <w:lang w:val="en-US" w:eastAsia="ja-JP"/>
              </w:rPr>
              <w:t xml:space="preserve"> </w:t>
            </w:r>
            <w:r w:rsidRPr="00604E37">
              <w:rPr>
                <w:rFonts w:ascii="Arial Narrow" w:hAnsi="Arial Narrow"/>
                <w:sz w:val="20"/>
                <w:szCs w:val="20"/>
                <w:lang w:val="en-US" w:eastAsia="ja-JP"/>
              </w:rPr>
              <w:t>historical radiographic X-ray evidence of rickets</w:t>
            </w:r>
            <w:r w:rsidRPr="00F93DD0">
              <w:rPr>
                <w:rFonts w:ascii="Arial Narrow" w:hAnsi="Arial Narrow"/>
                <w:strike/>
                <w:sz w:val="20"/>
                <w:szCs w:val="20"/>
                <w:lang w:val="en-US" w:eastAsia="ja-JP"/>
              </w:rPr>
              <w:t xml:space="preserve"> or current diagnosis of osteomalacia</w:t>
            </w:r>
            <w:r w:rsidRPr="00604E37">
              <w:rPr>
                <w:rFonts w:ascii="Arial Narrow" w:hAnsi="Arial Narrow"/>
                <w:sz w:val="20"/>
                <w:szCs w:val="20"/>
                <w:lang w:val="en-US" w:eastAsia="ja-JP"/>
              </w:rPr>
              <w:t>; and</w:t>
            </w:r>
          </w:p>
          <w:p w14:paraId="480A00A3" w14:textId="44245BE9" w:rsidR="0072212B" w:rsidRPr="0042679D" w:rsidRDefault="00604E37" w:rsidP="00FB6BE3">
            <w:pPr>
              <w:keepNext/>
              <w:spacing w:after="120" w:line="240" w:lineRule="auto"/>
              <w:rPr>
                <w:rFonts w:ascii="Arial Narrow" w:hAnsi="Arial Narrow"/>
                <w:strike/>
                <w:sz w:val="20"/>
                <w:szCs w:val="20"/>
                <w:lang w:val="en-US" w:eastAsia="ja-JP"/>
              </w:rPr>
            </w:pPr>
            <w:r w:rsidRPr="0042679D">
              <w:rPr>
                <w:rFonts w:ascii="Arial Narrow" w:hAnsi="Arial Narrow"/>
                <w:strike/>
                <w:sz w:val="20"/>
                <w:szCs w:val="20"/>
                <w:lang w:val="en-US" w:eastAsia="ja-JP"/>
              </w:rPr>
              <w:t>(ii)</w:t>
            </w:r>
            <w:r w:rsidR="00D34578" w:rsidRPr="0042679D">
              <w:rPr>
                <w:rFonts w:ascii="Arial Narrow" w:hAnsi="Arial Narrow"/>
                <w:strike/>
                <w:sz w:val="20"/>
                <w:szCs w:val="20"/>
                <w:lang w:val="en-US" w:eastAsia="ja-JP"/>
              </w:rPr>
              <w:t xml:space="preserve"> </w:t>
            </w:r>
            <w:r w:rsidRPr="0042679D">
              <w:rPr>
                <w:rFonts w:ascii="Arial Narrow" w:hAnsi="Arial Narrow"/>
                <w:strike/>
                <w:sz w:val="20"/>
                <w:szCs w:val="20"/>
                <w:lang w:val="en-US" w:eastAsia="ja-JP"/>
              </w:rPr>
              <w:t>a high pre-test probability of X-linked hypophosphatemia; and</w:t>
            </w:r>
          </w:p>
          <w:p w14:paraId="439A33B0" w14:textId="1E0B34FB" w:rsidR="00604E37" w:rsidRPr="00604E37" w:rsidRDefault="00604E37" w:rsidP="00FB6BE3">
            <w:pPr>
              <w:keepNext/>
              <w:spacing w:after="120" w:line="240" w:lineRule="auto"/>
              <w:rPr>
                <w:rFonts w:ascii="Arial Narrow" w:hAnsi="Arial Narrow"/>
                <w:sz w:val="20"/>
                <w:szCs w:val="20"/>
                <w:lang w:val="en-US" w:eastAsia="ja-JP"/>
              </w:rPr>
            </w:pPr>
            <w:r w:rsidRPr="00E46B1D">
              <w:rPr>
                <w:rFonts w:ascii="Arial Narrow" w:hAnsi="Arial Narrow"/>
                <w:strike/>
                <w:sz w:val="20"/>
                <w:szCs w:val="20"/>
                <w:lang w:val="en-US" w:eastAsia="ja-JP"/>
              </w:rPr>
              <w:t>(iii)</w:t>
            </w:r>
            <w:r w:rsidR="00D34578">
              <w:rPr>
                <w:rFonts w:ascii="Arial Narrow" w:hAnsi="Arial Narrow"/>
                <w:sz w:val="20"/>
                <w:szCs w:val="20"/>
                <w:lang w:val="en-US" w:eastAsia="ja-JP"/>
              </w:rPr>
              <w:t xml:space="preserve"> </w:t>
            </w:r>
            <w:r w:rsidR="00BC09CF" w:rsidRPr="00BC09CF">
              <w:rPr>
                <w:rFonts w:ascii="Arial Narrow" w:hAnsi="Arial Narrow"/>
                <w:i/>
                <w:iCs/>
                <w:sz w:val="20"/>
                <w:szCs w:val="20"/>
                <w:lang w:val="en-US" w:eastAsia="ja-JP"/>
              </w:rPr>
              <w:t>(ii)</w:t>
            </w:r>
            <w:r w:rsidR="00BC09CF">
              <w:rPr>
                <w:rFonts w:ascii="Arial Narrow" w:hAnsi="Arial Narrow"/>
                <w:sz w:val="20"/>
                <w:szCs w:val="20"/>
                <w:lang w:val="en-US" w:eastAsia="ja-JP"/>
              </w:rPr>
              <w:t xml:space="preserve"> </w:t>
            </w:r>
            <w:r w:rsidRPr="00604E37">
              <w:rPr>
                <w:rFonts w:ascii="Arial Narrow" w:hAnsi="Arial Narrow"/>
                <w:sz w:val="20"/>
                <w:szCs w:val="20"/>
                <w:lang w:val="en-US" w:eastAsia="ja-JP"/>
              </w:rPr>
              <w:t>a serum phosphate concentration below the age adjusted lower limit of normal; and</w:t>
            </w:r>
          </w:p>
          <w:p w14:paraId="3EEC2DE6" w14:textId="0B1ED2BD" w:rsidR="003328A9" w:rsidRPr="00170D5B" w:rsidRDefault="00604E37" w:rsidP="00FB6BE3">
            <w:pPr>
              <w:keepNext/>
              <w:spacing w:after="120" w:line="240" w:lineRule="auto"/>
              <w:rPr>
                <w:rFonts w:ascii="Arial Narrow" w:hAnsi="Arial Narrow"/>
                <w:sz w:val="20"/>
                <w:szCs w:val="20"/>
                <w:lang w:val="en-US" w:eastAsia="ja-JP"/>
              </w:rPr>
            </w:pPr>
            <w:r w:rsidRPr="00BC09CF">
              <w:rPr>
                <w:rFonts w:ascii="Arial Narrow" w:hAnsi="Arial Narrow"/>
                <w:strike/>
                <w:sz w:val="20"/>
                <w:szCs w:val="20"/>
                <w:lang w:val="en-US" w:eastAsia="ja-JP"/>
              </w:rPr>
              <w:t>(iv)</w:t>
            </w:r>
            <w:r w:rsidR="00BC09CF">
              <w:rPr>
                <w:rFonts w:ascii="Arial Narrow" w:hAnsi="Arial Narrow"/>
                <w:sz w:val="20"/>
                <w:szCs w:val="20"/>
                <w:lang w:val="en-US" w:eastAsia="ja-JP"/>
              </w:rPr>
              <w:t xml:space="preserve"> </w:t>
            </w:r>
            <w:r w:rsidR="00BC09CF" w:rsidRPr="00BC09CF">
              <w:rPr>
                <w:rFonts w:ascii="Arial Narrow" w:hAnsi="Arial Narrow"/>
                <w:i/>
                <w:iCs/>
                <w:sz w:val="20"/>
                <w:szCs w:val="20"/>
                <w:lang w:val="en-US" w:eastAsia="ja-JP"/>
              </w:rPr>
              <w:t>(iii)</w:t>
            </w:r>
            <w:r w:rsidR="007042EC">
              <w:rPr>
                <w:rFonts w:ascii="Arial Narrow" w:hAnsi="Arial Narrow"/>
                <w:sz w:val="20"/>
                <w:szCs w:val="20"/>
                <w:lang w:val="en-US" w:eastAsia="ja-JP"/>
              </w:rPr>
              <w:t xml:space="preserve"> </w:t>
            </w:r>
            <w:r w:rsidRPr="00604E37">
              <w:rPr>
                <w:rFonts w:ascii="Arial Narrow" w:hAnsi="Arial Narrow"/>
                <w:sz w:val="20"/>
                <w:szCs w:val="20"/>
                <w:lang w:val="en-US" w:eastAsia="ja-JP"/>
              </w:rPr>
              <w:t xml:space="preserve">renal phosphate wasting demonstrated by a ratio of tubular maximum reabsorption rate </w:t>
            </w:r>
            <w:r w:rsidR="007F680C" w:rsidRPr="00604E37">
              <w:rPr>
                <w:rFonts w:ascii="Arial Narrow" w:hAnsi="Arial Narrow"/>
                <w:sz w:val="20"/>
                <w:szCs w:val="20"/>
                <w:lang w:val="en-US" w:eastAsia="ja-JP"/>
              </w:rPr>
              <w:t>of phosphate</w:t>
            </w:r>
            <w:r w:rsidRPr="00604E37">
              <w:rPr>
                <w:rFonts w:ascii="Arial Narrow" w:hAnsi="Arial Narrow"/>
                <w:sz w:val="20"/>
                <w:szCs w:val="20"/>
                <w:lang w:val="en-US" w:eastAsia="ja-JP"/>
              </w:rPr>
              <w:t xml:space="preserve"> to glomerular filtration rate (</w:t>
            </w:r>
            <w:proofErr w:type="spellStart"/>
            <w:r w:rsidRPr="00604E37">
              <w:rPr>
                <w:rFonts w:ascii="Arial Narrow" w:hAnsi="Arial Narrow"/>
                <w:sz w:val="20"/>
                <w:szCs w:val="20"/>
                <w:lang w:val="en-US" w:eastAsia="ja-JP"/>
              </w:rPr>
              <w:t>TmP</w:t>
            </w:r>
            <w:proofErr w:type="spellEnd"/>
            <w:r w:rsidRPr="00604E37">
              <w:rPr>
                <w:rFonts w:ascii="Arial Narrow" w:hAnsi="Arial Narrow"/>
                <w:sz w:val="20"/>
                <w:szCs w:val="20"/>
                <w:lang w:val="en-US" w:eastAsia="ja-JP"/>
              </w:rPr>
              <w:t xml:space="preserve">/GFR) according to age specific normal </w:t>
            </w:r>
            <w:r w:rsidR="007F680C" w:rsidRPr="00604E37">
              <w:rPr>
                <w:rFonts w:ascii="Arial Narrow" w:hAnsi="Arial Narrow"/>
                <w:sz w:val="20"/>
                <w:szCs w:val="20"/>
                <w:lang w:val="en-US" w:eastAsia="ja-JP"/>
              </w:rPr>
              <w:t>ranges using</w:t>
            </w:r>
            <w:r w:rsidRPr="00604E37">
              <w:rPr>
                <w:rFonts w:ascii="Arial Narrow" w:hAnsi="Arial Narrow"/>
                <w:sz w:val="20"/>
                <w:szCs w:val="20"/>
                <w:lang w:val="en-US" w:eastAsia="ja-JP"/>
              </w:rPr>
              <w:t xml:space="preserve"> the second morning urine void and paired serum sample measuring phosphate </w:t>
            </w:r>
            <w:r w:rsidR="007F680C" w:rsidRPr="00604E37">
              <w:rPr>
                <w:rFonts w:ascii="Arial Narrow" w:hAnsi="Arial Narrow"/>
                <w:sz w:val="20"/>
                <w:szCs w:val="20"/>
                <w:lang w:val="en-US" w:eastAsia="ja-JP"/>
              </w:rPr>
              <w:t>and creatinine</w:t>
            </w:r>
            <w:r w:rsidRPr="00604E37">
              <w:rPr>
                <w:rFonts w:ascii="Arial Narrow" w:hAnsi="Arial Narrow"/>
                <w:sz w:val="20"/>
                <w:szCs w:val="20"/>
                <w:lang w:val="en-US" w:eastAsia="ja-JP"/>
              </w:rPr>
              <w:t>.</w:t>
            </w:r>
          </w:p>
        </w:tc>
      </w:tr>
      <w:tr w:rsidR="003328A9" w:rsidRPr="005D749D" w14:paraId="190EE027" w14:textId="77777777" w:rsidTr="56E807D8">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EEDFDC" w14:textId="065C943F" w:rsidR="003328A9" w:rsidRPr="005D749D" w:rsidRDefault="003328A9" w:rsidP="00E338CB">
            <w:pPr>
              <w:pStyle w:val="TableText"/>
              <w:tabs>
                <w:tab w:val="left" w:pos="1134"/>
                <w:tab w:val="left" w:pos="3119"/>
              </w:tabs>
              <w:rPr>
                <w:szCs w:val="20"/>
              </w:rPr>
            </w:pPr>
            <w:r w:rsidRPr="005D749D">
              <w:rPr>
                <w:szCs w:val="20"/>
              </w:rPr>
              <w:t xml:space="preserve">Fee: </w:t>
            </w:r>
            <w:r w:rsidR="00AA4223">
              <w:rPr>
                <w:szCs w:val="20"/>
              </w:rPr>
              <w:t>$90</w:t>
            </w:r>
            <w:r w:rsidR="00BE534B">
              <w:rPr>
                <w:szCs w:val="20"/>
              </w:rPr>
              <w:t xml:space="preserve"> </w:t>
            </w:r>
            <w:r w:rsidR="00D72020">
              <w:rPr>
                <w:szCs w:val="20"/>
              </w:rPr>
              <w:tab/>
            </w:r>
            <w:r w:rsidR="00E80928" w:rsidRPr="00FB6BE3">
              <w:rPr>
                <w:i/>
                <w:szCs w:val="20"/>
              </w:rPr>
              <w:t xml:space="preserve">Benefit: 75% = </w:t>
            </w:r>
            <w:r w:rsidR="00DB445D" w:rsidRPr="00FB6BE3">
              <w:rPr>
                <w:i/>
                <w:szCs w:val="20"/>
              </w:rPr>
              <w:t>$67.50</w:t>
            </w:r>
            <w:r w:rsidR="00EC0086" w:rsidRPr="00FB6BE3">
              <w:rPr>
                <w:i/>
                <w:szCs w:val="20"/>
              </w:rPr>
              <w:tab/>
            </w:r>
            <w:r w:rsidR="0089089E" w:rsidRPr="00FB6BE3">
              <w:rPr>
                <w:i/>
                <w:szCs w:val="20"/>
              </w:rPr>
              <w:t xml:space="preserve">85% = </w:t>
            </w:r>
            <w:r w:rsidR="00DB445D" w:rsidRPr="00FB6BE3">
              <w:rPr>
                <w:i/>
                <w:szCs w:val="20"/>
              </w:rPr>
              <w:t>$76.50</w:t>
            </w:r>
          </w:p>
        </w:tc>
      </w:tr>
    </w:tbl>
    <w:p w14:paraId="188A638A" w14:textId="728578FC" w:rsidR="00EB473E" w:rsidRDefault="00E26029" w:rsidP="00C97268">
      <w:pPr>
        <w:pStyle w:val="TableFigureFooter"/>
        <w:spacing w:after="0"/>
      </w:pPr>
      <w:r>
        <w:t xml:space="preserve">FGF-23 = fibroblast growth factor 23; </w:t>
      </w:r>
      <w:r w:rsidR="001279A1">
        <w:t>MBS = Medicare Benefits Schedule; PBS = Pharmaceutical Benefits Scheme</w:t>
      </w:r>
      <w:r w:rsidR="00E17BFE">
        <w:t>.</w:t>
      </w:r>
    </w:p>
    <w:p w14:paraId="62B0FAA3" w14:textId="124AF13A" w:rsidR="00A3729E" w:rsidRDefault="00A3729E" w:rsidP="00C97268">
      <w:pPr>
        <w:pStyle w:val="TableFigureFooter"/>
        <w:spacing w:before="0"/>
      </w:pPr>
      <w:r>
        <w:t xml:space="preserve">Source: </w:t>
      </w:r>
      <w:r w:rsidR="0089324B">
        <w:t>MSAC Executive</w:t>
      </w:r>
      <w:r w:rsidR="00603456">
        <w:t xml:space="preserve"> meeting documents.</w:t>
      </w:r>
      <w:r w:rsidR="00A018F4">
        <w:t xml:space="preserve"> </w:t>
      </w:r>
      <w:r w:rsidR="00603456">
        <w:t>A</w:t>
      </w:r>
      <w:r w:rsidR="00A018F4">
        <w:t xml:space="preserve">ssessment group </w:t>
      </w:r>
      <w:r w:rsidR="00037D75">
        <w:t xml:space="preserve">additions in </w:t>
      </w:r>
      <w:r w:rsidR="001572DC">
        <w:t>italics</w:t>
      </w:r>
      <w:r w:rsidR="00037D75">
        <w:t xml:space="preserve"> and deletions in </w:t>
      </w:r>
      <w:r w:rsidR="00477029">
        <w:t>strikethrough</w:t>
      </w:r>
      <w:r w:rsidR="00A018F4">
        <w:t>.</w:t>
      </w:r>
    </w:p>
    <w:p w14:paraId="32D99DC9" w14:textId="459A2343" w:rsidR="00F33D96" w:rsidRDefault="00F33D96" w:rsidP="003C3746">
      <w:r>
        <w:t xml:space="preserve">The </w:t>
      </w:r>
      <w:r w:rsidR="00A66569">
        <w:t xml:space="preserve">item </w:t>
      </w:r>
      <w:r>
        <w:t xml:space="preserve">descriptor </w:t>
      </w:r>
      <w:r w:rsidR="003958AF">
        <w:t>proposed by the MSAC Executive</w:t>
      </w:r>
      <w:r>
        <w:t xml:space="preserve"> restrict</w:t>
      </w:r>
      <w:r w:rsidR="009B178B">
        <w:t>ed</w:t>
      </w:r>
      <w:r>
        <w:t xml:space="preserve"> the </w:t>
      </w:r>
      <w:r w:rsidR="00582FA5">
        <w:t>service</w:t>
      </w:r>
      <w:r>
        <w:t xml:space="preserve"> to</w:t>
      </w:r>
      <w:r w:rsidR="00EF5552">
        <w:t xml:space="preserve"> use in</w:t>
      </w:r>
      <w:r>
        <w:t xml:space="preserve"> patients who have met </w:t>
      </w:r>
      <w:r w:rsidR="005C0D00">
        <w:t>all</w:t>
      </w:r>
      <w:r>
        <w:t xml:space="preserve"> other PBS clinical criteria </w:t>
      </w:r>
      <w:r w:rsidR="00A66569">
        <w:t>required to</w:t>
      </w:r>
      <w:r>
        <w:t xml:space="preserve"> access burosumab </w:t>
      </w:r>
      <w:r w:rsidR="00924F69">
        <w:t xml:space="preserve">via a confirmed diagnosis of XLH </w:t>
      </w:r>
      <w:r>
        <w:t xml:space="preserve">(i.e. </w:t>
      </w:r>
      <w:r w:rsidR="00632714" w:rsidRPr="00632714">
        <w:t xml:space="preserve">radiographic </w:t>
      </w:r>
      <w:r w:rsidR="00C35149">
        <w:t>x</w:t>
      </w:r>
      <w:r w:rsidR="00632714" w:rsidRPr="00632714">
        <w:t>-ray evidence of rickets</w:t>
      </w:r>
      <w:r w:rsidR="00632714">
        <w:t xml:space="preserve">, low serum phosphate, </w:t>
      </w:r>
      <w:r w:rsidR="00A66569">
        <w:t>and renal phosphate wasting).</w:t>
      </w:r>
      <w:r w:rsidR="007B68DB" w:rsidRPr="007B68DB">
        <w:t xml:space="preserve"> </w:t>
      </w:r>
      <w:r w:rsidR="00BF41AB">
        <w:t>However, t</w:t>
      </w:r>
      <w:r w:rsidR="007B68DB" w:rsidRPr="007B68DB">
        <w:t>he wording ‘or current diagnosis of osteomalacia’</w:t>
      </w:r>
      <w:r w:rsidR="00BF41AB">
        <w:t xml:space="preserve"> is not present in </w:t>
      </w:r>
      <w:r w:rsidR="00FB7164">
        <w:t>t</w:t>
      </w:r>
      <w:r w:rsidR="00FB7164" w:rsidRPr="007B68DB">
        <w:t xml:space="preserve">he PBS </w:t>
      </w:r>
      <w:r w:rsidR="00050B66">
        <w:t>restriction wording</w:t>
      </w:r>
      <w:r w:rsidR="007B68DB" w:rsidRPr="007B68DB">
        <w:t xml:space="preserve">. According to correspondence provided by the department, this wording was added </w:t>
      </w:r>
      <w:r w:rsidR="00D13384">
        <w:t xml:space="preserve">to the item descriptor </w:t>
      </w:r>
      <w:r w:rsidR="007B68DB" w:rsidRPr="007B68DB">
        <w:t>to reflect that rickets is a sign of disease in children</w:t>
      </w:r>
      <w:r w:rsidR="005E747C">
        <w:t>,</w:t>
      </w:r>
      <w:r w:rsidR="007B68DB" w:rsidRPr="007B68DB">
        <w:t xml:space="preserve"> and osteomalacia is the corollary adult diagnosis</w:t>
      </w:r>
      <w:r w:rsidR="00DA7F90">
        <w:t xml:space="preserve">. </w:t>
      </w:r>
      <w:r w:rsidR="007B68DB" w:rsidRPr="007B68DB">
        <w:t xml:space="preserve">The PBS listing appears to assume that for the adult population, historical radiographic x-ray evidence of rickets will be available. Whilst the additional wording in the proposed descriptor </w:t>
      </w:r>
      <w:r w:rsidR="00D05797">
        <w:t>wa</w:t>
      </w:r>
      <w:r w:rsidR="007B68DB" w:rsidRPr="007B68DB">
        <w:t xml:space="preserve">s intended to recognise osteomalacia diagnosis in adults, it does not align with the PBS listing </w:t>
      </w:r>
      <w:r w:rsidR="008E4635">
        <w:t xml:space="preserve">and </w:t>
      </w:r>
      <w:r w:rsidR="00A36960">
        <w:t xml:space="preserve">there is a risk </w:t>
      </w:r>
      <w:r w:rsidR="00B21DEA">
        <w:t xml:space="preserve">that </w:t>
      </w:r>
      <w:r w:rsidR="00A36960">
        <w:t xml:space="preserve">it </w:t>
      </w:r>
      <w:r w:rsidR="00B21DEA">
        <w:t xml:space="preserve">will </w:t>
      </w:r>
      <w:r w:rsidR="007B68DB" w:rsidRPr="007B68DB">
        <w:t>result in patients being tested for FGF-23 who are not eligible to receive burosumab on the PBS (if historical radiographic x-ray evidence of rickets is not available).</w:t>
      </w:r>
      <w:r w:rsidR="00B85F5A">
        <w:t xml:space="preserve"> </w:t>
      </w:r>
      <w:r w:rsidR="00CD681A">
        <w:t>As such, t</w:t>
      </w:r>
      <w:r w:rsidR="00362A52">
        <w:t xml:space="preserve">he assessment group </w:t>
      </w:r>
      <w:r w:rsidR="00C4598E">
        <w:t>suggested that ‘or current diagnosis of osteomalacia’ be deleted.</w:t>
      </w:r>
    </w:p>
    <w:p w14:paraId="1CF0DF5D" w14:textId="39541158" w:rsidR="00A006E7" w:rsidRDefault="003C3746" w:rsidP="003C3746">
      <w:r>
        <w:t>While t</w:t>
      </w:r>
      <w:r w:rsidRPr="00D94303">
        <w:t xml:space="preserve">he PBS restriction requires </w:t>
      </w:r>
      <w:r>
        <w:t xml:space="preserve">that </w:t>
      </w:r>
      <w:r w:rsidRPr="00D94303">
        <w:t xml:space="preserve">the patient must be treated by a paediatric endocrinologist, paediatric nephrologist, endocrinologist, </w:t>
      </w:r>
      <w:r>
        <w:t>or</w:t>
      </w:r>
      <w:r w:rsidRPr="00D94303">
        <w:t xml:space="preserve"> nephrologist</w:t>
      </w:r>
      <w:r>
        <w:t xml:space="preserve">, the MBS item descriptor </w:t>
      </w:r>
      <w:r w:rsidR="00BA72F3">
        <w:t xml:space="preserve">proposed by the MSAC Executive </w:t>
      </w:r>
      <w:r w:rsidR="00CD681A">
        <w:t>wa</w:t>
      </w:r>
      <w:r>
        <w:t xml:space="preserve">s </w:t>
      </w:r>
      <w:r w:rsidRPr="00FE7FC0">
        <w:t xml:space="preserve">consistent with the </w:t>
      </w:r>
      <w:r>
        <w:t xml:space="preserve">department’s </w:t>
      </w:r>
      <w:r w:rsidRPr="00FE7FC0">
        <w:t>preference for the non-specific</w:t>
      </w:r>
      <w:r w:rsidR="00E56674">
        <w:t xml:space="preserve"> wording of</w:t>
      </w:r>
      <w:r w:rsidRPr="00FE7FC0">
        <w:t xml:space="preserve"> ‘specialist or consultant physician’ rather than identifying each type of specialist.</w:t>
      </w:r>
      <w:r>
        <w:t xml:space="preserve"> </w:t>
      </w:r>
    </w:p>
    <w:p w14:paraId="2EE5375F" w14:textId="1BD82A6C" w:rsidR="00447FE6" w:rsidRDefault="00574727" w:rsidP="00B20962">
      <w:r>
        <w:t xml:space="preserve">The descriptor </w:t>
      </w:r>
      <w:r w:rsidR="00AD2FEC">
        <w:t xml:space="preserve">proposed by the MSAC Executive </w:t>
      </w:r>
      <w:r>
        <w:t>d</w:t>
      </w:r>
      <w:r w:rsidR="009D5E63">
        <w:t>id</w:t>
      </w:r>
      <w:r>
        <w:t xml:space="preserve"> not restrict</w:t>
      </w:r>
      <w:r w:rsidR="00E44020">
        <w:t xml:space="preserve"> use of</w:t>
      </w:r>
      <w:r>
        <w:t xml:space="preserve"> </w:t>
      </w:r>
      <w:r w:rsidR="001A341E">
        <w:t xml:space="preserve">the item </w:t>
      </w:r>
      <w:r w:rsidR="00E44020">
        <w:t>to</w:t>
      </w:r>
      <w:r w:rsidR="00C703EB">
        <w:t xml:space="preserve"> </w:t>
      </w:r>
      <w:r>
        <w:t>the diagnosis of XLH</w:t>
      </w:r>
      <w:r w:rsidR="0046139A">
        <w:t>.</w:t>
      </w:r>
      <w:r w:rsidR="006E6DD4">
        <w:t xml:space="preserve"> To prevent </w:t>
      </w:r>
      <w:r w:rsidR="004C5455">
        <w:t>the item being</w:t>
      </w:r>
      <w:r w:rsidR="006E6DD4">
        <w:t xml:space="preserve"> </w:t>
      </w:r>
      <w:r w:rsidR="00A572B1">
        <w:t>use</w:t>
      </w:r>
      <w:r w:rsidR="004C5455">
        <w:t>d</w:t>
      </w:r>
      <w:r w:rsidR="00A572B1">
        <w:t xml:space="preserve"> </w:t>
      </w:r>
      <w:r w:rsidR="00B6397A">
        <w:t>for</w:t>
      </w:r>
      <w:r w:rsidR="004C5455">
        <w:t xml:space="preserve"> </w:t>
      </w:r>
      <w:r w:rsidR="00715FE4">
        <w:t>other purposes</w:t>
      </w:r>
      <w:r w:rsidR="00EB065A">
        <w:t>,</w:t>
      </w:r>
      <w:r w:rsidR="00715FE4">
        <w:t xml:space="preserve"> such as </w:t>
      </w:r>
      <w:r w:rsidR="00A572B1">
        <w:t>monitor</w:t>
      </w:r>
      <w:r w:rsidR="00B6397A">
        <w:t>ing</w:t>
      </w:r>
      <w:r w:rsidR="0046139A">
        <w:t xml:space="preserve"> </w:t>
      </w:r>
      <w:r w:rsidR="00A572B1">
        <w:t>FGF-23</w:t>
      </w:r>
      <w:r w:rsidR="004C5455">
        <w:t xml:space="preserve"> levels</w:t>
      </w:r>
      <w:r w:rsidR="00A572B1">
        <w:t xml:space="preserve">, suggested </w:t>
      </w:r>
      <w:r w:rsidR="00384825">
        <w:t xml:space="preserve">italicised </w:t>
      </w:r>
      <w:r w:rsidR="00A572B1">
        <w:t>text</w:t>
      </w:r>
      <w:r w:rsidR="00DA7EDD">
        <w:t xml:space="preserve"> (‘to confirm the diagnosis of X-linked hypophosphatemia</w:t>
      </w:r>
      <w:r w:rsidR="00A53628">
        <w:t>’)</w:t>
      </w:r>
      <w:r w:rsidR="00A572B1">
        <w:t xml:space="preserve"> has been added by the assessment group</w:t>
      </w:r>
      <w:r w:rsidR="004C5FD5">
        <w:t xml:space="preserve"> (</w:t>
      </w:r>
      <w:r w:rsidR="00A4782E">
        <w:fldChar w:fldCharType="begin"/>
      </w:r>
      <w:r w:rsidR="00A4782E">
        <w:instrText xml:space="preserve"> REF _Ref69481033 \h </w:instrText>
      </w:r>
      <w:r w:rsidR="00A4782E">
        <w:fldChar w:fldCharType="separate"/>
      </w:r>
      <w:r w:rsidR="00A367FC">
        <w:t>Table </w:t>
      </w:r>
      <w:r w:rsidR="00A367FC">
        <w:rPr>
          <w:noProof/>
        </w:rPr>
        <w:t>3</w:t>
      </w:r>
      <w:r w:rsidR="00A4782E">
        <w:fldChar w:fldCharType="end"/>
      </w:r>
      <w:r w:rsidR="00A4782E">
        <w:t>)</w:t>
      </w:r>
      <w:r w:rsidR="00A572B1">
        <w:t xml:space="preserve">. </w:t>
      </w:r>
      <w:r w:rsidR="00F34F05">
        <w:t xml:space="preserve">The assessment group also suggested </w:t>
      </w:r>
      <w:r w:rsidR="00925FCF">
        <w:t xml:space="preserve">the addition of wording such as that proposed </w:t>
      </w:r>
      <w:r w:rsidR="005B251A">
        <w:t xml:space="preserve">by the department </w:t>
      </w:r>
      <w:r w:rsidR="00925FCF">
        <w:t xml:space="preserve">in </w:t>
      </w:r>
      <w:r w:rsidR="005B251A">
        <w:fldChar w:fldCharType="begin"/>
      </w:r>
      <w:r w:rsidR="005B251A">
        <w:instrText xml:space="preserve"> REF _Ref169788613 \h </w:instrText>
      </w:r>
      <w:r w:rsidR="005B251A">
        <w:fldChar w:fldCharType="separate"/>
      </w:r>
      <w:r w:rsidR="00A367FC">
        <w:t xml:space="preserve">Table </w:t>
      </w:r>
      <w:r w:rsidR="00A367FC">
        <w:rPr>
          <w:noProof/>
        </w:rPr>
        <w:t>2</w:t>
      </w:r>
      <w:r w:rsidR="005B251A">
        <w:fldChar w:fldCharType="end"/>
      </w:r>
      <w:r w:rsidR="008E30A5">
        <w:t>,</w:t>
      </w:r>
      <w:r w:rsidR="005B251A">
        <w:t xml:space="preserve"> </w:t>
      </w:r>
      <w:r w:rsidR="0093319B" w:rsidRPr="0093319B">
        <w:t>‘</w:t>
      </w:r>
      <w:r w:rsidR="005B251A" w:rsidRPr="005B251A">
        <w:t>To determine eligibility for a treatment listed on the Pharmaceutical Benefits Schedule</w:t>
      </w:r>
      <w:r w:rsidR="00D73900">
        <w:t>’</w:t>
      </w:r>
      <w:r w:rsidR="00FF2410">
        <w:t xml:space="preserve">. </w:t>
      </w:r>
    </w:p>
    <w:p w14:paraId="75416B1C" w14:textId="3D7CAE82" w:rsidR="005F7779" w:rsidRDefault="00A7156C" w:rsidP="00B20962">
      <w:r>
        <w:t>The proposed descriptor places no limits o</w:t>
      </w:r>
      <w:r w:rsidR="00210443">
        <w:t>n</w:t>
      </w:r>
      <w:r>
        <w:t xml:space="preserve"> the frequency of </w:t>
      </w:r>
      <w:r w:rsidR="00EE11FA">
        <w:t xml:space="preserve">FGF-23 testing. </w:t>
      </w:r>
      <w:r w:rsidR="00CF0CBE" w:rsidRPr="00CF0CBE">
        <w:t xml:space="preserve">According to the </w:t>
      </w:r>
      <w:r w:rsidR="00CF0CBE">
        <w:t>Hypophosphatemic Working Party of the ANZBMS</w:t>
      </w:r>
      <w:r w:rsidR="00CF0CBE" w:rsidRPr="00CF0CBE">
        <w:t xml:space="preserve">, FGF-23 testing would only be required once per lifetime to qualify for burosumab on the PBS. In some instances, however, a single repeat test may be required if the initial result is inconsistent with the clinical picture to exclude a laboratory mishap or analytical issue. </w:t>
      </w:r>
    </w:p>
    <w:p w14:paraId="63CE0B4D" w14:textId="1200BB29" w:rsidR="000A577B" w:rsidRDefault="00C616CC" w:rsidP="00B20962">
      <w:r>
        <w:lastRenderedPageBreak/>
        <w:t>As patients may alternatively access burosumab on the PBS via a documented confirmation of PHEX pathogenic variant</w:t>
      </w:r>
      <w:r w:rsidR="00C713D5">
        <w:t xml:space="preserve">, </w:t>
      </w:r>
      <w:r w:rsidR="004A10F2">
        <w:t xml:space="preserve">the </w:t>
      </w:r>
      <w:r w:rsidR="00E735E0">
        <w:t xml:space="preserve">assessment group suggested that the </w:t>
      </w:r>
      <w:r w:rsidR="004A10F2">
        <w:t xml:space="preserve">item </w:t>
      </w:r>
      <w:r w:rsidR="00366DFD">
        <w:t xml:space="preserve">descriptor </w:t>
      </w:r>
      <w:r w:rsidR="000B0184">
        <w:t xml:space="preserve">proposed by the MSAC Executive </w:t>
      </w:r>
      <w:r w:rsidR="00E735E0">
        <w:t xml:space="preserve">be amended </w:t>
      </w:r>
      <w:r w:rsidR="004A10F2">
        <w:t xml:space="preserve">to </w:t>
      </w:r>
      <w:r w:rsidR="006A34B7">
        <w:t xml:space="preserve">limit use to </w:t>
      </w:r>
      <w:r w:rsidR="004A10F2">
        <w:t xml:space="preserve">patients who </w:t>
      </w:r>
      <w:r w:rsidR="00F0794D">
        <w:t xml:space="preserve">do not have </w:t>
      </w:r>
      <w:r w:rsidR="004A10F2">
        <w:t xml:space="preserve">a </w:t>
      </w:r>
      <w:r w:rsidR="005A423F">
        <w:t>documented confirmation of PHEX pathogenic variant</w:t>
      </w:r>
      <w:r w:rsidR="00366DFD">
        <w:t xml:space="preserve">. </w:t>
      </w:r>
      <w:r w:rsidR="00C35BBD">
        <w:t xml:space="preserve">This would </w:t>
      </w:r>
      <w:r w:rsidR="001F5A0B">
        <w:t>further restrict the population to those who require FGF-23 testing for access to burosumab on the PBS</w:t>
      </w:r>
      <w:r w:rsidR="00D520C8">
        <w:t>, in line with the original application.</w:t>
      </w:r>
    </w:p>
    <w:p w14:paraId="22918078" w14:textId="3D484A6C" w:rsidR="0046139A" w:rsidRDefault="0043295F" w:rsidP="00F002AE">
      <w:r w:rsidRPr="0043295F">
        <w:t>G</w:t>
      </w:r>
      <w:r w:rsidR="00A0090A" w:rsidRPr="0043295F">
        <w:t xml:space="preserve">iven that FGF-23 levels are influenced by </w:t>
      </w:r>
      <w:r w:rsidR="00044471">
        <w:t>phosphate and vitamin D therapy</w:t>
      </w:r>
      <w:r w:rsidR="00A0090A" w:rsidRPr="0043295F">
        <w:t xml:space="preserve">, the </w:t>
      </w:r>
      <w:r w:rsidR="000A574C">
        <w:t xml:space="preserve">assessment group suggested that the </w:t>
      </w:r>
      <w:r w:rsidR="00A0090A" w:rsidRPr="0043295F">
        <w:t xml:space="preserve">item descriptor </w:t>
      </w:r>
      <w:r w:rsidR="00E12280">
        <w:t xml:space="preserve">could include the </w:t>
      </w:r>
      <w:r w:rsidR="00A0090A" w:rsidRPr="0043295F">
        <w:t>requir</w:t>
      </w:r>
      <w:r w:rsidR="00E12280">
        <w:t>ement</w:t>
      </w:r>
      <w:r w:rsidR="00A0090A" w:rsidRPr="0043295F">
        <w:t xml:space="preserve"> </w:t>
      </w:r>
      <w:r w:rsidR="00E12280">
        <w:t>for</w:t>
      </w:r>
      <w:r w:rsidR="00A0090A" w:rsidRPr="0043295F">
        <w:t xml:space="preserve"> patients </w:t>
      </w:r>
      <w:r w:rsidR="00E12280">
        <w:t xml:space="preserve">to </w:t>
      </w:r>
      <w:r w:rsidR="00A0090A" w:rsidRPr="0043295F">
        <w:t>have ceased treatment for a specified time</w:t>
      </w:r>
      <w:r w:rsidR="000A574C">
        <w:t>frame</w:t>
      </w:r>
      <w:r w:rsidR="00A0090A" w:rsidRPr="0043295F">
        <w:t xml:space="preserve"> prior to testing. Alternatively</w:t>
      </w:r>
      <w:r w:rsidR="00A33476">
        <w:t>,</w:t>
      </w:r>
      <w:r w:rsidR="00A0090A" w:rsidRPr="0043295F">
        <w:t xml:space="preserve"> an explanatory note about considerations for ceasing treatment prior to testing could be provided.</w:t>
      </w:r>
      <w:r w:rsidR="00AB314C" w:rsidRPr="0043295F">
        <w:t xml:space="preserve"> </w:t>
      </w:r>
    </w:p>
    <w:p w14:paraId="4B80EFF1" w14:textId="26F6AA84" w:rsidR="00F002AE" w:rsidRDefault="0AC7C7B4" w:rsidP="00F002AE">
      <w:r>
        <w:t xml:space="preserve">Removal of criterion (ii) </w:t>
      </w:r>
      <w:r w:rsidR="00E7070D">
        <w:t xml:space="preserve">from the </w:t>
      </w:r>
      <w:r w:rsidR="00D62575">
        <w:t>descriptor</w:t>
      </w:r>
      <w:r w:rsidR="00E7070D">
        <w:t xml:space="preserve"> proposed by the MSAC Executive </w:t>
      </w:r>
      <w:r>
        <w:t>is recommended</w:t>
      </w:r>
      <w:r w:rsidR="000D4980">
        <w:t xml:space="preserve"> by the Hypophosphatemic Working Party of the ANZBMS</w:t>
      </w:r>
      <w:r>
        <w:t xml:space="preserve">, </w:t>
      </w:r>
      <w:r w:rsidR="0001406E">
        <w:t>given</w:t>
      </w:r>
      <w:r>
        <w:t xml:space="preserve"> </w:t>
      </w:r>
      <w:r w:rsidR="00A84564">
        <w:t xml:space="preserve">that </w:t>
      </w:r>
      <w:r w:rsidR="004A345A">
        <w:t>patients who meet criteria (</w:t>
      </w:r>
      <w:proofErr w:type="spellStart"/>
      <w:r w:rsidR="004A345A">
        <w:t>i</w:t>
      </w:r>
      <w:proofErr w:type="spellEnd"/>
      <w:r w:rsidR="004A345A">
        <w:t>), (iii) and (iv)</w:t>
      </w:r>
      <w:r w:rsidR="79EE0FEA">
        <w:t xml:space="preserve"> inherently have a high pre-test probability of XLH</w:t>
      </w:r>
      <w:r w:rsidR="004A345A">
        <w:t xml:space="preserve">. </w:t>
      </w:r>
      <w:r w:rsidR="00E123E4">
        <w:t>The PBS listing does not refer to patients with a high pre-test probability of XLH.</w:t>
      </w:r>
    </w:p>
    <w:p w14:paraId="659F024C" w14:textId="4E66C388" w:rsidR="00C301FF" w:rsidRDefault="00732B43" w:rsidP="00F002AE">
      <w:r>
        <w:t xml:space="preserve">From a policy perspective, the </w:t>
      </w:r>
      <w:r w:rsidR="00DC41CD">
        <w:t>detailed item descriptor proposed by the MSAC Executive increase</w:t>
      </w:r>
      <w:r w:rsidR="00E23419">
        <w:t>s</w:t>
      </w:r>
      <w:r w:rsidR="00DC41CD">
        <w:t xml:space="preserve"> the risk that patients may be billed privately for FGF-23 testing</w:t>
      </w:r>
      <w:r w:rsidR="008F734A">
        <w:t>.</w:t>
      </w:r>
      <w:r w:rsidR="00DC41CD">
        <w:t xml:space="preserve"> </w:t>
      </w:r>
      <w:r w:rsidR="008F734A">
        <w:t>I</w:t>
      </w:r>
      <w:r w:rsidR="00DC41CD">
        <w:t xml:space="preserve">f the pathology referral </w:t>
      </w:r>
      <w:r w:rsidR="00697921">
        <w:t xml:space="preserve">form </w:t>
      </w:r>
      <w:r w:rsidR="00DC41CD">
        <w:t xml:space="preserve">does not contain sufficient information for the laboratory to confirm that </w:t>
      </w:r>
      <w:r w:rsidR="00664630">
        <w:t>all</w:t>
      </w:r>
      <w:r w:rsidR="00E23419">
        <w:t xml:space="preserve"> criteria in the </w:t>
      </w:r>
      <w:r w:rsidR="00A226CC">
        <w:t xml:space="preserve">MBS </w:t>
      </w:r>
      <w:r w:rsidR="00E23419">
        <w:t>item descriptor have been met (e.g. x-ray evidence of rickets, low serum phosphate)</w:t>
      </w:r>
      <w:r w:rsidR="008E10A9">
        <w:t>, the laboratory can</w:t>
      </w:r>
      <w:r w:rsidR="008B68ED">
        <w:t>not bill the item to the MBS, and will instead bill the patient privately</w:t>
      </w:r>
      <w:r w:rsidR="00E23419">
        <w:t>.</w:t>
      </w:r>
      <w:r w:rsidR="00865AC9">
        <w:t xml:space="preserve"> In addition, the item may become </w:t>
      </w:r>
      <w:r w:rsidR="00DD2E87">
        <w:t>unsuitable</w:t>
      </w:r>
      <w:r w:rsidR="00865AC9">
        <w:t xml:space="preserve"> if there are changes to the PBS restrictions for burosumab.</w:t>
      </w:r>
    </w:p>
    <w:p w14:paraId="50A35BFA" w14:textId="536E3CF2" w:rsidR="00596EFC" w:rsidRDefault="00B754D9" w:rsidP="00F002AE">
      <w:r>
        <w:t>I</w:t>
      </w:r>
      <w:r w:rsidR="002E0787">
        <w:t xml:space="preserve">f MSAC </w:t>
      </w:r>
      <w:r w:rsidR="695664B2">
        <w:t>instead considers</w:t>
      </w:r>
      <w:r w:rsidR="002E0787">
        <w:t xml:space="preserve"> the </w:t>
      </w:r>
      <w:r w:rsidR="00453A9E">
        <w:t xml:space="preserve">simplified </w:t>
      </w:r>
      <w:r w:rsidR="002E0787">
        <w:t xml:space="preserve">item descriptor proposed by the </w:t>
      </w:r>
      <w:r w:rsidR="002F3957">
        <w:t>d</w:t>
      </w:r>
      <w:r w:rsidR="002E0787">
        <w:t>epartment</w:t>
      </w:r>
      <w:r w:rsidR="00FE69B9">
        <w:t xml:space="preserve"> (</w:t>
      </w:r>
      <w:r w:rsidR="00FE69B9">
        <w:fldChar w:fldCharType="begin"/>
      </w:r>
      <w:r w:rsidR="00FE69B9">
        <w:instrText xml:space="preserve"> REF _Ref169788613 \h </w:instrText>
      </w:r>
      <w:r w:rsidR="00FE69B9">
        <w:fldChar w:fldCharType="separate"/>
      </w:r>
      <w:r w:rsidR="00A367FC">
        <w:t xml:space="preserve">Table </w:t>
      </w:r>
      <w:r w:rsidR="00A367FC">
        <w:rPr>
          <w:noProof/>
        </w:rPr>
        <w:t>2</w:t>
      </w:r>
      <w:r w:rsidR="00FE69B9">
        <w:fldChar w:fldCharType="end"/>
      </w:r>
      <w:r w:rsidR="00FE69B9">
        <w:t>)</w:t>
      </w:r>
      <w:r w:rsidR="00CA4DD9">
        <w:t xml:space="preserve">, the </w:t>
      </w:r>
      <w:r w:rsidR="005B123A">
        <w:t xml:space="preserve">assessment group suggested that the </w:t>
      </w:r>
      <w:r w:rsidR="00CA4DD9">
        <w:t xml:space="preserve">descriptor should be amended to specify </w:t>
      </w:r>
      <w:r w:rsidR="006142C9">
        <w:t>‘</w:t>
      </w:r>
      <w:r w:rsidR="00CA4DD9">
        <w:t>X-linked hypophosphatemia</w:t>
      </w:r>
      <w:r w:rsidR="006142C9">
        <w:t>’</w:t>
      </w:r>
      <w:r w:rsidR="00CA4DD9">
        <w:t xml:space="preserve"> rather than </w:t>
      </w:r>
      <w:r w:rsidR="006142C9">
        <w:t>‘</w:t>
      </w:r>
      <w:r w:rsidR="00CA4DD9">
        <w:t>hypophosphatemia</w:t>
      </w:r>
      <w:r w:rsidR="006142C9">
        <w:t>’</w:t>
      </w:r>
      <w:r w:rsidR="005B123A">
        <w:t>,</w:t>
      </w:r>
      <w:r w:rsidR="003A2ECC">
        <w:t xml:space="preserve"> in line with the population for burosumab</w:t>
      </w:r>
      <w:r w:rsidR="006142C9">
        <w:t>.</w:t>
      </w:r>
      <w:r w:rsidR="00CA7E5A">
        <w:t xml:space="preserve"> </w:t>
      </w:r>
      <w:r w:rsidR="00852620">
        <w:t xml:space="preserve">Alternatively, the department has suggested </w:t>
      </w:r>
      <w:r w:rsidR="00C02EAE">
        <w:t>an even more simplified item descriptor of</w:t>
      </w:r>
      <w:r w:rsidR="00596EFC">
        <w:t>:</w:t>
      </w:r>
    </w:p>
    <w:p w14:paraId="0557449A" w14:textId="133065C4" w:rsidR="00596EFC" w:rsidRDefault="00C02EAE" w:rsidP="00596EFC">
      <w:pPr>
        <w:ind w:left="567" w:right="521"/>
      </w:pPr>
      <w:r>
        <w:t xml:space="preserve">‘Fibroblast growth factor 23, quantification in serum or plasma if the service is requested by a specialist or consultant physician to determine eligibility for a </w:t>
      </w:r>
      <w:r w:rsidR="007854A4">
        <w:t xml:space="preserve">relevant </w:t>
      </w:r>
      <w:r>
        <w:t xml:space="preserve">treatment listed on the Pharmaceutical Benefits Schedule’. </w:t>
      </w:r>
    </w:p>
    <w:p w14:paraId="2B9463F1" w14:textId="30A0011B" w:rsidR="00F214FD" w:rsidRPr="00F002AE" w:rsidRDefault="00C02EAE" w:rsidP="00F002AE">
      <w:r>
        <w:t xml:space="preserve">Notably, this </w:t>
      </w:r>
      <w:r w:rsidR="006B7A27">
        <w:t xml:space="preserve">wording </w:t>
      </w:r>
      <w:r>
        <w:t xml:space="preserve">would not restrict use </w:t>
      </w:r>
      <w:r w:rsidR="003616BB">
        <w:t>of</w:t>
      </w:r>
      <w:r w:rsidR="0031298C">
        <w:t xml:space="preserve"> </w:t>
      </w:r>
      <w:r w:rsidR="004A6928">
        <w:t xml:space="preserve">the item </w:t>
      </w:r>
      <w:r w:rsidR="0031298C">
        <w:t>to FGF-23 testing for access to burosumab</w:t>
      </w:r>
      <w:r w:rsidR="0003449D">
        <w:t xml:space="preserve"> but would provide flexibility around potential future changes to the PBS</w:t>
      </w:r>
      <w:r w:rsidR="007C2030">
        <w:t>.</w:t>
      </w:r>
    </w:p>
    <w:p w14:paraId="7BB319E9" w14:textId="1E127968" w:rsidR="003B12F5" w:rsidRDefault="003B12F5" w:rsidP="003B12F5">
      <w:pPr>
        <w:pStyle w:val="Heading3"/>
      </w:pPr>
      <w:r>
        <w:t>Proposed fee</w:t>
      </w:r>
    </w:p>
    <w:p w14:paraId="741E43DC" w14:textId="6ED727DE" w:rsidR="00BD43C8" w:rsidRDefault="00B34B52" w:rsidP="003B12F5">
      <w:r>
        <w:t xml:space="preserve">The fee of $90 was </w:t>
      </w:r>
      <w:r w:rsidR="003B4D5D">
        <w:t xml:space="preserve">tentatively </w:t>
      </w:r>
      <w:r>
        <w:t xml:space="preserve">proposed by the department based on the </w:t>
      </w:r>
      <w:hyperlink r:id="rId10" w:tooltip="This link goes to a webpage on FGF-23 testing at the Royal Children's Hospital Melbourne" w:history="1">
        <w:r w:rsidRPr="0003053B">
          <w:rPr>
            <w:rStyle w:val="Hyperlink"/>
          </w:rPr>
          <w:t xml:space="preserve">fee for FGF-23 testing at </w:t>
        </w:r>
        <w:r w:rsidR="003F5FEE">
          <w:rPr>
            <w:rStyle w:val="Hyperlink"/>
          </w:rPr>
          <w:t>T</w:t>
        </w:r>
        <w:r w:rsidR="005A0219" w:rsidRPr="0003053B">
          <w:rPr>
            <w:rStyle w:val="Hyperlink"/>
          </w:rPr>
          <w:t>he Royal Children’s Hospital Melbourne</w:t>
        </w:r>
      </w:hyperlink>
      <w:r w:rsidR="005E017F">
        <w:t xml:space="preserve">. This is based on the </w:t>
      </w:r>
      <w:r w:rsidR="00B80850">
        <w:t xml:space="preserve">FGF-23 testing </w:t>
      </w:r>
      <w:r w:rsidR="006B3ABD">
        <w:t>fee</w:t>
      </w:r>
      <w:r w:rsidR="005E017F">
        <w:t xml:space="preserve"> at </w:t>
      </w:r>
      <w:r w:rsidR="005E017F" w:rsidRPr="00B3000C">
        <w:t>Royal North Shore Hospital in Sydney</w:t>
      </w:r>
      <w:r w:rsidR="00DB0832">
        <w:t xml:space="preserve"> </w:t>
      </w:r>
      <w:r w:rsidR="0056002B">
        <w:t>(</w:t>
      </w:r>
      <w:hyperlink r:id="rId11" w:tooltip="This link goes to the NSW Health Pathology webpage for FGF-23 testing" w:history="1">
        <w:r w:rsidR="0056002B" w:rsidRPr="00B3000C">
          <w:rPr>
            <w:rStyle w:val="Hyperlink"/>
          </w:rPr>
          <w:t xml:space="preserve">see </w:t>
        </w:r>
        <w:r w:rsidR="003E17CF" w:rsidRPr="00B3000C">
          <w:rPr>
            <w:rStyle w:val="Hyperlink"/>
          </w:rPr>
          <w:t>Clinical Information PDF</w:t>
        </w:r>
      </w:hyperlink>
      <w:r w:rsidR="003E17CF">
        <w:t xml:space="preserve">) </w:t>
      </w:r>
      <w:r w:rsidR="00B80850">
        <w:t>–</w:t>
      </w:r>
      <w:r w:rsidR="00DB0832">
        <w:t xml:space="preserve"> </w:t>
      </w:r>
      <w:r w:rsidR="005E017F">
        <w:t xml:space="preserve">where the </w:t>
      </w:r>
      <w:r w:rsidR="006B3ABD">
        <w:t xml:space="preserve">Royal Children’s Hospital </w:t>
      </w:r>
      <w:r w:rsidR="000A229E">
        <w:t xml:space="preserve">Melbourne </w:t>
      </w:r>
      <w:r w:rsidR="005E017F">
        <w:t>samples are sent</w:t>
      </w:r>
      <w:r w:rsidR="00B80850">
        <w:t xml:space="preserve"> – </w:t>
      </w:r>
      <w:r w:rsidR="004915DD">
        <w:t xml:space="preserve">and is consistent with the fee charged by </w:t>
      </w:r>
      <w:hyperlink r:id="rId12" w:tooltip="This link goes to the Alfred Pathology webpage for FGF-23 testing" w:history="1">
        <w:r w:rsidR="004915DD" w:rsidRPr="009B1592">
          <w:rPr>
            <w:rStyle w:val="Hyperlink"/>
          </w:rPr>
          <w:t>Alfred Pathology</w:t>
        </w:r>
      </w:hyperlink>
      <w:r w:rsidR="005E017F">
        <w:t>.</w:t>
      </w:r>
    </w:p>
    <w:p w14:paraId="4CFC078B" w14:textId="73E4AD70" w:rsidR="00D34B8D" w:rsidRDefault="00ED2823" w:rsidP="003B12F5">
      <w:r>
        <w:t>Due to the small number of laboratories performing FGF-23 testing</w:t>
      </w:r>
      <w:r w:rsidR="00D3144F">
        <w:t xml:space="preserve"> in Australia</w:t>
      </w:r>
      <w:r>
        <w:t xml:space="preserve">, the </w:t>
      </w:r>
      <w:r w:rsidR="00CC2855">
        <w:t xml:space="preserve">laboratory collecting the sample is often different to the laboratory performing the test. </w:t>
      </w:r>
      <w:r w:rsidR="00625632">
        <w:t>In this scenario the</w:t>
      </w:r>
      <w:r w:rsidR="00AE597F">
        <w:t xml:space="preserve"> costs incurred by </w:t>
      </w:r>
      <w:r w:rsidR="00653BC2">
        <w:t xml:space="preserve">the laboratory collecting the sample are not </w:t>
      </w:r>
      <w:r w:rsidR="001B6C68">
        <w:t xml:space="preserve">included </w:t>
      </w:r>
      <w:r w:rsidR="00653BC2">
        <w:t xml:space="preserve">in the proposed </w:t>
      </w:r>
      <w:r w:rsidR="00D3144F">
        <w:t xml:space="preserve">item </w:t>
      </w:r>
      <w:r w:rsidR="00653BC2">
        <w:t>fee</w:t>
      </w:r>
      <w:r w:rsidR="00AB077F">
        <w:t xml:space="preserve">, as noted in consultation feedback from </w:t>
      </w:r>
      <w:r w:rsidR="00CA60FF">
        <w:t xml:space="preserve">Australian Pathology </w:t>
      </w:r>
      <w:r w:rsidR="00DC257C">
        <w:t xml:space="preserve">that </w:t>
      </w:r>
      <w:r w:rsidR="00B95C92">
        <w:t>requested a higher fee</w:t>
      </w:r>
      <w:r w:rsidR="0024716A">
        <w:t>,</w:t>
      </w:r>
      <w:r w:rsidR="00B95C92">
        <w:t xml:space="preserve"> </w:t>
      </w:r>
      <w:r w:rsidR="005D4596">
        <w:t>closer to $200</w:t>
      </w:r>
      <w:r w:rsidR="00B234EF">
        <w:t xml:space="preserve"> (see Summary of public consultation input)</w:t>
      </w:r>
      <w:r w:rsidR="00653BC2">
        <w:t>.</w:t>
      </w:r>
    </w:p>
    <w:p w14:paraId="0462D1D7" w14:textId="5B936798" w:rsidR="00E11159" w:rsidRDefault="00E11159" w:rsidP="003B12F5">
      <w:r>
        <w:t xml:space="preserve">There are </w:t>
      </w:r>
      <w:proofErr w:type="gramStart"/>
      <w:r>
        <w:t>a number of</w:t>
      </w:r>
      <w:proofErr w:type="gramEnd"/>
      <w:r>
        <w:t xml:space="preserve"> patient episode initiation (PEI) MBS items that may be applicable for the collecting laboratory to claim, as well as MBS items for management of bulk-billed services. MBS item 73940 </w:t>
      </w:r>
      <w:r w:rsidR="009D5B43">
        <w:t xml:space="preserve">relating to referral of a specimen </w:t>
      </w:r>
      <w:r>
        <w:t>may also be applicable to the laboratory receiving the specimen</w:t>
      </w:r>
      <w:r w:rsidR="009D5B43">
        <w:t xml:space="preserve"> for testing</w:t>
      </w:r>
      <w:r>
        <w:t>.</w:t>
      </w:r>
    </w:p>
    <w:p w14:paraId="37EAD34B" w14:textId="4ED2B47C" w:rsidR="00C25DF9" w:rsidRDefault="00DB0FC8" w:rsidP="003B12F5">
      <w:r>
        <w:lastRenderedPageBreak/>
        <w:t xml:space="preserve">A </w:t>
      </w:r>
      <w:r w:rsidR="00B92780">
        <w:t xml:space="preserve">non-exhaustive </w:t>
      </w:r>
      <w:r>
        <w:t>search of existing MBS items for immunoassays for protein quantification</w:t>
      </w:r>
      <w:r w:rsidR="00B92780">
        <w:t xml:space="preserve"> found fees ranging from </w:t>
      </w:r>
      <w:r w:rsidR="00B92780" w:rsidRPr="00D002B0">
        <w:t>$14.55</w:t>
      </w:r>
      <w:r w:rsidR="00B92780">
        <w:t xml:space="preserve"> (e.g. MBS item </w:t>
      </w:r>
      <w:r w:rsidR="00E542A3">
        <w:t>71066) to</w:t>
      </w:r>
      <w:r w:rsidR="00653BC2">
        <w:t xml:space="preserve"> </w:t>
      </w:r>
      <w:r w:rsidR="00831EB1" w:rsidRPr="00831EB1">
        <w:t xml:space="preserve">$70.90 (e.g. MBS item </w:t>
      </w:r>
      <w:r w:rsidR="0097602A" w:rsidRPr="0097602A">
        <w:t>65150</w:t>
      </w:r>
      <w:r w:rsidR="00831EB1" w:rsidRPr="00831EB1">
        <w:t>).</w:t>
      </w:r>
      <w:r w:rsidR="00831EB1">
        <w:t xml:space="preserve"> </w:t>
      </w:r>
    </w:p>
    <w:p w14:paraId="40B0464F" w14:textId="05FCA32F" w:rsidR="00327F9F" w:rsidRDefault="00133584" w:rsidP="00FE769F">
      <w:r w:rsidRPr="00E3141A">
        <w:t>Shipping costs are not included in the MBS item fee and are not incorporated into the financial analysis.</w:t>
      </w:r>
      <w:r w:rsidR="00951D89">
        <w:t xml:space="preserve"> </w:t>
      </w:r>
      <w:r w:rsidR="00FE769F">
        <w:t>I</w:t>
      </w:r>
      <w:r w:rsidR="00327F9F">
        <w:t xml:space="preserve">t is possible that these </w:t>
      </w:r>
      <w:r w:rsidR="0019729A">
        <w:t xml:space="preserve">costs </w:t>
      </w:r>
      <w:r w:rsidR="00327F9F">
        <w:t>may be passed on to patients as an out-of-pocket expense</w:t>
      </w:r>
      <w:r w:rsidR="00DF4BC4">
        <w:t xml:space="preserve">. </w:t>
      </w:r>
    </w:p>
    <w:p w14:paraId="34E0B08F" w14:textId="460F7366" w:rsidR="00772829" w:rsidRPr="00CE28E3" w:rsidRDefault="009D5F97" w:rsidP="002A18BE">
      <w:pPr>
        <w:pStyle w:val="Heading2"/>
        <w:numPr>
          <w:ilvl w:val="0"/>
          <w:numId w:val="0"/>
        </w:numPr>
      </w:pPr>
      <w:bookmarkStart w:id="20" w:name="_Toc166074002"/>
      <w:r>
        <w:t>7</w:t>
      </w:r>
      <w:r w:rsidR="00C36633">
        <w:t>.</w:t>
      </w:r>
      <w:r w:rsidR="00C36633">
        <w:tab/>
      </w:r>
      <w:r w:rsidR="00772829" w:rsidRPr="00CE28E3">
        <w:t>Population</w:t>
      </w:r>
      <w:bookmarkEnd w:id="20"/>
      <w:r w:rsidR="00772829" w:rsidRPr="00CE28E3">
        <w:t xml:space="preserve"> </w:t>
      </w:r>
    </w:p>
    <w:p w14:paraId="12A57D07" w14:textId="4724EFF9" w:rsidR="00585168" w:rsidRDefault="006161E0" w:rsidP="006161E0">
      <w:r>
        <w:t>The</w:t>
      </w:r>
      <w:r w:rsidR="77E21DDE">
        <w:t xml:space="preserve"> </w:t>
      </w:r>
      <w:r w:rsidR="5E891915">
        <w:t xml:space="preserve">proposed </w:t>
      </w:r>
      <w:r>
        <w:t xml:space="preserve">population </w:t>
      </w:r>
      <w:r w:rsidR="2C6B420D">
        <w:t>i</w:t>
      </w:r>
      <w:r>
        <w:t xml:space="preserve">s </w:t>
      </w:r>
      <w:r w:rsidRPr="00DC468F">
        <w:t>patients with a high pre-test probability of XLH</w:t>
      </w:r>
      <w:r w:rsidR="00F626FF">
        <w:t>,</w:t>
      </w:r>
      <w:r w:rsidR="00585168">
        <w:t xml:space="preserve"> who </w:t>
      </w:r>
      <w:r w:rsidR="6CE6403A">
        <w:t>me</w:t>
      </w:r>
      <w:r w:rsidR="479C6CDB">
        <w:t>e</w:t>
      </w:r>
      <w:r w:rsidR="6CE6403A">
        <w:t>t</w:t>
      </w:r>
      <w:r w:rsidR="007F7FBC">
        <w:t xml:space="preserve"> </w:t>
      </w:r>
      <w:proofErr w:type="gramStart"/>
      <w:r w:rsidR="0081404A">
        <w:t xml:space="preserve">all </w:t>
      </w:r>
      <w:r w:rsidR="008B6872">
        <w:t>of</w:t>
      </w:r>
      <w:proofErr w:type="gramEnd"/>
      <w:r w:rsidR="008B6872">
        <w:t xml:space="preserve"> </w:t>
      </w:r>
      <w:r w:rsidR="007F7FBC">
        <w:t>the following</w:t>
      </w:r>
      <w:r w:rsidR="00AE0D35">
        <w:t xml:space="preserve"> criteria</w:t>
      </w:r>
      <w:r w:rsidR="00585168">
        <w:t>:</w:t>
      </w:r>
    </w:p>
    <w:p w14:paraId="431ECA2C" w14:textId="6BC20359" w:rsidR="00585168" w:rsidRDefault="00585168" w:rsidP="00CD72DA">
      <w:pPr>
        <w:pStyle w:val="ListParagraph"/>
        <w:numPr>
          <w:ilvl w:val="0"/>
          <w:numId w:val="14"/>
        </w:numPr>
      </w:pPr>
      <w:r>
        <w:t xml:space="preserve">current radiographic </w:t>
      </w:r>
      <w:r w:rsidR="00682DC7">
        <w:t>x</w:t>
      </w:r>
      <w:r>
        <w:t>-ray evidence of rickets</w:t>
      </w:r>
      <w:r w:rsidR="00C91143">
        <w:t>,</w:t>
      </w:r>
      <w:r>
        <w:t xml:space="preserve"> or for those with growth plate fusion</w:t>
      </w:r>
      <w:r w:rsidR="00C91143">
        <w:t>,</w:t>
      </w:r>
      <w:r>
        <w:t xml:space="preserve"> historical radiographic </w:t>
      </w:r>
      <w:r w:rsidR="00682DC7">
        <w:t>x</w:t>
      </w:r>
      <w:r>
        <w:t>-ray evidence of rickets</w:t>
      </w:r>
    </w:p>
    <w:p w14:paraId="787395C5" w14:textId="3D56BAC8" w:rsidR="00585168" w:rsidRDefault="00585168" w:rsidP="00CD72DA">
      <w:pPr>
        <w:pStyle w:val="ListParagraph"/>
        <w:numPr>
          <w:ilvl w:val="0"/>
          <w:numId w:val="14"/>
        </w:numPr>
      </w:pPr>
      <w:r>
        <w:t xml:space="preserve">a serum phosphate concentration below the age adjusted lower limit of </w:t>
      </w:r>
      <w:proofErr w:type="gramStart"/>
      <w:r>
        <w:t>normal</w:t>
      </w:r>
      <w:proofErr w:type="gramEnd"/>
    </w:p>
    <w:p w14:paraId="2C0A06DD" w14:textId="5E1FEADB" w:rsidR="006161E0" w:rsidRDefault="00585168" w:rsidP="00CD72DA">
      <w:pPr>
        <w:pStyle w:val="ListParagraph"/>
        <w:numPr>
          <w:ilvl w:val="0"/>
          <w:numId w:val="14"/>
        </w:numPr>
      </w:pPr>
      <w:r>
        <w:t>renal phosphate wasting demonstrated by a ratio of tubular maximum reabsorption rate of phosphate to glomerular filtration rate (</w:t>
      </w:r>
      <w:proofErr w:type="spellStart"/>
      <w:r>
        <w:t>TmP</w:t>
      </w:r>
      <w:proofErr w:type="spellEnd"/>
      <w:r>
        <w:t>/GFR) according to age specific normal ranges using the second morning urine void and paired serum sample measuring phosphate and creatinine.</w:t>
      </w:r>
    </w:p>
    <w:p w14:paraId="1BD75694" w14:textId="58559533" w:rsidR="00050AA7" w:rsidRDefault="00A00A7C" w:rsidP="00A12E73">
      <w:r>
        <w:t>FGF-23 testing</w:t>
      </w:r>
      <w:r w:rsidR="00505B05">
        <w:t xml:space="preserve"> is already available </w:t>
      </w:r>
      <w:r>
        <w:t xml:space="preserve">in Australia </w:t>
      </w:r>
      <w:r w:rsidR="00505B05">
        <w:t xml:space="preserve">but </w:t>
      </w:r>
      <w:r>
        <w:t xml:space="preserve">is </w:t>
      </w:r>
      <w:r w:rsidR="00505B05">
        <w:t xml:space="preserve">not publicly funded. It </w:t>
      </w:r>
      <w:r w:rsidR="20A51FD3">
        <w:t>is</w:t>
      </w:r>
      <w:r w:rsidR="00505B05">
        <w:t xml:space="preserve"> proposed to be used in addition to existing tests to confirm diagnosis of XLH and eligibility for burosumab. </w:t>
      </w:r>
      <w:r w:rsidR="00B73055">
        <w:t>Based on the MBS item descriptor</w:t>
      </w:r>
      <w:r w:rsidR="007872BF">
        <w:t xml:space="preserve"> proposed by the MSAC Executive</w:t>
      </w:r>
      <w:r w:rsidR="00A164FC">
        <w:t xml:space="preserve"> (Table 3)</w:t>
      </w:r>
      <w:r w:rsidR="00CB6BA1">
        <w:t xml:space="preserve">, FGF-23 testing would only be performed </w:t>
      </w:r>
      <w:r w:rsidR="002E3838">
        <w:t xml:space="preserve">if </w:t>
      </w:r>
      <w:r w:rsidR="00CB6BA1">
        <w:t>a patient had met all other</w:t>
      </w:r>
      <w:r w:rsidR="00E41D31">
        <w:t xml:space="preserve"> </w:t>
      </w:r>
      <w:r w:rsidR="00F25693">
        <w:t xml:space="preserve">clinical </w:t>
      </w:r>
      <w:r w:rsidR="00E41D31">
        <w:t>criteria required to access burosumab on the PBS</w:t>
      </w:r>
      <w:r w:rsidR="00505B05">
        <w:t>, therefore it is an additional test in the diagnostic pathway</w:t>
      </w:r>
      <w:r w:rsidR="00E41D31">
        <w:t>.</w:t>
      </w:r>
      <w:r w:rsidR="00A12E73" w:rsidRPr="00A12E73">
        <w:t xml:space="preserve"> </w:t>
      </w:r>
      <w:r w:rsidR="00246587">
        <w:t>Where FGF-23 testing demonstrates</w:t>
      </w:r>
      <w:r w:rsidR="00A96106">
        <w:t xml:space="preserve"> </w:t>
      </w:r>
      <w:r w:rsidR="00A12E73" w:rsidRPr="00973813">
        <w:t xml:space="preserve">elevated </w:t>
      </w:r>
      <w:r w:rsidR="00A12E73" w:rsidRPr="00973813" w:rsidDel="003008A8">
        <w:t xml:space="preserve">(or inappropriately normal) </w:t>
      </w:r>
      <w:r w:rsidR="00A12E73" w:rsidRPr="00973813">
        <w:t>serum or plasma FGF-23 levels of above the mean of the assay-specific reference range</w:t>
      </w:r>
      <w:r w:rsidR="009E2089">
        <w:t>,</w:t>
      </w:r>
      <w:r w:rsidR="003D59AB">
        <w:t xml:space="preserve"> the patient</w:t>
      </w:r>
      <w:r w:rsidR="00A12E73">
        <w:t xml:space="preserve"> will </w:t>
      </w:r>
      <w:r w:rsidR="000D03FB">
        <w:t xml:space="preserve">have met all clinical criteria </w:t>
      </w:r>
      <w:r w:rsidR="0078428D">
        <w:t>to access</w:t>
      </w:r>
      <w:r w:rsidR="003D59AB">
        <w:t xml:space="preserve"> burosumab on the PBS.</w:t>
      </w:r>
      <w:r w:rsidR="00FE473A">
        <w:t xml:space="preserve"> </w:t>
      </w:r>
    </w:p>
    <w:p w14:paraId="3606B66A" w14:textId="3187C9EB" w:rsidR="00A12E73" w:rsidRDefault="00FE473A" w:rsidP="00A12E73">
      <w:r>
        <w:t xml:space="preserve">According to the </w:t>
      </w:r>
      <w:r w:rsidR="00177313">
        <w:t>2</w:t>
      </w:r>
      <w:r w:rsidR="00572FF1">
        <w:t xml:space="preserve">019 </w:t>
      </w:r>
      <w:r w:rsidR="00C742ED">
        <w:t>‘</w:t>
      </w:r>
      <w:r>
        <w:t>Clinical practice recommendations for the diagnosis and management of XLH</w:t>
      </w:r>
      <w:r w:rsidR="00C742ED">
        <w:t>’</w:t>
      </w:r>
      <w:r>
        <w:t>,</w:t>
      </w:r>
      <w:bookmarkStart w:id="21" w:name="_Ref169776933"/>
      <w:r w:rsidR="0029377A" w:rsidRPr="0029377A">
        <w:rPr>
          <w:vertAlign w:val="superscript"/>
        </w:rPr>
        <w:fldChar w:fldCharType="begin"/>
      </w:r>
      <w:r w:rsidR="0029377A" w:rsidRPr="0064237A">
        <w:rPr>
          <w:vertAlign w:val="superscript"/>
        </w:rPr>
        <w:instrText xml:space="preserve"> NOTEREF _Ref170210151 \h  \* MERGEFORMAT </w:instrText>
      </w:r>
      <w:r w:rsidR="0029377A" w:rsidRPr="0029377A">
        <w:rPr>
          <w:vertAlign w:val="superscript"/>
        </w:rPr>
      </w:r>
      <w:r w:rsidR="0029377A" w:rsidRPr="0029377A">
        <w:rPr>
          <w:vertAlign w:val="superscript"/>
        </w:rPr>
        <w:fldChar w:fldCharType="separate"/>
      </w:r>
      <w:r w:rsidR="00A367FC">
        <w:rPr>
          <w:vertAlign w:val="superscript"/>
        </w:rPr>
        <w:t>2</w:t>
      </w:r>
      <w:r w:rsidR="0029377A" w:rsidRPr="0029377A">
        <w:rPr>
          <w:vertAlign w:val="superscript"/>
        </w:rPr>
        <w:fldChar w:fldCharType="end"/>
      </w:r>
      <w:bookmarkEnd w:id="21"/>
      <w:r>
        <w:t xml:space="preserve"> </w:t>
      </w:r>
      <w:r w:rsidRPr="00245324">
        <w:t>normal levels of FGF</w:t>
      </w:r>
      <w:r>
        <w:t>-</w:t>
      </w:r>
      <w:r w:rsidRPr="00245324">
        <w:t xml:space="preserve">23 should be interpreted as </w:t>
      </w:r>
      <w:r w:rsidR="0084510B">
        <w:t>‘</w:t>
      </w:r>
      <w:r w:rsidRPr="00245324">
        <w:t>inappropriately normal</w:t>
      </w:r>
      <w:r w:rsidR="0084510B">
        <w:t>’</w:t>
      </w:r>
      <w:r w:rsidRPr="00245324">
        <w:t xml:space="preserve"> in </w:t>
      </w:r>
      <w:r w:rsidR="77B69371">
        <w:t xml:space="preserve">patients who are </w:t>
      </w:r>
      <w:r w:rsidRPr="00245324">
        <w:t>hypophosphatemi</w:t>
      </w:r>
      <w:r w:rsidR="5796E477">
        <w:t>c</w:t>
      </w:r>
      <w:r>
        <w:t xml:space="preserve">, and </w:t>
      </w:r>
      <w:r w:rsidR="00BC3549">
        <w:t>in th</w:t>
      </w:r>
      <w:r w:rsidR="007918B1">
        <w:t>ese patients,</w:t>
      </w:r>
      <w:r>
        <w:t xml:space="preserve"> </w:t>
      </w:r>
      <w:r w:rsidR="006C1CF2">
        <w:t xml:space="preserve">normal FGF-23 levels </w:t>
      </w:r>
      <w:r>
        <w:t>do not exclude a diagnosis of XLH.</w:t>
      </w:r>
      <w:r w:rsidR="00A5683C">
        <w:t xml:space="preserve"> </w:t>
      </w:r>
      <w:r w:rsidR="00A5683C" w:rsidRPr="0042679D">
        <w:t>As all patients undergoing FGF-23 testing under the MBS item</w:t>
      </w:r>
      <w:r w:rsidR="00066186" w:rsidRPr="0042679D">
        <w:t xml:space="preserve"> </w:t>
      </w:r>
      <w:r w:rsidR="00F70F5D" w:rsidRPr="0042679D">
        <w:t>proposed by the MSAC Executive</w:t>
      </w:r>
      <w:r w:rsidR="00A164FC">
        <w:t xml:space="preserve"> (Table 3)</w:t>
      </w:r>
      <w:r w:rsidR="00F70F5D" w:rsidRPr="0042679D">
        <w:t xml:space="preserve"> </w:t>
      </w:r>
      <w:r w:rsidR="00066186" w:rsidRPr="0042679D">
        <w:t>will have low phosphate levels as a pre-requisite, it is anticipated that only patients who</w:t>
      </w:r>
      <w:r w:rsidR="00F368AE" w:rsidRPr="0042679D">
        <w:t xml:space="preserve">se test results indicate low FGF-23 levels will not be eligible </w:t>
      </w:r>
      <w:r w:rsidR="0082109E" w:rsidRPr="0042679D">
        <w:t>to receive</w:t>
      </w:r>
      <w:r w:rsidR="00F368AE" w:rsidRPr="0042679D">
        <w:t xml:space="preserve"> burosumab on the PBS.</w:t>
      </w:r>
      <w:r w:rsidR="00F368AE">
        <w:t xml:space="preserve"> </w:t>
      </w:r>
    </w:p>
    <w:p w14:paraId="336BE054" w14:textId="1F910B6C" w:rsidR="00D82012" w:rsidRDefault="00D82012" w:rsidP="00D82012">
      <w:r>
        <w:t xml:space="preserve">Existing MBS items </w:t>
      </w:r>
      <w:r w:rsidR="00262A6B">
        <w:t>appropriate</w:t>
      </w:r>
      <w:r>
        <w:t xml:space="preserve"> to </w:t>
      </w:r>
      <w:r w:rsidR="00262A6B">
        <w:t>the prior tests undertaken to confirm</w:t>
      </w:r>
      <w:r>
        <w:t xml:space="preserve"> a diagnosis of XLH are summarised in </w:t>
      </w:r>
      <w:r>
        <w:fldChar w:fldCharType="begin"/>
      </w:r>
      <w:r>
        <w:instrText xml:space="preserve"> REF _Ref167373933 \h </w:instrText>
      </w:r>
      <w:r>
        <w:fldChar w:fldCharType="separate"/>
      </w:r>
      <w:r w:rsidR="00A367FC">
        <w:t xml:space="preserve">Table </w:t>
      </w:r>
      <w:r w:rsidR="00A367FC">
        <w:rPr>
          <w:noProof/>
        </w:rPr>
        <w:t>4</w:t>
      </w:r>
      <w:r>
        <w:fldChar w:fldCharType="end"/>
      </w:r>
      <w:r w:rsidRPr="00770B5F">
        <w:t>.</w:t>
      </w:r>
      <w:r w:rsidRPr="00413E90">
        <w:t xml:space="preserve"> </w:t>
      </w:r>
    </w:p>
    <w:p w14:paraId="4C89D7FF" w14:textId="2D173E3B" w:rsidR="00D82012" w:rsidRDefault="00D82012" w:rsidP="00D82012">
      <w:pPr>
        <w:pStyle w:val="Caption"/>
      </w:pPr>
      <w:bookmarkStart w:id="22" w:name="_Ref167373933"/>
      <w:r>
        <w:lastRenderedPageBreak/>
        <w:t xml:space="preserve">Table </w:t>
      </w:r>
      <w:r w:rsidR="00BF42A8">
        <w:fldChar w:fldCharType="begin"/>
      </w:r>
      <w:r w:rsidR="00BF42A8">
        <w:instrText xml:space="preserve"> SEQ Table \* ARABIC </w:instrText>
      </w:r>
      <w:r w:rsidR="00BF42A8">
        <w:fldChar w:fldCharType="separate"/>
      </w:r>
      <w:r w:rsidR="00A367FC">
        <w:rPr>
          <w:noProof/>
        </w:rPr>
        <w:t>4</w:t>
      </w:r>
      <w:r w:rsidR="00BF42A8">
        <w:rPr>
          <w:noProof/>
        </w:rPr>
        <w:fldChar w:fldCharType="end"/>
      </w:r>
      <w:bookmarkEnd w:id="22"/>
      <w:r>
        <w:tab/>
        <w:t xml:space="preserve">Potential MBS items for confirming a diagnosis of XLH to access burosumab on the </w:t>
      </w:r>
      <w:proofErr w:type="gramStart"/>
      <w:r>
        <w:t>PBS</w:t>
      </w:r>
      <w:proofErr w:type="gramEnd"/>
    </w:p>
    <w:tbl>
      <w:tblPr>
        <w:tblStyle w:val="TableGrid"/>
        <w:tblW w:w="0" w:type="auto"/>
        <w:tblLook w:val="04A0" w:firstRow="1" w:lastRow="0" w:firstColumn="1" w:lastColumn="0" w:noHBand="0" w:noVBand="1"/>
        <w:tblCaption w:val="Potential MBS items for confirming a diagnosis of XLH to access burosumab on the PBS"/>
        <w:tblDescription w:val="This table outlines existing MBS items that may be used to confirm a diagnosis of XLH for the criteria relating to serum phosphate concentration, renal phosphate wasting and x-ray evidence of rickets (item number, descriptor, fee, benefit)."/>
      </w:tblPr>
      <w:tblGrid>
        <w:gridCol w:w="2547"/>
        <w:gridCol w:w="6469"/>
      </w:tblGrid>
      <w:tr w:rsidR="00D82012" w14:paraId="4F0E5A0F" w14:textId="77777777" w:rsidTr="0090732C">
        <w:trPr>
          <w:tblHeader/>
        </w:trPr>
        <w:tc>
          <w:tcPr>
            <w:tcW w:w="2547" w:type="dxa"/>
            <w:tcBorders>
              <w:bottom w:val="single" w:sz="4" w:space="0" w:color="auto"/>
            </w:tcBorders>
          </w:tcPr>
          <w:p w14:paraId="5F30378A" w14:textId="77777777" w:rsidR="00D82012" w:rsidRDefault="00D82012" w:rsidP="0090732C">
            <w:pPr>
              <w:pStyle w:val="TableHeading0"/>
            </w:pPr>
            <w:r>
              <w:t>Criteria</w:t>
            </w:r>
          </w:p>
        </w:tc>
        <w:tc>
          <w:tcPr>
            <w:tcW w:w="6469" w:type="dxa"/>
            <w:tcBorders>
              <w:bottom w:val="single" w:sz="4" w:space="0" w:color="auto"/>
            </w:tcBorders>
          </w:tcPr>
          <w:p w14:paraId="57CF842B" w14:textId="77777777" w:rsidR="00D82012" w:rsidRDefault="00D82012" w:rsidP="0090732C">
            <w:pPr>
              <w:pStyle w:val="TableHeading0"/>
            </w:pPr>
            <w:r>
              <w:t>Potential MBS items</w:t>
            </w:r>
          </w:p>
        </w:tc>
      </w:tr>
      <w:tr w:rsidR="00D82012" w14:paraId="022D04FC" w14:textId="77777777" w:rsidTr="0090732C">
        <w:tc>
          <w:tcPr>
            <w:tcW w:w="2547" w:type="dxa"/>
            <w:tcBorders>
              <w:bottom w:val="nil"/>
            </w:tcBorders>
          </w:tcPr>
          <w:p w14:paraId="74A1D5A0" w14:textId="77777777" w:rsidR="00D82012" w:rsidRDefault="00D82012" w:rsidP="001F1581">
            <w:pPr>
              <w:pStyle w:val="TableText"/>
              <w:keepNext/>
            </w:pPr>
            <w:r>
              <w:t>Serum phosphate concentration, renal phosphate wasting</w:t>
            </w:r>
          </w:p>
        </w:tc>
        <w:tc>
          <w:tcPr>
            <w:tcW w:w="6469" w:type="dxa"/>
            <w:tcBorders>
              <w:bottom w:val="dotted" w:sz="4" w:space="0" w:color="auto"/>
            </w:tcBorders>
          </w:tcPr>
          <w:p w14:paraId="7F8D55B4" w14:textId="77777777" w:rsidR="00D82012" w:rsidRPr="003A3BFE" w:rsidRDefault="00D82012" w:rsidP="001F1581">
            <w:pPr>
              <w:pStyle w:val="TableText"/>
              <w:keepNext/>
              <w:spacing w:after="120"/>
              <w:rPr>
                <w:b/>
                <w:bCs/>
              </w:rPr>
            </w:pPr>
            <w:r w:rsidRPr="003A3BFE">
              <w:rPr>
                <w:b/>
                <w:bCs/>
              </w:rPr>
              <w:t>66500</w:t>
            </w:r>
          </w:p>
          <w:p w14:paraId="6C1DE0E2" w14:textId="77777777" w:rsidR="00D82012" w:rsidRDefault="00D82012" w:rsidP="001F1581">
            <w:pPr>
              <w:pStyle w:val="TableText"/>
              <w:keepNext/>
              <w:spacing w:after="120"/>
            </w:pPr>
            <w:r>
              <w:t>Quantitation in serum, plasma, urine or other body fluid (except amniotic fluid), by any method except reagent tablet or reagent strip (with or without reflectance meter) of: acid phosphatase, alanine aminotransferase, albumin, alkaline phosphatase, ammonia, amylase, aspartate aminotransferase, bicarbonate, bilirubin (total), bilirubin (any fractions), C-reactive protein, calcium (total or corrected for albumin), chloride, creatine kinase, creatinine, gamma glutamyl transferase, globulin, glucose, lactate dehydrogenase, lipase, magnesium, phosphate, potassium, sodium, total protein, total cholesterol, triglycerides, urate or urea - 1 test</w:t>
            </w:r>
          </w:p>
          <w:p w14:paraId="5149401A" w14:textId="77777777" w:rsidR="00D82012" w:rsidRDefault="00D82012" w:rsidP="001F1581">
            <w:pPr>
              <w:pStyle w:val="TableText"/>
              <w:keepNext/>
              <w:spacing w:after="120"/>
            </w:pPr>
            <w:r>
              <w:t>Fee: $9.70 Benefit: 75% = $7.30 85% = $8.25</w:t>
            </w:r>
          </w:p>
        </w:tc>
      </w:tr>
      <w:tr w:rsidR="00D82012" w14:paraId="35E8C0E9" w14:textId="77777777" w:rsidTr="0090732C">
        <w:tc>
          <w:tcPr>
            <w:tcW w:w="2547" w:type="dxa"/>
            <w:tcBorders>
              <w:top w:val="nil"/>
              <w:bottom w:val="nil"/>
            </w:tcBorders>
          </w:tcPr>
          <w:p w14:paraId="1424DB5E" w14:textId="77777777" w:rsidR="00D82012" w:rsidRDefault="00D82012" w:rsidP="0090732C">
            <w:pPr>
              <w:pStyle w:val="TableText"/>
            </w:pPr>
          </w:p>
        </w:tc>
        <w:tc>
          <w:tcPr>
            <w:tcW w:w="6469" w:type="dxa"/>
            <w:tcBorders>
              <w:top w:val="dotted" w:sz="4" w:space="0" w:color="auto"/>
              <w:bottom w:val="dotted" w:sz="4" w:space="0" w:color="auto"/>
            </w:tcBorders>
          </w:tcPr>
          <w:p w14:paraId="650051E2" w14:textId="77777777" w:rsidR="00D82012" w:rsidRPr="003A3BFE" w:rsidRDefault="00D82012" w:rsidP="0090732C">
            <w:pPr>
              <w:pStyle w:val="TableText"/>
              <w:spacing w:after="120"/>
              <w:rPr>
                <w:b/>
                <w:bCs/>
              </w:rPr>
            </w:pPr>
            <w:r w:rsidRPr="003A3BFE">
              <w:rPr>
                <w:b/>
                <w:bCs/>
              </w:rPr>
              <w:t xml:space="preserve">66503 </w:t>
            </w:r>
          </w:p>
          <w:p w14:paraId="58522670" w14:textId="77777777" w:rsidR="00D82012" w:rsidRDefault="00D82012" w:rsidP="0090732C">
            <w:pPr>
              <w:pStyle w:val="TableText"/>
              <w:spacing w:after="120"/>
            </w:pPr>
            <w:r>
              <w:t xml:space="preserve">2 tests described in item </w:t>
            </w:r>
            <w:proofErr w:type="gramStart"/>
            <w:r>
              <w:t>66500</w:t>
            </w:r>
            <w:proofErr w:type="gramEnd"/>
          </w:p>
          <w:p w14:paraId="629980A2" w14:textId="77777777" w:rsidR="00D82012" w:rsidRDefault="00D82012" w:rsidP="0090732C">
            <w:pPr>
              <w:pStyle w:val="TableText"/>
              <w:spacing w:after="120"/>
            </w:pPr>
            <w:r>
              <w:t>Fee: $11.65 Benefit: 75% = $8.75 85% = $9.95</w:t>
            </w:r>
          </w:p>
        </w:tc>
      </w:tr>
      <w:tr w:rsidR="00D82012" w14:paraId="60D2D661" w14:textId="77777777" w:rsidTr="0090732C">
        <w:tc>
          <w:tcPr>
            <w:tcW w:w="2547" w:type="dxa"/>
            <w:tcBorders>
              <w:top w:val="nil"/>
            </w:tcBorders>
          </w:tcPr>
          <w:p w14:paraId="3D3D805D" w14:textId="77777777" w:rsidR="00D82012" w:rsidRDefault="00D82012" w:rsidP="0090732C">
            <w:pPr>
              <w:pStyle w:val="TableText"/>
            </w:pPr>
          </w:p>
        </w:tc>
        <w:tc>
          <w:tcPr>
            <w:tcW w:w="6469" w:type="dxa"/>
            <w:tcBorders>
              <w:top w:val="dotted" w:sz="4" w:space="0" w:color="auto"/>
            </w:tcBorders>
          </w:tcPr>
          <w:p w14:paraId="7B7241D4" w14:textId="77777777" w:rsidR="00D82012" w:rsidRPr="00F917EC" w:rsidRDefault="00D82012" w:rsidP="0090732C">
            <w:pPr>
              <w:pStyle w:val="TableText"/>
              <w:spacing w:after="120"/>
              <w:rPr>
                <w:b/>
                <w:bCs/>
              </w:rPr>
            </w:pPr>
            <w:r w:rsidRPr="00F917EC">
              <w:rPr>
                <w:b/>
                <w:bCs/>
              </w:rPr>
              <w:t xml:space="preserve">66506 </w:t>
            </w:r>
          </w:p>
          <w:p w14:paraId="69545E3F" w14:textId="77777777" w:rsidR="00D82012" w:rsidRPr="00F917EC" w:rsidRDefault="00D82012" w:rsidP="0090732C">
            <w:pPr>
              <w:pStyle w:val="TableText"/>
              <w:spacing w:after="120"/>
            </w:pPr>
            <w:r w:rsidRPr="00F917EC">
              <w:t xml:space="preserve">3 tests described in item </w:t>
            </w:r>
            <w:proofErr w:type="gramStart"/>
            <w:r w:rsidRPr="00F917EC">
              <w:t>66500</w:t>
            </w:r>
            <w:proofErr w:type="gramEnd"/>
          </w:p>
          <w:p w14:paraId="64B07705" w14:textId="77777777" w:rsidR="00D82012" w:rsidRPr="003A3BFE" w:rsidRDefault="00D82012" w:rsidP="0090732C">
            <w:pPr>
              <w:pStyle w:val="TableText"/>
              <w:spacing w:after="120"/>
              <w:rPr>
                <w:b/>
                <w:bCs/>
              </w:rPr>
            </w:pPr>
            <w:r w:rsidRPr="00F917EC">
              <w:t>Fee: $13.65 Benefit: 75% = $10.25 85% = $11.65</w:t>
            </w:r>
          </w:p>
        </w:tc>
      </w:tr>
      <w:tr w:rsidR="00D82012" w14:paraId="5544006B" w14:textId="77777777" w:rsidTr="0090732C">
        <w:tc>
          <w:tcPr>
            <w:tcW w:w="2547" w:type="dxa"/>
          </w:tcPr>
          <w:p w14:paraId="13771FBB" w14:textId="77777777" w:rsidR="00D82012" w:rsidRDefault="00D82012" w:rsidP="001C46A8">
            <w:pPr>
              <w:pStyle w:val="TableText"/>
              <w:keepNext/>
            </w:pPr>
            <w:r>
              <w:t>X-ray evidence of rickets</w:t>
            </w:r>
          </w:p>
        </w:tc>
        <w:tc>
          <w:tcPr>
            <w:tcW w:w="6469" w:type="dxa"/>
          </w:tcPr>
          <w:p w14:paraId="5C091044" w14:textId="77777777" w:rsidR="00D82012" w:rsidRPr="00804F75" w:rsidRDefault="00D82012" w:rsidP="001C46A8">
            <w:pPr>
              <w:pStyle w:val="TableText"/>
              <w:keepNext/>
              <w:spacing w:after="120"/>
              <w:rPr>
                <w:b/>
                <w:bCs/>
              </w:rPr>
            </w:pPr>
            <w:r w:rsidRPr="00804F75">
              <w:rPr>
                <w:b/>
                <w:bCs/>
              </w:rPr>
              <w:t xml:space="preserve">58306 </w:t>
            </w:r>
          </w:p>
          <w:p w14:paraId="62C1D78B" w14:textId="77777777" w:rsidR="00D82012" w:rsidRDefault="00D82012" w:rsidP="001C46A8">
            <w:pPr>
              <w:pStyle w:val="TableText"/>
              <w:keepNext/>
              <w:spacing w:after="120"/>
            </w:pPr>
            <w:r>
              <w:t>Skeletal survey (R)</w:t>
            </w:r>
          </w:p>
          <w:p w14:paraId="4176DD57" w14:textId="77777777" w:rsidR="00D82012" w:rsidRDefault="00D82012" w:rsidP="001C46A8">
            <w:pPr>
              <w:pStyle w:val="TableText"/>
              <w:keepNext/>
              <w:spacing w:after="120"/>
            </w:pPr>
            <w:r>
              <w:t>Bulk bill incentive</w:t>
            </w:r>
          </w:p>
          <w:p w14:paraId="08163763" w14:textId="77777777" w:rsidR="00D82012" w:rsidRDefault="00D82012" w:rsidP="001C46A8">
            <w:pPr>
              <w:pStyle w:val="TableText"/>
              <w:keepNext/>
              <w:spacing w:after="120"/>
            </w:pPr>
            <w:r>
              <w:t>Fee: $96.85 Benefit: 75% = $72.65 85% = $82.35</w:t>
            </w:r>
          </w:p>
          <w:p w14:paraId="57579034" w14:textId="77777777" w:rsidR="00D82012" w:rsidRPr="00F6123E" w:rsidRDefault="00D82012" w:rsidP="001C46A8">
            <w:pPr>
              <w:pStyle w:val="TableText"/>
              <w:keepNext/>
              <w:spacing w:after="120"/>
              <w:rPr>
                <w:vertAlign w:val="superscript"/>
              </w:rPr>
            </w:pPr>
            <w:r>
              <w:t xml:space="preserve">(See para IN.0.19 of explanatory notes to this </w:t>
            </w:r>
            <w:proofErr w:type="gramStart"/>
            <w:r>
              <w:t>Category)</w:t>
            </w:r>
            <w:r>
              <w:rPr>
                <w:vertAlign w:val="superscript"/>
              </w:rPr>
              <w:t>a</w:t>
            </w:r>
            <w:proofErr w:type="gramEnd"/>
          </w:p>
        </w:tc>
      </w:tr>
    </w:tbl>
    <w:p w14:paraId="2CD0E76F" w14:textId="14A9285F" w:rsidR="00D82012" w:rsidRDefault="00D82012" w:rsidP="00EF0317">
      <w:pPr>
        <w:pStyle w:val="TableFigureFooter"/>
        <w:spacing w:after="0"/>
      </w:pPr>
      <w:r>
        <w:t>MBS = Medicare Benefits Schedule; PBS = Pharmaceutical Benefits Scheme; R = </w:t>
      </w:r>
      <w:r w:rsidRPr="007377CE">
        <w:t>services rendered at the request of another practitioner</w:t>
      </w:r>
      <w:r>
        <w:t xml:space="preserve">; XLH = </w:t>
      </w:r>
      <w:r w:rsidRPr="00313D27">
        <w:t>X-linked hypophosphatemia</w:t>
      </w:r>
      <w:r>
        <w:t>.</w:t>
      </w:r>
    </w:p>
    <w:p w14:paraId="654B49A4" w14:textId="77777777" w:rsidR="00D82012" w:rsidRDefault="00D82012" w:rsidP="00EF0317">
      <w:pPr>
        <w:pStyle w:val="TableFigureFooter"/>
        <w:spacing w:before="0" w:after="0"/>
      </w:pPr>
      <w:r>
        <w:t>a IN.0.19: Out-of-hospital services attract higher benefits when they are bulk billed by the provider. For all diagnostic imaging items (except those in Group 6 – Management of Bulk Billed Services and items 61369, 61466, 61485) benefits for bulk billed services are payable at 95% of the schedule fee for the item.</w:t>
      </w:r>
    </w:p>
    <w:p w14:paraId="1454FAE3" w14:textId="374903FD" w:rsidR="00D82012" w:rsidRDefault="00D82012" w:rsidP="00EF0317">
      <w:pPr>
        <w:pStyle w:val="TableFigureFooter"/>
        <w:spacing w:before="0"/>
      </w:pPr>
      <w:r>
        <w:t xml:space="preserve">Source: </w:t>
      </w:r>
      <w:hyperlink r:id="rId13" w:tooltip="This link goes to the MBS Online website" w:history="1">
        <w:r w:rsidRPr="00A87FBE">
          <w:rPr>
            <w:rStyle w:val="Hyperlink"/>
          </w:rPr>
          <w:t>MBS Online</w:t>
        </w:r>
      </w:hyperlink>
      <w:r>
        <w:t xml:space="preserve"> (accessed 23 May 2024).</w:t>
      </w:r>
    </w:p>
    <w:p w14:paraId="4FF4D754" w14:textId="73AF27C5" w:rsidR="00B421BA" w:rsidRDefault="00BC47F3" w:rsidP="0044045A">
      <w:r>
        <w:t>D</w:t>
      </w:r>
      <w:r w:rsidR="00063757">
        <w:t>iagnosis of XLH</w:t>
      </w:r>
      <w:r>
        <w:t xml:space="preserve"> can also be</w:t>
      </w:r>
      <w:r w:rsidR="00063757">
        <w:t xml:space="preserve"> confirmed </w:t>
      </w:r>
      <w:r w:rsidR="002C6615">
        <w:t xml:space="preserve">with genetic testing </w:t>
      </w:r>
      <w:r w:rsidR="00CF2DD2">
        <w:t xml:space="preserve">to identify </w:t>
      </w:r>
      <w:r w:rsidR="00BD7319">
        <w:t>a PHEX pathogenic vari</w:t>
      </w:r>
      <w:r w:rsidR="00F258BE">
        <w:t>ant</w:t>
      </w:r>
      <w:r w:rsidR="00A878D8">
        <w:t xml:space="preserve">, and this confirmation </w:t>
      </w:r>
      <w:r w:rsidR="00AB2C5A">
        <w:t xml:space="preserve">alone </w:t>
      </w:r>
      <w:r w:rsidR="00A878D8">
        <w:t xml:space="preserve">is sufficient </w:t>
      </w:r>
      <w:r w:rsidR="004F1593">
        <w:t xml:space="preserve">to </w:t>
      </w:r>
      <w:r w:rsidR="00A878D8">
        <w:t>access bur</w:t>
      </w:r>
      <w:r w:rsidR="00BF2B2C">
        <w:t>o</w:t>
      </w:r>
      <w:r w:rsidR="00A878D8">
        <w:t>sumab</w:t>
      </w:r>
      <w:r w:rsidR="004F1593">
        <w:t xml:space="preserve"> on the PBS</w:t>
      </w:r>
      <w:r w:rsidR="00546D09">
        <w:t>. This is considered an alternative diagnostic pathway</w:t>
      </w:r>
      <w:r w:rsidR="00B02B69">
        <w:t>,</w:t>
      </w:r>
      <w:r w:rsidR="00546D09">
        <w:t xml:space="preserve"> and where a pathogenic variant </w:t>
      </w:r>
      <w:r w:rsidR="00944E70">
        <w:t xml:space="preserve">is </w:t>
      </w:r>
      <w:r w:rsidR="00546D09">
        <w:t>identified</w:t>
      </w:r>
      <w:r w:rsidR="00562F26">
        <w:t>,</w:t>
      </w:r>
      <w:r w:rsidR="00B02B69">
        <w:t xml:space="preserve"> FGF-23 testing would not be required</w:t>
      </w:r>
      <w:r w:rsidR="0066245B">
        <w:t xml:space="preserve"> to access burosumab on the PBS</w:t>
      </w:r>
      <w:r w:rsidR="00546D09">
        <w:t>. However, in</w:t>
      </w:r>
      <w:r w:rsidR="00063757">
        <w:t xml:space="preserve"> patients </w:t>
      </w:r>
      <w:r w:rsidR="009D6348">
        <w:t>who undergo PHEX testing and do not have</w:t>
      </w:r>
      <w:r w:rsidR="00063757">
        <w:t xml:space="preserve"> </w:t>
      </w:r>
      <w:r w:rsidR="00AA1FF4">
        <w:t>a</w:t>
      </w:r>
      <w:r w:rsidR="00190B34">
        <w:t xml:space="preserve"> </w:t>
      </w:r>
      <w:r w:rsidR="00190B34" w:rsidRPr="0047126A">
        <w:t>confirm</w:t>
      </w:r>
      <w:r w:rsidR="009A40BA" w:rsidRPr="0047126A">
        <w:t>ed</w:t>
      </w:r>
      <w:r w:rsidR="00190B34" w:rsidRPr="0047126A">
        <w:t xml:space="preserve"> </w:t>
      </w:r>
      <w:r w:rsidR="00117EDB">
        <w:t>pathogenic variant</w:t>
      </w:r>
      <w:r w:rsidR="005813B8">
        <w:t xml:space="preserve"> (approximately 20% of XLH patients)</w:t>
      </w:r>
      <w:r w:rsidR="00546D09">
        <w:t>, FGF-23 testing may still be undertaken.</w:t>
      </w:r>
      <w:r w:rsidR="0013164C" w:rsidRPr="0047126A">
        <w:t xml:space="preserve"> </w:t>
      </w:r>
    </w:p>
    <w:p w14:paraId="387A7D3E" w14:textId="26425F44" w:rsidR="00B421BA" w:rsidRDefault="0044045A" w:rsidP="0044045A">
      <w:r>
        <w:t xml:space="preserve">No downstream changes to the clinical pathway </w:t>
      </w:r>
      <w:r w:rsidR="0004369A">
        <w:t>we</w:t>
      </w:r>
      <w:r>
        <w:t xml:space="preserve">re anticipated </w:t>
      </w:r>
      <w:r w:rsidR="00511B74">
        <w:t xml:space="preserve">if the proposed service is </w:t>
      </w:r>
      <w:r w:rsidR="00AD529E">
        <w:t xml:space="preserve">publicly </w:t>
      </w:r>
      <w:r w:rsidR="00511B74">
        <w:t xml:space="preserve">funded. </w:t>
      </w:r>
      <w:r w:rsidR="00D313DC">
        <w:t xml:space="preserve">Based on public consultation feedback from the </w:t>
      </w:r>
      <w:r w:rsidR="00D313DC" w:rsidRPr="00D313DC">
        <w:t xml:space="preserve">Clinical Practice and Therapeutics Committees of the </w:t>
      </w:r>
      <w:r w:rsidR="00D313DC">
        <w:t>ANZBMS</w:t>
      </w:r>
      <w:r w:rsidR="00BB6FC7">
        <w:t>,</w:t>
      </w:r>
      <w:r w:rsidR="00D313DC">
        <w:t xml:space="preserve"> i</w:t>
      </w:r>
      <w:r w:rsidR="001634D7">
        <w:t xml:space="preserve">t is understood that patients </w:t>
      </w:r>
      <w:r w:rsidR="00F92011">
        <w:t xml:space="preserve">who access </w:t>
      </w:r>
      <w:r w:rsidR="007C379D">
        <w:t xml:space="preserve">burosumab </w:t>
      </w:r>
      <w:r w:rsidR="00A4122E">
        <w:t>on the PBS</w:t>
      </w:r>
      <w:r w:rsidR="00F92011">
        <w:t xml:space="preserve"> via a confirmed diagnosis of XLH </w:t>
      </w:r>
      <w:r w:rsidR="007C379D">
        <w:t>with</w:t>
      </w:r>
      <w:r w:rsidR="00F92011">
        <w:t xml:space="preserve"> FGF-23</w:t>
      </w:r>
      <w:r w:rsidR="007C379D">
        <w:t xml:space="preserve"> testing</w:t>
      </w:r>
      <w:r w:rsidR="00F92011">
        <w:t xml:space="preserve"> </w:t>
      </w:r>
      <w:r w:rsidR="00BA2D46">
        <w:t>would still undergo PHEX testing</w:t>
      </w:r>
      <w:r w:rsidR="002F1BF8">
        <w:t xml:space="preserve"> for a </w:t>
      </w:r>
      <w:r w:rsidR="007603DE">
        <w:t xml:space="preserve">more </w:t>
      </w:r>
      <w:r w:rsidR="002F1BF8">
        <w:t>definitive diagnosis</w:t>
      </w:r>
      <w:r w:rsidR="00BA2D46">
        <w:t xml:space="preserve">, although this would not be a requirement for PBS access. </w:t>
      </w:r>
    </w:p>
    <w:p w14:paraId="6881852C" w14:textId="21959559" w:rsidR="0044045A" w:rsidRDefault="00511B74" w:rsidP="0044045A">
      <w:r>
        <w:t xml:space="preserve">Although </w:t>
      </w:r>
      <w:r w:rsidR="00B421BA">
        <w:t xml:space="preserve">FGF-23 </w:t>
      </w:r>
      <w:r>
        <w:t>test</w:t>
      </w:r>
      <w:r w:rsidR="00B421BA">
        <w:t>ing</w:t>
      </w:r>
      <w:r>
        <w:t xml:space="preserve"> enables access to bu</w:t>
      </w:r>
      <w:r w:rsidR="00AD529E">
        <w:t>ro</w:t>
      </w:r>
      <w:r>
        <w:t>sumab</w:t>
      </w:r>
      <w:r w:rsidR="00C5462B">
        <w:t xml:space="preserve"> on the PBS</w:t>
      </w:r>
      <w:r>
        <w:t xml:space="preserve">, </w:t>
      </w:r>
      <w:r w:rsidR="003D2D8E">
        <w:t>lack of public funding</w:t>
      </w:r>
      <w:r>
        <w:t xml:space="preserve"> </w:t>
      </w:r>
      <w:r w:rsidR="00944301">
        <w:t>wa</w:t>
      </w:r>
      <w:r w:rsidR="003D2D8E">
        <w:t>s</w:t>
      </w:r>
      <w:r>
        <w:t xml:space="preserve"> </w:t>
      </w:r>
      <w:r w:rsidR="003D2D8E">
        <w:t xml:space="preserve">not anticipated to </w:t>
      </w:r>
      <w:r w:rsidR="00935E03">
        <w:t>limit</w:t>
      </w:r>
      <w:r w:rsidR="003D2D8E">
        <w:t xml:space="preserve"> </w:t>
      </w:r>
      <w:r w:rsidR="00882FE7">
        <w:t>uptake</w:t>
      </w:r>
      <w:r w:rsidR="00D852CD">
        <w:t xml:space="preserve"> given the </w:t>
      </w:r>
      <w:r w:rsidR="006E234A">
        <w:t xml:space="preserve">relatively low </w:t>
      </w:r>
      <w:r w:rsidR="00D852CD">
        <w:t>cost of FGF-23 testing</w:t>
      </w:r>
      <w:r w:rsidR="00E87789">
        <w:t xml:space="preserve"> </w:t>
      </w:r>
      <w:r w:rsidR="006E234A">
        <w:t xml:space="preserve">compared </w:t>
      </w:r>
      <w:r w:rsidR="00E87789">
        <w:t xml:space="preserve">to the costs of </w:t>
      </w:r>
      <w:r w:rsidR="00251671">
        <w:t xml:space="preserve">accessing </w:t>
      </w:r>
      <w:r w:rsidR="002D2E33">
        <w:t xml:space="preserve">non-PBS </w:t>
      </w:r>
      <w:r w:rsidR="00A40395">
        <w:t>b</w:t>
      </w:r>
      <w:r w:rsidR="00E87789">
        <w:t>urosumab</w:t>
      </w:r>
      <w:r w:rsidR="009D78B2">
        <w:t>.</w:t>
      </w:r>
    </w:p>
    <w:p w14:paraId="53868E34" w14:textId="028F36A7" w:rsidR="00B4009B" w:rsidRDefault="00B4009B" w:rsidP="00B4009B">
      <w:pPr>
        <w:pStyle w:val="Heading3"/>
      </w:pPr>
      <w:r>
        <w:lastRenderedPageBreak/>
        <w:t>Clinical guideline</w:t>
      </w:r>
      <w:r w:rsidR="006122BA">
        <w:t xml:space="preserve"> </w:t>
      </w:r>
      <w:r w:rsidR="00F7658F">
        <w:t xml:space="preserve">recommendations on FGF-23 testing </w:t>
      </w:r>
      <w:r w:rsidR="006122BA">
        <w:t xml:space="preserve">for diagnosis of </w:t>
      </w:r>
      <w:proofErr w:type="gramStart"/>
      <w:r w:rsidR="006122BA">
        <w:t>XLH</w:t>
      </w:r>
      <w:proofErr w:type="gramEnd"/>
    </w:p>
    <w:p w14:paraId="6C0A4B36" w14:textId="77777777" w:rsidR="00B4009B" w:rsidRDefault="00B4009B" w:rsidP="00B4009B">
      <w:r>
        <w:t>The recommendations provided in clinical guidelines and consensus statements regarding FGF-23 testing for XLH vary between guidelines, and do not always include FGF-23 testing as part of the essential testing for a diagnosis of XLH. Notably, these guidelines do not specifically relate to the diagnosis of XLH for the purpose of accessing treatment with burosumab.</w:t>
      </w:r>
    </w:p>
    <w:p w14:paraId="61F44D27" w14:textId="139DB7D6" w:rsidR="00B4009B" w:rsidRPr="004B3152" w:rsidRDefault="00B4009B" w:rsidP="00B4009B">
      <w:r>
        <w:t>The 2023 ‘</w:t>
      </w:r>
      <w:r w:rsidRPr="00F556A6">
        <w:t>Asia-</w:t>
      </w:r>
      <w:r>
        <w:t>P</w:t>
      </w:r>
      <w:r w:rsidRPr="00F556A6">
        <w:t xml:space="preserve">acific </w:t>
      </w:r>
      <w:r>
        <w:t>c</w:t>
      </w:r>
      <w:r w:rsidRPr="00F556A6">
        <w:t xml:space="preserve">onsensus </w:t>
      </w:r>
      <w:r>
        <w:t>r</w:t>
      </w:r>
      <w:r w:rsidRPr="00F556A6">
        <w:t xml:space="preserve">ecommendations on </w:t>
      </w:r>
      <w:r>
        <w:t>X-linked hypophosphatemia’</w:t>
      </w:r>
      <w:r w:rsidRPr="004B3152">
        <w:rPr>
          <w:vertAlign w:val="superscript"/>
        </w:rPr>
        <w:fldChar w:fldCharType="begin"/>
      </w:r>
      <w:r w:rsidRPr="004B3152">
        <w:rPr>
          <w:vertAlign w:val="superscript"/>
        </w:rPr>
        <w:instrText xml:space="preserve"> NOTEREF _Ref170207387 \h </w:instrText>
      </w:r>
      <w:r>
        <w:rPr>
          <w:vertAlign w:val="superscript"/>
        </w:rPr>
        <w:instrText xml:space="preserve"> \* MERGEFORMAT </w:instrText>
      </w:r>
      <w:r w:rsidRPr="004B3152">
        <w:rPr>
          <w:vertAlign w:val="superscript"/>
        </w:rPr>
      </w:r>
      <w:r w:rsidRPr="004B3152">
        <w:rPr>
          <w:vertAlign w:val="superscript"/>
        </w:rPr>
        <w:fldChar w:fldCharType="separate"/>
      </w:r>
      <w:r w:rsidR="00A367FC">
        <w:rPr>
          <w:vertAlign w:val="superscript"/>
        </w:rPr>
        <w:t>1</w:t>
      </w:r>
      <w:r w:rsidRPr="004B3152">
        <w:rPr>
          <w:vertAlign w:val="superscript"/>
        </w:rPr>
        <w:fldChar w:fldCharType="end"/>
      </w:r>
      <w:r>
        <w:t xml:space="preserve"> propose that e</w:t>
      </w:r>
      <w:r w:rsidRPr="007D1378">
        <w:t>levated or inappropriately normal FGF</w:t>
      </w:r>
      <w:r>
        <w:t>-</w:t>
      </w:r>
      <w:r w:rsidRPr="007D1378">
        <w:t>23</w:t>
      </w:r>
      <w:r>
        <w:t xml:space="preserve"> </w:t>
      </w:r>
      <w:r w:rsidRPr="00842AE5">
        <w:t xml:space="preserve">may be used as </w:t>
      </w:r>
      <w:r>
        <w:t>an ‘</w:t>
      </w:r>
      <w:r w:rsidRPr="00842AE5">
        <w:t>additional</w:t>
      </w:r>
      <w:r>
        <w:t>’</w:t>
      </w:r>
      <w:r w:rsidRPr="00842AE5">
        <w:t xml:space="preserve"> criteria to support or further confirm the diagnosis of XLH in children (Statement 2B, GRADE: high quality) and adults (Statement 3B, GRADE: high quality)</w:t>
      </w:r>
      <w:r>
        <w:t>, but do not include FGF-23 testing as an ‘</w:t>
      </w:r>
      <w:r w:rsidRPr="009618E6">
        <w:t>essential</w:t>
      </w:r>
      <w:r>
        <w:t>’</w:t>
      </w:r>
      <w:r w:rsidRPr="009618E6">
        <w:t xml:space="preserve"> </w:t>
      </w:r>
      <w:r>
        <w:t xml:space="preserve">criteria to confirm the diagnosis of XLH in children (Statement 2A, </w:t>
      </w:r>
      <w:r w:rsidRPr="00F81442">
        <w:t>GRADE</w:t>
      </w:r>
      <w:r>
        <w:rPr>
          <w:i/>
          <w:iCs/>
        </w:rPr>
        <w:t xml:space="preserve">: </w:t>
      </w:r>
      <w:r w:rsidRPr="001F12FE">
        <w:t>high quality</w:t>
      </w:r>
      <w:r>
        <w:rPr>
          <w:i/>
          <w:iCs/>
        </w:rPr>
        <w:t>)</w:t>
      </w:r>
      <w:r>
        <w:t xml:space="preserve"> or</w:t>
      </w:r>
      <w:r w:rsidRPr="003E1390">
        <w:t xml:space="preserve"> adults</w:t>
      </w:r>
      <w:r>
        <w:t xml:space="preserve"> (Statement 3A, </w:t>
      </w:r>
      <w:r w:rsidRPr="00F81442">
        <w:t>GRADE</w:t>
      </w:r>
      <w:r>
        <w:rPr>
          <w:i/>
          <w:iCs/>
        </w:rPr>
        <w:t xml:space="preserve">: </w:t>
      </w:r>
      <w:r w:rsidRPr="001F12FE">
        <w:t>high quality</w:t>
      </w:r>
      <w:r w:rsidRPr="004B3152">
        <w:t>).</w:t>
      </w:r>
    </w:p>
    <w:p w14:paraId="7440B8CA" w14:textId="01B41CEE" w:rsidR="00B4009B" w:rsidRPr="00360CD7" w:rsidRDefault="00B4009B" w:rsidP="00B4009B">
      <w:r>
        <w:t>The 2019 ‘</w:t>
      </w:r>
      <w:r w:rsidRPr="00284E81">
        <w:t>Clinical practice recommendations for the diagnosis and management of X- linked hypophosphataemia</w:t>
      </w:r>
      <w:r>
        <w:t>’</w:t>
      </w:r>
      <w:r w:rsidRPr="004B3152">
        <w:rPr>
          <w:vertAlign w:val="superscript"/>
        </w:rPr>
        <w:fldChar w:fldCharType="begin"/>
      </w:r>
      <w:r w:rsidRPr="004B3152">
        <w:rPr>
          <w:vertAlign w:val="superscript"/>
        </w:rPr>
        <w:instrText xml:space="preserve"> NOTEREF _Ref170210151 \h </w:instrText>
      </w:r>
      <w:r>
        <w:rPr>
          <w:vertAlign w:val="superscript"/>
        </w:rPr>
        <w:instrText xml:space="preserve"> \* MERGEFORMAT </w:instrText>
      </w:r>
      <w:r w:rsidRPr="004B3152">
        <w:rPr>
          <w:vertAlign w:val="superscript"/>
        </w:rPr>
      </w:r>
      <w:r w:rsidRPr="004B3152">
        <w:rPr>
          <w:vertAlign w:val="superscript"/>
        </w:rPr>
        <w:fldChar w:fldCharType="separate"/>
      </w:r>
      <w:r w:rsidR="00A367FC">
        <w:rPr>
          <w:vertAlign w:val="superscript"/>
        </w:rPr>
        <w:t>2</w:t>
      </w:r>
      <w:r w:rsidRPr="004B3152">
        <w:rPr>
          <w:vertAlign w:val="superscript"/>
        </w:rPr>
        <w:fldChar w:fldCharType="end"/>
      </w:r>
      <w:r>
        <w:t xml:space="preserve"> do not include FGF-23 testing in their recommendation regarding the initial diagnostic work-up for XLH. C</w:t>
      </w:r>
      <w:r w:rsidRPr="002B5B4F">
        <w:t>onfirming the clinical diagnosis of X</w:t>
      </w:r>
      <w:r>
        <w:t>L</w:t>
      </w:r>
      <w:r w:rsidRPr="002B5B4F">
        <w:t xml:space="preserve">H by genetic analysis of the PHEX gene </w:t>
      </w:r>
      <w:r>
        <w:t>is recommended</w:t>
      </w:r>
      <w:r w:rsidRPr="002B5B4F">
        <w:t xml:space="preserve"> if feasible (grade B, moderate recommendation)</w:t>
      </w:r>
      <w:r>
        <w:t xml:space="preserve">, and where genetic analysis is not available, </w:t>
      </w:r>
      <w:r w:rsidRPr="002B4CB3">
        <w:t xml:space="preserve">elevated plasma levels of </w:t>
      </w:r>
      <w:r>
        <w:t>iFGF-23</w:t>
      </w:r>
      <w:r w:rsidRPr="002B4CB3">
        <w:t xml:space="preserve"> and/or a positive family history for X</w:t>
      </w:r>
      <w:r>
        <w:t>L</w:t>
      </w:r>
      <w:r w:rsidRPr="002B4CB3">
        <w:t>H support the diagnosis (grade C, moderate recommendation)</w:t>
      </w:r>
      <w:r>
        <w:t>.</w:t>
      </w:r>
    </w:p>
    <w:p w14:paraId="54723E1B" w14:textId="5D810408" w:rsidR="00B4009B" w:rsidRPr="00CA66BD" w:rsidRDefault="00B4009B" w:rsidP="0044045A">
      <w:r>
        <w:t>The 2022 ‘</w:t>
      </w:r>
      <w:r w:rsidRPr="00942FAD">
        <w:t>Interdisciplinary management of FGF23-related phosphate wasting syndromes</w:t>
      </w:r>
      <w:r>
        <w:t>: a consensus statement on the evaluation, diagnosis and care of patients with X-linked hypophosphataemia’</w:t>
      </w:r>
      <w:r w:rsidRPr="00847226">
        <w:rPr>
          <w:vertAlign w:val="superscript"/>
        </w:rPr>
        <w:fldChar w:fldCharType="begin"/>
      </w:r>
      <w:r w:rsidRPr="00847226">
        <w:rPr>
          <w:vertAlign w:val="superscript"/>
        </w:rPr>
        <w:instrText xml:space="preserve"> NOTEREF _Ref170211198 \h </w:instrText>
      </w:r>
      <w:r>
        <w:rPr>
          <w:vertAlign w:val="superscript"/>
        </w:rPr>
        <w:instrText xml:space="preserve"> \* MERGEFORMAT </w:instrText>
      </w:r>
      <w:r w:rsidRPr="00847226">
        <w:rPr>
          <w:vertAlign w:val="superscript"/>
        </w:rPr>
      </w:r>
      <w:r w:rsidRPr="00847226">
        <w:rPr>
          <w:vertAlign w:val="superscript"/>
        </w:rPr>
        <w:fldChar w:fldCharType="separate"/>
      </w:r>
      <w:r w:rsidR="00A367FC">
        <w:rPr>
          <w:vertAlign w:val="superscript"/>
        </w:rPr>
        <w:t>3</w:t>
      </w:r>
      <w:r w:rsidRPr="00847226">
        <w:rPr>
          <w:vertAlign w:val="superscript"/>
        </w:rPr>
        <w:fldChar w:fldCharType="end"/>
      </w:r>
      <w:r>
        <w:t xml:space="preserve"> recommends that FGF-23 testing should be included in the evaluation of a patient with hypophosphatemia. Detecting inappropriately normal or elevated iFGF-23 levels using an intact FGF-23 assay is compatible with the diagnosis of FGF-23-mediated hypophosphatemia, of which XLH is one possible diagnosis.</w:t>
      </w:r>
    </w:p>
    <w:p w14:paraId="66BDFCC1" w14:textId="58874758" w:rsidR="00772829" w:rsidRPr="00CE28E3" w:rsidRDefault="009D5F97" w:rsidP="002A18BE">
      <w:pPr>
        <w:pStyle w:val="Heading2"/>
        <w:numPr>
          <w:ilvl w:val="0"/>
          <w:numId w:val="0"/>
        </w:numPr>
      </w:pPr>
      <w:bookmarkStart w:id="23" w:name="_Toc166074003"/>
      <w:r>
        <w:t>8</w:t>
      </w:r>
      <w:r w:rsidR="00C36633">
        <w:t>.</w:t>
      </w:r>
      <w:r w:rsidR="00C36633">
        <w:tab/>
      </w:r>
      <w:r w:rsidR="00772829" w:rsidRPr="00CE28E3">
        <w:t>Comparator</w:t>
      </w:r>
      <w:bookmarkEnd w:id="23"/>
    </w:p>
    <w:p w14:paraId="738A25C7" w14:textId="77777777" w:rsidR="00F5124B" w:rsidRPr="001C46A8" w:rsidRDefault="008B59E5" w:rsidP="00F5124B">
      <w:pPr>
        <w:pStyle w:val="Instructionaltext"/>
        <w:rPr>
          <w:color w:val="auto"/>
        </w:rPr>
      </w:pPr>
      <w:r w:rsidRPr="001C46A8">
        <w:rPr>
          <w:color w:val="auto"/>
        </w:rPr>
        <w:t>The alternative to FGF-23 testing is no testing and consequently no access to bur</w:t>
      </w:r>
      <w:r w:rsidR="00392FCB" w:rsidRPr="001C46A8">
        <w:rPr>
          <w:color w:val="auto"/>
        </w:rPr>
        <w:t xml:space="preserve">osumab on the PBS. </w:t>
      </w:r>
    </w:p>
    <w:p w14:paraId="2F1DE992" w14:textId="15BE5722" w:rsidR="00F5124B" w:rsidRDefault="00431207" w:rsidP="00F5124B">
      <w:pPr>
        <w:pStyle w:val="Instructionaltext"/>
        <w:rPr>
          <w:color w:val="auto"/>
        </w:rPr>
      </w:pPr>
      <w:r w:rsidRPr="001C46A8">
        <w:rPr>
          <w:color w:val="auto"/>
        </w:rPr>
        <w:t>Alternatively</w:t>
      </w:r>
      <w:r w:rsidR="00634751" w:rsidRPr="001C46A8">
        <w:rPr>
          <w:color w:val="auto"/>
        </w:rPr>
        <w:t>, g</w:t>
      </w:r>
      <w:r w:rsidR="009105DD" w:rsidRPr="001C46A8">
        <w:rPr>
          <w:color w:val="auto"/>
        </w:rPr>
        <w:t xml:space="preserve">enetic testing for a PHEX </w:t>
      </w:r>
      <w:r w:rsidR="00472F3B" w:rsidRPr="001C46A8">
        <w:rPr>
          <w:color w:val="auto"/>
        </w:rPr>
        <w:t xml:space="preserve">pathogenic </w:t>
      </w:r>
      <w:r w:rsidR="009105DD" w:rsidRPr="001C46A8">
        <w:rPr>
          <w:color w:val="auto"/>
        </w:rPr>
        <w:t xml:space="preserve">variant to gain access to burosumab could be considered a comparator to FGF-23 testing. </w:t>
      </w:r>
      <w:r w:rsidR="00F5124B" w:rsidRPr="0047126A">
        <w:rPr>
          <w:color w:val="auto"/>
        </w:rPr>
        <w:t>PHEX testing is funded on the MBS under</w:t>
      </w:r>
      <w:r w:rsidR="00171013">
        <w:rPr>
          <w:color w:val="auto"/>
        </w:rPr>
        <w:t xml:space="preserve"> several different items, for example</w:t>
      </w:r>
      <w:r w:rsidR="00F5124B" w:rsidRPr="0047126A">
        <w:rPr>
          <w:color w:val="auto"/>
        </w:rPr>
        <w:t xml:space="preserve"> item 73291</w:t>
      </w:r>
      <w:r w:rsidR="00F5124B" w:rsidRPr="005E0BAA">
        <w:rPr>
          <w:color w:val="auto"/>
        </w:rPr>
        <w:t xml:space="preserve"> (see</w:t>
      </w:r>
      <w:r w:rsidR="005E0BAA" w:rsidRPr="005E0BAA">
        <w:rPr>
          <w:color w:val="auto"/>
        </w:rPr>
        <w:t xml:space="preserve"> </w:t>
      </w:r>
      <w:r w:rsidR="005E0BAA" w:rsidRPr="005E0BAA">
        <w:rPr>
          <w:color w:val="auto"/>
        </w:rPr>
        <w:fldChar w:fldCharType="begin"/>
      </w:r>
      <w:r w:rsidR="005E0BAA" w:rsidRPr="005E0BAA">
        <w:rPr>
          <w:color w:val="auto"/>
        </w:rPr>
        <w:instrText xml:space="preserve"> REF _Ref168478799 \h  \* MERGEFORMAT </w:instrText>
      </w:r>
      <w:r w:rsidR="005E0BAA" w:rsidRPr="005E0BAA">
        <w:rPr>
          <w:color w:val="auto"/>
        </w:rPr>
      </w:r>
      <w:r w:rsidR="005E0BAA" w:rsidRPr="005E0BAA">
        <w:rPr>
          <w:color w:val="auto"/>
        </w:rPr>
        <w:fldChar w:fldCharType="separate"/>
      </w:r>
      <w:r w:rsidR="00A367FC" w:rsidRPr="00976046">
        <w:rPr>
          <w:color w:val="auto"/>
        </w:rPr>
        <w:t>Table 5</w:t>
      </w:r>
      <w:r w:rsidR="005E0BAA" w:rsidRPr="005E0BAA">
        <w:rPr>
          <w:color w:val="auto"/>
        </w:rPr>
        <w:fldChar w:fldCharType="end"/>
      </w:r>
      <w:r w:rsidR="00F5124B" w:rsidRPr="005E0BAA">
        <w:rPr>
          <w:color w:val="auto"/>
        </w:rPr>
        <w:t>).</w:t>
      </w:r>
      <w:r w:rsidR="0093606F">
        <w:rPr>
          <w:color w:val="auto"/>
        </w:rPr>
        <w:t xml:space="preserve"> </w:t>
      </w:r>
      <w:r w:rsidR="0093606F" w:rsidRPr="0093606F">
        <w:rPr>
          <w:color w:val="auto"/>
        </w:rPr>
        <w:t xml:space="preserve">The Hypophosphatemic Working Party of the ANZBMS </w:t>
      </w:r>
      <w:r w:rsidR="000B585B">
        <w:rPr>
          <w:color w:val="auto"/>
        </w:rPr>
        <w:t xml:space="preserve">have </w:t>
      </w:r>
      <w:r w:rsidR="00A92ADA">
        <w:rPr>
          <w:color w:val="auto"/>
        </w:rPr>
        <w:t>suggested</w:t>
      </w:r>
      <w:r w:rsidR="0093606F" w:rsidRPr="0093606F">
        <w:rPr>
          <w:color w:val="auto"/>
        </w:rPr>
        <w:t xml:space="preserve"> that FGF-23 testing would be used preferentially to PHEX testing </w:t>
      </w:r>
      <w:r w:rsidR="00E5187D">
        <w:rPr>
          <w:color w:val="auto"/>
        </w:rPr>
        <w:t>to gain access to burosumab on</w:t>
      </w:r>
      <w:r w:rsidR="0093606F" w:rsidRPr="0093606F">
        <w:rPr>
          <w:color w:val="auto"/>
        </w:rPr>
        <w:t xml:space="preserve"> </w:t>
      </w:r>
      <w:r w:rsidR="00266D54">
        <w:rPr>
          <w:color w:val="auto"/>
        </w:rPr>
        <w:t xml:space="preserve">the </w:t>
      </w:r>
      <w:r w:rsidR="00E5187D">
        <w:rPr>
          <w:color w:val="auto"/>
        </w:rPr>
        <w:t xml:space="preserve">PBS </w:t>
      </w:r>
      <w:r w:rsidR="0093606F" w:rsidRPr="0093606F">
        <w:rPr>
          <w:color w:val="auto"/>
        </w:rPr>
        <w:t>due to cost</w:t>
      </w:r>
      <w:r w:rsidR="008229A0">
        <w:rPr>
          <w:color w:val="auto"/>
        </w:rPr>
        <w:t>,</w:t>
      </w:r>
      <w:r w:rsidR="0093606F" w:rsidRPr="0093606F">
        <w:rPr>
          <w:color w:val="auto"/>
        </w:rPr>
        <w:t xml:space="preserve"> </w:t>
      </w:r>
      <w:proofErr w:type="gramStart"/>
      <w:r w:rsidR="0093606F" w:rsidRPr="0093606F">
        <w:rPr>
          <w:color w:val="auto"/>
        </w:rPr>
        <w:t>accessibility</w:t>
      </w:r>
      <w:proofErr w:type="gramEnd"/>
      <w:r w:rsidR="008229A0">
        <w:rPr>
          <w:color w:val="auto"/>
        </w:rPr>
        <w:t xml:space="preserve"> and turnaround time</w:t>
      </w:r>
      <w:r w:rsidR="0093606F" w:rsidRPr="0093606F">
        <w:rPr>
          <w:color w:val="auto"/>
        </w:rPr>
        <w:t>.</w:t>
      </w:r>
      <w:r w:rsidR="006B235C">
        <w:rPr>
          <w:color w:val="auto"/>
        </w:rPr>
        <w:t xml:space="preserve"> </w:t>
      </w:r>
      <w:r w:rsidR="007E7F63">
        <w:rPr>
          <w:color w:val="auto"/>
        </w:rPr>
        <w:t>The</w:t>
      </w:r>
      <w:r w:rsidR="006B235C" w:rsidRPr="006B235C">
        <w:rPr>
          <w:color w:val="auto"/>
        </w:rPr>
        <w:t xml:space="preserve"> Working </w:t>
      </w:r>
      <w:r w:rsidR="00E5187D">
        <w:rPr>
          <w:color w:val="auto"/>
        </w:rPr>
        <w:t>P</w:t>
      </w:r>
      <w:r w:rsidR="006B235C" w:rsidRPr="006B235C">
        <w:rPr>
          <w:color w:val="auto"/>
        </w:rPr>
        <w:t xml:space="preserve">arty </w:t>
      </w:r>
      <w:r w:rsidR="007E7F63">
        <w:rPr>
          <w:color w:val="auto"/>
        </w:rPr>
        <w:t>advised that</w:t>
      </w:r>
      <w:r w:rsidR="006B235C" w:rsidRPr="006B235C">
        <w:rPr>
          <w:color w:val="auto"/>
        </w:rPr>
        <w:t xml:space="preserve"> although PHEX testing is available in Australia, genetic counselling services and specialised testing laboratories have limited capacity, and accessing PHEX testing is particularly challenging for patients in rural and remote areas.</w:t>
      </w:r>
    </w:p>
    <w:p w14:paraId="2996649A" w14:textId="5AC24388" w:rsidR="00F5124B" w:rsidRDefault="00F5124B" w:rsidP="00F5124B">
      <w:pPr>
        <w:pStyle w:val="Caption"/>
      </w:pPr>
      <w:bookmarkStart w:id="24" w:name="_Ref168478799"/>
      <w:r>
        <w:lastRenderedPageBreak/>
        <w:t xml:space="preserve">Table </w:t>
      </w:r>
      <w:r w:rsidR="00BF42A8">
        <w:fldChar w:fldCharType="begin"/>
      </w:r>
      <w:r w:rsidR="00BF42A8">
        <w:instrText xml:space="preserve"> SEQ Table \* ARABIC </w:instrText>
      </w:r>
      <w:r w:rsidR="00BF42A8">
        <w:fldChar w:fldCharType="separate"/>
      </w:r>
      <w:r w:rsidR="00A367FC">
        <w:rPr>
          <w:noProof/>
        </w:rPr>
        <w:t>5</w:t>
      </w:r>
      <w:r w:rsidR="00BF42A8">
        <w:rPr>
          <w:noProof/>
        </w:rPr>
        <w:fldChar w:fldCharType="end"/>
      </w:r>
      <w:bookmarkEnd w:id="24"/>
      <w:r>
        <w:tab/>
        <w:t>MBS item relevant to PHEX testing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MBS item relevant to PHEX testing"/>
        <w:tblDescription w:val="This table outlines the MBS item relevant to PHEX testing."/>
      </w:tblPr>
      <w:tblGrid>
        <w:gridCol w:w="9016"/>
      </w:tblGrid>
      <w:tr w:rsidR="00F5124B" w:rsidRPr="00CE28E3" w14:paraId="12E200A6" w14:textId="77777777">
        <w:trPr>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099E2444" w14:textId="77777777" w:rsidR="00F5124B" w:rsidRPr="00CE28E3" w:rsidRDefault="00F5124B">
            <w:pPr>
              <w:pStyle w:val="TableText"/>
              <w:rPr>
                <w:sz w:val="24"/>
              </w:rPr>
            </w:pPr>
            <w:r w:rsidRPr="00E50A82">
              <w:t>Category 6 – Pathology Services</w:t>
            </w:r>
            <w:r>
              <w:br/>
              <w:t>Group P7 – Genetics</w:t>
            </w:r>
          </w:p>
        </w:tc>
      </w:tr>
      <w:tr w:rsidR="00F5124B" w:rsidRPr="00CE28E3" w14:paraId="480972A0" w14:textId="77777777">
        <w:tc>
          <w:tcPr>
            <w:tcW w:w="5000" w:type="pct"/>
            <w:tcBorders>
              <w:top w:val="single" w:sz="4" w:space="0" w:color="000000"/>
              <w:left w:val="single" w:sz="4" w:space="0" w:color="000000"/>
              <w:bottom w:val="single" w:sz="4" w:space="0" w:color="000000"/>
              <w:right w:val="single" w:sz="4" w:space="0" w:color="000000"/>
            </w:tcBorders>
            <w:hideMark/>
          </w:tcPr>
          <w:p w14:paraId="033F9FC6" w14:textId="77777777" w:rsidR="00F5124B" w:rsidRPr="00A40863" w:rsidRDefault="00F5124B" w:rsidP="004A5C89">
            <w:pPr>
              <w:keepNext/>
              <w:spacing w:after="120" w:line="240" w:lineRule="auto"/>
              <w:rPr>
                <w:rFonts w:ascii="Arial Narrow" w:hAnsi="Arial Narrow"/>
                <w:sz w:val="20"/>
                <w:szCs w:val="20"/>
                <w:lang w:val="en-US" w:eastAsia="ja-JP"/>
              </w:rPr>
            </w:pPr>
            <w:r w:rsidRPr="00A40863">
              <w:rPr>
                <w:rFonts w:ascii="Arial Narrow" w:hAnsi="Arial Narrow"/>
                <w:sz w:val="20"/>
                <w:szCs w:val="20"/>
                <w:lang w:val="en-US" w:eastAsia="ja-JP"/>
              </w:rPr>
              <w:t xml:space="preserve">73291 </w:t>
            </w:r>
          </w:p>
          <w:p w14:paraId="3AE11CA3" w14:textId="77777777" w:rsidR="00F5124B" w:rsidRPr="00A40863" w:rsidRDefault="00F5124B" w:rsidP="004A5C89">
            <w:pPr>
              <w:keepNext/>
              <w:spacing w:after="120" w:line="240" w:lineRule="auto"/>
              <w:rPr>
                <w:rFonts w:ascii="Arial Narrow" w:hAnsi="Arial Narrow"/>
                <w:sz w:val="20"/>
                <w:szCs w:val="20"/>
                <w:lang w:val="en-US" w:eastAsia="ja-JP"/>
              </w:rPr>
            </w:pPr>
            <w:r w:rsidRPr="00A40863">
              <w:rPr>
                <w:rFonts w:ascii="Arial Narrow" w:hAnsi="Arial Narrow"/>
                <w:sz w:val="20"/>
                <w:szCs w:val="20"/>
                <w:lang w:val="en-US" w:eastAsia="ja-JP"/>
              </w:rPr>
              <w:t>Analysis of one or more chromosome regions for specific constitutional genetic abnormalities of blood or fresh tissue in</w:t>
            </w:r>
          </w:p>
          <w:p w14:paraId="69146B69" w14:textId="18354B1B" w:rsidR="00F5124B" w:rsidRPr="00A40863" w:rsidRDefault="00F5124B" w:rsidP="004A5C89">
            <w:pPr>
              <w:keepNext/>
              <w:spacing w:after="120" w:line="240" w:lineRule="auto"/>
              <w:rPr>
                <w:rFonts w:ascii="Arial Narrow" w:hAnsi="Arial Narrow"/>
                <w:sz w:val="20"/>
                <w:szCs w:val="20"/>
                <w:lang w:val="en-US" w:eastAsia="ja-JP"/>
              </w:rPr>
            </w:pPr>
            <w:r w:rsidRPr="00A40863">
              <w:rPr>
                <w:rFonts w:ascii="Arial Narrow" w:hAnsi="Arial Narrow"/>
                <w:sz w:val="20"/>
                <w:szCs w:val="20"/>
                <w:lang w:val="en-US" w:eastAsia="ja-JP"/>
              </w:rPr>
              <w:t>a)  diagnostic studies of a person with developmental delay, intellectual disability, autism, or at least two congenital abnormalities, in whom cytogenetic studies (item 73287 or 73289) are either normal or have not been performed; or</w:t>
            </w:r>
          </w:p>
          <w:p w14:paraId="4F6995F4" w14:textId="3C22A3AA" w:rsidR="00F5124B" w:rsidRPr="00A40863" w:rsidRDefault="00F5124B" w:rsidP="004A5C89">
            <w:pPr>
              <w:keepNext/>
              <w:spacing w:after="120" w:line="240" w:lineRule="auto"/>
              <w:rPr>
                <w:rFonts w:ascii="Arial Narrow" w:hAnsi="Arial Narrow"/>
                <w:sz w:val="20"/>
                <w:szCs w:val="20"/>
                <w:lang w:val="en-US" w:eastAsia="ja-JP"/>
              </w:rPr>
            </w:pPr>
            <w:r w:rsidRPr="00A40863">
              <w:rPr>
                <w:rFonts w:ascii="Arial Narrow" w:hAnsi="Arial Narrow"/>
                <w:sz w:val="20"/>
                <w:szCs w:val="20"/>
                <w:lang w:val="en-US" w:eastAsia="ja-JP"/>
              </w:rPr>
              <w:t>b)  studies of a relative for an abnormality previously identified in such an affected person.</w:t>
            </w:r>
          </w:p>
          <w:p w14:paraId="20AA8051" w14:textId="77777777" w:rsidR="00F5124B" w:rsidRPr="00170D5B" w:rsidRDefault="00F5124B" w:rsidP="004A5C89">
            <w:pPr>
              <w:keepNext/>
              <w:spacing w:after="120" w:line="240" w:lineRule="auto"/>
              <w:rPr>
                <w:rFonts w:ascii="Arial Narrow" w:hAnsi="Arial Narrow"/>
                <w:sz w:val="20"/>
                <w:szCs w:val="20"/>
                <w:lang w:val="en-US" w:eastAsia="ja-JP"/>
              </w:rPr>
            </w:pPr>
            <w:r w:rsidRPr="00A40863">
              <w:rPr>
                <w:rFonts w:ascii="Arial Narrow" w:hAnsi="Arial Narrow"/>
                <w:sz w:val="20"/>
                <w:szCs w:val="20"/>
                <w:lang w:val="en-US" w:eastAsia="ja-JP"/>
              </w:rPr>
              <w:t>- 1 or more tests.</w:t>
            </w:r>
          </w:p>
        </w:tc>
      </w:tr>
      <w:tr w:rsidR="00F5124B" w:rsidRPr="005D749D" w14:paraId="05705ECB" w14:textId="77777777">
        <w:tc>
          <w:tcPr>
            <w:tcW w:w="5000" w:type="pct"/>
            <w:tcBorders>
              <w:top w:val="single" w:sz="4" w:space="0" w:color="000000"/>
              <w:left w:val="single" w:sz="4" w:space="0" w:color="000000"/>
              <w:bottom w:val="single" w:sz="4" w:space="0" w:color="000000"/>
              <w:right w:val="single" w:sz="4" w:space="0" w:color="000000"/>
            </w:tcBorders>
            <w:vAlign w:val="center"/>
            <w:hideMark/>
          </w:tcPr>
          <w:p w14:paraId="2D7F3DBE" w14:textId="77777777" w:rsidR="00F5124B" w:rsidRPr="005D749D" w:rsidRDefault="00F5124B">
            <w:pPr>
              <w:pStyle w:val="TableText"/>
              <w:tabs>
                <w:tab w:val="left" w:pos="1134"/>
                <w:tab w:val="left" w:pos="3119"/>
              </w:tabs>
              <w:rPr>
                <w:szCs w:val="20"/>
              </w:rPr>
            </w:pPr>
            <w:r w:rsidRPr="00F1251B">
              <w:rPr>
                <w:b/>
                <w:bCs/>
                <w:szCs w:val="20"/>
              </w:rPr>
              <w:t>Fee</w:t>
            </w:r>
            <w:r w:rsidRPr="00C7644B">
              <w:rPr>
                <w:szCs w:val="20"/>
              </w:rPr>
              <w:t xml:space="preserve">: $230.95 </w:t>
            </w:r>
            <w:r w:rsidRPr="00F1251B">
              <w:rPr>
                <w:b/>
                <w:bCs/>
                <w:szCs w:val="20"/>
              </w:rPr>
              <w:t>Benefit</w:t>
            </w:r>
            <w:r w:rsidRPr="00C7644B">
              <w:rPr>
                <w:szCs w:val="20"/>
              </w:rPr>
              <w:t>: 75% = $173.25 85% = $196.35</w:t>
            </w:r>
          </w:p>
        </w:tc>
      </w:tr>
    </w:tbl>
    <w:p w14:paraId="42F15123" w14:textId="77777777" w:rsidR="00F5124B" w:rsidRDefault="00F5124B" w:rsidP="00EF0317">
      <w:pPr>
        <w:pStyle w:val="TableFigureFooter"/>
        <w:spacing w:after="0"/>
      </w:pPr>
      <w:r>
        <w:t xml:space="preserve">PHEX = </w:t>
      </w:r>
      <w:r w:rsidRPr="0064186B">
        <w:t>phosphate-regulating endopeptidase homolog X-linked</w:t>
      </w:r>
      <w:r>
        <w:t>.</w:t>
      </w:r>
    </w:p>
    <w:p w14:paraId="3EC278D1" w14:textId="76F9F24A" w:rsidR="00F5124B" w:rsidRPr="00CA66BD" w:rsidRDefault="00F5124B" w:rsidP="00EF0317">
      <w:pPr>
        <w:pStyle w:val="TableFigureFooter"/>
        <w:spacing w:before="0"/>
      </w:pPr>
      <w:r>
        <w:t>Source: MBS Online (Accessed 30 May 2024)</w:t>
      </w:r>
      <w:r w:rsidR="009A200F">
        <w:t>.</w:t>
      </w:r>
    </w:p>
    <w:p w14:paraId="6A51859F" w14:textId="39AB0FB0" w:rsidR="00F2320C" w:rsidRDefault="00006C88" w:rsidP="00F2320C">
      <w:r>
        <w:t>C</w:t>
      </w:r>
      <w:r w:rsidR="002C1426">
        <w:t>omparative</w:t>
      </w:r>
      <w:r w:rsidR="00ED7A12">
        <w:t xml:space="preserve"> safety and effectiveness </w:t>
      </w:r>
      <w:r w:rsidR="00540AF5">
        <w:t>were</w:t>
      </w:r>
      <w:r w:rsidR="00ED7A12">
        <w:t xml:space="preserve"> not i</w:t>
      </w:r>
      <w:r w:rsidR="00E25892">
        <w:t>n</w:t>
      </w:r>
      <w:r w:rsidR="00ED7A12">
        <w:t xml:space="preserve"> scope for </w:t>
      </w:r>
      <w:r w:rsidR="3919369F">
        <w:t xml:space="preserve">the assessment of </w:t>
      </w:r>
      <w:r w:rsidR="0067240C">
        <w:t>this</w:t>
      </w:r>
      <w:r w:rsidR="00ED7A12">
        <w:t xml:space="preserve"> </w:t>
      </w:r>
      <w:r w:rsidR="2032F1F0">
        <w:t>application</w:t>
      </w:r>
      <w:r w:rsidR="00E25892">
        <w:t xml:space="preserve">. </w:t>
      </w:r>
    </w:p>
    <w:p w14:paraId="47BC3A84" w14:textId="54BBC321" w:rsidR="00772829" w:rsidRDefault="009D5F97" w:rsidP="002A18BE">
      <w:pPr>
        <w:pStyle w:val="Heading2"/>
        <w:numPr>
          <w:ilvl w:val="0"/>
          <w:numId w:val="0"/>
        </w:numPr>
      </w:pPr>
      <w:bookmarkStart w:id="25" w:name="_Toc166074004"/>
      <w:bookmarkStart w:id="26" w:name="_Ref168039619"/>
      <w:r>
        <w:t>9</w:t>
      </w:r>
      <w:r w:rsidR="00C36633">
        <w:t>.</w:t>
      </w:r>
      <w:r w:rsidR="00C36633">
        <w:tab/>
      </w:r>
      <w:r w:rsidR="00772829" w:rsidRPr="00246517">
        <w:t xml:space="preserve">Summary of public consultation </w:t>
      </w:r>
      <w:r w:rsidR="0052575D" w:rsidRPr="00246517">
        <w:t>input</w:t>
      </w:r>
      <w:bookmarkEnd w:id="25"/>
      <w:bookmarkEnd w:id="26"/>
    </w:p>
    <w:p w14:paraId="785770EB" w14:textId="69487177" w:rsidR="009D5F97" w:rsidRDefault="009D5F97" w:rsidP="009D5F97">
      <w:pPr>
        <w:spacing w:after="120"/>
      </w:pPr>
      <w:r w:rsidRPr="00D9123D">
        <w:t>Consultation input was received from</w:t>
      </w:r>
      <w:r>
        <w:t xml:space="preserve"> three</w:t>
      </w:r>
      <w:r w:rsidRPr="00D9123D">
        <w:t xml:space="preserve"> </w:t>
      </w:r>
      <w:r>
        <w:t>(3)</w:t>
      </w:r>
      <w:r w:rsidRPr="00D9123D">
        <w:t xml:space="preserve"> professional organisations</w:t>
      </w:r>
      <w:r>
        <w:t xml:space="preserve">: </w:t>
      </w:r>
    </w:p>
    <w:p w14:paraId="4D93EAA5" w14:textId="77777777" w:rsidR="009D5F97" w:rsidRDefault="009D5F97" w:rsidP="009D5F97">
      <w:pPr>
        <w:pStyle w:val="ListParagraph"/>
        <w:numPr>
          <w:ilvl w:val="0"/>
          <w:numId w:val="32"/>
        </w:numPr>
        <w:spacing w:before="0" w:after="120"/>
      </w:pPr>
      <w:r>
        <w:t>Public Pathology Australia (PPA) - targeted</w:t>
      </w:r>
    </w:p>
    <w:p w14:paraId="3E9D9EC6" w14:textId="77777777" w:rsidR="009D5F97" w:rsidRDefault="009D5F97" w:rsidP="009D5F97">
      <w:pPr>
        <w:pStyle w:val="ListParagraph"/>
        <w:numPr>
          <w:ilvl w:val="0"/>
          <w:numId w:val="32"/>
        </w:numPr>
        <w:spacing w:before="0" w:after="120"/>
      </w:pPr>
      <w:r>
        <w:t>Australian Pathology (AP)</w:t>
      </w:r>
    </w:p>
    <w:p w14:paraId="3FE0DBCF" w14:textId="77777777" w:rsidR="009D5F97" w:rsidRPr="009D5F97" w:rsidRDefault="009D5F97" w:rsidP="009D5F97">
      <w:pPr>
        <w:pStyle w:val="ListParagraph"/>
        <w:numPr>
          <w:ilvl w:val="0"/>
          <w:numId w:val="32"/>
        </w:numPr>
        <w:spacing w:before="0" w:after="120"/>
      </w:pPr>
      <w:r w:rsidRPr="009D5F97">
        <w:rPr>
          <w:rFonts w:eastAsia="Times New Roman" w:cs="Calibri"/>
          <w:color w:val="000000"/>
          <w:lang w:eastAsia="en-AU"/>
        </w:rPr>
        <w:t>Australia and NZ Bone and Mineral Society (ANZBMS)</w:t>
      </w:r>
    </w:p>
    <w:p w14:paraId="305D71C9" w14:textId="77777777" w:rsidR="009D5F97" w:rsidRDefault="009D5F97" w:rsidP="009D5F97">
      <w:pPr>
        <w:rPr>
          <w:b/>
          <w:bCs/>
        </w:rPr>
      </w:pPr>
      <w:r>
        <w:rPr>
          <w:b/>
          <w:bCs/>
        </w:rPr>
        <w:t>Benefits</w:t>
      </w:r>
    </w:p>
    <w:p w14:paraId="0BE300D8" w14:textId="77777777" w:rsidR="009D5F97" w:rsidRPr="009D420C" w:rsidRDefault="009D5F97" w:rsidP="009D5F97">
      <w:pPr>
        <w:pStyle w:val="ListParagraph"/>
        <w:numPr>
          <w:ilvl w:val="0"/>
          <w:numId w:val="32"/>
        </w:numPr>
        <w:spacing w:before="0"/>
      </w:pPr>
      <w:r w:rsidRPr="009D420C">
        <w:t>Significant improvements in quality of life (stiffness, muscle and bone pain and physical function) with burosumab, which is now available on the PBS for the treatment of XLH.</w:t>
      </w:r>
    </w:p>
    <w:p w14:paraId="1EA40343" w14:textId="77777777" w:rsidR="009D5F97" w:rsidRPr="009D420C" w:rsidRDefault="009D5F97" w:rsidP="009D5F97">
      <w:pPr>
        <w:pStyle w:val="ListParagraph"/>
        <w:numPr>
          <w:ilvl w:val="0"/>
          <w:numId w:val="32"/>
        </w:numPr>
        <w:spacing w:before="0"/>
      </w:pPr>
      <w:r w:rsidRPr="009D420C">
        <w:t>Equity of access, for patients in lower socio-economic groups who would greatly benefit from treatment with burosumab.</w:t>
      </w:r>
    </w:p>
    <w:p w14:paraId="151DDBF0" w14:textId="77777777" w:rsidR="009D5F97" w:rsidRPr="009D420C" w:rsidRDefault="009D5F97" w:rsidP="009D5F97">
      <w:pPr>
        <w:pStyle w:val="ListParagraph"/>
        <w:numPr>
          <w:ilvl w:val="0"/>
          <w:numId w:val="32"/>
        </w:numPr>
        <w:spacing w:before="0"/>
      </w:pPr>
      <w:r>
        <w:t>The test would r</w:t>
      </w:r>
      <w:r w:rsidRPr="009D420C">
        <w:t>apidly rule out patients with non-FGF-23 causes of kidney phosphate wasting who would otherwise require more expensive diagnostic services such as gallium-</w:t>
      </w:r>
      <w:proofErr w:type="spellStart"/>
      <w:r w:rsidRPr="009D420C">
        <w:t>Dotatate</w:t>
      </w:r>
      <w:proofErr w:type="spellEnd"/>
      <w:r w:rsidRPr="009D420C">
        <w:t xml:space="preserve"> PET imaging.</w:t>
      </w:r>
    </w:p>
    <w:p w14:paraId="358B3B50" w14:textId="77777777" w:rsidR="009D5F97" w:rsidRDefault="009D5F97" w:rsidP="009D5F97">
      <w:pPr>
        <w:pStyle w:val="ListParagraph"/>
        <w:numPr>
          <w:ilvl w:val="0"/>
          <w:numId w:val="32"/>
        </w:numPr>
        <w:spacing w:before="0"/>
      </w:pPr>
      <w:r w:rsidRPr="009D420C">
        <w:t>Enable testing of family members of patients with confirmed XLH who also demonstrate a reduced phosphate leading to a more accurate recognition of this disorder.</w:t>
      </w:r>
    </w:p>
    <w:p w14:paraId="396F3D96" w14:textId="77777777" w:rsidR="009D5F97" w:rsidRPr="009D420C" w:rsidRDefault="009D5F97" w:rsidP="009D5F97">
      <w:r>
        <w:t xml:space="preserve">No disadvantages were identified by the organisations that provided consultation input. </w:t>
      </w:r>
    </w:p>
    <w:p w14:paraId="7B9A6EF1" w14:textId="77777777" w:rsidR="009D5F97" w:rsidRDefault="009D5F97" w:rsidP="009D5F97">
      <w:pPr>
        <w:rPr>
          <w:b/>
          <w:bCs/>
        </w:rPr>
      </w:pPr>
      <w:r>
        <w:rPr>
          <w:b/>
          <w:bCs/>
        </w:rPr>
        <w:t>C</w:t>
      </w:r>
      <w:r w:rsidRPr="00C50417">
        <w:rPr>
          <w:b/>
          <w:bCs/>
        </w:rPr>
        <w:t xml:space="preserve">omments </w:t>
      </w:r>
    </w:p>
    <w:p w14:paraId="6E9F1061" w14:textId="77777777" w:rsidR="009D5F97" w:rsidRPr="006C6C7C" w:rsidRDefault="009D5F97" w:rsidP="009D5F97">
      <w:r w:rsidRPr="006C6C7C">
        <w:t xml:space="preserve">The input received provided feedback on the process and estimated cost of the testing. </w:t>
      </w:r>
    </w:p>
    <w:p w14:paraId="41F4AF25" w14:textId="13A7AD02" w:rsidR="009D5F97" w:rsidRPr="00A324AC" w:rsidRDefault="009D5F97" w:rsidP="009D5F97">
      <w:pPr>
        <w:autoSpaceDE w:val="0"/>
        <w:autoSpaceDN w:val="0"/>
        <w:adjustRightInd w:val="0"/>
        <w:spacing w:after="0" w:line="240" w:lineRule="auto"/>
      </w:pPr>
      <w:r w:rsidRPr="00276F5E">
        <w:t xml:space="preserve">Australian Pathology </w:t>
      </w:r>
      <w:r>
        <w:t xml:space="preserve">commented that </w:t>
      </w:r>
      <w:r w:rsidR="00F717C3">
        <w:t>there</w:t>
      </w:r>
      <w:r w:rsidRPr="00276F5E">
        <w:t xml:space="preserve"> is very limited demand for this specific test which is typically only performed by a small number of reference laboratories who do not run collection centres.</w:t>
      </w:r>
      <w:r>
        <w:t xml:space="preserve"> Public Pathology Australia specified that </w:t>
      </w:r>
      <w:r w:rsidRPr="00276F5E">
        <w:t xml:space="preserve">some laboratories may run the test on the </w:t>
      </w:r>
      <w:proofErr w:type="spellStart"/>
      <w:r w:rsidRPr="00276F5E">
        <w:t>Diasorin</w:t>
      </w:r>
      <w:proofErr w:type="spellEnd"/>
      <w:r w:rsidRPr="00276F5E">
        <w:t xml:space="preserve"> Liaison immunoassay</w:t>
      </w:r>
      <w:r w:rsidRPr="00A324AC">
        <w:t xml:space="preserve"> platform, and that </w:t>
      </w:r>
      <w:proofErr w:type="gramStart"/>
      <w:r w:rsidRPr="00A324AC">
        <w:t>particular platforms</w:t>
      </w:r>
      <w:proofErr w:type="gramEnd"/>
      <w:r w:rsidRPr="00A324AC">
        <w:t xml:space="preserve"> should not be named in the MBS item descriptors. </w:t>
      </w:r>
    </w:p>
    <w:p w14:paraId="23892833" w14:textId="7D2B54B7" w:rsidR="009D5F97" w:rsidRPr="009D5F97" w:rsidRDefault="009D5F97" w:rsidP="009D5F97">
      <w:pPr>
        <w:autoSpaceDE w:val="0"/>
        <w:autoSpaceDN w:val="0"/>
        <w:adjustRightInd w:val="0"/>
        <w:spacing w:after="0" w:line="240" w:lineRule="auto"/>
      </w:pPr>
      <w:r>
        <w:t xml:space="preserve">Public Pathology Australia supported the proposed test fee of $90.00, as it is in line with member costs and noted it may be </w:t>
      </w:r>
      <w:r w:rsidRPr="00276F5E">
        <w:t xml:space="preserve">performed in a specialised setting which typically is more expensive. </w:t>
      </w:r>
      <w:r w:rsidR="07C43ACC">
        <w:t>The Clinical Practice and Therapeutics Committees of the ANZBMS were similarly supportive of the proposed fee, noting that it was consistent with the cost recovery required at the current sample volume for FGF-23 testing.</w:t>
      </w:r>
      <w:r>
        <w:t xml:space="preserve"> </w:t>
      </w:r>
      <w:r w:rsidRPr="00276F5E">
        <w:t xml:space="preserve">Australian Pathology advised that a more suitable fee for the </w:t>
      </w:r>
      <w:r w:rsidRPr="00276F5E">
        <w:lastRenderedPageBreak/>
        <w:t xml:space="preserve">whole process of testing (collecting, freezing, and transporting the sample to the reference laboratory performing the test) should be nearer to $200. </w:t>
      </w:r>
      <w:r w:rsidR="1D78D3AB">
        <w:t xml:space="preserve">Australian Pathology also </w:t>
      </w:r>
      <w:r w:rsidR="62FC1189">
        <w:t xml:space="preserve">reported that a fee of $111.10 was charged by Royal North Shore Hospital to perform the test (higher than the $90 listed on the NSW Health Pathology website). </w:t>
      </w:r>
      <w:r>
        <w:t xml:space="preserve"> </w:t>
      </w:r>
    </w:p>
    <w:p w14:paraId="03C7A1F1" w14:textId="356D69FD" w:rsidR="00772829" w:rsidRDefault="009D5F97" w:rsidP="002A18BE">
      <w:pPr>
        <w:pStyle w:val="Heading2"/>
        <w:numPr>
          <w:ilvl w:val="0"/>
          <w:numId w:val="0"/>
        </w:numPr>
      </w:pPr>
      <w:bookmarkStart w:id="27" w:name="_Toc166074005"/>
      <w:r>
        <w:t>10</w:t>
      </w:r>
      <w:r w:rsidR="00C36633">
        <w:t>.</w:t>
      </w:r>
      <w:r w:rsidR="00C36633">
        <w:tab/>
      </w:r>
      <w:r w:rsidR="00772829" w:rsidRPr="0079589A">
        <w:t>Characteristics of the evidence base</w:t>
      </w:r>
      <w:bookmarkEnd w:id="27"/>
    </w:p>
    <w:p w14:paraId="686AD4BC" w14:textId="01F7BFF7" w:rsidR="0079589A" w:rsidRPr="0079589A" w:rsidRDefault="00AD6D73" w:rsidP="0079589A">
      <w:r>
        <w:t xml:space="preserve">A systematic evaluation of the evidence base for FGF-23 testing was not in scope for </w:t>
      </w:r>
      <w:r w:rsidR="453CA167">
        <w:t>the assessment of this application</w:t>
      </w:r>
      <w:r>
        <w:t>.</w:t>
      </w:r>
    </w:p>
    <w:p w14:paraId="3B9FC2AD" w14:textId="32CDE535" w:rsidR="00772829" w:rsidRPr="00CE28E3" w:rsidRDefault="009D5F97" w:rsidP="002A18BE">
      <w:pPr>
        <w:pStyle w:val="Heading2"/>
        <w:numPr>
          <w:ilvl w:val="0"/>
          <w:numId w:val="0"/>
        </w:numPr>
      </w:pPr>
      <w:bookmarkStart w:id="28" w:name="_Toc166074006"/>
      <w:r>
        <w:t>11</w:t>
      </w:r>
      <w:r w:rsidR="00C36633">
        <w:t>.</w:t>
      </w:r>
      <w:r w:rsidR="00C36633">
        <w:tab/>
      </w:r>
      <w:r w:rsidR="00772829" w:rsidRPr="0054376B">
        <w:t>Comparative safety</w:t>
      </w:r>
      <w:bookmarkEnd w:id="28"/>
    </w:p>
    <w:p w14:paraId="1A74C7B5" w14:textId="2EABAD78" w:rsidR="001D74A7" w:rsidRPr="003251C2" w:rsidRDefault="0054376B" w:rsidP="00EE6EB3">
      <w:r>
        <w:t xml:space="preserve">An </w:t>
      </w:r>
      <w:r w:rsidR="1BB81B8D">
        <w:t xml:space="preserve">evaluation </w:t>
      </w:r>
      <w:r>
        <w:t xml:space="preserve">of </w:t>
      </w:r>
      <w:r w:rsidR="00EE6EB3">
        <w:t xml:space="preserve">the </w:t>
      </w:r>
      <w:r>
        <w:t xml:space="preserve">comparative safety </w:t>
      </w:r>
      <w:r w:rsidR="00EE6EB3">
        <w:t xml:space="preserve">of FGF-23 testing </w:t>
      </w:r>
      <w:r>
        <w:t xml:space="preserve">was not in scope for </w:t>
      </w:r>
      <w:r w:rsidR="4F9F2509">
        <w:t xml:space="preserve">the assessment of </w:t>
      </w:r>
      <w:r>
        <w:t xml:space="preserve">this </w:t>
      </w:r>
      <w:r w:rsidR="246DA0E7">
        <w:t>application</w:t>
      </w:r>
      <w:r>
        <w:t xml:space="preserve">. </w:t>
      </w:r>
      <w:r w:rsidR="00F60F2E">
        <w:t xml:space="preserve">Adverse events are expected to be the same as those associated with a standard blood test. </w:t>
      </w:r>
    </w:p>
    <w:p w14:paraId="3717AA01" w14:textId="454F5ADC" w:rsidR="00772829" w:rsidRPr="00CE28E3" w:rsidRDefault="00C36633" w:rsidP="002A18BE">
      <w:pPr>
        <w:pStyle w:val="Heading2"/>
        <w:numPr>
          <w:ilvl w:val="0"/>
          <w:numId w:val="0"/>
        </w:numPr>
      </w:pPr>
      <w:bookmarkStart w:id="29" w:name="_Toc166074007"/>
      <w:r>
        <w:t>1</w:t>
      </w:r>
      <w:r w:rsidR="009D5F97">
        <w:t>2</w:t>
      </w:r>
      <w:r>
        <w:t>.</w:t>
      </w:r>
      <w:r>
        <w:tab/>
      </w:r>
      <w:r w:rsidR="00772829" w:rsidRPr="0079589A">
        <w:t>Comparative effectiveness</w:t>
      </w:r>
      <w:bookmarkEnd w:id="29"/>
    </w:p>
    <w:p w14:paraId="329B47E4" w14:textId="6F0B2651" w:rsidR="0054376B" w:rsidRDefault="0054376B" w:rsidP="0054376B">
      <w:r>
        <w:t xml:space="preserve">A full </w:t>
      </w:r>
      <w:r w:rsidR="2B06D904">
        <w:t xml:space="preserve">evaluation </w:t>
      </w:r>
      <w:r>
        <w:t xml:space="preserve">of </w:t>
      </w:r>
      <w:r w:rsidR="00596763">
        <w:t xml:space="preserve">the </w:t>
      </w:r>
      <w:r w:rsidR="00AE0011">
        <w:t xml:space="preserve">comparative </w:t>
      </w:r>
      <w:r>
        <w:t xml:space="preserve">clinical effectiveness of FGF-23 testing was not in scope for </w:t>
      </w:r>
      <w:r w:rsidR="758E9E70">
        <w:t>the assessment of</w:t>
      </w:r>
      <w:r>
        <w:t xml:space="preserve"> this </w:t>
      </w:r>
      <w:r w:rsidR="7D9A8C5E">
        <w:t>application</w:t>
      </w:r>
      <w:r>
        <w:t xml:space="preserve">. </w:t>
      </w:r>
      <w:proofErr w:type="gramStart"/>
      <w:r w:rsidRPr="00B562C5">
        <w:t xml:space="preserve">A </w:t>
      </w:r>
      <w:r w:rsidR="00190D1A">
        <w:t xml:space="preserve">brief </w:t>
      </w:r>
      <w:r w:rsidRPr="00B562C5">
        <w:t>summary</w:t>
      </w:r>
      <w:proofErr w:type="gramEnd"/>
      <w:r w:rsidRPr="00B562C5">
        <w:t xml:space="preserve"> </w:t>
      </w:r>
      <w:r w:rsidR="00B562C5" w:rsidRPr="00B562C5">
        <w:t xml:space="preserve">of relevant </w:t>
      </w:r>
      <w:r w:rsidR="00B562C5" w:rsidRPr="00463E46">
        <w:t xml:space="preserve">clinical </w:t>
      </w:r>
      <w:r w:rsidR="00AB3A70">
        <w:t>evidence</w:t>
      </w:r>
      <w:r w:rsidR="00AB3A70" w:rsidRPr="00B562C5">
        <w:t xml:space="preserve"> </w:t>
      </w:r>
      <w:r w:rsidR="00CA4C93">
        <w:t>has been</w:t>
      </w:r>
      <w:r w:rsidR="00FD46D8">
        <w:t xml:space="preserve"> presented</w:t>
      </w:r>
      <w:r w:rsidR="00B562C5">
        <w:t>.</w:t>
      </w:r>
      <w:r>
        <w:t xml:space="preserve"> </w:t>
      </w:r>
    </w:p>
    <w:p w14:paraId="69DAC080" w14:textId="066B31B4" w:rsidR="00FF0C1B" w:rsidRDefault="00FF0C1B" w:rsidP="00FF0C1B">
      <w:pPr>
        <w:pStyle w:val="Heading3"/>
      </w:pPr>
      <w:r w:rsidRPr="00C358F2">
        <w:t xml:space="preserve">Key evidence informing clinical </w:t>
      </w:r>
      <w:proofErr w:type="gramStart"/>
      <w:r w:rsidRPr="00C358F2">
        <w:t>guidelines</w:t>
      </w:r>
      <w:proofErr w:type="gramEnd"/>
    </w:p>
    <w:p w14:paraId="1448E370" w14:textId="2ACAAE7E" w:rsidR="00A50EBF" w:rsidRDefault="00A50EBF" w:rsidP="001C6161">
      <w:r>
        <w:t>The key evidence referenced in clinical guidelines was reviewed</w:t>
      </w:r>
      <w:r w:rsidR="005E7A6D">
        <w:t>, and information relevant to the current application</w:t>
      </w:r>
      <w:r w:rsidR="001A1C42">
        <w:t xml:space="preserve"> </w:t>
      </w:r>
      <w:r w:rsidR="002E2648">
        <w:t>has been</w:t>
      </w:r>
      <w:r w:rsidR="001A1C42">
        <w:t xml:space="preserve"> summarised below</w:t>
      </w:r>
      <w:r w:rsidR="00ED5C95">
        <w:t>.</w:t>
      </w:r>
    </w:p>
    <w:p w14:paraId="1F621F00" w14:textId="5452E706" w:rsidR="001C6161" w:rsidRDefault="005648FD" w:rsidP="001C6161">
      <w:r>
        <w:t>A</w:t>
      </w:r>
      <w:r w:rsidR="001C6161">
        <w:t xml:space="preserve"> retrospective review </w:t>
      </w:r>
      <w:r w:rsidR="006C7808">
        <w:t xml:space="preserve">reported </w:t>
      </w:r>
      <w:r w:rsidR="001C6161">
        <w:t xml:space="preserve">the clinical and molecular features of 153 </w:t>
      </w:r>
      <w:r w:rsidR="00611419">
        <w:t xml:space="preserve">Chinese </w:t>
      </w:r>
      <w:r w:rsidR="001C6161">
        <w:t xml:space="preserve">patients with XLH </w:t>
      </w:r>
      <w:r w:rsidR="001C6161" w:rsidRPr="00E165E8">
        <w:t>who were identified with PHEX gene mutations from 2008 to 2019</w:t>
      </w:r>
      <w:r w:rsidR="00A5617E">
        <w:rPr>
          <w:rStyle w:val="FootnoteReference"/>
        </w:rPr>
        <w:footnoteReference w:id="5"/>
      </w:r>
      <w:r w:rsidR="001C6161">
        <w:t xml:space="preserve">. Sixty-two patients had serum iFGF-23 values determined, with 96.8% (30/31) of paediatric patients and 74.2% (23/31) of adult patients recording a high level (&gt;42.2 </w:t>
      </w:r>
      <w:proofErr w:type="spellStart"/>
      <w:r w:rsidR="001C6161">
        <w:t>pg</w:t>
      </w:r>
      <w:proofErr w:type="spellEnd"/>
      <w:r w:rsidR="001C6161">
        <w:t>/m</w:t>
      </w:r>
      <w:r w:rsidR="00062B19">
        <w:t>L</w:t>
      </w:r>
      <w:r w:rsidR="001C6161">
        <w:t>).</w:t>
      </w:r>
      <w:r w:rsidR="001C6161" w:rsidRPr="003A7A24">
        <w:t xml:space="preserve"> </w:t>
      </w:r>
      <w:r w:rsidR="001C6161">
        <w:t>T</w:t>
      </w:r>
      <w:r w:rsidR="001C6161" w:rsidRPr="00EA517D">
        <w:t>he proportion of p</w:t>
      </w:r>
      <w:r w:rsidR="001C6161">
        <w:t>a</w:t>
      </w:r>
      <w:r w:rsidR="001C6161" w:rsidRPr="00EA517D">
        <w:t>ediatric patients with high levels of circulating iFGF</w:t>
      </w:r>
      <w:r w:rsidR="00B62554">
        <w:t>-</w:t>
      </w:r>
      <w:r w:rsidR="001C6161" w:rsidRPr="00EA517D">
        <w:t>23 was higher than that of adult patients (P = 0.026).</w:t>
      </w:r>
      <w:r w:rsidR="001C6161">
        <w:t xml:space="preserve"> Low serum iFGF-23 </w:t>
      </w:r>
      <w:r w:rsidR="006D4AC7">
        <w:t>(</w:t>
      </w:r>
      <w:r w:rsidR="006D4AC7" w:rsidRPr="006D4AC7">
        <w:t>&lt;16.1</w:t>
      </w:r>
      <w:r w:rsidR="00145170">
        <w:t xml:space="preserve"> </w:t>
      </w:r>
      <w:proofErr w:type="spellStart"/>
      <w:r w:rsidR="006D4AC7" w:rsidRPr="006D4AC7">
        <w:t>pg</w:t>
      </w:r>
      <w:proofErr w:type="spellEnd"/>
      <w:r w:rsidR="006D4AC7" w:rsidRPr="006D4AC7">
        <w:t>/m</w:t>
      </w:r>
      <w:r w:rsidR="00140387">
        <w:t>L</w:t>
      </w:r>
      <w:r w:rsidR="006D4AC7">
        <w:t xml:space="preserve">) </w:t>
      </w:r>
      <w:r w:rsidR="001C6161">
        <w:t xml:space="preserve">was recorded in one adult patient (3.2%) and no paediatric patients. The median (range) for serum iFGF-23 in all 62 patients was </w:t>
      </w:r>
      <w:r w:rsidR="001C6161" w:rsidRPr="00260EF1">
        <w:t xml:space="preserve">91.88 </w:t>
      </w:r>
      <w:proofErr w:type="spellStart"/>
      <w:r w:rsidR="001C6161" w:rsidRPr="00260EF1">
        <w:t>pg</w:t>
      </w:r>
      <w:proofErr w:type="spellEnd"/>
      <w:r w:rsidR="001C6161" w:rsidRPr="00260EF1">
        <w:t>/m</w:t>
      </w:r>
      <w:r w:rsidR="00140387">
        <w:t>L</w:t>
      </w:r>
      <w:r w:rsidR="001C6161">
        <w:t xml:space="preserve"> (</w:t>
      </w:r>
      <w:r w:rsidR="001C6161" w:rsidRPr="00260EF1">
        <w:t xml:space="preserve">14.39 to 730.70 </w:t>
      </w:r>
      <w:proofErr w:type="spellStart"/>
      <w:r w:rsidR="001C6161" w:rsidRPr="00260EF1">
        <w:t>pg</w:t>
      </w:r>
      <w:proofErr w:type="spellEnd"/>
      <w:r w:rsidR="001C6161" w:rsidRPr="00260EF1">
        <w:t>/m</w:t>
      </w:r>
      <w:r w:rsidR="00140387">
        <w:t>L</w:t>
      </w:r>
      <w:r w:rsidR="001C6161">
        <w:t>).</w:t>
      </w:r>
      <w:r w:rsidR="0055612D">
        <w:t xml:space="preserve"> It is unclear whether the patients were on treatment at the time of iFGF-23 testing.</w:t>
      </w:r>
    </w:p>
    <w:p w14:paraId="182D8302" w14:textId="4C9E9131" w:rsidR="00914384" w:rsidRDefault="005A7E9D" w:rsidP="001C6161">
      <w:r>
        <w:t>A</w:t>
      </w:r>
      <w:r w:rsidR="00914384">
        <w:t xml:space="preserve"> similar retrospective review </w:t>
      </w:r>
      <w:r w:rsidR="003E431A">
        <w:t>reported</w:t>
      </w:r>
      <w:r w:rsidR="00D3172A">
        <w:t xml:space="preserve"> 261 patients with clinical features of XLH and known or novel mutations in the PHEX gene</w:t>
      </w:r>
      <w:r w:rsidR="004635AA">
        <w:t>,</w:t>
      </w:r>
      <w:r w:rsidR="004C3440">
        <w:t xml:space="preserve"> </w:t>
      </w:r>
      <w:r w:rsidR="00C52284">
        <w:t xml:space="preserve">followed </w:t>
      </w:r>
      <w:r w:rsidR="004C3440">
        <w:t>at Peking Union Medical College Hospital</w:t>
      </w:r>
      <w:r w:rsidR="00C52284">
        <w:t xml:space="preserve"> from 2005 to 2017</w:t>
      </w:r>
      <w:r w:rsidR="00BB6BA2">
        <w:rPr>
          <w:rStyle w:val="FootnoteReference"/>
        </w:rPr>
        <w:footnoteReference w:id="6"/>
      </w:r>
      <w:r w:rsidR="00C52284">
        <w:t xml:space="preserve">. </w:t>
      </w:r>
      <w:r w:rsidR="00987A95">
        <w:t xml:space="preserve">Serum samples collected at the patient’s initial visit were available for </w:t>
      </w:r>
      <w:r w:rsidR="007A51E6">
        <w:t xml:space="preserve">iFGF-23 analysis for 233 patients. </w:t>
      </w:r>
      <w:r w:rsidR="000B0029">
        <w:t>A</w:t>
      </w:r>
      <w:r w:rsidR="000B0029" w:rsidRPr="000B0029">
        <w:t xml:space="preserve"> two-site ELISA kit (KAINOS Laboratories, Inc., Tokyo, Japan)</w:t>
      </w:r>
      <w:r w:rsidR="000B0029">
        <w:t xml:space="preserve"> was used for iFGF-23 analysis.</w:t>
      </w:r>
      <w:r w:rsidR="00CB50D2">
        <w:t xml:space="preserve"> </w:t>
      </w:r>
      <w:r w:rsidR="00813A94">
        <w:t>Serum iFGF-23 levels were high in 91.9% of patients</w:t>
      </w:r>
      <w:r w:rsidR="00663856">
        <w:t xml:space="preserve"> (upper limit of reference range</w:t>
      </w:r>
      <w:r w:rsidR="00F25B91">
        <w:t xml:space="preserve"> 42.2 </w:t>
      </w:r>
      <w:proofErr w:type="spellStart"/>
      <w:r w:rsidR="00F25B91">
        <w:t>pg</w:t>
      </w:r>
      <w:proofErr w:type="spellEnd"/>
      <w:r w:rsidR="00F25B91">
        <w:t>/m</w:t>
      </w:r>
      <w:r w:rsidR="0022674C">
        <w:t>L</w:t>
      </w:r>
      <w:r w:rsidR="00F25B91">
        <w:t>)</w:t>
      </w:r>
      <w:r w:rsidR="00813A94">
        <w:t>.</w:t>
      </w:r>
      <w:r w:rsidR="00C2281C">
        <w:t xml:space="preserve"> It is unclear how many patients had a</w:t>
      </w:r>
      <w:r w:rsidR="00A64F9E">
        <w:t>n</w:t>
      </w:r>
      <w:r w:rsidR="00C2281C">
        <w:t xml:space="preserve"> iFGF-23 level in the normal and low range. </w:t>
      </w:r>
    </w:p>
    <w:p w14:paraId="404D3D8E" w14:textId="23A1177B" w:rsidR="00BC5B0F" w:rsidRPr="00BA608B" w:rsidRDefault="00BC5B0F" w:rsidP="001C6161">
      <w:r>
        <w:lastRenderedPageBreak/>
        <w:t xml:space="preserve">Other </w:t>
      </w:r>
      <w:r w:rsidR="008F65E7">
        <w:t>studies</w:t>
      </w:r>
      <w:r>
        <w:t xml:space="preserve"> </w:t>
      </w:r>
      <w:r w:rsidR="00BB6326">
        <w:t xml:space="preserve">reviewed </w:t>
      </w:r>
      <w:r>
        <w:t xml:space="preserve">included only small numbers of patients with XLH </w:t>
      </w:r>
      <w:r w:rsidR="00796555">
        <w:t xml:space="preserve">(≤8) </w:t>
      </w:r>
      <w:r w:rsidR="0077612F">
        <w:t>or</w:t>
      </w:r>
      <w:r w:rsidR="00876255">
        <w:t xml:space="preserve"> </w:t>
      </w:r>
      <w:r w:rsidR="008C5567">
        <w:t>were designed to examin</w:t>
      </w:r>
      <w:r w:rsidR="0018330A">
        <w:t>e</w:t>
      </w:r>
      <w:r w:rsidR="008C5567">
        <w:t xml:space="preserve"> the </w:t>
      </w:r>
      <w:r w:rsidR="00AA12E7">
        <w:t xml:space="preserve">clinical </w:t>
      </w:r>
      <w:r w:rsidR="008C5567">
        <w:t xml:space="preserve">utility of a specific FGF-23 </w:t>
      </w:r>
      <w:r w:rsidR="008C5567" w:rsidRPr="0018330A">
        <w:t>assay</w:t>
      </w:r>
      <w:r w:rsidR="0062570B">
        <w:t>.</w:t>
      </w:r>
      <w:r w:rsidR="0018330A" w:rsidRPr="0018330A">
        <w:t xml:space="preserve"> </w:t>
      </w:r>
    </w:p>
    <w:p w14:paraId="45529190" w14:textId="3456C7E2" w:rsidR="00C010B0" w:rsidRDefault="00A35AF9" w:rsidP="0054376B">
      <w:pPr>
        <w:pStyle w:val="Heading3"/>
      </w:pPr>
      <w:r>
        <w:t>Clinical e</w:t>
      </w:r>
      <w:r w:rsidR="00C010B0">
        <w:t xml:space="preserve">vidence considered by the PBAC </w:t>
      </w:r>
      <w:r w:rsidR="00B2724D">
        <w:t xml:space="preserve">for </w:t>
      </w:r>
      <w:proofErr w:type="gramStart"/>
      <w:r w:rsidR="00B2724D">
        <w:t>burosumab</w:t>
      </w:r>
      <w:proofErr w:type="gramEnd"/>
    </w:p>
    <w:p w14:paraId="52CE7E02" w14:textId="63555EEA" w:rsidR="008B65D1" w:rsidRDefault="008E4286" w:rsidP="00B2724D">
      <w:r>
        <w:t>The key c</w:t>
      </w:r>
      <w:r w:rsidR="009D11A4">
        <w:t xml:space="preserve">linical studies of burosumab considered by the PBAC </w:t>
      </w:r>
      <w:r w:rsidR="00C75542">
        <w:t>were</w:t>
      </w:r>
      <w:r w:rsidR="009D11A4">
        <w:t xml:space="preserve"> </w:t>
      </w:r>
      <w:r w:rsidR="00DF342C">
        <w:t xml:space="preserve">one randomised trial </w:t>
      </w:r>
      <w:r>
        <w:t>in the paediatric population</w:t>
      </w:r>
      <w:r w:rsidR="00BB545A">
        <w:t xml:space="preserve"> </w:t>
      </w:r>
      <w:r w:rsidR="00984EE3">
        <w:t>(</w:t>
      </w:r>
      <w:hyperlink r:id="rId14" w:tooltip="This link goes to the clinicaltrials.gov trial registration page" w:history="1">
        <w:r w:rsidR="008D553E" w:rsidRPr="00702022">
          <w:rPr>
            <w:rStyle w:val="Hyperlink"/>
          </w:rPr>
          <w:t>NCT02915705</w:t>
        </w:r>
      </w:hyperlink>
      <w:r w:rsidR="00F84CF4">
        <w:t xml:space="preserve">) </w:t>
      </w:r>
      <w:r w:rsidR="00BB545A">
        <w:t>and one</w:t>
      </w:r>
      <w:r w:rsidR="006B0A1E">
        <w:t xml:space="preserve"> randomised trial in the adult population</w:t>
      </w:r>
      <w:r w:rsidR="00F84CF4">
        <w:t xml:space="preserve"> (</w:t>
      </w:r>
      <w:hyperlink r:id="rId15" w:tooltip="This link goes to the clinicaltrials.gov trial registration page" w:history="1">
        <w:r w:rsidR="00D40DAE" w:rsidRPr="009C616B">
          <w:rPr>
            <w:rStyle w:val="Hyperlink"/>
          </w:rPr>
          <w:t>NCT02526160</w:t>
        </w:r>
      </w:hyperlink>
      <w:r w:rsidR="009C616B">
        <w:t>)</w:t>
      </w:r>
      <w:r w:rsidR="006B0A1E">
        <w:t xml:space="preserve">. </w:t>
      </w:r>
      <w:r w:rsidR="007E778B">
        <w:t>Additional</w:t>
      </w:r>
      <w:r w:rsidR="006B0A1E">
        <w:t xml:space="preserve"> studies were i</w:t>
      </w:r>
      <w:r w:rsidR="00564F07">
        <w:t>nc</w:t>
      </w:r>
      <w:r w:rsidR="006B0A1E">
        <w:t>luded as supportive evidence.</w:t>
      </w:r>
    </w:p>
    <w:p w14:paraId="2AE8C4C8" w14:textId="02FC119C" w:rsidR="00DF58D3" w:rsidRDefault="00C63FCB" w:rsidP="00B2724D">
      <w:r>
        <w:t>Eligibility</w:t>
      </w:r>
      <w:r w:rsidR="008B65D1">
        <w:t xml:space="preserve"> criteria relating to PHEX mutation</w:t>
      </w:r>
      <w:r w:rsidR="008F0B7A">
        <w:t xml:space="preserve"> </w:t>
      </w:r>
      <w:r w:rsidR="003F6B88">
        <w:t xml:space="preserve">status </w:t>
      </w:r>
      <w:r w:rsidR="008F0B7A">
        <w:t xml:space="preserve">and </w:t>
      </w:r>
      <w:r w:rsidR="003F6B88">
        <w:t xml:space="preserve">FGF-23 levels from the published evidence included in the PBAC application are summarised in </w:t>
      </w:r>
      <w:r w:rsidR="003F6B88">
        <w:fldChar w:fldCharType="begin"/>
      </w:r>
      <w:r w:rsidR="003F6B88">
        <w:instrText xml:space="preserve"> REF _Ref168053874 \h </w:instrText>
      </w:r>
      <w:r w:rsidR="003F6B88">
        <w:fldChar w:fldCharType="separate"/>
      </w:r>
      <w:r w:rsidR="00A367FC">
        <w:t xml:space="preserve">Table </w:t>
      </w:r>
      <w:r w:rsidR="00A367FC">
        <w:rPr>
          <w:noProof/>
        </w:rPr>
        <w:t>6</w:t>
      </w:r>
      <w:r w:rsidR="003F6B88">
        <w:fldChar w:fldCharType="end"/>
      </w:r>
      <w:r w:rsidR="006B0A1E">
        <w:t xml:space="preserve"> </w:t>
      </w:r>
      <w:r w:rsidR="003F6B88">
        <w:t xml:space="preserve">for </w:t>
      </w:r>
      <w:r w:rsidR="00F45478">
        <w:t>the paediatric population</w:t>
      </w:r>
      <w:r w:rsidR="003F6B88">
        <w:t xml:space="preserve"> and </w:t>
      </w:r>
      <w:r w:rsidR="00F45478">
        <w:fldChar w:fldCharType="begin"/>
      </w:r>
      <w:r w:rsidR="00F45478">
        <w:instrText xml:space="preserve"> REF _Ref168053917 \h </w:instrText>
      </w:r>
      <w:r w:rsidR="00F45478">
        <w:fldChar w:fldCharType="separate"/>
      </w:r>
      <w:r w:rsidR="00A367FC">
        <w:t xml:space="preserve">Table </w:t>
      </w:r>
      <w:r w:rsidR="00A367FC">
        <w:rPr>
          <w:noProof/>
        </w:rPr>
        <w:t>7</w:t>
      </w:r>
      <w:r w:rsidR="00F45478">
        <w:fldChar w:fldCharType="end"/>
      </w:r>
      <w:r w:rsidR="00F45478">
        <w:t xml:space="preserve"> for the adult population.</w:t>
      </w:r>
    </w:p>
    <w:p w14:paraId="74C4E91C" w14:textId="5212D9D8" w:rsidR="005E4CEE" w:rsidRDefault="005E4CEE" w:rsidP="005E4CEE">
      <w:r>
        <w:t xml:space="preserve">The inclusion criteria for the key paediatric RCT required patients to have a confirmed PHEX mutation or variant of unknown significance in the patient or a family member with appropriate X-linked dominant </w:t>
      </w:r>
      <w:proofErr w:type="gramStart"/>
      <w:r>
        <w:t>inheritance, but</w:t>
      </w:r>
      <w:proofErr w:type="gramEnd"/>
      <w:r>
        <w:t xml:space="preserve"> did not require FGF-23 testing.</w:t>
      </w:r>
      <w:r w:rsidR="00F03F46">
        <w:t xml:space="preserve"> Only one of the two</w:t>
      </w:r>
      <w:r w:rsidR="00C9136F">
        <w:t xml:space="preserve"> supportive published studies allowed </w:t>
      </w:r>
      <w:r w:rsidR="003A1D55">
        <w:t xml:space="preserve">serum </w:t>
      </w:r>
      <w:r w:rsidR="00FA7532">
        <w:t>i</w:t>
      </w:r>
      <w:r w:rsidR="00C9136F">
        <w:t>FGF-23 testing as an alternative</w:t>
      </w:r>
      <w:r w:rsidR="00B40964">
        <w:t xml:space="preserve"> to PHEX testing for eligibility.</w:t>
      </w:r>
    </w:p>
    <w:p w14:paraId="527470AC" w14:textId="49E8E8EC" w:rsidR="005E4CEE" w:rsidRDefault="005E4CEE" w:rsidP="005E4CEE">
      <w:r>
        <w:t xml:space="preserve">In the key adult RCT, the inclusion criteria required the patient to have a documented PHEX mutation in either the patient or in a directly related family member with appropriate X-linked inheritance, or a serum iFGF-23 level &gt; 30 </w:t>
      </w:r>
      <w:proofErr w:type="spellStart"/>
      <w:r>
        <w:t>pg</w:t>
      </w:r>
      <w:proofErr w:type="spellEnd"/>
      <w:r>
        <w:t>/mL by</w:t>
      </w:r>
      <w:r w:rsidR="00A64B73">
        <w:t xml:space="preserve"> the</w:t>
      </w:r>
      <w:r>
        <w:t xml:space="preserve"> </w:t>
      </w:r>
      <w:proofErr w:type="spellStart"/>
      <w:r>
        <w:t>Kainos</w:t>
      </w:r>
      <w:proofErr w:type="spellEnd"/>
      <w:r>
        <w:t xml:space="preserve"> assay.</w:t>
      </w:r>
      <w:r w:rsidR="002A4A66">
        <w:t xml:space="preserve"> </w:t>
      </w:r>
      <w:r w:rsidR="003C17D2">
        <w:t>The three published supportive studies all allowed serum iFGF-23 testing for eligibility</w:t>
      </w:r>
      <w:r w:rsidR="00A92A25">
        <w:t xml:space="preserve">. </w:t>
      </w:r>
    </w:p>
    <w:p w14:paraId="7207A0CF" w14:textId="4A198570" w:rsidR="00E57748" w:rsidRDefault="00E57748" w:rsidP="005E4CEE">
      <w:r>
        <w:t xml:space="preserve">Notably, all studies that included FGF-23 testing in the </w:t>
      </w:r>
      <w:r w:rsidR="0015270C">
        <w:t>eligibility</w:t>
      </w:r>
      <w:r>
        <w:t xml:space="preserve"> criteria</w:t>
      </w:r>
      <w:r w:rsidR="00163BEC">
        <w:t xml:space="preserve"> us</w:t>
      </w:r>
      <w:r w:rsidR="0015270C">
        <w:t>ed</w:t>
      </w:r>
      <w:r w:rsidR="00163BEC">
        <w:t xml:space="preserve"> serum samples and measured iFGF-23. </w:t>
      </w:r>
    </w:p>
    <w:p w14:paraId="610E091A" w14:textId="3259EDD0" w:rsidR="00CA7363" w:rsidRDefault="00CA7363" w:rsidP="00863D4D">
      <w:pPr>
        <w:pStyle w:val="Caption"/>
        <w:ind w:left="720" w:hanging="720"/>
      </w:pPr>
      <w:bookmarkStart w:id="30" w:name="_Ref168053874"/>
      <w:r>
        <w:t xml:space="preserve">Table </w:t>
      </w:r>
      <w:r w:rsidR="00BF42A8">
        <w:fldChar w:fldCharType="begin"/>
      </w:r>
      <w:r w:rsidR="00BF42A8">
        <w:instrText xml:space="preserve"> SEQ Table \* ARABIC </w:instrText>
      </w:r>
      <w:r w:rsidR="00BF42A8">
        <w:fldChar w:fldCharType="separate"/>
      </w:r>
      <w:r w:rsidR="00A367FC">
        <w:rPr>
          <w:noProof/>
        </w:rPr>
        <w:t>6</w:t>
      </w:r>
      <w:r w:rsidR="00BF42A8">
        <w:rPr>
          <w:noProof/>
        </w:rPr>
        <w:fldChar w:fldCharType="end"/>
      </w:r>
      <w:bookmarkEnd w:id="30"/>
      <w:r>
        <w:tab/>
      </w:r>
      <w:r w:rsidR="00413FC3">
        <w:t>PHEX and FGF-23 e</w:t>
      </w:r>
      <w:r w:rsidR="00AC15DB">
        <w:t>ligibility</w:t>
      </w:r>
      <w:r w:rsidR="00C235AA">
        <w:t xml:space="preserve"> criteria and </w:t>
      </w:r>
      <w:r w:rsidR="00830899">
        <w:t>status</w:t>
      </w:r>
      <w:r w:rsidR="00C235AA">
        <w:t xml:space="preserve"> </w:t>
      </w:r>
      <w:r w:rsidR="00830899">
        <w:t xml:space="preserve">for </w:t>
      </w:r>
      <w:r w:rsidR="00ED79BC">
        <w:t xml:space="preserve">published </w:t>
      </w:r>
      <w:r w:rsidR="00830899" w:rsidRPr="00AC15DB">
        <w:t>paediatric</w:t>
      </w:r>
      <w:r w:rsidR="00C235AA">
        <w:t xml:space="preserve"> </w:t>
      </w:r>
      <w:r w:rsidR="00CE4E74">
        <w:t>s</w:t>
      </w:r>
      <w:r w:rsidR="00BB7F8C">
        <w:t xml:space="preserve">tudies </w:t>
      </w:r>
      <w:r w:rsidR="004C16F8">
        <w:t xml:space="preserve">in </w:t>
      </w:r>
      <w:r w:rsidR="00C235AA">
        <w:t xml:space="preserve">May 2022 PBAC </w:t>
      </w:r>
      <w:proofErr w:type="gramStart"/>
      <w:r w:rsidR="00C235AA">
        <w:t>submission</w:t>
      </w:r>
      <w:proofErr w:type="gramEnd"/>
    </w:p>
    <w:tbl>
      <w:tblPr>
        <w:tblStyle w:val="TableGrid"/>
        <w:tblW w:w="0" w:type="auto"/>
        <w:tblLook w:val="04A0" w:firstRow="1" w:lastRow="0" w:firstColumn="1" w:lastColumn="0" w:noHBand="0" w:noVBand="1"/>
        <w:tblCaption w:val="PHEX and FGF-23 eligibility criteria and status for published paediatric studies in May 2022 PBAC submission"/>
        <w:tblDescription w:val="This table summarises the PHEX and FGF-23 eligibility criteria for the published paediatric studies included in the May 2022 PBAC submission, and the results of PHEX testing and FGF-23 testing where available."/>
      </w:tblPr>
      <w:tblGrid>
        <w:gridCol w:w="2254"/>
        <w:gridCol w:w="2254"/>
        <w:gridCol w:w="2254"/>
        <w:gridCol w:w="2254"/>
      </w:tblGrid>
      <w:tr w:rsidR="002F3A36" w14:paraId="34E6150E" w14:textId="77777777" w:rsidTr="004865A9">
        <w:trPr>
          <w:tblHeader/>
        </w:trPr>
        <w:tc>
          <w:tcPr>
            <w:tcW w:w="2254" w:type="dxa"/>
          </w:tcPr>
          <w:p w14:paraId="7D2A8273" w14:textId="28C6CB0C" w:rsidR="00CA7363" w:rsidRDefault="00830899" w:rsidP="009D1A09">
            <w:pPr>
              <w:pStyle w:val="TableHeading0"/>
            </w:pPr>
            <w:r>
              <w:t>Trial</w:t>
            </w:r>
            <w:r w:rsidR="00902454">
              <w:br/>
            </w:r>
            <w:r w:rsidR="00DB3E55">
              <w:t>Study design</w:t>
            </w:r>
            <w:r w:rsidR="00902454">
              <w:br/>
            </w:r>
            <w:r w:rsidR="00E92114">
              <w:t>Number of participants</w:t>
            </w:r>
          </w:p>
        </w:tc>
        <w:tc>
          <w:tcPr>
            <w:tcW w:w="2254" w:type="dxa"/>
          </w:tcPr>
          <w:p w14:paraId="62DB61E6" w14:textId="6110E0DF" w:rsidR="00CA7363" w:rsidRDefault="00216311" w:rsidP="009D1A09">
            <w:pPr>
              <w:pStyle w:val="TableHeading0"/>
            </w:pPr>
            <w:r>
              <w:t>PHEX and</w:t>
            </w:r>
            <w:r w:rsidR="003356FD">
              <w:t>/or</w:t>
            </w:r>
            <w:r>
              <w:t xml:space="preserve"> FGF-23</w:t>
            </w:r>
            <w:r w:rsidR="003F5BA2">
              <w:t xml:space="preserve"> </w:t>
            </w:r>
            <w:r>
              <w:t>eligibility</w:t>
            </w:r>
            <w:r w:rsidR="00830899">
              <w:t xml:space="preserve"> criteria</w:t>
            </w:r>
          </w:p>
        </w:tc>
        <w:tc>
          <w:tcPr>
            <w:tcW w:w="2254" w:type="dxa"/>
          </w:tcPr>
          <w:p w14:paraId="15479298" w14:textId="38667D7A" w:rsidR="00CA7363" w:rsidRDefault="00222E5D" w:rsidP="009D1A09">
            <w:pPr>
              <w:pStyle w:val="TableHeading0"/>
            </w:pPr>
            <w:r>
              <w:t>PHEX mutation</w:t>
            </w:r>
            <w:r w:rsidR="00CD4786">
              <w:t xml:space="preserve"> positive </w:t>
            </w:r>
            <w:r w:rsidR="00C1707E">
              <w:t>–</w:t>
            </w:r>
            <w:r w:rsidR="00DD1491">
              <w:t xml:space="preserve"> number (%)</w:t>
            </w:r>
          </w:p>
        </w:tc>
        <w:tc>
          <w:tcPr>
            <w:tcW w:w="2254" w:type="dxa"/>
          </w:tcPr>
          <w:p w14:paraId="75CF831E" w14:textId="2625C28F" w:rsidR="00CA7363" w:rsidRDefault="0080087C" w:rsidP="009D1A09">
            <w:pPr>
              <w:pStyle w:val="TableHeading0"/>
            </w:pPr>
            <w:r>
              <w:t xml:space="preserve">Elevated </w:t>
            </w:r>
            <w:r w:rsidR="00222E5D">
              <w:t xml:space="preserve">FGF-23 </w:t>
            </w:r>
            <w:r w:rsidR="001E5ADF">
              <w:t>– number (%)</w:t>
            </w:r>
          </w:p>
        </w:tc>
      </w:tr>
      <w:tr w:rsidR="002F3A36" w14:paraId="7F4EB1C0" w14:textId="77777777" w:rsidTr="004865A9">
        <w:tc>
          <w:tcPr>
            <w:tcW w:w="2254" w:type="dxa"/>
          </w:tcPr>
          <w:p w14:paraId="79C27700" w14:textId="095D9237" w:rsidR="00CA7363" w:rsidRDefault="00B81DCD" w:rsidP="00902454">
            <w:pPr>
              <w:pStyle w:val="TableText"/>
              <w:spacing w:after="120"/>
            </w:pPr>
            <w:proofErr w:type="spellStart"/>
            <w:r>
              <w:t>Imel</w:t>
            </w:r>
            <w:proofErr w:type="spellEnd"/>
            <w:r w:rsidR="009C4E8B">
              <w:t xml:space="preserve"> (2019)</w:t>
            </w:r>
            <w:r w:rsidR="00CA71F2">
              <w:br/>
            </w:r>
            <w:r w:rsidR="00E44407" w:rsidRPr="00E44407">
              <w:t>NCT02915705</w:t>
            </w:r>
            <w:r w:rsidR="00902454">
              <w:br/>
            </w:r>
            <w:r w:rsidR="009C4E8B">
              <w:t>RCT</w:t>
            </w:r>
            <w:r w:rsidR="006B77D8">
              <w:t xml:space="preserve"> (burosumab vs. conventional therapy)</w:t>
            </w:r>
            <w:r w:rsidR="00902454">
              <w:br/>
            </w:r>
            <w:r w:rsidR="00301288">
              <w:t>N=</w:t>
            </w:r>
            <w:r w:rsidR="0055602F">
              <w:t>61</w:t>
            </w:r>
          </w:p>
        </w:tc>
        <w:tc>
          <w:tcPr>
            <w:tcW w:w="2254" w:type="dxa"/>
          </w:tcPr>
          <w:p w14:paraId="345C2EB1" w14:textId="7DA131B2" w:rsidR="00CA7363" w:rsidRPr="00B11BE0" w:rsidRDefault="00B11BE0" w:rsidP="002F311C">
            <w:pPr>
              <w:pStyle w:val="TableText"/>
              <w:spacing w:after="120"/>
              <w:rPr>
                <w:bCs/>
              </w:rPr>
            </w:pPr>
            <w:r w:rsidRPr="00B11BE0">
              <w:rPr>
                <w:bCs/>
              </w:rPr>
              <w:t>C</w:t>
            </w:r>
            <w:r w:rsidR="00080C66" w:rsidRPr="00B11BE0">
              <w:rPr>
                <w:bCs/>
              </w:rPr>
              <w:t>onfirmed PHEX mutation or variant of unknown significance in the patient or a family member with appropriate X-linked dominant inheritance</w:t>
            </w:r>
          </w:p>
        </w:tc>
        <w:tc>
          <w:tcPr>
            <w:tcW w:w="2254" w:type="dxa"/>
          </w:tcPr>
          <w:p w14:paraId="4F52E91D" w14:textId="139F4BEC" w:rsidR="00CA7363" w:rsidRPr="005E0E75" w:rsidRDefault="00DD1491" w:rsidP="002F311C">
            <w:pPr>
              <w:pStyle w:val="TableText"/>
              <w:spacing w:after="120"/>
            </w:pPr>
            <w:r w:rsidRPr="005E0E75">
              <w:t>61 (100</w:t>
            </w:r>
            <w:r w:rsidR="00CD603C">
              <w:t>%</w:t>
            </w:r>
            <w:r w:rsidRPr="005E0E75">
              <w:t>)</w:t>
            </w:r>
          </w:p>
          <w:p w14:paraId="4F780129" w14:textId="12358CDC" w:rsidR="00CA7363" w:rsidRPr="005E0E75" w:rsidRDefault="001D34A0" w:rsidP="002F311C">
            <w:pPr>
              <w:pStyle w:val="TableText"/>
              <w:spacing w:before="120" w:after="120"/>
              <w:rPr>
                <w:i/>
                <w:iCs/>
                <w:highlight w:val="yellow"/>
              </w:rPr>
            </w:pPr>
            <w:r w:rsidRPr="005E0E75">
              <w:rPr>
                <w:i/>
                <w:iCs/>
              </w:rPr>
              <w:t xml:space="preserve">Of the </w:t>
            </w:r>
            <w:r w:rsidR="00CA14BB" w:rsidRPr="005E0E75">
              <w:rPr>
                <w:i/>
                <w:iCs/>
              </w:rPr>
              <w:t xml:space="preserve">excluded </w:t>
            </w:r>
            <w:r w:rsidR="001B2043" w:rsidRPr="005E0E75">
              <w:rPr>
                <w:i/>
                <w:iCs/>
              </w:rPr>
              <w:t>patients</w:t>
            </w:r>
            <w:r w:rsidR="005E0E75">
              <w:rPr>
                <w:i/>
                <w:iCs/>
              </w:rPr>
              <w:t xml:space="preserve"> (n = 61)</w:t>
            </w:r>
            <w:r w:rsidR="00CA14BB" w:rsidRPr="005E0E75">
              <w:rPr>
                <w:i/>
                <w:iCs/>
              </w:rPr>
              <w:t>, &lt;</w:t>
            </w:r>
            <w:r w:rsidR="00FB4395">
              <w:rPr>
                <w:i/>
                <w:iCs/>
              </w:rPr>
              <w:t> </w:t>
            </w:r>
            <w:r w:rsidR="00CA14BB" w:rsidRPr="005E0E75">
              <w:rPr>
                <w:i/>
                <w:iCs/>
              </w:rPr>
              <w:t>3</w:t>
            </w:r>
            <w:r w:rsidRPr="005E0E75">
              <w:rPr>
                <w:i/>
                <w:iCs/>
              </w:rPr>
              <w:t xml:space="preserve"> </w:t>
            </w:r>
            <w:r w:rsidR="005E0E75" w:rsidRPr="005E0E75">
              <w:rPr>
                <w:i/>
                <w:iCs/>
              </w:rPr>
              <w:t>were excluded due to failure to meet the PHEX criteria</w:t>
            </w:r>
          </w:p>
        </w:tc>
        <w:tc>
          <w:tcPr>
            <w:tcW w:w="2254" w:type="dxa"/>
          </w:tcPr>
          <w:p w14:paraId="49D158F6" w14:textId="299409EB" w:rsidR="00CA7363" w:rsidRDefault="00915F37" w:rsidP="002F311C">
            <w:pPr>
              <w:pStyle w:val="TableText"/>
              <w:spacing w:after="120"/>
            </w:pPr>
            <w:r>
              <w:t>N/A</w:t>
            </w:r>
          </w:p>
        </w:tc>
      </w:tr>
      <w:tr w:rsidR="002F3A36" w14:paraId="2A79F7E4" w14:textId="77777777" w:rsidTr="004865A9">
        <w:tc>
          <w:tcPr>
            <w:tcW w:w="2254" w:type="dxa"/>
          </w:tcPr>
          <w:p w14:paraId="09061188" w14:textId="701D2F2C" w:rsidR="00CA7363" w:rsidRDefault="00A304D7" w:rsidP="00902454">
            <w:pPr>
              <w:pStyle w:val="TableText"/>
              <w:spacing w:after="120"/>
            </w:pPr>
            <w:r w:rsidRPr="007173DA">
              <w:t>Carpenter (20</w:t>
            </w:r>
            <w:r w:rsidR="00130538" w:rsidRPr="007173DA">
              <w:t>18)</w:t>
            </w:r>
            <w:r w:rsidR="00902454">
              <w:br/>
            </w:r>
            <w:r w:rsidR="00A00153">
              <w:t>Dose finding RCT</w:t>
            </w:r>
            <w:r w:rsidR="00E812ED">
              <w:t xml:space="preserve"> (</w:t>
            </w:r>
            <w:r w:rsidR="00637904">
              <w:t>2 vs 4 weeks burosumab)</w:t>
            </w:r>
            <w:r w:rsidR="00902454">
              <w:br/>
            </w:r>
            <w:r w:rsidR="00301288">
              <w:t>N=</w:t>
            </w:r>
            <w:r w:rsidR="007C6144">
              <w:t>52</w:t>
            </w:r>
          </w:p>
        </w:tc>
        <w:tc>
          <w:tcPr>
            <w:tcW w:w="2254" w:type="dxa"/>
          </w:tcPr>
          <w:p w14:paraId="48DB4EC5" w14:textId="093AA0B5" w:rsidR="00CA7363" w:rsidRDefault="00B11BE0" w:rsidP="002F311C">
            <w:pPr>
              <w:pStyle w:val="TableText"/>
              <w:spacing w:after="120"/>
            </w:pPr>
            <w:r w:rsidRPr="00B11BE0">
              <w:rPr>
                <w:bCs/>
              </w:rPr>
              <w:t>P</w:t>
            </w:r>
            <w:r w:rsidR="00FB233B" w:rsidRPr="00B11BE0">
              <w:rPr>
                <w:bCs/>
              </w:rPr>
              <w:t>resence of the PHEX mutation in the patient or a directly related family member</w:t>
            </w:r>
            <w:r w:rsidR="00222E5D" w:rsidRPr="00B11BE0">
              <w:rPr>
                <w:bCs/>
              </w:rPr>
              <w:t>,</w:t>
            </w:r>
            <w:r w:rsidR="00FB233B" w:rsidRPr="00B11BE0">
              <w:rPr>
                <w:bCs/>
              </w:rPr>
              <w:t xml:space="preserve"> or a serum </w:t>
            </w:r>
            <w:r w:rsidR="000E07B9">
              <w:rPr>
                <w:bCs/>
              </w:rPr>
              <w:t>i</w:t>
            </w:r>
            <w:r w:rsidR="00FB233B" w:rsidRPr="00B11BE0">
              <w:rPr>
                <w:bCs/>
              </w:rPr>
              <w:t>FGF-23 level of &gt;</w:t>
            </w:r>
            <w:r w:rsidR="00E26FCC">
              <w:rPr>
                <w:bCs/>
              </w:rPr>
              <w:t> </w:t>
            </w:r>
            <w:r w:rsidR="00FB233B" w:rsidRPr="00B11BE0">
              <w:rPr>
                <w:bCs/>
              </w:rPr>
              <w:t xml:space="preserve">30 </w:t>
            </w:r>
            <w:proofErr w:type="spellStart"/>
            <w:r w:rsidR="00FB233B" w:rsidRPr="00B11BE0">
              <w:rPr>
                <w:bCs/>
              </w:rPr>
              <w:t>pg</w:t>
            </w:r>
            <w:proofErr w:type="spellEnd"/>
            <w:r w:rsidR="00DE4DA7">
              <w:rPr>
                <w:bCs/>
              </w:rPr>
              <w:t>/</w:t>
            </w:r>
            <w:r w:rsidR="008175BB" w:rsidRPr="00B11BE0">
              <w:rPr>
                <w:bCs/>
              </w:rPr>
              <w:t>mL</w:t>
            </w:r>
          </w:p>
        </w:tc>
        <w:tc>
          <w:tcPr>
            <w:tcW w:w="2254" w:type="dxa"/>
          </w:tcPr>
          <w:p w14:paraId="2069B688" w14:textId="0665E58D" w:rsidR="00CA7363" w:rsidRPr="002C7065" w:rsidRDefault="007135B9" w:rsidP="002F311C">
            <w:pPr>
              <w:pStyle w:val="TableText"/>
              <w:spacing w:after="120"/>
              <w:rPr>
                <w:vertAlign w:val="superscript"/>
              </w:rPr>
            </w:pPr>
            <w:r w:rsidRPr="009A7A68">
              <w:t>45 (87</w:t>
            </w:r>
            <w:r w:rsidR="00CD603C">
              <w:t>%</w:t>
            </w:r>
            <w:r w:rsidRPr="009A7A68">
              <w:t>)</w:t>
            </w:r>
            <w:r w:rsidR="004133B0">
              <w:t xml:space="preserve"> </w:t>
            </w:r>
            <w:r w:rsidR="00AA1683">
              <w:t xml:space="preserve">- </w:t>
            </w:r>
            <w:r w:rsidR="004133B0">
              <w:t xml:space="preserve">pathogenic </w:t>
            </w:r>
            <w:r w:rsidR="00A85DB2">
              <w:t xml:space="preserve">PHEX </w:t>
            </w:r>
            <w:r w:rsidR="004133B0">
              <w:t>mutations</w:t>
            </w:r>
          </w:p>
        </w:tc>
        <w:tc>
          <w:tcPr>
            <w:tcW w:w="2254" w:type="dxa"/>
          </w:tcPr>
          <w:p w14:paraId="128C4684" w14:textId="72F2C255" w:rsidR="00CA7363" w:rsidRDefault="005F453B" w:rsidP="002F311C">
            <w:pPr>
              <w:pStyle w:val="TableText"/>
              <w:spacing w:after="120"/>
            </w:pPr>
            <w:r w:rsidRPr="008F4373">
              <w:t>7 patients</w:t>
            </w:r>
            <w:r w:rsidR="009B3A81" w:rsidRPr="008F4373">
              <w:t xml:space="preserve"> </w:t>
            </w:r>
            <w:r w:rsidRPr="008F4373">
              <w:t xml:space="preserve">not positive </w:t>
            </w:r>
            <w:r w:rsidR="009B3A81" w:rsidRPr="008F4373">
              <w:t>for pathogenic PHEX mutations</w:t>
            </w:r>
            <w:r w:rsidR="00C909BD">
              <w:t xml:space="preserve"> (</w:t>
            </w:r>
            <w:r w:rsidR="00C909BD" w:rsidRPr="007D2D34">
              <w:t>1 probably pathogenic, 4 of unknown significance</w:t>
            </w:r>
            <w:r w:rsidR="00C909BD">
              <w:t>, 2 no mutation)</w:t>
            </w:r>
            <w:r w:rsidR="007D17D8">
              <w:t>;</w:t>
            </w:r>
            <w:r w:rsidR="009B3A81" w:rsidRPr="008F4373">
              <w:t xml:space="preserve"> </w:t>
            </w:r>
            <w:r w:rsidRPr="008F4373">
              <w:t>all had baseline serum iFGF-23 &gt;</w:t>
            </w:r>
            <w:r w:rsidR="0080087C">
              <w:t xml:space="preserve"> </w:t>
            </w:r>
            <w:r w:rsidRPr="008F4373">
              <w:t xml:space="preserve">30 </w:t>
            </w:r>
            <w:proofErr w:type="spellStart"/>
            <w:r w:rsidRPr="008F4373">
              <w:t>pg</w:t>
            </w:r>
            <w:proofErr w:type="spellEnd"/>
            <w:r w:rsidRPr="008F4373">
              <w:t>/mL</w:t>
            </w:r>
          </w:p>
        </w:tc>
      </w:tr>
      <w:tr w:rsidR="002F3A36" w14:paraId="638248C8" w14:textId="77777777" w:rsidTr="004865A9">
        <w:tc>
          <w:tcPr>
            <w:tcW w:w="2254" w:type="dxa"/>
          </w:tcPr>
          <w:p w14:paraId="2427B9AD" w14:textId="2DB795EC" w:rsidR="00006F72" w:rsidRDefault="000645F7" w:rsidP="00902454">
            <w:pPr>
              <w:pStyle w:val="TableText"/>
              <w:spacing w:after="120"/>
            </w:pPr>
            <w:r w:rsidRPr="00913DEA">
              <w:t>Whyte (2019)</w:t>
            </w:r>
            <w:r w:rsidR="00902454">
              <w:br/>
            </w:r>
            <w:r w:rsidR="00006F72">
              <w:t>Single-arm</w:t>
            </w:r>
            <w:r w:rsidR="006B77D8">
              <w:t xml:space="preserve"> study</w:t>
            </w:r>
            <w:r w:rsidR="00902454">
              <w:br/>
            </w:r>
            <w:r w:rsidR="00301288">
              <w:t>N=</w:t>
            </w:r>
            <w:r w:rsidR="00E204E5">
              <w:t>13</w:t>
            </w:r>
          </w:p>
        </w:tc>
        <w:tc>
          <w:tcPr>
            <w:tcW w:w="2254" w:type="dxa"/>
          </w:tcPr>
          <w:p w14:paraId="230ADF24" w14:textId="1A51D4AC" w:rsidR="00CA7363" w:rsidRDefault="002F3A36" w:rsidP="002F311C">
            <w:pPr>
              <w:pStyle w:val="TableText"/>
              <w:spacing w:after="120"/>
            </w:pPr>
            <w:r>
              <w:t>C</w:t>
            </w:r>
            <w:r w:rsidRPr="002F3A36">
              <w:t xml:space="preserve">onfirmed PHEX mutation or a variant of unknown significance in the patient or direct relative also affected with </w:t>
            </w:r>
            <w:r>
              <w:t>XLH</w:t>
            </w:r>
          </w:p>
        </w:tc>
        <w:tc>
          <w:tcPr>
            <w:tcW w:w="2254" w:type="dxa"/>
          </w:tcPr>
          <w:p w14:paraId="731F31E1" w14:textId="0F46513C" w:rsidR="00CA7363" w:rsidRDefault="00CD4928" w:rsidP="002F311C">
            <w:pPr>
              <w:pStyle w:val="TableText"/>
              <w:spacing w:after="120"/>
            </w:pPr>
            <w:r>
              <w:t>13 (100</w:t>
            </w:r>
            <w:r w:rsidR="00CD603C">
              <w:t>%</w:t>
            </w:r>
            <w:r>
              <w:t>)</w:t>
            </w:r>
          </w:p>
        </w:tc>
        <w:tc>
          <w:tcPr>
            <w:tcW w:w="2254" w:type="dxa"/>
          </w:tcPr>
          <w:p w14:paraId="0EC981B9" w14:textId="1BDCF9C6" w:rsidR="00CA7363" w:rsidRDefault="00D6225D" w:rsidP="002F311C">
            <w:pPr>
              <w:pStyle w:val="TableText"/>
              <w:spacing w:after="120"/>
            </w:pPr>
            <w:r>
              <w:t>N/A</w:t>
            </w:r>
          </w:p>
        </w:tc>
      </w:tr>
    </w:tbl>
    <w:p w14:paraId="3B86C5AF" w14:textId="52B8BE19" w:rsidR="7EA3F0B9" w:rsidRDefault="00DD19F8" w:rsidP="7EA3F0B9">
      <w:pPr>
        <w:pStyle w:val="TableFigureFooter"/>
        <w:spacing w:after="0"/>
      </w:pPr>
      <w:r>
        <w:t xml:space="preserve">FGF-23 = fibroblast growth factor 23; </w:t>
      </w:r>
      <w:r w:rsidR="004A4913">
        <w:t xml:space="preserve">iFGF-23 = intact FGF-23; N/A = not applicable; </w:t>
      </w:r>
      <w:r>
        <w:t xml:space="preserve">PBAC = Pharmaceutical Benefits Advisory Committee; </w:t>
      </w:r>
      <w:r w:rsidR="00D37121">
        <w:t xml:space="preserve">PHEX = </w:t>
      </w:r>
      <w:r w:rsidR="00D46177" w:rsidRPr="00D46177">
        <w:t>phosphate-regulating endopeptidase homolog X-linked</w:t>
      </w:r>
      <w:r w:rsidR="00D37121">
        <w:t xml:space="preserve">; RCT = </w:t>
      </w:r>
      <w:r>
        <w:t xml:space="preserve">randomised controlled trial; </w:t>
      </w:r>
      <w:r w:rsidR="0019506E">
        <w:t xml:space="preserve">XLH = X-linked hypophosphatemia. </w:t>
      </w:r>
    </w:p>
    <w:p w14:paraId="17E41A3F" w14:textId="410FA8B6" w:rsidR="001A7138" w:rsidRDefault="00F45478" w:rsidP="37B183A9">
      <w:pPr>
        <w:pStyle w:val="Caption"/>
        <w:spacing w:before="0"/>
      </w:pPr>
      <w:bookmarkStart w:id="31" w:name="_Ref168053917"/>
      <w:r>
        <w:lastRenderedPageBreak/>
        <w:t xml:space="preserve">Table </w:t>
      </w:r>
      <w:r w:rsidR="00BF42A8">
        <w:fldChar w:fldCharType="begin"/>
      </w:r>
      <w:r w:rsidR="00BF42A8">
        <w:instrText xml:space="preserve"> SEQ Table \* ARABIC </w:instrText>
      </w:r>
      <w:r w:rsidR="00BF42A8">
        <w:fldChar w:fldCharType="separate"/>
      </w:r>
      <w:r w:rsidR="00A367FC">
        <w:rPr>
          <w:noProof/>
        </w:rPr>
        <w:t>7</w:t>
      </w:r>
      <w:r w:rsidR="00BF42A8">
        <w:rPr>
          <w:noProof/>
        </w:rPr>
        <w:fldChar w:fldCharType="end"/>
      </w:r>
      <w:bookmarkEnd w:id="31"/>
      <w:r w:rsidR="001A7138">
        <w:tab/>
      </w:r>
      <w:r w:rsidR="001A7138" w:rsidRPr="001A7138">
        <w:t xml:space="preserve">PHEX and FGF-23 eligibility criteria and status for published </w:t>
      </w:r>
      <w:r w:rsidR="001A7138">
        <w:t>adult</w:t>
      </w:r>
      <w:r w:rsidR="001A7138" w:rsidRPr="001A7138">
        <w:t xml:space="preserve"> studies in May 2022 PBAC submission</w:t>
      </w:r>
    </w:p>
    <w:tbl>
      <w:tblPr>
        <w:tblStyle w:val="TableGrid"/>
        <w:tblW w:w="0" w:type="auto"/>
        <w:tblLook w:val="04A0" w:firstRow="1" w:lastRow="0" w:firstColumn="1" w:lastColumn="0" w:noHBand="0" w:noVBand="1"/>
        <w:tblCaption w:val="PHEX and FGF-23 eligibility criteria and status for published adult studies in May 2022 PBAC submission"/>
        <w:tblDescription w:val="This table summarises the PHEX and FGF-23 eligibility criteria for the published adult studies included in the May 2022 PBAC submission, and the results of PHEX testing and FGF-23 testing where available."/>
      </w:tblPr>
      <w:tblGrid>
        <w:gridCol w:w="2254"/>
        <w:gridCol w:w="2254"/>
        <w:gridCol w:w="2254"/>
        <w:gridCol w:w="2254"/>
      </w:tblGrid>
      <w:tr w:rsidR="00C5384F" w14:paraId="04872D6A" w14:textId="77777777" w:rsidTr="000203FC">
        <w:trPr>
          <w:tblHeader/>
        </w:trPr>
        <w:tc>
          <w:tcPr>
            <w:tcW w:w="2254" w:type="dxa"/>
          </w:tcPr>
          <w:p w14:paraId="298F9752" w14:textId="053B2AC5" w:rsidR="001A7138" w:rsidRDefault="001A7138">
            <w:pPr>
              <w:pStyle w:val="TableHeading0"/>
            </w:pPr>
            <w:r>
              <w:t>Trial</w:t>
            </w:r>
            <w:r w:rsidR="00902454">
              <w:br/>
            </w:r>
            <w:r>
              <w:t>Study design</w:t>
            </w:r>
            <w:r w:rsidR="00902454">
              <w:br/>
            </w:r>
            <w:r>
              <w:t>Number of participants</w:t>
            </w:r>
          </w:p>
        </w:tc>
        <w:tc>
          <w:tcPr>
            <w:tcW w:w="2254" w:type="dxa"/>
          </w:tcPr>
          <w:p w14:paraId="04ACF8F0" w14:textId="6DF1613D" w:rsidR="001A7138" w:rsidRDefault="001A7138">
            <w:pPr>
              <w:pStyle w:val="TableHeading0"/>
            </w:pPr>
            <w:r>
              <w:t>PHEX and</w:t>
            </w:r>
            <w:r w:rsidR="003356FD">
              <w:t>/or</w:t>
            </w:r>
            <w:r>
              <w:t xml:space="preserve"> FGF-23 eligibility criteria</w:t>
            </w:r>
          </w:p>
        </w:tc>
        <w:tc>
          <w:tcPr>
            <w:tcW w:w="2254" w:type="dxa"/>
          </w:tcPr>
          <w:p w14:paraId="7AD6C1FC" w14:textId="41ABD949" w:rsidR="001A7138" w:rsidRDefault="001A7138">
            <w:pPr>
              <w:pStyle w:val="TableHeading0"/>
            </w:pPr>
            <w:r>
              <w:t xml:space="preserve">PHEX mutation positive </w:t>
            </w:r>
            <w:r w:rsidR="00941AE1">
              <w:t>–</w:t>
            </w:r>
            <w:r>
              <w:t xml:space="preserve"> number (%)</w:t>
            </w:r>
          </w:p>
        </w:tc>
        <w:tc>
          <w:tcPr>
            <w:tcW w:w="2254" w:type="dxa"/>
          </w:tcPr>
          <w:p w14:paraId="1BDCE699" w14:textId="3AC6DF0D" w:rsidR="001A7138" w:rsidRDefault="005E7624">
            <w:pPr>
              <w:pStyle w:val="TableHeading0"/>
            </w:pPr>
            <w:r>
              <w:t xml:space="preserve">Elevated </w:t>
            </w:r>
            <w:r w:rsidR="001A7138">
              <w:t>FGF-23 – number (%)</w:t>
            </w:r>
          </w:p>
        </w:tc>
      </w:tr>
      <w:tr w:rsidR="00C5384F" w14:paraId="6BFF454E" w14:textId="77777777" w:rsidTr="000203FC">
        <w:tc>
          <w:tcPr>
            <w:tcW w:w="2254" w:type="dxa"/>
          </w:tcPr>
          <w:p w14:paraId="3E62FA6F" w14:textId="5127B6E7" w:rsidR="00230192" w:rsidRDefault="0057748D" w:rsidP="002F311C">
            <w:pPr>
              <w:pStyle w:val="TableText"/>
              <w:spacing w:after="120"/>
            </w:pPr>
            <w:proofErr w:type="spellStart"/>
            <w:r>
              <w:t>Insogna</w:t>
            </w:r>
            <w:proofErr w:type="spellEnd"/>
            <w:r>
              <w:t xml:space="preserve"> (2018)</w:t>
            </w:r>
            <w:r w:rsidR="001952D1">
              <w:br/>
            </w:r>
            <w:r w:rsidR="00987211" w:rsidRPr="00987211">
              <w:t>NCT02526160</w:t>
            </w:r>
            <w:r w:rsidR="00902454">
              <w:br/>
            </w:r>
            <w:r w:rsidR="00A00153">
              <w:t xml:space="preserve">Placebo-controlled </w:t>
            </w:r>
            <w:r w:rsidR="00230192">
              <w:t>RCT</w:t>
            </w:r>
            <w:r w:rsidR="00902454">
              <w:br/>
            </w:r>
            <w:r w:rsidR="00301288">
              <w:t>N=</w:t>
            </w:r>
            <w:r w:rsidR="006F09E3">
              <w:t>134</w:t>
            </w:r>
          </w:p>
        </w:tc>
        <w:tc>
          <w:tcPr>
            <w:tcW w:w="2254" w:type="dxa"/>
          </w:tcPr>
          <w:p w14:paraId="762E40D3" w14:textId="2F937972" w:rsidR="001A7138" w:rsidRPr="00B11BE0" w:rsidRDefault="009F765A" w:rsidP="002F311C">
            <w:pPr>
              <w:pStyle w:val="TableText"/>
              <w:spacing w:after="120"/>
              <w:rPr>
                <w:bCs/>
              </w:rPr>
            </w:pPr>
            <w:r w:rsidRPr="009F765A">
              <w:rPr>
                <w:bCs/>
              </w:rPr>
              <w:t xml:space="preserve">Documented PHEX mutation in either the patient or in a directly related family member with appropriate X-linked inheritance </w:t>
            </w:r>
            <w:r w:rsidR="00C5384F">
              <w:rPr>
                <w:bCs/>
              </w:rPr>
              <w:t>and/or s</w:t>
            </w:r>
            <w:r w:rsidRPr="009F765A">
              <w:rPr>
                <w:bCs/>
              </w:rPr>
              <w:t>erum iFGF</w:t>
            </w:r>
            <w:r w:rsidR="00F46FEC">
              <w:rPr>
                <w:bCs/>
              </w:rPr>
              <w:t>-</w:t>
            </w:r>
            <w:r w:rsidRPr="009F765A">
              <w:rPr>
                <w:bCs/>
              </w:rPr>
              <w:t>23 level &gt;</w:t>
            </w:r>
            <w:r w:rsidR="00772443">
              <w:rPr>
                <w:bCs/>
              </w:rPr>
              <w:t> </w:t>
            </w:r>
            <w:r w:rsidRPr="009F765A">
              <w:rPr>
                <w:bCs/>
              </w:rPr>
              <w:t xml:space="preserve">30 </w:t>
            </w:r>
            <w:proofErr w:type="spellStart"/>
            <w:r w:rsidRPr="009F765A">
              <w:rPr>
                <w:bCs/>
              </w:rPr>
              <w:t>pg</w:t>
            </w:r>
            <w:proofErr w:type="spellEnd"/>
            <w:r w:rsidRPr="009F765A">
              <w:rPr>
                <w:bCs/>
              </w:rPr>
              <w:t>/mL by</w:t>
            </w:r>
            <w:r w:rsidR="0061464D">
              <w:rPr>
                <w:bCs/>
              </w:rPr>
              <w:t xml:space="preserve"> the</w:t>
            </w:r>
            <w:r w:rsidRPr="009F765A">
              <w:rPr>
                <w:bCs/>
              </w:rPr>
              <w:t xml:space="preserve"> </w:t>
            </w:r>
            <w:proofErr w:type="spellStart"/>
            <w:r w:rsidRPr="009F765A">
              <w:rPr>
                <w:bCs/>
              </w:rPr>
              <w:t>Kainos</w:t>
            </w:r>
            <w:proofErr w:type="spellEnd"/>
            <w:r w:rsidRPr="009F765A">
              <w:rPr>
                <w:bCs/>
              </w:rPr>
              <w:t xml:space="preserve"> assay</w:t>
            </w:r>
          </w:p>
        </w:tc>
        <w:tc>
          <w:tcPr>
            <w:tcW w:w="2254" w:type="dxa"/>
          </w:tcPr>
          <w:p w14:paraId="6E0F194C" w14:textId="4DCE1851" w:rsidR="0094402B" w:rsidRPr="00840FF4" w:rsidRDefault="0094402B" w:rsidP="003D068F">
            <w:pPr>
              <w:pStyle w:val="TableText"/>
            </w:pPr>
            <w:r w:rsidRPr="00840FF4">
              <w:t>Pathogenic</w:t>
            </w:r>
            <w:r w:rsidR="00FB27B6" w:rsidRPr="00840FF4">
              <w:t xml:space="preserve">: </w:t>
            </w:r>
            <w:r w:rsidR="00FB27B6" w:rsidRPr="00FB27B6">
              <w:t>95</w:t>
            </w:r>
            <w:r w:rsidR="00FB27B6">
              <w:t xml:space="preserve"> </w:t>
            </w:r>
            <w:r w:rsidR="00FB27B6" w:rsidRPr="00FB27B6">
              <w:t>(</w:t>
            </w:r>
            <w:r w:rsidR="00CE5C8C">
              <w:t>71</w:t>
            </w:r>
            <w:r w:rsidR="0030185D">
              <w:t>%</w:t>
            </w:r>
            <w:r w:rsidR="00FB27B6" w:rsidRPr="00FB27B6">
              <w:t>)</w:t>
            </w:r>
          </w:p>
          <w:p w14:paraId="41E70111" w14:textId="21B5C097" w:rsidR="0094402B" w:rsidRPr="00840FF4" w:rsidRDefault="00422CCA" w:rsidP="003D068F">
            <w:pPr>
              <w:pStyle w:val="TableText"/>
            </w:pPr>
            <w:r w:rsidRPr="00840FF4">
              <w:t>Likely pathogenic</w:t>
            </w:r>
            <w:r w:rsidR="00FB27B6" w:rsidRPr="00840FF4">
              <w:t xml:space="preserve">: </w:t>
            </w:r>
            <w:r w:rsidR="00642832" w:rsidRPr="00642832">
              <w:t>15</w:t>
            </w:r>
            <w:r w:rsidR="00144FA5">
              <w:t xml:space="preserve"> </w:t>
            </w:r>
            <w:r w:rsidR="00642832" w:rsidRPr="00642832">
              <w:t>(</w:t>
            </w:r>
            <w:r w:rsidR="00CE5C8C">
              <w:t>11</w:t>
            </w:r>
            <w:r w:rsidR="0030185D">
              <w:t>%</w:t>
            </w:r>
            <w:r w:rsidR="00642832" w:rsidRPr="00642832">
              <w:t>)</w:t>
            </w:r>
          </w:p>
          <w:p w14:paraId="46454D50" w14:textId="48EE3367" w:rsidR="008C4F97" w:rsidRPr="008105E9" w:rsidRDefault="008C4F97" w:rsidP="008105E9">
            <w:pPr>
              <w:pStyle w:val="TableText"/>
            </w:pPr>
            <w:r w:rsidRPr="00840FF4">
              <w:t>Variant of uncertain significance</w:t>
            </w:r>
            <w:r w:rsidR="00C64F90" w:rsidRPr="00840FF4">
              <w:t xml:space="preserve">: </w:t>
            </w:r>
            <w:r w:rsidR="00C64F90" w:rsidRPr="00C64F90">
              <w:t>17</w:t>
            </w:r>
            <w:r w:rsidR="00144FA5">
              <w:t xml:space="preserve"> </w:t>
            </w:r>
            <w:r w:rsidR="00C64F90" w:rsidRPr="00C64F90">
              <w:t>(</w:t>
            </w:r>
            <w:r w:rsidR="00CE5C8C">
              <w:t>13</w:t>
            </w:r>
            <w:r w:rsidR="0030185D">
              <w:t>%</w:t>
            </w:r>
            <w:r w:rsidR="00C64F90" w:rsidRPr="00C64F90">
              <w:t>)</w:t>
            </w:r>
          </w:p>
        </w:tc>
        <w:tc>
          <w:tcPr>
            <w:tcW w:w="2254" w:type="dxa"/>
          </w:tcPr>
          <w:p w14:paraId="6BB3CE53" w14:textId="43B46450" w:rsidR="001A7138" w:rsidRDefault="00C05DB7" w:rsidP="002F311C">
            <w:pPr>
              <w:pStyle w:val="TableText"/>
              <w:spacing w:after="120"/>
            </w:pPr>
            <w:r>
              <w:t>In the 7 patients with no PHEX mutation</w:t>
            </w:r>
            <w:r w:rsidR="00F95358">
              <w:t>,</w:t>
            </w:r>
            <w:r>
              <w:t xml:space="preserve"> it is assumed that serum iFGF-23 was </w:t>
            </w:r>
            <w:r w:rsidRPr="00C05DB7">
              <w:t xml:space="preserve">&gt; 30 </w:t>
            </w:r>
            <w:proofErr w:type="spellStart"/>
            <w:r w:rsidRPr="00C05DB7">
              <w:t>pg</w:t>
            </w:r>
            <w:proofErr w:type="spellEnd"/>
            <w:r w:rsidRPr="00C05DB7">
              <w:t>/mL</w:t>
            </w:r>
            <w:r w:rsidR="00F9625E">
              <w:t xml:space="preserve"> to meet </w:t>
            </w:r>
            <w:r w:rsidR="00CA2691">
              <w:t xml:space="preserve">the </w:t>
            </w:r>
            <w:r w:rsidR="00F9625E">
              <w:t>inclusion criteria</w:t>
            </w:r>
          </w:p>
        </w:tc>
      </w:tr>
      <w:tr w:rsidR="00C5384F" w14:paraId="62915B59" w14:textId="77777777" w:rsidTr="000203FC">
        <w:tc>
          <w:tcPr>
            <w:tcW w:w="2254" w:type="dxa"/>
          </w:tcPr>
          <w:p w14:paraId="623E9A4C" w14:textId="2F836D0D" w:rsidR="00C21C9E" w:rsidRDefault="004B59A2" w:rsidP="002F311C">
            <w:pPr>
              <w:pStyle w:val="TableText"/>
              <w:spacing w:after="120"/>
            </w:pPr>
            <w:proofErr w:type="spellStart"/>
            <w:r>
              <w:t>Insogna</w:t>
            </w:r>
            <w:proofErr w:type="spellEnd"/>
            <w:r>
              <w:t xml:space="preserve"> (2019)</w:t>
            </w:r>
            <w:r w:rsidR="00902454">
              <w:br/>
            </w:r>
            <w:r w:rsidR="00F4109F">
              <w:t>Single-arm study</w:t>
            </w:r>
            <w:r w:rsidR="00902454">
              <w:br/>
            </w:r>
            <w:r w:rsidR="00301288">
              <w:t>N=</w:t>
            </w:r>
            <w:r w:rsidR="00C21C9E">
              <w:t>14</w:t>
            </w:r>
          </w:p>
        </w:tc>
        <w:tc>
          <w:tcPr>
            <w:tcW w:w="2254" w:type="dxa"/>
          </w:tcPr>
          <w:p w14:paraId="518A6A22" w14:textId="0D17FDB8" w:rsidR="001A7138" w:rsidRDefault="00E93F28" w:rsidP="002F311C">
            <w:pPr>
              <w:pStyle w:val="TableText"/>
              <w:spacing w:after="120"/>
            </w:pPr>
            <w:r>
              <w:t>D</w:t>
            </w:r>
            <w:r w:rsidRPr="00E93F28">
              <w:t>ocumentation of a PHEX mutation or a serum iFGF</w:t>
            </w:r>
            <w:r w:rsidR="00F46FEC">
              <w:t>-</w:t>
            </w:r>
            <w:r w:rsidRPr="00E93F28">
              <w:t xml:space="preserve">23 level </w:t>
            </w:r>
            <w:r w:rsidR="0013080D">
              <w:t>&gt;</w:t>
            </w:r>
            <w:r w:rsidRPr="00E93F28">
              <w:t xml:space="preserve"> 30 </w:t>
            </w:r>
            <w:proofErr w:type="spellStart"/>
            <w:r w:rsidRPr="00E93F28">
              <w:t>pg</w:t>
            </w:r>
            <w:proofErr w:type="spellEnd"/>
            <w:r w:rsidRPr="00E93F28">
              <w:t>/mL</w:t>
            </w:r>
          </w:p>
        </w:tc>
        <w:tc>
          <w:tcPr>
            <w:tcW w:w="2254" w:type="dxa"/>
          </w:tcPr>
          <w:p w14:paraId="069167DD" w14:textId="77777777" w:rsidR="001A7138" w:rsidRDefault="00CB50F3" w:rsidP="002F311C">
            <w:pPr>
              <w:pStyle w:val="TableText"/>
              <w:spacing w:after="120"/>
            </w:pPr>
            <w:r w:rsidRPr="00CB50F3">
              <w:t>NR</w:t>
            </w:r>
          </w:p>
          <w:p w14:paraId="28A5A791" w14:textId="4E634BEB" w:rsidR="00891673" w:rsidRPr="00891673" w:rsidRDefault="00891673" w:rsidP="002F311C">
            <w:pPr>
              <w:pStyle w:val="TableText"/>
              <w:spacing w:after="120"/>
              <w:rPr>
                <w:i/>
                <w:iCs/>
                <w:highlight w:val="yellow"/>
              </w:rPr>
            </w:pPr>
            <w:r w:rsidRPr="00E24C31">
              <w:rPr>
                <w:i/>
                <w:iCs/>
              </w:rPr>
              <w:t xml:space="preserve">Of the 11 excluded patients, none were excluded </w:t>
            </w:r>
            <w:proofErr w:type="gramStart"/>
            <w:r w:rsidRPr="00E24C31">
              <w:rPr>
                <w:i/>
                <w:iCs/>
              </w:rPr>
              <w:t>on the basis of</w:t>
            </w:r>
            <w:proofErr w:type="gramEnd"/>
            <w:r w:rsidRPr="00E24C31">
              <w:rPr>
                <w:i/>
                <w:iCs/>
              </w:rPr>
              <w:t xml:space="preserve"> PHEX/iFGF-23 status</w:t>
            </w:r>
          </w:p>
        </w:tc>
        <w:tc>
          <w:tcPr>
            <w:tcW w:w="2254" w:type="dxa"/>
          </w:tcPr>
          <w:p w14:paraId="761A1B2C" w14:textId="0269CBA7" w:rsidR="001A7138" w:rsidRDefault="00CB50F3" w:rsidP="002F311C">
            <w:pPr>
              <w:pStyle w:val="TableText"/>
              <w:spacing w:after="120"/>
            </w:pPr>
            <w:r>
              <w:t>NR</w:t>
            </w:r>
          </w:p>
        </w:tc>
      </w:tr>
      <w:tr w:rsidR="00C5384F" w14:paraId="4169CADA" w14:textId="77777777" w:rsidTr="000203FC">
        <w:tc>
          <w:tcPr>
            <w:tcW w:w="2254" w:type="dxa"/>
          </w:tcPr>
          <w:p w14:paraId="0D5EA965" w14:textId="49A03156" w:rsidR="00F802FD" w:rsidRDefault="00D4311C" w:rsidP="002F311C">
            <w:pPr>
              <w:pStyle w:val="TableText"/>
              <w:spacing w:after="120"/>
            </w:pPr>
            <w:r w:rsidRPr="006D3B41">
              <w:t>Carpenter (2014)</w:t>
            </w:r>
            <w:r w:rsidR="00902454">
              <w:br/>
            </w:r>
            <w:r w:rsidR="007323EF" w:rsidRPr="00DA0A0C">
              <w:t xml:space="preserve">Placebo-controlled single dose </w:t>
            </w:r>
            <w:r w:rsidR="00F802FD" w:rsidRPr="00DA0A0C">
              <w:t>RCT</w:t>
            </w:r>
            <w:r w:rsidR="00902454">
              <w:br/>
            </w:r>
            <w:r w:rsidR="00301288">
              <w:t>N=</w:t>
            </w:r>
            <w:r w:rsidR="00F802FD">
              <w:t>38</w:t>
            </w:r>
          </w:p>
        </w:tc>
        <w:tc>
          <w:tcPr>
            <w:tcW w:w="2254" w:type="dxa"/>
          </w:tcPr>
          <w:p w14:paraId="039540DE" w14:textId="57C15D19" w:rsidR="001A7138" w:rsidRDefault="00CA2957" w:rsidP="002F311C">
            <w:pPr>
              <w:pStyle w:val="TableText"/>
              <w:spacing w:after="120"/>
            </w:pPr>
            <w:r>
              <w:t>S</w:t>
            </w:r>
            <w:r w:rsidR="00401C50" w:rsidRPr="00401C50">
              <w:t xml:space="preserve">erum </w:t>
            </w:r>
            <w:r>
              <w:t>i</w:t>
            </w:r>
            <w:r w:rsidR="00401C50" w:rsidRPr="00401C50">
              <w:t>FGF</w:t>
            </w:r>
            <w:r>
              <w:t>-</w:t>
            </w:r>
            <w:r w:rsidR="00401C50" w:rsidRPr="00401C50">
              <w:t xml:space="preserve">23 </w:t>
            </w:r>
            <w:r w:rsidR="00FD0000">
              <w:t>≥</w:t>
            </w:r>
            <w:r w:rsidR="00401C50" w:rsidRPr="00401C50">
              <w:t xml:space="preserve"> 30 </w:t>
            </w:r>
            <w:proofErr w:type="spellStart"/>
            <w:r w:rsidR="00401C50" w:rsidRPr="00401C50">
              <w:t>pg</w:t>
            </w:r>
            <w:proofErr w:type="spellEnd"/>
            <w:r w:rsidR="00401C50" w:rsidRPr="00401C50">
              <w:t>/m</w:t>
            </w:r>
            <w:r w:rsidR="0022674C">
              <w:t>L</w:t>
            </w:r>
          </w:p>
        </w:tc>
        <w:tc>
          <w:tcPr>
            <w:tcW w:w="2254" w:type="dxa"/>
          </w:tcPr>
          <w:p w14:paraId="0FE62878" w14:textId="6968CFA4" w:rsidR="001A7138" w:rsidRDefault="0048682D" w:rsidP="002F311C">
            <w:pPr>
              <w:pStyle w:val="TableText"/>
              <w:spacing w:after="120"/>
            </w:pPr>
            <w:r>
              <w:t>N</w:t>
            </w:r>
            <w:r w:rsidR="00BE51BC">
              <w:t>/A</w:t>
            </w:r>
          </w:p>
        </w:tc>
        <w:tc>
          <w:tcPr>
            <w:tcW w:w="2254" w:type="dxa"/>
          </w:tcPr>
          <w:p w14:paraId="0BAB3054" w14:textId="2A559F8F" w:rsidR="001A7138" w:rsidRDefault="00FD0000" w:rsidP="002F311C">
            <w:pPr>
              <w:pStyle w:val="TableText"/>
              <w:spacing w:after="120"/>
            </w:pPr>
            <w:r>
              <w:t>38 (100</w:t>
            </w:r>
            <w:r w:rsidR="00A540E8">
              <w:t>%</w:t>
            </w:r>
            <w:r>
              <w:t>)</w:t>
            </w:r>
          </w:p>
        </w:tc>
      </w:tr>
      <w:tr w:rsidR="00C5384F" w14:paraId="5B32C9E5" w14:textId="77777777" w:rsidTr="000203FC">
        <w:tc>
          <w:tcPr>
            <w:tcW w:w="2254" w:type="dxa"/>
          </w:tcPr>
          <w:p w14:paraId="6C294ED4" w14:textId="1B3C4D5D" w:rsidR="00EA438C" w:rsidRDefault="00EA438C" w:rsidP="002F311C">
            <w:pPr>
              <w:pStyle w:val="TableText"/>
              <w:spacing w:after="120"/>
            </w:pPr>
            <w:proofErr w:type="spellStart"/>
            <w:r>
              <w:t>Imel</w:t>
            </w:r>
            <w:proofErr w:type="spellEnd"/>
            <w:r>
              <w:t xml:space="preserve"> (</w:t>
            </w:r>
            <w:proofErr w:type="gramStart"/>
            <w:r>
              <w:t>2015)</w:t>
            </w:r>
            <w:r w:rsidR="00FF3945">
              <w:rPr>
                <w:vertAlign w:val="superscript"/>
              </w:rPr>
              <w:t>#</w:t>
            </w:r>
            <w:proofErr w:type="gramEnd"/>
            <w:r w:rsidR="00902454">
              <w:rPr>
                <w:vertAlign w:val="superscript"/>
              </w:rPr>
              <w:br/>
            </w:r>
            <w:r w:rsidR="00B65FFF">
              <w:t>Single-arm</w:t>
            </w:r>
            <w:r w:rsidR="00EF1462">
              <w:t xml:space="preserve"> study</w:t>
            </w:r>
            <w:r w:rsidR="00902454">
              <w:br/>
            </w:r>
            <w:r w:rsidR="00301288">
              <w:t>N=</w:t>
            </w:r>
            <w:r w:rsidR="00C44AEA">
              <w:t>30</w:t>
            </w:r>
          </w:p>
        </w:tc>
        <w:tc>
          <w:tcPr>
            <w:tcW w:w="2254" w:type="dxa"/>
          </w:tcPr>
          <w:p w14:paraId="07C20E09" w14:textId="6C6D3683" w:rsidR="00D4311C" w:rsidRDefault="00DD515A" w:rsidP="002F311C">
            <w:pPr>
              <w:pStyle w:val="TableText"/>
              <w:spacing w:after="120"/>
            </w:pPr>
            <w:r>
              <w:t>S</w:t>
            </w:r>
            <w:r w:rsidRPr="00DD515A">
              <w:t xml:space="preserve">erum </w:t>
            </w:r>
            <w:r>
              <w:t>i</w:t>
            </w:r>
            <w:r w:rsidRPr="00DD515A">
              <w:t>FGF</w:t>
            </w:r>
            <w:r w:rsidR="00F46FEC">
              <w:t>-</w:t>
            </w:r>
            <w:r w:rsidRPr="00DD515A">
              <w:t>23</w:t>
            </w:r>
            <w:r w:rsidR="00D72A17">
              <w:t xml:space="preserve"> &gt;</w:t>
            </w:r>
            <w:r w:rsidRPr="00DD515A">
              <w:t xml:space="preserve"> 30 </w:t>
            </w:r>
            <w:proofErr w:type="spellStart"/>
            <w:r w:rsidRPr="00DD515A">
              <w:t>pg</w:t>
            </w:r>
            <w:proofErr w:type="spellEnd"/>
            <w:r w:rsidRPr="00DD515A">
              <w:t>/mL</w:t>
            </w:r>
          </w:p>
        </w:tc>
        <w:tc>
          <w:tcPr>
            <w:tcW w:w="2254" w:type="dxa"/>
          </w:tcPr>
          <w:p w14:paraId="3AA11BDA" w14:textId="6DCDFDAA" w:rsidR="00D4311C" w:rsidRDefault="00CC46E2" w:rsidP="002F311C">
            <w:pPr>
              <w:pStyle w:val="TableText"/>
              <w:spacing w:after="120"/>
            </w:pPr>
            <w:r>
              <w:t>N</w:t>
            </w:r>
            <w:r w:rsidR="00BE51BC">
              <w:t>/A</w:t>
            </w:r>
          </w:p>
        </w:tc>
        <w:tc>
          <w:tcPr>
            <w:tcW w:w="2254" w:type="dxa"/>
          </w:tcPr>
          <w:p w14:paraId="51B656F5" w14:textId="70339680" w:rsidR="00D4311C" w:rsidRDefault="00C44AEA" w:rsidP="002F311C">
            <w:pPr>
              <w:pStyle w:val="TableText"/>
              <w:spacing w:after="120"/>
            </w:pPr>
            <w:r>
              <w:t>30</w:t>
            </w:r>
            <w:r w:rsidR="00CC46E2">
              <w:t xml:space="preserve"> (100</w:t>
            </w:r>
            <w:r w:rsidR="007A51B2">
              <w:t>%</w:t>
            </w:r>
            <w:r w:rsidR="00CC46E2">
              <w:t>)</w:t>
            </w:r>
          </w:p>
        </w:tc>
      </w:tr>
    </w:tbl>
    <w:p w14:paraId="027D137E" w14:textId="6714D1DA" w:rsidR="00135D07" w:rsidRDefault="00135D07" w:rsidP="001D449C">
      <w:pPr>
        <w:pStyle w:val="TableFigureFooter"/>
        <w:spacing w:after="0"/>
      </w:pPr>
      <w:r>
        <w:t xml:space="preserve">FGF-23 = fibroblast growth factor 23; </w:t>
      </w:r>
      <w:r w:rsidR="001F42B1">
        <w:t xml:space="preserve">iFGF-23 = intact FGF-23; </w:t>
      </w:r>
      <w:r w:rsidR="00153E96">
        <w:t xml:space="preserve">N/A = not applicable; </w:t>
      </w:r>
      <w:r w:rsidR="00CB50F3">
        <w:t xml:space="preserve">NR = not reported; </w:t>
      </w:r>
      <w:r>
        <w:t xml:space="preserve">PBAC = Pharmaceutical Benefits Advisory Committee; PHEX = </w:t>
      </w:r>
      <w:r w:rsidRPr="00D46177">
        <w:t>phosphate-regulating endopeptidase homolog X-linked</w:t>
      </w:r>
      <w:r>
        <w:t>; RCT = randomised controlled trial</w:t>
      </w:r>
      <w:r w:rsidR="00EF0317">
        <w:t>.</w:t>
      </w:r>
      <w:r>
        <w:t xml:space="preserve"> </w:t>
      </w:r>
    </w:p>
    <w:p w14:paraId="3D636DCF" w14:textId="7370AB65" w:rsidR="005E2B55" w:rsidRDefault="00FF3945" w:rsidP="001D449C">
      <w:pPr>
        <w:pStyle w:val="TableFigureFooter"/>
        <w:spacing w:before="0" w:after="0"/>
      </w:pPr>
      <w:r>
        <w:t>#</w:t>
      </w:r>
      <w:r w:rsidR="005E2B55">
        <w:t xml:space="preserve"> </w:t>
      </w:r>
      <w:r w:rsidR="00F37023">
        <w:t xml:space="preserve">A </w:t>
      </w:r>
      <w:r w:rsidR="008A2E1A">
        <w:t>subgroup of this study</w:t>
      </w:r>
      <w:r w:rsidR="001D41DC">
        <w:t xml:space="preserve"> cohort </w:t>
      </w:r>
      <w:r w:rsidR="005549BF">
        <w:t>was</w:t>
      </w:r>
      <w:r w:rsidR="001D41DC">
        <w:t xml:space="preserve"> included in an extension study </w:t>
      </w:r>
      <w:r w:rsidR="008667DC">
        <w:t>included in the May 2022 PBAC submission.</w:t>
      </w:r>
    </w:p>
    <w:p w14:paraId="6D74EB8B" w14:textId="73B24450" w:rsidR="00772829" w:rsidRPr="00CE28E3" w:rsidRDefault="00135D07" w:rsidP="0974DDBD">
      <w:pPr>
        <w:pStyle w:val="TableFigureFooter"/>
        <w:spacing w:before="0"/>
      </w:pPr>
      <w:r>
        <w:t xml:space="preserve">Source: original publications (see </w:t>
      </w:r>
      <w:r w:rsidR="00186C73">
        <w:t xml:space="preserve">DCAR </w:t>
      </w:r>
      <w:r>
        <w:t>References).</w:t>
      </w:r>
    </w:p>
    <w:p w14:paraId="0D09C9E4" w14:textId="27864E56" w:rsidR="00772829" w:rsidRPr="00CE28E3" w:rsidRDefault="00C36633" w:rsidP="6E58EB50">
      <w:pPr>
        <w:pStyle w:val="Heading2"/>
        <w:numPr>
          <w:ilvl w:val="0"/>
          <w:numId w:val="0"/>
        </w:numPr>
        <w:spacing w:before="0"/>
      </w:pPr>
      <w:bookmarkStart w:id="32" w:name="_Toc166074008"/>
      <w:r>
        <w:t>1</w:t>
      </w:r>
      <w:r w:rsidR="00BF42A8">
        <w:t>3</w:t>
      </w:r>
      <w:r>
        <w:t>.</w:t>
      </w:r>
      <w:r>
        <w:tab/>
      </w:r>
      <w:r w:rsidR="00772829" w:rsidRPr="00F81847">
        <w:t>Economic evaluation</w:t>
      </w:r>
      <w:bookmarkEnd w:id="32"/>
    </w:p>
    <w:p w14:paraId="7D61F150" w14:textId="2113AF7E" w:rsidR="00AB2357" w:rsidRDefault="000C05F1" w:rsidP="007351CB">
      <w:r>
        <w:t xml:space="preserve">An economic evaluation was not </w:t>
      </w:r>
      <w:r w:rsidR="00AF50F1">
        <w:t xml:space="preserve">in scope </w:t>
      </w:r>
      <w:r>
        <w:t xml:space="preserve">for </w:t>
      </w:r>
      <w:r w:rsidR="5581A620">
        <w:t>the assessment of this application</w:t>
      </w:r>
      <w:r>
        <w:t>.</w:t>
      </w:r>
    </w:p>
    <w:p w14:paraId="25AE2BAC" w14:textId="1071E244" w:rsidR="00772829" w:rsidRPr="00CE28E3" w:rsidRDefault="00C36633" w:rsidP="002A18BE">
      <w:pPr>
        <w:pStyle w:val="Heading2"/>
        <w:numPr>
          <w:ilvl w:val="0"/>
          <w:numId w:val="0"/>
        </w:numPr>
      </w:pPr>
      <w:bookmarkStart w:id="33" w:name="Title_Table5"/>
      <w:bookmarkStart w:id="34" w:name="Title_Table6"/>
      <w:bookmarkStart w:id="35" w:name="_Toc166074009"/>
      <w:bookmarkEnd w:id="33"/>
      <w:bookmarkEnd w:id="34"/>
      <w:r>
        <w:t>1</w:t>
      </w:r>
      <w:r w:rsidR="00BF42A8">
        <w:t>4</w:t>
      </w:r>
      <w:r>
        <w:t>.</w:t>
      </w:r>
      <w:r>
        <w:tab/>
      </w:r>
      <w:r w:rsidR="00772829" w:rsidRPr="00CE28E3">
        <w:t>Financial/budgetary impacts</w:t>
      </w:r>
      <w:bookmarkEnd w:id="35"/>
    </w:p>
    <w:p w14:paraId="25EA76EF" w14:textId="03835A74" w:rsidR="0003563D" w:rsidRPr="0003563D" w:rsidRDefault="0003563D" w:rsidP="00463E46">
      <w:r>
        <w:t>An epidemiological approach was taken to estimate the financial implications to the MBS of the proposed service, FGF-23 testing for paediatric and adult patients with a high pre-test probability of XLH.</w:t>
      </w:r>
    </w:p>
    <w:p w14:paraId="7BDE2BDD" w14:textId="3C48EC31" w:rsidR="001D3A64" w:rsidRPr="000D1B52" w:rsidRDefault="00243DDD" w:rsidP="00243DDD">
      <w:pPr>
        <w:pStyle w:val="Heading3"/>
      </w:pPr>
      <w:r>
        <w:t>Paediatric population</w:t>
      </w:r>
    </w:p>
    <w:p w14:paraId="50BA2DFA" w14:textId="3EC7349E" w:rsidR="00243DDD" w:rsidRDefault="00D11BD9" w:rsidP="00083537">
      <w:pPr>
        <w:spacing w:before="240"/>
      </w:pPr>
      <w:r>
        <w:t>The prevalen</w:t>
      </w:r>
      <w:r w:rsidR="00B761D7">
        <w:t>t paediatric</w:t>
      </w:r>
      <w:r>
        <w:t xml:space="preserve"> XLH population was </w:t>
      </w:r>
      <w:r w:rsidR="00045790">
        <w:t>estimated</w:t>
      </w:r>
      <w:r w:rsidR="00B761D7">
        <w:t xml:space="preserve"> at 110</w:t>
      </w:r>
      <w:r w:rsidR="00F628D1">
        <w:t xml:space="preserve"> patients in 2023,</w:t>
      </w:r>
      <w:r w:rsidR="00045790">
        <w:t xml:space="preserve"> </w:t>
      </w:r>
      <w:r>
        <w:t xml:space="preserve">calculated using </w:t>
      </w:r>
      <w:r w:rsidR="0035641B">
        <w:t xml:space="preserve">a </w:t>
      </w:r>
      <w:r>
        <w:t>prevalence of 1.91 per 100,000 children</w:t>
      </w:r>
      <w:r w:rsidR="00EC5802">
        <w:rPr>
          <w:rStyle w:val="FootnoteReference"/>
        </w:rPr>
        <w:footnoteReference w:id="7"/>
      </w:r>
      <w:r>
        <w:t>.</w:t>
      </w:r>
      <w:r w:rsidR="00A82DFD">
        <w:t xml:space="preserve"> </w:t>
      </w:r>
      <w:r w:rsidR="00805E79">
        <w:t>FGF-23 testing is for access to burosumab</w:t>
      </w:r>
      <w:r w:rsidR="00322964">
        <w:t>;</w:t>
      </w:r>
      <w:r w:rsidR="00805E79">
        <w:t xml:space="preserve"> therefore</w:t>
      </w:r>
      <w:r w:rsidR="00322964">
        <w:t>,</w:t>
      </w:r>
      <w:r w:rsidR="00805E79">
        <w:t xml:space="preserve"> the eligible population for the test is the burosumab treatment naïve population</w:t>
      </w:r>
      <w:r w:rsidR="00322964">
        <w:t>.</w:t>
      </w:r>
      <w:r w:rsidR="00805E79">
        <w:t xml:space="preserve"> </w:t>
      </w:r>
      <w:r w:rsidR="00322964">
        <w:t>T</w:t>
      </w:r>
      <w:r w:rsidR="00805E79">
        <w:t xml:space="preserve">his </w:t>
      </w:r>
      <w:r w:rsidR="00805E79">
        <w:lastRenderedPageBreak/>
        <w:t xml:space="preserve">was estimated by removing 61 </w:t>
      </w:r>
      <w:r w:rsidR="00AB1C06">
        <w:t>patients</w:t>
      </w:r>
      <w:r w:rsidR="00805E79">
        <w:t xml:space="preserve"> who accessed burosumab under the early access </w:t>
      </w:r>
      <w:r w:rsidR="00626F4F">
        <w:t>program</w:t>
      </w:r>
      <w:r w:rsidR="003A653A">
        <w:t>, leaving 49 eligible patients</w:t>
      </w:r>
      <w:r w:rsidR="00755E4D">
        <w:t xml:space="preserve">. </w:t>
      </w:r>
      <w:r w:rsidR="00DC2022">
        <w:t>Applying a</w:t>
      </w:r>
      <w:r w:rsidR="00704135">
        <w:t xml:space="preserve"> burosumab</w:t>
      </w:r>
      <w:r w:rsidR="00DC2022">
        <w:t xml:space="preserve"> uptake rate of </w:t>
      </w:r>
      <w:r w:rsidR="001E627B">
        <w:t>80%</w:t>
      </w:r>
      <w:r w:rsidR="007E4829">
        <w:t xml:space="preserve"> to the eligible population</w:t>
      </w:r>
      <w:r w:rsidR="001E627B">
        <w:t>,</w:t>
      </w:r>
      <w:r w:rsidR="00805E79">
        <w:t xml:space="preserve"> </w:t>
      </w:r>
      <w:r w:rsidR="00024E4A">
        <w:t>it was estimated that</w:t>
      </w:r>
      <w:r w:rsidR="00805E79">
        <w:t xml:space="preserve"> </w:t>
      </w:r>
      <w:r w:rsidR="00024E4A">
        <w:t xml:space="preserve">there would be </w:t>
      </w:r>
      <w:r w:rsidR="00FC7316">
        <w:t xml:space="preserve">39 </w:t>
      </w:r>
      <w:r w:rsidR="00024E4A">
        <w:t>patients access</w:t>
      </w:r>
      <w:r w:rsidR="0066313C">
        <w:t>ing</w:t>
      </w:r>
      <w:r w:rsidR="00024E4A">
        <w:t xml:space="preserve"> </w:t>
      </w:r>
      <w:r w:rsidR="00B83710">
        <w:t xml:space="preserve">testing for </w:t>
      </w:r>
      <w:r w:rsidR="00024E4A">
        <w:t>burosumab</w:t>
      </w:r>
      <w:r w:rsidR="00283FBB">
        <w:t xml:space="preserve"> </w:t>
      </w:r>
      <w:r w:rsidR="00B83710">
        <w:t xml:space="preserve">eligibility </w:t>
      </w:r>
      <w:r w:rsidR="00283FBB">
        <w:t>in 2023</w:t>
      </w:r>
      <w:r w:rsidR="00083537">
        <w:t>–</w:t>
      </w:r>
      <w:r w:rsidR="00283FBB">
        <w:t>24</w:t>
      </w:r>
      <w:r w:rsidR="00567D4F">
        <w:t xml:space="preserve"> (</w:t>
      </w:r>
      <w:r w:rsidR="00980088">
        <w:t>following</w:t>
      </w:r>
      <w:r w:rsidR="001E2868">
        <w:t xml:space="preserve"> PBS listing </w:t>
      </w:r>
      <w:r w:rsidR="00B83710">
        <w:t>of burosumab and</w:t>
      </w:r>
      <w:r w:rsidR="001E2868">
        <w:t xml:space="preserve"> in the absence of </w:t>
      </w:r>
      <w:r w:rsidR="00B83710">
        <w:t>MBS funding for FGF-23 testing)</w:t>
      </w:r>
      <w:r w:rsidR="00993FB2">
        <w:t>.</w:t>
      </w:r>
      <w:r w:rsidR="00FC7316">
        <w:t xml:space="preserve"> </w:t>
      </w:r>
      <w:r w:rsidR="00547ECE">
        <w:t xml:space="preserve">The 10 patients </w:t>
      </w:r>
      <w:r w:rsidR="00DE5486">
        <w:t>not access</w:t>
      </w:r>
      <w:r w:rsidR="00AF0273">
        <w:t>ing testing for</w:t>
      </w:r>
      <w:r w:rsidR="00DE5486">
        <w:t xml:space="preserve"> burosumab </w:t>
      </w:r>
      <w:r w:rsidR="00AF0273">
        <w:t>eligibility</w:t>
      </w:r>
      <w:r w:rsidR="00DE5486">
        <w:t xml:space="preserve"> in that year were considered</w:t>
      </w:r>
      <w:r w:rsidR="00547ECE">
        <w:t xml:space="preserve"> eligible for FGF-23 testing </w:t>
      </w:r>
      <w:r w:rsidR="00DE5486">
        <w:t xml:space="preserve">in the subsequent year, </w:t>
      </w:r>
      <w:r w:rsidR="00547ECE">
        <w:t>along with an incident population of 12 patients per year.</w:t>
      </w:r>
      <w:r w:rsidR="00216E60">
        <w:t xml:space="preserve"> The analysis also </w:t>
      </w:r>
      <w:r w:rsidR="003674A4">
        <w:t>assumed that a proportion</w:t>
      </w:r>
      <w:r w:rsidR="00216E60">
        <w:t xml:space="preserve"> of </w:t>
      </w:r>
      <w:r w:rsidR="00A556E3">
        <w:t xml:space="preserve">paediatric XLH patients would access burosumab </w:t>
      </w:r>
      <w:r w:rsidR="0025748A">
        <w:t>through</w:t>
      </w:r>
      <w:r w:rsidR="00A556E3">
        <w:t xml:space="preserve"> identification of a PHEX pathogenic </w:t>
      </w:r>
      <w:r w:rsidR="00080DBE">
        <w:t>variant</w:t>
      </w:r>
      <w:r w:rsidR="003D5C4F">
        <w:t xml:space="preserve">, with the proportion </w:t>
      </w:r>
      <w:r w:rsidR="008818DC">
        <w:t>of patients accessing burosumab through</w:t>
      </w:r>
      <w:r w:rsidR="00020AD5">
        <w:t xml:space="preserve"> PHEX testing declining over time</w:t>
      </w:r>
      <w:r w:rsidR="00A556E3">
        <w:t xml:space="preserve">. Therefore, the eligible population was estimated to be very small, </w:t>
      </w:r>
      <w:r w:rsidR="00E811A4">
        <w:t>approximately</w:t>
      </w:r>
      <w:r w:rsidR="00A556E3">
        <w:t xml:space="preserve"> </w:t>
      </w:r>
      <w:r w:rsidR="00982FD7">
        <w:t>12</w:t>
      </w:r>
      <w:r w:rsidR="00A556E3">
        <w:t xml:space="preserve"> </w:t>
      </w:r>
      <w:r w:rsidR="008315A0">
        <w:t xml:space="preserve">paediatric </w:t>
      </w:r>
      <w:r w:rsidR="00DC0781">
        <w:t xml:space="preserve">patients </w:t>
      </w:r>
      <w:r w:rsidR="00A556E3">
        <w:t>per year.</w:t>
      </w:r>
    </w:p>
    <w:p w14:paraId="4FE2390F" w14:textId="0AEFC206" w:rsidR="0072578A" w:rsidRDefault="00D428B9" w:rsidP="00330A0A">
      <w:r w:rsidRPr="00CE28E3">
        <w:t xml:space="preserve">The financial implications to the </w:t>
      </w:r>
      <w:r>
        <w:t>MBS</w:t>
      </w:r>
      <w:r w:rsidRPr="00CE28E3">
        <w:t xml:space="preserve"> resulting from the proposed listing of </w:t>
      </w:r>
      <w:r w:rsidR="000A42B9">
        <w:t xml:space="preserve">FGF-23 testing for access to </w:t>
      </w:r>
      <w:r w:rsidR="00F9377F">
        <w:t>burosumab</w:t>
      </w:r>
      <w:r w:rsidRPr="00CE28E3">
        <w:t xml:space="preserve"> </w:t>
      </w:r>
      <w:r w:rsidR="00114F6C">
        <w:t>in the paediatric population</w:t>
      </w:r>
      <w:r w:rsidRPr="00CE28E3">
        <w:t xml:space="preserve"> are summarised in </w:t>
      </w:r>
      <w:r w:rsidR="00507DBA">
        <w:fldChar w:fldCharType="begin"/>
      </w:r>
      <w:r w:rsidR="00507DBA">
        <w:instrText xml:space="preserve"> REF _Ref168435295 \h </w:instrText>
      </w:r>
      <w:r w:rsidR="00507DBA">
        <w:fldChar w:fldCharType="separate"/>
      </w:r>
      <w:r w:rsidR="00A367FC">
        <w:t xml:space="preserve">Table </w:t>
      </w:r>
      <w:r w:rsidR="00A367FC">
        <w:rPr>
          <w:noProof/>
        </w:rPr>
        <w:t>8</w:t>
      </w:r>
      <w:r w:rsidR="00507DBA">
        <w:fldChar w:fldCharType="end"/>
      </w:r>
      <w:r w:rsidRPr="00CE28E3">
        <w:t xml:space="preserve">. </w:t>
      </w:r>
    </w:p>
    <w:p w14:paraId="427566CE" w14:textId="0067FE1A" w:rsidR="00507DBA" w:rsidRDefault="00507DBA" w:rsidP="00507DBA">
      <w:pPr>
        <w:pStyle w:val="Caption"/>
      </w:pPr>
      <w:bookmarkStart w:id="36" w:name="_Ref168435295"/>
      <w:r>
        <w:t xml:space="preserve">Table </w:t>
      </w:r>
      <w:r w:rsidR="00BF42A8">
        <w:fldChar w:fldCharType="begin"/>
      </w:r>
      <w:r w:rsidR="00BF42A8">
        <w:instrText xml:space="preserve"> SEQ Table \* ARABIC </w:instrText>
      </w:r>
      <w:r w:rsidR="00BF42A8">
        <w:fldChar w:fldCharType="separate"/>
      </w:r>
      <w:r w:rsidR="00A367FC">
        <w:rPr>
          <w:noProof/>
        </w:rPr>
        <w:t>8</w:t>
      </w:r>
      <w:r w:rsidR="00BF42A8">
        <w:rPr>
          <w:noProof/>
        </w:rPr>
        <w:fldChar w:fldCharType="end"/>
      </w:r>
      <w:bookmarkEnd w:id="36"/>
      <w:r>
        <w:tab/>
        <w:t xml:space="preserve">Financial implications </w:t>
      </w:r>
      <w:r w:rsidR="008A030E">
        <w:t xml:space="preserve">to the MBS </w:t>
      </w:r>
      <w:r>
        <w:t>of FGF-23 test</w:t>
      </w:r>
      <w:r w:rsidR="006C33D2">
        <w:t>ing</w:t>
      </w:r>
      <w:r>
        <w:t xml:space="preserve"> for access to burosumab (paediatric)</w:t>
      </w:r>
    </w:p>
    <w:tbl>
      <w:tblPr>
        <w:tblStyle w:val="TableGrid"/>
        <w:tblW w:w="0" w:type="auto"/>
        <w:tblLook w:val="04A0" w:firstRow="1" w:lastRow="0" w:firstColumn="1" w:lastColumn="0" w:noHBand="0" w:noVBand="1"/>
        <w:tblCaption w:val="Financial implications of FGF-23 test for access to burosumab to the MBS (paediatric)"/>
        <w:tblDescription w:val="This table outlines the financial implications of FGF-23 testing for access to the MBS in a paediatric population."/>
      </w:tblPr>
      <w:tblGrid>
        <w:gridCol w:w="2263"/>
        <w:gridCol w:w="1134"/>
        <w:gridCol w:w="1134"/>
        <w:gridCol w:w="426"/>
        <w:gridCol w:w="708"/>
        <w:gridCol w:w="284"/>
        <w:gridCol w:w="283"/>
        <w:gridCol w:w="284"/>
        <w:gridCol w:w="283"/>
        <w:gridCol w:w="1134"/>
        <w:gridCol w:w="1083"/>
      </w:tblGrid>
      <w:tr w:rsidR="00507DBA" w14:paraId="38E3F710" w14:textId="77777777" w:rsidTr="00E666BF">
        <w:trPr>
          <w:tblHeader/>
        </w:trPr>
        <w:tc>
          <w:tcPr>
            <w:tcW w:w="2263" w:type="dxa"/>
          </w:tcPr>
          <w:p w14:paraId="2CF5D2E4" w14:textId="04451FA9" w:rsidR="00507DBA" w:rsidRDefault="0013217D" w:rsidP="0030624B">
            <w:pPr>
              <w:pStyle w:val="TableHeading0"/>
              <w:keepNext/>
            </w:pPr>
            <w:r>
              <w:t>Parameter</w:t>
            </w:r>
          </w:p>
        </w:tc>
        <w:tc>
          <w:tcPr>
            <w:tcW w:w="1134" w:type="dxa"/>
          </w:tcPr>
          <w:p w14:paraId="6DA83770" w14:textId="77777777" w:rsidR="00507DBA" w:rsidRDefault="00507DBA" w:rsidP="0030624B">
            <w:pPr>
              <w:pStyle w:val="TableHeading0"/>
              <w:keepNext/>
            </w:pPr>
            <w:r w:rsidRPr="0095614B">
              <w:t>FY 2024-25</w:t>
            </w:r>
          </w:p>
        </w:tc>
        <w:tc>
          <w:tcPr>
            <w:tcW w:w="1134" w:type="dxa"/>
          </w:tcPr>
          <w:p w14:paraId="6963AFE2" w14:textId="77777777" w:rsidR="00507DBA" w:rsidRDefault="00507DBA" w:rsidP="0030624B">
            <w:pPr>
              <w:pStyle w:val="TableHeading0"/>
              <w:keepNext/>
            </w:pPr>
            <w:r w:rsidRPr="0095614B">
              <w:t>FY 2025-26</w:t>
            </w:r>
          </w:p>
        </w:tc>
        <w:tc>
          <w:tcPr>
            <w:tcW w:w="1134" w:type="dxa"/>
            <w:gridSpan w:val="2"/>
          </w:tcPr>
          <w:p w14:paraId="305F5608" w14:textId="77777777" w:rsidR="00507DBA" w:rsidRDefault="00507DBA" w:rsidP="0030624B">
            <w:pPr>
              <w:pStyle w:val="TableHeading0"/>
              <w:keepNext/>
            </w:pPr>
            <w:r w:rsidRPr="0095614B">
              <w:t>FY 2026-27</w:t>
            </w:r>
          </w:p>
        </w:tc>
        <w:tc>
          <w:tcPr>
            <w:tcW w:w="1134" w:type="dxa"/>
            <w:gridSpan w:val="4"/>
          </w:tcPr>
          <w:p w14:paraId="54743E15" w14:textId="77777777" w:rsidR="00507DBA" w:rsidRDefault="00507DBA" w:rsidP="0030624B">
            <w:pPr>
              <w:pStyle w:val="TableHeading0"/>
              <w:keepNext/>
            </w:pPr>
            <w:r w:rsidRPr="0095614B">
              <w:t>FY 2027-28</w:t>
            </w:r>
          </w:p>
        </w:tc>
        <w:tc>
          <w:tcPr>
            <w:tcW w:w="1134" w:type="dxa"/>
          </w:tcPr>
          <w:p w14:paraId="0A7E88EB" w14:textId="77777777" w:rsidR="00507DBA" w:rsidRDefault="00507DBA" w:rsidP="0030624B">
            <w:pPr>
              <w:pStyle w:val="TableHeading0"/>
              <w:keepNext/>
            </w:pPr>
            <w:r w:rsidRPr="0095614B">
              <w:t>FY 2028-29</w:t>
            </w:r>
          </w:p>
        </w:tc>
        <w:tc>
          <w:tcPr>
            <w:tcW w:w="1083" w:type="dxa"/>
          </w:tcPr>
          <w:p w14:paraId="33575851" w14:textId="77777777" w:rsidR="00507DBA" w:rsidRDefault="00507DBA" w:rsidP="0030624B">
            <w:pPr>
              <w:pStyle w:val="TableHeading0"/>
              <w:keepNext/>
            </w:pPr>
            <w:r w:rsidRPr="0095614B">
              <w:t>FY 2029-30</w:t>
            </w:r>
          </w:p>
        </w:tc>
      </w:tr>
      <w:tr w:rsidR="00AD347A" w14:paraId="55B2EF56" w14:textId="77777777">
        <w:tc>
          <w:tcPr>
            <w:tcW w:w="2263" w:type="dxa"/>
          </w:tcPr>
          <w:p w14:paraId="1C8A0046" w14:textId="77777777" w:rsidR="00AD347A" w:rsidRPr="00E47558" w:rsidRDefault="00AD347A" w:rsidP="0030624B">
            <w:pPr>
              <w:pStyle w:val="Tabletext0"/>
              <w:keepNext/>
              <w:jc w:val="left"/>
              <w:rPr>
                <w:vertAlign w:val="superscript"/>
              </w:rPr>
            </w:pPr>
            <w:r w:rsidRPr="00E70827">
              <w:t xml:space="preserve">Number of new patients with XLH (i.e. babies </w:t>
            </w:r>
            <w:proofErr w:type="gramStart"/>
            <w:r w:rsidRPr="00E70827">
              <w:t>born)</w:t>
            </w:r>
            <w:r>
              <w:rPr>
                <w:vertAlign w:val="superscript"/>
              </w:rPr>
              <w:t>a</w:t>
            </w:r>
            <w:proofErr w:type="gramEnd"/>
          </w:p>
        </w:tc>
        <w:tc>
          <w:tcPr>
            <w:tcW w:w="1134" w:type="dxa"/>
          </w:tcPr>
          <w:p w14:paraId="753940A3" w14:textId="3575BB82" w:rsidR="00AD347A" w:rsidRDefault="00AD347A" w:rsidP="0030624B">
            <w:pPr>
              <w:pStyle w:val="Tabletext0"/>
              <w:keepNext/>
              <w:jc w:val="left"/>
            </w:pPr>
            <w:r w:rsidRPr="00DB467F">
              <w:t>12</w:t>
            </w:r>
          </w:p>
        </w:tc>
        <w:tc>
          <w:tcPr>
            <w:tcW w:w="1134" w:type="dxa"/>
          </w:tcPr>
          <w:p w14:paraId="3071AACC" w14:textId="2AD15E86" w:rsidR="00AD347A" w:rsidRDefault="00AD347A" w:rsidP="0030624B">
            <w:pPr>
              <w:pStyle w:val="Tabletext0"/>
              <w:keepNext/>
              <w:jc w:val="left"/>
            </w:pPr>
            <w:r w:rsidRPr="00DB467F">
              <w:t>12</w:t>
            </w:r>
          </w:p>
        </w:tc>
        <w:tc>
          <w:tcPr>
            <w:tcW w:w="1134" w:type="dxa"/>
            <w:gridSpan w:val="2"/>
          </w:tcPr>
          <w:p w14:paraId="13B21813" w14:textId="296B2F90" w:rsidR="00AD347A" w:rsidRDefault="00AD347A" w:rsidP="0030624B">
            <w:pPr>
              <w:pStyle w:val="Tabletext0"/>
              <w:keepNext/>
              <w:jc w:val="left"/>
            </w:pPr>
            <w:r w:rsidRPr="00DB467F">
              <w:t>12</w:t>
            </w:r>
          </w:p>
        </w:tc>
        <w:tc>
          <w:tcPr>
            <w:tcW w:w="1134" w:type="dxa"/>
            <w:gridSpan w:val="4"/>
          </w:tcPr>
          <w:p w14:paraId="32523AB7" w14:textId="4AD1E631" w:rsidR="00AD347A" w:rsidRDefault="00AD347A" w:rsidP="0030624B">
            <w:pPr>
              <w:pStyle w:val="Tabletext0"/>
              <w:keepNext/>
              <w:jc w:val="left"/>
            </w:pPr>
            <w:r w:rsidRPr="00DB467F">
              <w:t>12</w:t>
            </w:r>
          </w:p>
        </w:tc>
        <w:tc>
          <w:tcPr>
            <w:tcW w:w="1134" w:type="dxa"/>
          </w:tcPr>
          <w:p w14:paraId="17A33F99" w14:textId="42F4CA60" w:rsidR="00AD347A" w:rsidRDefault="00AD347A" w:rsidP="0030624B">
            <w:pPr>
              <w:pStyle w:val="Tabletext0"/>
              <w:keepNext/>
              <w:jc w:val="left"/>
            </w:pPr>
            <w:r w:rsidRPr="00DB467F">
              <w:t>12</w:t>
            </w:r>
          </w:p>
        </w:tc>
        <w:tc>
          <w:tcPr>
            <w:tcW w:w="1083" w:type="dxa"/>
          </w:tcPr>
          <w:p w14:paraId="6CCB7E23" w14:textId="014C5884" w:rsidR="00AD347A" w:rsidRDefault="00AD347A" w:rsidP="0030624B">
            <w:pPr>
              <w:pStyle w:val="Tabletext0"/>
              <w:keepNext/>
              <w:jc w:val="left"/>
            </w:pPr>
            <w:r w:rsidRPr="00DB467F">
              <w:t>12</w:t>
            </w:r>
          </w:p>
        </w:tc>
      </w:tr>
      <w:tr w:rsidR="00AD347A" w14:paraId="73A822BB" w14:textId="77777777">
        <w:tc>
          <w:tcPr>
            <w:tcW w:w="2263" w:type="dxa"/>
          </w:tcPr>
          <w:p w14:paraId="4C94A25D" w14:textId="77777777" w:rsidR="00AD347A" w:rsidRPr="0088704A" w:rsidRDefault="00AD347A" w:rsidP="00AD347A">
            <w:pPr>
              <w:pStyle w:val="Tabletext0"/>
              <w:jc w:val="left"/>
              <w:rPr>
                <w:vertAlign w:val="superscript"/>
              </w:rPr>
            </w:pPr>
            <w:r w:rsidRPr="00E70827">
              <w:t xml:space="preserve">Additional eligible patients from previous </w:t>
            </w:r>
            <w:proofErr w:type="spellStart"/>
            <w:r w:rsidRPr="00E70827">
              <w:t>year</w:t>
            </w:r>
            <w:r>
              <w:rPr>
                <w:vertAlign w:val="superscript"/>
              </w:rPr>
              <w:t>b</w:t>
            </w:r>
            <w:proofErr w:type="spellEnd"/>
          </w:p>
        </w:tc>
        <w:tc>
          <w:tcPr>
            <w:tcW w:w="1134" w:type="dxa"/>
          </w:tcPr>
          <w:p w14:paraId="7D25A7BE" w14:textId="53EC7F6C" w:rsidR="00AD347A" w:rsidRDefault="00AD347A" w:rsidP="00AD347A">
            <w:pPr>
              <w:pStyle w:val="Tabletext0"/>
              <w:jc w:val="left"/>
            </w:pPr>
            <w:r w:rsidRPr="00DB467F">
              <w:t>10</w:t>
            </w:r>
          </w:p>
        </w:tc>
        <w:tc>
          <w:tcPr>
            <w:tcW w:w="1134" w:type="dxa"/>
          </w:tcPr>
          <w:p w14:paraId="28A11BB0" w14:textId="073E9A38" w:rsidR="00AD347A" w:rsidRDefault="00AD347A" w:rsidP="00AD347A">
            <w:pPr>
              <w:pStyle w:val="Tabletext0"/>
              <w:jc w:val="left"/>
            </w:pPr>
            <w:r w:rsidRPr="00DB467F">
              <w:t>2</w:t>
            </w:r>
          </w:p>
        </w:tc>
        <w:tc>
          <w:tcPr>
            <w:tcW w:w="1134" w:type="dxa"/>
            <w:gridSpan w:val="2"/>
          </w:tcPr>
          <w:p w14:paraId="47AFE58F" w14:textId="61EA6585" w:rsidR="00AD347A" w:rsidRDefault="00AD347A" w:rsidP="00AD347A">
            <w:pPr>
              <w:pStyle w:val="Tabletext0"/>
              <w:jc w:val="left"/>
            </w:pPr>
            <w:r w:rsidRPr="00DB467F">
              <w:t>1</w:t>
            </w:r>
          </w:p>
        </w:tc>
        <w:tc>
          <w:tcPr>
            <w:tcW w:w="1134" w:type="dxa"/>
            <w:gridSpan w:val="4"/>
          </w:tcPr>
          <w:p w14:paraId="420688C0" w14:textId="1D1D5B82" w:rsidR="00AD347A" w:rsidRDefault="00AD347A" w:rsidP="00AD347A">
            <w:pPr>
              <w:pStyle w:val="Tabletext0"/>
              <w:jc w:val="left"/>
            </w:pPr>
            <w:r w:rsidRPr="00DB467F">
              <w:t>1</w:t>
            </w:r>
          </w:p>
        </w:tc>
        <w:tc>
          <w:tcPr>
            <w:tcW w:w="1134" w:type="dxa"/>
          </w:tcPr>
          <w:p w14:paraId="0FB8F383" w14:textId="29863876" w:rsidR="00AD347A" w:rsidRDefault="00AD347A" w:rsidP="00AD347A">
            <w:pPr>
              <w:pStyle w:val="Tabletext0"/>
              <w:jc w:val="left"/>
            </w:pPr>
            <w:r w:rsidRPr="00DB467F">
              <w:t>0</w:t>
            </w:r>
          </w:p>
        </w:tc>
        <w:tc>
          <w:tcPr>
            <w:tcW w:w="1083" w:type="dxa"/>
          </w:tcPr>
          <w:p w14:paraId="4562A030" w14:textId="75186938" w:rsidR="00AD347A" w:rsidRDefault="00AD347A" w:rsidP="00AD347A">
            <w:pPr>
              <w:pStyle w:val="Tabletext0"/>
              <w:jc w:val="left"/>
            </w:pPr>
            <w:r w:rsidRPr="00DB467F">
              <w:t>0</w:t>
            </w:r>
          </w:p>
        </w:tc>
      </w:tr>
      <w:tr w:rsidR="00AD347A" w14:paraId="0759F574" w14:textId="77777777">
        <w:tc>
          <w:tcPr>
            <w:tcW w:w="2263" w:type="dxa"/>
          </w:tcPr>
          <w:p w14:paraId="14496336" w14:textId="77777777" w:rsidR="00AD347A" w:rsidRPr="008B4435" w:rsidRDefault="00AD347A" w:rsidP="00AD347A">
            <w:pPr>
              <w:pStyle w:val="Tabletext0"/>
              <w:jc w:val="left"/>
              <w:rPr>
                <w:vertAlign w:val="superscript"/>
              </w:rPr>
            </w:pPr>
            <w:r>
              <w:t>Number</w:t>
            </w:r>
            <w:r w:rsidRPr="00E70827">
              <w:t xml:space="preserve"> of </w:t>
            </w:r>
            <w:proofErr w:type="spellStart"/>
            <w:r>
              <w:t>burosumab</w:t>
            </w:r>
            <w:proofErr w:type="spellEnd"/>
            <w:r>
              <w:t xml:space="preserve"> naïve</w:t>
            </w:r>
            <w:r w:rsidRPr="00E70827">
              <w:t xml:space="preserve"> </w:t>
            </w:r>
            <w:proofErr w:type="spellStart"/>
            <w:r w:rsidRPr="00E70827">
              <w:t>patients</w:t>
            </w:r>
            <w:r>
              <w:rPr>
                <w:vertAlign w:val="superscript"/>
              </w:rPr>
              <w:t>c</w:t>
            </w:r>
            <w:proofErr w:type="spellEnd"/>
          </w:p>
        </w:tc>
        <w:tc>
          <w:tcPr>
            <w:tcW w:w="1134" w:type="dxa"/>
          </w:tcPr>
          <w:p w14:paraId="5E6FCB15" w14:textId="6A0461E6" w:rsidR="00AD347A" w:rsidRDefault="00AD347A" w:rsidP="00AD347A">
            <w:pPr>
              <w:pStyle w:val="Tabletext0"/>
              <w:jc w:val="left"/>
            </w:pPr>
            <w:r w:rsidRPr="00DB467F">
              <w:t>22</w:t>
            </w:r>
          </w:p>
        </w:tc>
        <w:tc>
          <w:tcPr>
            <w:tcW w:w="1134" w:type="dxa"/>
          </w:tcPr>
          <w:p w14:paraId="01CED4E0" w14:textId="5D6D3BAD" w:rsidR="00AD347A" w:rsidRDefault="00AD347A" w:rsidP="00AD347A">
            <w:pPr>
              <w:pStyle w:val="Tabletext0"/>
              <w:jc w:val="left"/>
            </w:pPr>
            <w:r w:rsidRPr="00DB467F">
              <w:t>14</w:t>
            </w:r>
          </w:p>
        </w:tc>
        <w:tc>
          <w:tcPr>
            <w:tcW w:w="1134" w:type="dxa"/>
            <w:gridSpan w:val="2"/>
          </w:tcPr>
          <w:p w14:paraId="76C94C98" w14:textId="3F2704C6" w:rsidR="00AD347A" w:rsidRDefault="00AD347A" w:rsidP="00AD347A">
            <w:pPr>
              <w:pStyle w:val="Tabletext0"/>
              <w:jc w:val="left"/>
            </w:pPr>
            <w:r w:rsidRPr="00DB467F">
              <w:t>13</w:t>
            </w:r>
          </w:p>
        </w:tc>
        <w:tc>
          <w:tcPr>
            <w:tcW w:w="1134" w:type="dxa"/>
            <w:gridSpan w:val="4"/>
          </w:tcPr>
          <w:p w14:paraId="238C5E68" w14:textId="26084DBC" w:rsidR="00AD347A" w:rsidRDefault="00AD347A" w:rsidP="00AD347A">
            <w:pPr>
              <w:pStyle w:val="Tabletext0"/>
              <w:jc w:val="left"/>
            </w:pPr>
            <w:r w:rsidRPr="00DB467F">
              <w:t>13</w:t>
            </w:r>
          </w:p>
        </w:tc>
        <w:tc>
          <w:tcPr>
            <w:tcW w:w="1134" w:type="dxa"/>
          </w:tcPr>
          <w:p w14:paraId="5B0E77A6" w14:textId="7F23DFEE" w:rsidR="00AD347A" w:rsidRDefault="00AD347A" w:rsidP="00AD347A">
            <w:pPr>
              <w:pStyle w:val="Tabletext0"/>
              <w:jc w:val="left"/>
            </w:pPr>
            <w:r w:rsidRPr="00DB467F">
              <w:t>13</w:t>
            </w:r>
          </w:p>
        </w:tc>
        <w:tc>
          <w:tcPr>
            <w:tcW w:w="1083" w:type="dxa"/>
          </w:tcPr>
          <w:p w14:paraId="5510FA2A" w14:textId="61762B9D" w:rsidR="00AD347A" w:rsidRDefault="00AD347A" w:rsidP="00AD347A">
            <w:pPr>
              <w:pStyle w:val="Tabletext0"/>
              <w:jc w:val="left"/>
            </w:pPr>
            <w:r w:rsidRPr="00DB467F">
              <w:t>12</w:t>
            </w:r>
          </w:p>
        </w:tc>
      </w:tr>
      <w:tr w:rsidR="00AD347A" w14:paraId="4CD18398" w14:textId="77777777">
        <w:tc>
          <w:tcPr>
            <w:tcW w:w="2263" w:type="dxa"/>
          </w:tcPr>
          <w:p w14:paraId="212A0E9A" w14:textId="77777777" w:rsidR="00AD347A" w:rsidRDefault="00AD347A" w:rsidP="00AD347A">
            <w:pPr>
              <w:pStyle w:val="Tabletext0"/>
              <w:jc w:val="left"/>
            </w:pPr>
            <w:r w:rsidRPr="00F67DF8">
              <w:t>Burosumab uptake rate</w:t>
            </w:r>
          </w:p>
        </w:tc>
        <w:tc>
          <w:tcPr>
            <w:tcW w:w="1134" w:type="dxa"/>
          </w:tcPr>
          <w:p w14:paraId="657EEAE8" w14:textId="3942827C" w:rsidR="00AD347A" w:rsidRDefault="00AD347A" w:rsidP="00AD347A">
            <w:pPr>
              <w:pStyle w:val="Tabletext0"/>
              <w:jc w:val="left"/>
            </w:pPr>
            <w:r w:rsidRPr="00DB467F">
              <w:t>90%</w:t>
            </w:r>
          </w:p>
        </w:tc>
        <w:tc>
          <w:tcPr>
            <w:tcW w:w="1134" w:type="dxa"/>
          </w:tcPr>
          <w:p w14:paraId="5106B2A0" w14:textId="29F262BD" w:rsidR="00AD347A" w:rsidRDefault="00AD347A" w:rsidP="00AD347A">
            <w:pPr>
              <w:pStyle w:val="Tabletext0"/>
              <w:jc w:val="left"/>
            </w:pPr>
            <w:r w:rsidRPr="00DB467F">
              <w:t>95%</w:t>
            </w:r>
          </w:p>
        </w:tc>
        <w:tc>
          <w:tcPr>
            <w:tcW w:w="1134" w:type="dxa"/>
            <w:gridSpan w:val="2"/>
          </w:tcPr>
          <w:p w14:paraId="08FF96FE" w14:textId="11C236A7" w:rsidR="00AD347A" w:rsidRDefault="00AD347A" w:rsidP="00AD347A">
            <w:pPr>
              <w:pStyle w:val="Tabletext0"/>
              <w:jc w:val="left"/>
            </w:pPr>
            <w:r w:rsidRPr="00DB467F">
              <w:t>96%</w:t>
            </w:r>
          </w:p>
        </w:tc>
        <w:tc>
          <w:tcPr>
            <w:tcW w:w="1134" w:type="dxa"/>
            <w:gridSpan w:val="4"/>
          </w:tcPr>
          <w:p w14:paraId="50505335" w14:textId="32410CA3" w:rsidR="00AD347A" w:rsidRDefault="00AD347A" w:rsidP="00AD347A">
            <w:pPr>
              <w:pStyle w:val="Tabletext0"/>
              <w:jc w:val="left"/>
            </w:pPr>
            <w:r w:rsidRPr="00DB467F">
              <w:t>97%</w:t>
            </w:r>
          </w:p>
        </w:tc>
        <w:tc>
          <w:tcPr>
            <w:tcW w:w="1134" w:type="dxa"/>
          </w:tcPr>
          <w:p w14:paraId="3494F64A" w14:textId="6B6BEBC9" w:rsidR="00AD347A" w:rsidRDefault="00AD347A" w:rsidP="00AD347A">
            <w:pPr>
              <w:pStyle w:val="Tabletext0"/>
              <w:jc w:val="left"/>
            </w:pPr>
            <w:r w:rsidRPr="00DB467F">
              <w:t>98%</w:t>
            </w:r>
          </w:p>
        </w:tc>
        <w:tc>
          <w:tcPr>
            <w:tcW w:w="1083" w:type="dxa"/>
          </w:tcPr>
          <w:p w14:paraId="51B94D26" w14:textId="390188FA" w:rsidR="00AD347A" w:rsidRDefault="00AD347A" w:rsidP="00AD347A">
            <w:pPr>
              <w:pStyle w:val="Tabletext0"/>
              <w:jc w:val="left"/>
            </w:pPr>
            <w:r w:rsidRPr="00DB467F">
              <w:t>98%</w:t>
            </w:r>
          </w:p>
        </w:tc>
      </w:tr>
      <w:tr w:rsidR="00982FD7" w14:paraId="564765B5" w14:textId="77777777">
        <w:tc>
          <w:tcPr>
            <w:tcW w:w="2263" w:type="dxa"/>
          </w:tcPr>
          <w:p w14:paraId="1CB2416D" w14:textId="260EB0A1" w:rsidR="00982FD7" w:rsidRPr="003F09AB" w:rsidRDefault="00982FD7" w:rsidP="00982FD7">
            <w:pPr>
              <w:pStyle w:val="Tabletext0"/>
              <w:jc w:val="left"/>
              <w:rPr>
                <w:vertAlign w:val="superscript"/>
              </w:rPr>
            </w:pPr>
            <w:r w:rsidRPr="00F67DF8">
              <w:t xml:space="preserve">Number of patients </w:t>
            </w:r>
            <w:r>
              <w:t xml:space="preserve">seeking </w:t>
            </w:r>
            <w:r w:rsidRPr="00F67DF8">
              <w:t xml:space="preserve">access </w:t>
            </w:r>
            <w:r>
              <w:t xml:space="preserve">to </w:t>
            </w:r>
            <w:proofErr w:type="spellStart"/>
            <w:r w:rsidRPr="00F67DF8">
              <w:t>burosumab</w:t>
            </w:r>
            <w:r>
              <w:rPr>
                <w:vertAlign w:val="superscript"/>
              </w:rPr>
              <w:t>d</w:t>
            </w:r>
            <w:proofErr w:type="spellEnd"/>
          </w:p>
        </w:tc>
        <w:tc>
          <w:tcPr>
            <w:tcW w:w="1134" w:type="dxa"/>
          </w:tcPr>
          <w:p w14:paraId="7D84B8F4" w14:textId="42E0825C" w:rsidR="00982FD7" w:rsidRDefault="00982FD7" w:rsidP="00982FD7">
            <w:pPr>
              <w:pStyle w:val="Tabletext0"/>
              <w:jc w:val="left"/>
            </w:pPr>
            <w:r w:rsidRPr="00A81708">
              <w:t>20</w:t>
            </w:r>
          </w:p>
        </w:tc>
        <w:tc>
          <w:tcPr>
            <w:tcW w:w="1134" w:type="dxa"/>
          </w:tcPr>
          <w:p w14:paraId="67B857FB" w14:textId="26BAB616" w:rsidR="00982FD7" w:rsidRDefault="00982FD7" w:rsidP="00982FD7">
            <w:pPr>
              <w:pStyle w:val="Tabletext0"/>
              <w:jc w:val="left"/>
            </w:pPr>
            <w:r w:rsidRPr="00A81708">
              <w:t>14</w:t>
            </w:r>
          </w:p>
        </w:tc>
        <w:tc>
          <w:tcPr>
            <w:tcW w:w="1134" w:type="dxa"/>
            <w:gridSpan w:val="2"/>
          </w:tcPr>
          <w:p w14:paraId="26143564" w14:textId="5BB68B24" w:rsidR="00982FD7" w:rsidRDefault="00982FD7" w:rsidP="00982FD7">
            <w:pPr>
              <w:pStyle w:val="Tabletext0"/>
              <w:jc w:val="left"/>
            </w:pPr>
            <w:r w:rsidRPr="00A81708">
              <w:t>12</w:t>
            </w:r>
          </w:p>
        </w:tc>
        <w:tc>
          <w:tcPr>
            <w:tcW w:w="1134" w:type="dxa"/>
            <w:gridSpan w:val="4"/>
          </w:tcPr>
          <w:p w14:paraId="705104CF" w14:textId="26468062" w:rsidR="00982FD7" w:rsidRDefault="00982FD7" w:rsidP="00982FD7">
            <w:pPr>
              <w:pStyle w:val="Tabletext0"/>
              <w:jc w:val="left"/>
            </w:pPr>
            <w:r w:rsidRPr="00A81708">
              <w:t>12</w:t>
            </w:r>
          </w:p>
        </w:tc>
        <w:tc>
          <w:tcPr>
            <w:tcW w:w="1134" w:type="dxa"/>
          </w:tcPr>
          <w:p w14:paraId="6F325DFA" w14:textId="22CDD70E" w:rsidR="00982FD7" w:rsidRDefault="00982FD7" w:rsidP="00982FD7">
            <w:pPr>
              <w:pStyle w:val="Tabletext0"/>
              <w:jc w:val="left"/>
            </w:pPr>
            <w:r w:rsidRPr="00A81708">
              <w:t>12</w:t>
            </w:r>
          </w:p>
        </w:tc>
        <w:tc>
          <w:tcPr>
            <w:tcW w:w="1083" w:type="dxa"/>
          </w:tcPr>
          <w:p w14:paraId="7A4C257F" w14:textId="5856B7A3" w:rsidR="00982FD7" w:rsidRDefault="00982FD7" w:rsidP="00982FD7">
            <w:pPr>
              <w:pStyle w:val="Tabletext0"/>
              <w:jc w:val="left"/>
            </w:pPr>
            <w:r w:rsidRPr="00A81708">
              <w:t>12</w:t>
            </w:r>
          </w:p>
        </w:tc>
      </w:tr>
      <w:tr w:rsidR="00982FD7" w14:paraId="6D65F71F" w14:textId="77777777">
        <w:tc>
          <w:tcPr>
            <w:tcW w:w="2263" w:type="dxa"/>
          </w:tcPr>
          <w:p w14:paraId="19D32C4A" w14:textId="43791A10" w:rsidR="00982FD7" w:rsidRPr="00F67DF8" w:rsidRDefault="00982FD7" w:rsidP="00982FD7">
            <w:pPr>
              <w:pStyle w:val="Tabletext0"/>
              <w:jc w:val="left"/>
            </w:pPr>
            <w:r w:rsidRPr="00AD347A">
              <w:t>Proportion of patients accessing burosumab through PHEX testing</w:t>
            </w:r>
          </w:p>
        </w:tc>
        <w:tc>
          <w:tcPr>
            <w:tcW w:w="1134" w:type="dxa"/>
          </w:tcPr>
          <w:p w14:paraId="5556C635" w14:textId="11CFBF82" w:rsidR="00982FD7" w:rsidRPr="003A47FF" w:rsidRDefault="00982FD7" w:rsidP="00982FD7">
            <w:pPr>
              <w:pStyle w:val="Tabletext0"/>
              <w:jc w:val="left"/>
            </w:pPr>
            <w:r w:rsidRPr="00A81708">
              <w:t>32%</w:t>
            </w:r>
          </w:p>
        </w:tc>
        <w:tc>
          <w:tcPr>
            <w:tcW w:w="1134" w:type="dxa"/>
          </w:tcPr>
          <w:p w14:paraId="7CFEC959" w14:textId="69F2A927" w:rsidR="00982FD7" w:rsidRPr="003A47FF" w:rsidRDefault="00982FD7" w:rsidP="00982FD7">
            <w:pPr>
              <w:pStyle w:val="Tabletext0"/>
              <w:jc w:val="left"/>
            </w:pPr>
            <w:r w:rsidRPr="00A81708">
              <w:t>16%</w:t>
            </w:r>
          </w:p>
        </w:tc>
        <w:tc>
          <w:tcPr>
            <w:tcW w:w="1134" w:type="dxa"/>
            <w:gridSpan w:val="2"/>
          </w:tcPr>
          <w:p w14:paraId="557F6353" w14:textId="1D502F96" w:rsidR="00982FD7" w:rsidRPr="003A47FF" w:rsidRDefault="00982FD7" w:rsidP="00982FD7">
            <w:pPr>
              <w:pStyle w:val="Tabletext0"/>
              <w:jc w:val="left"/>
            </w:pPr>
            <w:r w:rsidRPr="00A81708">
              <w:t>8%</w:t>
            </w:r>
          </w:p>
        </w:tc>
        <w:tc>
          <w:tcPr>
            <w:tcW w:w="1134" w:type="dxa"/>
            <w:gridSpan w:val="4"/>
          </w:tcPr>
          <w:p w14:paraId="13125B12" w14:textId="283E4EFB" w:rsidR="00982FD7" w:rsidRPr="003A47FF" w:rsidRDefault="00982FD7" w:rsidP="00982FD7">
            <w:pPr>
              <w:pStyle w:val="Tabletext0"/>
              <w:jc w:val="left"/>
            </w:pPr>
            <w:r w:rsidRPr="00A81708">
              <w:t>4%</w:t>
            </w:r>
          </w:p>
        </w:tc>
        <w:tc>
          <w:tcPr>
            <w:tcW w:w="1134" w:type="dxa"/>
          </w:tcPr>
          <w:p w14:paraId="423C74F1" w14:textId="7968C394" w:rsidR="00982FD7" w:rsidRPr="003A47FF" w:rsidRDefault="00982FD7" w:rsidP="00982FD7">
            <w:pPr>
              <w:pStyle w:val="Tabletext0"/>
              <w:jc w:val="left"/>
            </w:pPr>
            <w:r w:rsidRPr="00A81708">
              <w:t>2%</w:t>
            </w:r>
          </w:p>
        </w:tc>
        <w:tc>
          <w:tcPr>
            <w:tcW w:w="1083" w:type="dxa"/>
          </w:tcPr>
          <w:p w14:paraId="245F0C42" w14:textId="43240126" w:rsidR="00982FD7" w:rsidRPr="003A47FF" w:rsidRDefault="00982FD7" w:rsidP="00982FD7">
            <w:pPr>
              <w:pStyle w:val="Tabletext0"/>
              <w:jc w:val="left"/>
            </w:pPr>
            <w:r w:rsidRPr="00A81708">
              <w:t>1%</w:t>
            </w:r>
          </w:p>
        </w:tc>
      </w:tr>
      <w:tr w:rsidR="00982FD7" w14:paraId="32D20850" w14:textId="77777777">
        <w:tc>
          <w:tcPr>
            <w:tcW w:w="2263" w:type="dxa"/>
          </w:tcPr>
          <w:p w14:paraId="0C15B23D" w14:textId="1C9AC670" w:rsidR="00982FD7" w:rsidRPr="003D1289" w:rsidRDefault="00982FD7" w:rsidP="00982FD7">
            <w:pPr>
              <w:pStyle w:val="Tabletext0"/>
              <w:jc w:val="left"/>
              <w:rPr>
                <w:b/>
                <w:bCs/>
                <w:vertAlign w:val="superscript"/>
              </w:rPr>
            </w:pPr>
            <w:r w:rsidRPr="00F67DF8">
              <w:t xml:space="preserve">Number of patients accessing </w:t>
            </w:r>
            <w:proofErr w:type="spellStart"/>
            <w:r w:rsidRPr="00F67DF8">
              <w:t>burosumab</w:t>
            </w:r>
            <w:proofErr w:type="spellEnd"/>
            <w:r w:rsidRPr="00F67DF8">
              <w:t xml:space="preserve"> through PHEX </w:t>
            </w:r>
            <w:proofErr w:type="spellStart"/>
            <w:r w:rsidRPr="00F67DF8">
              <w:t>testing</w:t>
            </w:r>
            <w:r>
              <w:rPr>
                <w:vertAlign w:val="superscript"/>
              </w:rPr>
              <w:t>e</w:t>
            </w:r>
            <w:proofErr w:type="spellEnd"/>
          </w:p>
        </w:tc>
        <w:tc>
          <w:tcPr>
            <w:tcW w:w="1134" w:type="dxa"/>
          </w:tcPr>
          <w:p w14:paraId="37638DB3" w14:textId="39C8732B" w:rsidR="00982FD7" w:rsidRPr="001A47C7" w:rsidRDefault="00982FD7" w:rsidP="00982FD7">
            <w:pPr>
              <w:pStyle w:val="Tabletext0"/>
              <w:jc w:val="left"/>
              <w:rPr>
                <w:b/>
                <w:bCs/>
              </w:rPr>
            </w:pPr>
            <w:r w:rsidRPr="00A81708">
              <w:t>6</w:t>
            </w:r>
          </w:p>
        </w:tc>
        <w:tc>
          <w:tcPr>
            <w:tcW w:w="1134" w:type="dxa"/>
          </w:tcPr>
          <w:p w14:paraId="013FE712" w14:textId="77B13D58" w:rsidR="00982FD7" w:rsidRPr="001A47C7" w:rsidRDefault="00982FD7" w:rsidP="00982FD7">
            <w:pPr>
              <w:pStyle w:val="Tabletext0"/>
              <w:jc w:val="left"/>
              <w:rPr>
                <w:b/>
                <w:bCs/>
              </w:rPr>
            </w:pPr>
            <w:r w:rsidRPr="00A81708">
              <w:t>2</w:t>
            </w:r>
          </w:p>
        </w:tc>
        <w:tc>
          <w:tcPr>
            <w:tcW w:w="1134" w:type="dxa"/>
            <w:gridSpan w:val="2"/>
          </w:tcPr>
          <w:p w14:paraId="0B904541" w14:textId="2E16BCAA" w:rsidR="00982FD7" w:rsidRPr="001A47C7" w:rsidRDefault="00982FD7" w:rsidP="00982FD7">
            <w:pPr>
              <w:pStyle w:val="Tabletext0"/>
              <w:jc w:val="left"/>
              <w:rPr>
                <w:b/>
                <w:bCs/>
              </w:rPr>
            </w:pPr>
            <w:r w:rsidRPr="00A81708">
              <w:t>1</w:t>
            </w:r>
          </w:p>
        </w:tc>
        <w:tc>
          <w:tcPr>
            <w:tcW w:w="1134" w:type="dxa"/>
            <w:gridSpan w:val="4"/>
          </w:tcPr>
          <w:p w14:paraId="38BD8C6E" w14:textId="61DFC698" w:rsidR="00982FD7" w:rsidRPr="001A47C7" w:rsidRDefault="00982FD7" w:rsidP="00982FD7">
            <w:pPr>
              <w:pStyle w:val="Tabletext0"/>
              <w:jc w:val="left"/>
              <w:rPr>
                <w:b/>
                <w:bCs/>
              </w:rPr>
            </w:pPr>
            <w:r w:rsidRPr="00A81708">
              <w:t>0</w:t>
            </w:r>
          </w:p>
        </w:tc>
        <w:tc>
          <w:tcPr>
            <w:tcW w:w="1134" w:type="dxa"/>
          </w:tcPr>
          <w:p w14:paraId="5AC137AE" w14:textId="09C6D89D" w:rsidR="00982FD7" w:rsidRPr="001A47C7" w:rsidRDefault="00982FD7" w:rsidP="00982FD7">
            <w:pPr>
              <w:pStyle w:val="Tabletext0"/>
              <w:jc w:val="left"/>
              <w:rPr>
                <w:b/>
                <w:bCs/>
              </w:rPr>
            </w:pPr>
            <w:r w:rsidRPr="00A81708">
              <w:t>0</w:t>
            </w:r>
          </w:p>
        </w:tc>
        <w:tc>
          <w:tcPr>
            <w:tcW w:w="1083" w:type="dxa"/>
          </w:tcPr>
          <w:p w14:paraId="4181FCF5" w14:textId="7CF2A0F0" w:rsidR="00982FD7" w:rsidRPr="001A47C7" w:rsidRDefault="00982FD7" w:rsidP="00982FD7">
            <w:pPr>
              <w:pStyle w:val="Tabletext0"/>
              <w:jc w:val="left"/>
              <w:rPr>
                <w:b/>
                <w:bCs/>
              </w:rPr>
            </w:pPr>
            <w:r w:rsidRPr="00A81708">
              <w:t>0</w:t>
            </w:r>
          </w:p>
        </w:tc>
      </w:tr>
      <w:tr w:rsidR="00982FD7" w14:paraId="482F33AA" w14:textId="77777777" w:rsidTr="00E15BBE">
        <w:tc>
          <w:tcPr>
            <w:tcW w:w="2263" w:type="dxa"/>
            <w:tcBorders>
              <w:bottom w:val="single" w:sz="4" w:space="0" w:color="auto"/>
            </w:tcBorders>
          </w:tcPr>
          <w:p w14:paraId="3E95BF94" w14:textId="77777777" w:rsidR="00982FD7" w:rsidRPr="00E402EB" w:rsidRDefault="00982FD7" w:rsidP="00982FD7">
            <w:pPr>
              <w:pStyle w:val="Tabletext0"/>
              <w:jc w:val="left"/>
              <w:rPr>
                <w:b/>
                <w:bCs/>
                <w:vertAlign w:val="superscript"/>
              </w:rPr>
            </w:pPr>
            <w:r w:rsidRPr="00F67DF8">
              <w:t xml:space="preserve">Total number of patients having FGF-23 </w:t>
            </w:r>
            <w:proofErr w:type="spellStart"/>
            <w:r w:rsidRPr="00F67DF8">
              <w:t>testing</w:t>
            </w:r>
            <w:r>
              <w:rPr>
                <w:vertAlign w:val="superscript"/>
              </w:rPr>
              <w:t>f</w:t>
            </w:r>
            <w:proofErr w:type="spellEnd"/>
          </w:p>
        </w:tc>
        <w:tc>
          <w:tcPr>
            <w:tcW w:w="1134" w:type="dxa"/>
            <w:tcBorders>
              <w:bottom w:val="single" w:sz="4" w:space="0" w:color="auto"/>
            </w:tcBorders>
          </w:tcPr>
          <w:p w14:paraId="11E3546E" w14:textId="5818AC90" w:rsidR="00982FD7" w:rsidRPr="001A47C7" w:rsidRDefault="00982FD7" w:rsidP="00982FD7">
            <w:pPr>
              <w:pStyle w:val="Tabletext0"/>
              <w:jc w:val="left"/>
              <w:rPr>
                <w:b/>
                <w:bCs/>
              </w:rPr>
            </w:pPr>
            <w:r w:rsidRPr="00A81708">
              <w:t>13</w:t>
            </w:r>
          </w:p>
        </w:tc>
        <w:tc>
          <w:tcPr>
            <w:tcW w:w="1134" w:type="dxa"/>
            <w:tcBorders>
              <w:bottom w:val="single" w:sz="4" w:space="0" w:color="auto"/>
            </w:tcBorders>
          </w:tcPr>
          <w:p w14:paraId="592AB442" w14:textId="4C4EBFCC" w:rsidR="00982FD7" w:rsidRPr="001A47C7" w:rsidRDefault="00982FD7" w:rsidP="00982FD7">
            <w:pPr>
              <w:pStyle w:val="Tabletext0"/>
              <w:jc w:val="left"/>
              <w:rPr>
                <w:b/>
                <w:bCs/>
              </w:rPr>
            </w:pPr>
            <w:r w:rsidRPr="00A81708">
              <w:t>12</w:t>
            </w:r>
          </w:p>
        </w:tc>
        <w:tc>
          <w:tcPr>
            <w:tcW w:w="1134" w:type="dxa"/>
            <w:gridSpan w:val="2"/>
            <w:tcBorders>
              <w:bottom w:val="single" w:sz="4" w:space="0" w:color="auto"/>
            </w:tcBorders>
          </w:tcPr>
          <w:p w14:paraId="56523FF0" w14:textId="779F29BE" w:rsidR="00982FD7" w:rsidRPr="001A47C7" w:rsidRDefault="00982FD7" w:rsidP="00982FD7">
            <w:pPr>
              <w:pStyle w:val="Tabletext0"/>
              <w:jc w:val="left"/>
              <w:rPr>
                <w:b/>
                <w:bCs/>
              </w:rPr>
            </w:pPr>
            <w:r w:rsidRPr="00A81708">
              <w:t>11</w:t>
            </w:r>
          </w:p>
        </w:tc>
        <w:tc>
          <w:tcPr>
            <w:tcW w:w="1134" w:type="dxa"/>
            <w:gridSpan w:val="4"/>
            <w:tcBorders>
              <w:bottom w:val="single" w:sz="4" w:space="0" w:color="auto"/>
            </w:tcBorders>
          </w:tcPr>
          <w:p w14:paraId="2C6BAC9C" w14:textId="23EE791D" w:rsidR="00982FD7" w:rsidRPr="001A47C7" w:rsidRDefault="00982FD7" w:rsidP="00982FD7">
            <w:pPr>
              <w:pStyle w:val="Tabletext0"/>
              <w:jc w:val="left"/>
              <w:rPr>
                <w:b/>
                <w:bCs/>
              </w:rPr>
            </w:pPr>
            <w:r w:rsidRPr="00A81708">
              <w:t>12</w:t>
            </w:r>
          </w:p>
        </w:tc>
        <w:tc>
          <w:tcPr>
            <w:tcW w:w="1134" w:type="dxa"/>
            <w:tcBorders>
              <w:bottom w:val="single" w:sz="4" w:space="0" w:color="auto"/>
            </w:tcBorders>
          </w:tcPr>
          <w:p w14:paraId="39C9AF05" w14:textId="08A65314" w:rsidR="00982FD7" w:rsidRPr="001A47C7" w:rsidRDefault="00982FD7" w:rsidP="00982FD7">
            <w:pPr>
              <w:pStyle w:val="Tabletext0"/>
              <w:jc w:val="left"/>
              <w:rPr>
                <w:b/>
                <w:bCs/>
              </w:rPr>
            </w:pPr>
            <w:r w:rsidRPr="00A81708">
              <w:t>12</w:t>
            </w:r>
          </w:p>
        </w:tc>
        <w:tc>
          <w:tcPr>
            <w:tcW w:w="1083" w:type="dxa"/>
            <w:tcBorders>
              <w:bottom w:val="single" w:sz="4" w:space="0" w:color="auto"/>
            </w:tcBorders>
          </w:tcPr>
          <w:p w14:paraId="094C1E33" w14:textId="485AB1DB" w:rsidR="00982FD7" w:rsidRPr="001A47C7" w:rsidRDefault="00982FD7" w:rsidP="00982FD7">
            <w:pPr>
              <w:pStyle w:val="Tabletext0"/>
              <w:jc w:val="left"/>
              <w:rPr>
                <w:b/>
                <w:bCs/>
              </w:rPr>
            </w:pPr>
            <w:r w:rsidRPr="00A81708">
              <w:t>12</w:t>
            </w:r>
          </w:p>
        </w:tc>
      </w:tr>
      <w:tr w:rsidR="00507DBA" w14:paraId="3B56BAF4" w14:textId="77777777" w:rsidTr="00E15BBE">
        <w:tc>
          <w:tcPr>
            <w:tcW w:w="4957" w:type="dxa"/>
            <w:gridSpan w:val="4"/>
            <w:tcBorders>
              <w:right w:val="nil"/>
            </w:tcBorders>
          </w:tcPr>
          <w:p w14:paraId="55DDCFE2" w14:textId="77777777" w:rsidR="00507DBA" w:rsidRPr="00F67DF8" w:rsidRDefault="00507DBA">
            <w:pPr>
              <w:pStyle w:val="Tabletext0"/>
              <w:jc w:val="left"/>
            </w:pPr>
            <w:r w:rsidRPr="00224B5B">
              <w:rPr>
                <w:b/>
                <w:bCs/>
              </w:rPr>
              <w:t>Change in cost to the MBS</w:t>
            </w:r>
          </w:p>
        </w:tc>
        <w:tc>
          <w:tcPr>
            <w:tcW w:w="992" w:type="dxa"/>
            <w:gridSpan w:val="2"/>
            <w:tcBorders>
              <w:left w:val="nil"/>
              <w:right w:val="nil"/>
            </w:tcBorders>
          </w:tcPr>
          <w:p w14:paraId="397CE3C0" w14:textId="77777777" w:rsidR="00507DBA" w:rsidRPr="003A47FF" w:rsidRDefault="00507DBA">
            <w:pPr>
              <w:pStyle w:val="Tabletext0"/>
              <w:jc w:val="left"/>
            </w:pPr>
          </w:p>
        </w:tc>
        <w:tc>
          <w:tcPr>
            <w:tcW w:w="283" w:type="dxa"/>
            <w:tcBorders>
              <w:left w:val="nil"/>
              <w:right w:val="nil"/>
            </w:tcBorders>
          </w:tcPr>
          <w:p w14:paraId="0739FDA4" w14:textId="77777777" w:rsidR="00507DBA" w:rsidRPr="003A47FF" w:rsidRDefault="00507DBA">
            <w:pPr>
              <w:pStyle w:val="Tabletext0"/>
              <w:jc w:val="left"/>
            </w:pPr>
          </w:p>
        </w:tc>
        <w:tc>
          <w:tcPr>
            <w:tcW w:w="284" w:type="dxa"/>
            <w:tcBorders>
              <w:left w:val="nil"/>
              <w:right w:val="nil"/>
            </w:tcBorders>
          </w:tcPr>
          <w:p w14:paraId="56C43B97" w14:textId="77777777" w:rsidR="00507DBA" w:rsidRPr="003A47FF" w:rsidRDefault="00507DBA">
            <w:pPr>
              <w:pStyle w:val="Tabletext0"/>
              <w:jc w:val="left"/>
            </w:pPr>
          </w:p>
        </w:tc>
        <w:tc>
          <w:tcPr>
            <w:tcW w:w="283" w:type="dxa"/>
            <w:tcBorders>
              <w:left w:val="nil"/>
              <w:right w:val="nil"/>
            </w:tcBorders>
          </w:tcPr>
          <w:p w14:paraId="412F06D8" w14:textId="77777777" w:rsidR="00507DBA" w:rsidRPr="003A47FF" w:rsidRDefault="00507DBA">
            <w:pPr>
              <w:pStyle w:val="Tabletext0"/>
              <w:jc w:val="left"/>
            </w:pPr>
          </w:p>
        </w:tc>
        <w:tc>
          <w:tcPr>
            <w:tcW w:w="1134" w:type="dxa"/>
            <w:tcBorders>
              <w:left w:val="nil"/>
              <w:right w:val="nil"/>
            </w:tcBorders>
          </w:tcPr>
          <w:p w14:paraId="44265107" w14:textId="77777777" w:rsidR="00507DBA" w:rsidRPr="003A47FF" w:rsidRDefault="00507DBA">
            <w:pPr>
              <w:pStyle w:val="Tabletext0"/>
              <w:jc w:val="left"/>
            </w:pPr>
          </w:p>
        </w:tc>
        <w:tc>
          <w:tcPr>
            <w:tcW w:w="1083" w:type="dxa"/>
            <w:tcBorders>
              <w:left w:val="nil"/>
            </w:tcBorders>
          </w:tcPr>
          <w:p w14:paraId="0CFF5B1A" w14:textId="77777777" w:rsidR="00507DBA" w:rsidRPr="003A47FF" w:rsidRDefault="00507DBA">
            <w:pPr>
              <w:pStyle w:val="Tabletext0"/>
              <w:jc w:val="left"/>
            </w:pPr>
          </w:p>
        </w:tc>
      </w:tr>
      <w:tr w:rsidR="00D00BB5" w14:paraId="01BDD0B4" w14:textId="77777777">
        <w:tc>
          <w:tcPr>
            <w:tcW w:w="2263" w:type="dxa"/>
          </w:tcPr>
          <w:p w14:paraId="094EF990" w14:textId="78BB8822" w:rsidR="00D00BB5" w:rsidRPr="00F67DF8" w:rsidRDefault="00D00BB5" w:rsidP="00D00BB5">
            <w:pPr>
              <w:pStyle w:val="Tabletext0"/>
              <w:jc w:val="left"/>
            </w:pPr>
            <w:r w:rsidRPr="00B40F1E">
              <w:t xml:space="preserve">Cost to the MBS (85% </w:t>
            </w:r>
            <w:proofErr w:type="gramStart"/>
            <w:r w:rsidRPr="00B40F1E">
              <w:t>benefit)</w:t>
            </w:r>
            <w:r>
              <w:rPr>
                <w:vertAlign w:val="superscript"/>
              </w:rPr>
              <w:t>g</w:t>
            </w:r>
            <w:proofErr w:type="gramEnd"/>
            <w:r w:rsidRPr="00AE0C0F">
              <w:t xml:space="preserve"> </w:t>
            </w:r>
            <w:r>
              <w:t>of proposed</w:t>
            </w:r>
            <w:r w:rsidRPr="00F30B38">
              <w:t xml:space="preserve"> item for FGF-23 testing</w:t>
            </w:r>
          </w:p>
        </w:tc>
        <w:tc>
          <w:tcPr>
            <w:tcW w:w="1134" w:type="dxa"/>
          </w:tcPr>
          <w:p w14:paraId="35C8B166" w14:textId="56B298EE" w:rsidR="00D00BB5" w:rsidRPr="003A47FF" w:rsidRDefault="00D00BB5" w:rsidP="00D00BB5">
            <w:pPr>
              <w:pStyle w:val="Tabletext0"/>
              <w:jc w:val="left"/>
            </w:pPr>
            <w:r w:rsidRPr="0096347B">
              <w:t>$995</w:t>
            </w:r>
          </w:p>
        </w:tc>
        <w:tc>
          <w:tcPr>
            <w:tcW w:w="1134" w:type="dxa"/>
          </w:tcPr>
          <w:p w14:paraId="6F4A76B6" w14:textId="055CB528" w:rsidR="00D00BB5" w:rsidRPr="003A47FF" w:rsidRDefault="00D00BB5" w:rsidP="00D00BB5">
            <w:pPr>
              <w:pStyle w:val="Tabletext0"/>
              <w:jc w:val="left"/>
            </w:pPr>
            <w:r w:rsidRPr="0096347B">
              <w:t>$918</w:t>
            </w:r>
          </w:p>
        </w:tc>
        <w:tc>
          <w:tcPr>
            <w:tcW w:w="1134" w:type="dxa"/>
            <w:gridSpan w:val="2"/>
          </w:tcPr>
          <w:p w14:paraId="16B90A19" w14:textId="6789DE19" w:rsidR="00D00BB5" w:rsidRPr="003A47FF" w:rsidRDefault="00D00BB5" w:rsidP="00D00BB5">
            <w:pPr>
              <w:pStyle w:val="Tabletext0"/>
              <w:jc w:val="left"/>
            </w:pPr>
            <w:r w:rsidRPr="0096347B">
              <w:t>$842</w:t>
            </w:r>
          </w:p>
        </w:tc>
        <w:tc>
          <w:tcPr>
            <w:tcW w:w="1134" w:type="dxa"/>
            <w:gridSpan w:val="4"/>
          </w:tcPr>
          <w:p w14:paraId="53C51CCD" w14:textId="1FD533EA" w:rsidR="00D00BB5" w:rsidRPr="003A47FF" w:rsidRDefault="00D00BB5" w:rsidP="00D00BB5">
            <w:pPr>
              <w:pStyle w:val="Tabletext0"/>
              <w:jc w:val="left"/>
            </w:pPr>
            <w:r w:rsidRPr="0096347B">
              <w:t>$918</w:t>
            </w:r>
          </w:p>
        </w:tc>
        <w:tc>
          <w:tcPr>
            <w:tcW w:w="1134" w:type="dxa"/>
          </w:tcPr>
          <w:p w14:paraId="4BEEB565" w14:textId="0591FABB" w:rsidR="00D00BB5" w:rsidRPr="003A47FF" w:rsidRDefault="00D00BB5" w:rsidP="00D00BB5">
            <w:pPr>
              <w:pStyle w:val="Tabletext0"/>
              <w:jc w:val="left"/>
            </w:pPr>
            <w:r w:rsidRPr="0096347B">
              <w:t>$918</w:t>
            </w:r>
          </w:p>
        </w:tc>
        <w:tc>
          <w:tcPr>
            <w:tcW w:w="1083" w:type="dxa"/>
          </w:tcPr>
          <w:p w14:paraId="1FB1C420" w14:textId="2EBB3642" w:rsidR="00D00BB5" w:rsidRPr="003A47FF" w:rsidRDefault="00D00BB5" w:rsidP="00D00BB5">
            <w:pPr>
              <w:pStyle w:val="Tabletext0"/>
              <w:jc w:val="left"/>
            </w:pPr>
            <w:r w:rsidRPr="0096347B">
              <w:t>$918</w:t>
            </w:r>
          </w:p>
        </w:tc>
      </w:tr>
    </w:tbl>
    <w:p w14:paraId="69FC2B08" w14:textId="653EE7C6" w:rsidR="00507DBA" w:rsidRPr="009011FE" w:rsidRDefault="00507DBA" w:rsidP="00507DBA">
      <w:pPr>
        <w:pStyle w:val="TableFigureFooter"/>
      </w:pPr>
      <w:r>
        <w:t>FGF-23 = </w:t>
      </w:r>
      <w:r w:rsidRPr="00946089">
        <w:t>fibroblast growth factor 23</w:t>
      </w:r>
      <w:r>
        <w:t xml:space="preserve">; FY = financial year; </w:t>
      </w:r>
      <w:r w:rsidR="00D16D8A">
        <w:t>MBS = Medicare Benefits Schedule</w:t>
      </w:r>
      <w:r w:rsidR="000E4349">
        <w:t>;</w:t>
      </w:r>
      <w:r>
        <w:t xml:space="preserve"> PHEX = </w:t>
      </w:r>
      <w:r w:rsidRPr="00CA0619">
        <w:t>phosphate-regulating endopeptidase homolog X-linked</w:t>
      </w:r>
      <w:r>
        <w:t>; XLH = </w:t>
      </w:r>
      <w:r w:rsidRPr="00937D38">
        <w:t>X-linked hypophosphatemia</w:t>
      </w:r>
      <w:r>
        <w:t>.</w:t>
      </w:r>
      <w:r>
        <w:br/>
        <w:t>a Calculated by multiplying the incidence of XLH (0.0039%) by the number of live births in Australia in 2021 (313,407).</w:t>
      </w:r>
      <w:r>
        <w:br/>
        <w:t>b Difference between number of patients eligible for FGF-23 testing and number of patients accessing burosumab through FGF-23 testing in the previous year.</w:t>
      </w:r>
      <w:r>
        <w:br/>
        <w:t>c Calculated by adding number of new patients with XLH with number of additional eligible patients from the previous year.</w:t>
      </w:r>
      <w:r>
        <w:br/>
        <w:t>d Calculated by multiplying number of burosumab naïve patients by burosumab uptake rate.</w:t>
      </w:r>
      <w:r>
        <w:br/>
        <w:t xml:space="preserve">e Calculated by multiplying number of patients </w:t>
      </w:r>
      <w:r w:rsidR="00BA1471">
        <w:t xml:space="preserve">seeking </w:t>
      </w:r>
      <w:r>
        <w:t>access to burosumab with proportion of patients accessing burosumab through PHEX testing.</w:t>
      </w:r>
      <w:r>
        <w:br/>
        <w:t xml:space="preserve">f Difference between number of patients </w:t>
      </w:r>
      <w:r w:rsidR="002A6904">
        <w:t>seeking</w:t>
      </w:r>
      <w:r>
        <w:t xml:space="preserve"> access </w:t>
      </w:r>
      <w:r w:rsidR="002A6904">
        <w:t xml:space="preserve">to </w:t>
      </w:r>
      <w:r>
        <w:t>burosumab and number of patients accessing burosumab through PHEX testing.</w:t>
      </w:r>
      <w:r w:rsidRPr="00E85A19">
        <w:t xml:space="preserve"> </w:t>
      </w:r>
      <w:r>
        <w:br/>
        <w:t>g Calculated using 85% benefit ($76.50) for proposed MBS item.</w:t>
      </w:r>
      <w:r>
        <w:br/>
        <w:t>Note: Apparent discrepancies may be due to rounding with small patient numbers.</w:t>
      </w:r>
      <w:r>
        <w:br/>
        <w:t xml:space="preserve">Source: </w:t>
      </w:r>
      <w:r w:rsidR="005D6D7D">
        <w:t xml:space="preserve">DCAR </w:t>
      </w:r>
      <w:r w:rsidR="005D6D7D">
        <w:fldChar w:fldCharType="begin"/>
      </w:r>
      <w:r w:rsidR="005D6D7D">
        <w:instrText xml:space="preserve"> REF _Ref168332948 \h </w:instrText>
      </w:r>
      <w:r w:rsidR="005D6D7D">
        <w:fldChar w:fldCharType="separate"/>
      </w:r>
      <w:r w:rsidR="00A367FC">
        <w:t xml:space="preserve">Table </w:t>
      </w:r>
      <w:r w:rsidR="00A367FC">
        <w:rPr>
          <w:noProof/>
        </w:rPr>
        <w:t>13</w:t>
      </w:r>
      <w:r w:rsidR="005D6D7D">
        <w:fldChar w:fldCharType="end"/>
      </w:r>
      <w:r>
        <w:t>.</w:t>
      </w:r>
    </w:p>
    <w:p w14:paraId="281171C1" w14:textId="1297BED3" w:rsidR="00507DBA" w:rsidRDefault="00114F6C" w:rsidP="00114F6C">
      <w:pPr>
        <w:pStyle w:val="Heading3"/>
      </w:pPr>
      <w:r>
        <w:lastRenderedPageBreak/>
        <w:t>Adult population</w:t>
      </w:r>
    </w:p>
    <w:p w14:paraId="4CA5779A" w14:textId="164DED6F" w:rsidR="00114F6C" w:rsidRDefault="00114F6C" w:rsidP="00114F6C">
      <w:r>
        <w:t xml:space="preserve">The prevalent adult population was estimated at 277 </w:t>
      </w:r>
      <w:r w:rsidR="000D05D0">
        <w:t xml:space="preserve">patients in </w:t>
      </w:r>
      <w:r w:rsidR="00DC716F">
        <w:t>the</w:t>
      </w:r>
      <w:r w:rsidR="00B81374">
        <w:t xml:space="preserve"> </w:t>
      </w:r>
      <w:r w:rsidR="000D05D0">
        <w:t>2023</w:t>
      </w:r>
      <w:r w:rsidR="00B81374">
        <w:t>–24</w:t>
      </w:r>
      <w:r w:rsidR="00DC716F">
        <w:t xml:space="preserve"> financial year</w:t>
      </w:r>
      <w:r w:rsidR="000D05D0">
        <w:t xml:space="preserve">, </w:t>
      </w:r>
      <w:r w:rsidR="00BE3016">
        <w:t xml:space="preserve">calculated </w:t>
      </w:r>
      <w:r w:rsidR="004E5B40">
        <w:t>using a prevalence rate of 13.3 per million adults</w:t>
      </w:r>
      <w:r w:rsidR="006A2FE5">
        <w:rPr>
          <w:rStyle w:val="FootnoteReference"/>
        </w:rPr>
        <w:footnoteReference w:id="8"/>
      </w:r>
      <w:r w:rsidR="005A6446">
        <w:t xml:space="preserve">. The </w:t>
      </w:r>
      <w:r w:rsidR="00637618">
        <w:t xml:space="preserve">burosumab </w:t>
      </w:r>
      <w:r w:rsidR="005A6446">
        <w:t>uptake rate in adults following PBS</w:t>
      </w:r>
      <w:r w:rsidR="004609EC">
        <w:t xml:space="preserve"> </w:t>
      </w:r>
      <w:r w:rsidR="005A6446">
        <w:t xml:space="preserve">listing of burosumab was estimated to be </w:t>
      </w:r>
      <w:r w:rsidR="005E1ACC">
        <w:t xml:space="preserve">25%, </w:t>
      </w:r>
      <w:r w:rsidR="006135AD">
        <w:t>leaving</w:t>
      </w:r>
      <w:r w:rsidR="00875443">
        <w:t xml:space="preserve"> a</w:t>
      </w:r>
      <w:r w:rsidR="005E1ACC">
        <w:t xml:space="preserve"> burosumab treatment naïve population </w:t>
      </w:r>
      <w:r w:rsidR="00875443">
        <w:t xml:space="preserve">of </w:t>
      </w:r>
      <w:r w:rsidR="005E1ACC">
        <w:t>208</w:t>
      </w:r>
      <w:r w:rsidR="00875443">
        <w:t xml:space="preserve"> patients</w:t>
      </w:r>
      <w:r w:rsidR="004904B9">
        <w:t xml:space="preserve"> </w:t>
      </w:r>
      <w:r w:rsidR="006135AD">
        <w:t>at the start of the</w:t>
      </w:r>
      <w:r w:rsidR="004904B9">
        <w:t xml:space="preserve"> 2023</w:t>
      </w:r>
      <w:r w:rsidR="008643BE">
        <w:t>–</w:t>
      </w:r>
      <w:r w:rsidR="004904B9">
        <w:t>24</w:t>
      </w:r>
      <w:r w:rsidR="006135AD">
        <w:t xml:space="preserve"> financial year</w:t>
      </w:r>
      <w:r w:rsidR="005E1ACC">
        <w:t xml:space="preserve">. </w:t>
      </w:r>
      <w:r w:rsidR="00331CF1">
        <w:t>A</w:t>
      </w:r>
      <w:r w:rsidR="00C61F5B">
        <w:t>pplying a</w:t>
      </w:r>
      <w:r w:rsidR="0092032D">
        <w:t xml:space="preserve"> burosumab</w:t>
      </w:r>
      <w:r w:rsidR="00C61F5B">
        <w:t xml:space="preserve"> uptake rate of </w:t>
      </w:r>
      <w:r w:rsidR="00C22E22">
        <w:t>30% to the eligible population</w:t>
      </w:r>
      <w:r w:rsidR="0083629E">
        <w:t xml:space="preserve">, it was estimated there would be </w:t>
      </w:r>
      <w:r w:rsidR="00883287">
        <w:t>62 patients accessing testing for burosumab eligibility i</w:t>
      </w:r>
      <w:r w:rsidR="004609EC">
        <w:t>n</w:t>
      </w:r>
      <w:r w:rsidR="00883287">
        <w:t xml:space="preserve"> 2023</w:t>
      </w:r>
      <w:r w:rsidR="008643BE">
        <w:t>–</w:t>
      </w:r>
      <w:r w:rsidR="00883287">
        <w:t>24</w:t>
      </w:r>
      <w:r w:rsidR="00CB3C86">
        <w:t xml:space="preserve"> (in the absence of MBS funding for FGF-23 testing)</w:t>
      </w:r>
      <w:r w:rsidR="00883287">
        <w:t xml:space="preserve">. </w:t>
      </w:r>
      <w:r w:rsidR="00AF0273" w:rsidRPr="00AF0273">
        <w:t xml:space="preserve">The patients not accessing testing for burosumab eligibility that year were considered eligible for FGF-23 testing in the subsequent year, along with </w:t>
      </w:r>
      <w:r w:rsidR="00C0294D">
        <w:t xml:space="preserve">the additional patients </w:t>
      </w:r>
      <w:r w:rsidR="002B28D9">
        <w:t>with XLH due to population growth (1.8%)</w:t>
      </w:r>
      <w:r w:rsidR="00AF0273" w:rsidRPr="00AF0273">
        <w:t>.</w:t>
      </w:r>
    </w:p>
    <w:p w14:paraId="72BE3452" w14:textId="420E0910" w:rsidR="00BF56D4" w:rsidRDefault="00257E10" w:rsidP="00114F6C">
      <w:r>
        <w:t>T</w:t>
      </w:r>
      <w:r w:rsidR="00BF56D4">
        <w:t>he uptake of the proposed service declines a</w:t>
      </w:r>
      <w:r w:rsidR="001A2B5E">
        <w:t>s</w:t>
      </w:r>
      <w:r w:rsidR="00BF56D4">
        <w:t xml:space="preserve"> </w:t>
      </w:r>
      <w:r w:rsidR="00D92211">
        <w:t xml:space="preserve">the XLH prevalent population </w:t>
      </w:r>
      <w:r w:rsidR="00F92796">
        <w:t xml:space="preserve">is more likely to have already accessed burosumab. </w:t>
      </w:r>
      <w:r w:rsidR="00F92796" w:rsidRPr="00CE28E3">
        <w:t xml:space="preserve">The financial implications to the </w:t>
      </w:r>
      <w:r w:rsidR="00F92796">
        <w:t xml:space="preserve">MBS </w:t>
      </w:r>
      <w:r w:rsidR="00F92796" w:rsidRPr="00CE28E3">
        <w:t xml:space="preserve">resulting from the proposed listing of </w:t>
      </w:r>
      <w:r w:rsidR="00F92796">
        <w:t>FGF-23 testing for access to burosumab</w:t>
      </w:r>
      <w:r w:rsidR="00F92796" w:rsidRPr="00CE28E3">
        <w:t xml:space="preserve"> </w:t>
      </w:r>
      <w:r w:rsidR="00F92796">
        <w:t xml:space="preserve">in the adult population are presented in </w:t>
      </w:r>
      <w:r w:rsidR="00F92796">
        <w:fldChar w:fldCharType="begin"/>
      </w:r>
      <w:r w:rsidR="00F92796">
        <w:instrText xml:space="preserve"> REF _Ref168436330 \h </w:instrText>
      </w:r>
      <w:r w:rsidR="00F92796">
        <w:fldChar w:fldCharType="separate"/>
      </w:r>
      <w:r w:rsidR="00A367FC">
        <w:t xml:space="preserve">Table </w:t>
      </w:r>
      <w:r w:rsidR="00A367FC">
        <w:rPr>
          <w:noProof/>
        </w:rPr>
        <w:t>9</w:t>
      </w:r>
      <w:r w:rsidR="00F92796">
        <w:fldChar w:fldCharType="end"/>
      </w:r>
      <w:r w:rsidR="00F92796">
        <w:t>.</w:t>
      </w:r>
    </w:p>
    <w:p w14:paraId="75918E26" w14:textId="771EF6CA" w:rsidR="00BF56D4" w:rsidRDefault="00BF56D4" w:rsidP="00AC5C8C">
      <w:pPr>
        <w:pStyle w:val="Caption"/>
        <w:spacing w:before="240"/>
      </w:pPr>
      <w:bookmarkStart w:id="37" w:name="_Ref168436330"/>
      <w:r>
        <w:t xml:space="preserve">Table </w:t>
      </w:r>
      <w:r w:rsidR="00BF42A8">
        <w:fldChar w:fldCharType="begin"/>
      </w:r>
      <w:r w:rsidR="00BF42A8">
        <w:instrText xml:space="preserve"> SEQ Table \* ARABIC </w:instrText>
      </w:r>
      <w:r w:rsidR="00BF42A8">
        <w:fldChar w:fldCharType="separate"/>
      </w:r>
      <w:r w:rsidR="00A367FC">
        <w:rPr>
          <w:noProof/>
        </w:rPr>
        <w:t>9</w:t>
      </w:r>
      <w:r w:rsidR="00BF42A8">
        <w:rPr>
          <w:noProof/>
        </w:rPr>
        <w:fldChar w:fldCharType="end"/>
      </w:r>
      <w:bookmarkEnd w:id="37"/>
      <w:r>
        <w:tab/>
        <w:t xml:space="preserve">Financial implications </w:t>
      </w:r>
      <w:r w:rsidR="008A030E">
        <w:t xml:space="preserve">to the MBS </w:t>
      </w:r>
      <w:r>
        <w:t>of FGF-23 test</w:t>
      </w:r>
      <w:r w:rsidR="00D70C1D">
        <w:t>ing</w:t>
      </w:r>
      <w:r>
        <w:t xml:space="preserve"> for access to burosumab (adult)</w:t>
      </w:r>
    </w:p>
    <w:tbl>
      <w:tblPr>
        <w:tblStyle w:val="TableGrid"/>
        <w:tblW w:w="9004" w:type="dxa"/>
        <w:tblLook w:val="04A0" w:firstRow="1" w:lastRow="0" w:firstColumn="1" w:lastColumn="0" w:noHBand="0" w:noVBand="1"/>
        <w:tblCaption w:val="Financial implications of FGF-23 testing for access to burosumab to the MBS (adult)"/>
        <w:tblDescription w:val="This table outlines the financial implications of FGF-23 testing for access to burosumab to the MBS in an adult population."/>
      </w:tblPr>
      <w:tblGrid>
        <w:gridCol w:w="2269"/>
        <w:gridCol w:w="422"/>
        <w:gridCol w:w="703"/>
        <w:gridCol w:w="1125"/>
        <w:gridCol w:w="1125"/>
        <w:gridCol w:w="1125"/>
        <w:gridCol w:w="1125"/>
        <w:gridCol w:w="1110"/>
      </w:tblGrid>
      <w:tr w:rsidR="00BF56D4" w14:paraId="59F30990" w14:textId="77777777" w:rsidTr="006528C8">
        <w:trPr>
          <w:trHeight w:val="300"/>
          <w:tblHeader/>
        </w:trPr>
        <w:tc>
          <w:tcPr>
            <w:tcW w:w="2269" w:type="dxa"/>
          </w:tcPr>
          <w:p w14:paraId="6C072C48" w14:textId="77777777" w:rsidR="00BF56D4" w:rsidRDefault="00BF56D4" w:rsidP="00E50D8B">
            <w:pPr>
              <w:pStyle w:val="TableHeading0"/>
              <w:spacing w:before="20" w:after="20"/>
            </w:pPr>
            <w:r>
              <w:t>Parameter</w:t>
            </w:r>
          </w:p>
        </w:tc>
        <w:tc>
          <w:tcPr>
            <w:tcW w:w="1125" w:type="dxa"/>
            <w:gridSpan w:val="2"/>
          </w:tcPr>
          <w:p w14:paraId="697164D8" w14:textId="77777777" w:rsidR="00BF56D4" w:rsidRDefault="00BF56D4" w:rsidP="00E50D8B">
            <w:pPr>
              <w:pStyle w:val="TableHeading0"/>
              <w:spacing w:before="20" w:after="20"/>
            </w:pPr>
            <w:r w:rsidRPr="00BD45CD">
              <w:t>FY 2024-25</w:t>
            </w:r>
          </w:p>
        </w:tc>
        <w:tc>
          <w:tcPr>
            <w:tcW w:w="1125" w:type="dxa"/>
          </w:tcPr>
          <w:p w14:paraId="3E369261" w14:textId="77777777" w:rsidR="00BF56D4" w:rsidRDefault="00BF56D4" w:rsidP="00E50D8B">
            <w:pPr>
              <w:pStyle w:val="TableHeading0"/>
              <w:spacing w:before="20" w:after="20"/>
            </w:pPr>
            <w:r w:rsidRPr="00BD45CD">
              <w:t>FY 2025-26</w:t>
            </w:r>
          </w:p>
        </w:tc>
        <w:tc>
          <w:tcPr>
            <w:tcW w:w="1125" w:type="dxa"/>
          </w:tcPr>
          <w:p w14:paraId="4E9A59E5" w14:textId="77777777" w:rsidR="00BF56D4" w:rsidRDefault="00BF56D4" w:rsidP="00E50D8B">
            <w:pPr>
              <w:pStyle w:val="TableHeading0"/>
              <w:spacing w:before="20" w:after="20"/>
            </w:pPr>
            <w:r w:rsidRPr="00BD45CD">
              <w:t>FY 2026-27</w:t>
            </w:r>
          </w:p>
        </w:tc>
        <w:tc>
          <w:tcPr>
            <w:tcW w:w="1125" w:type="dxa"/>
          </w:tcPr>
          <w:p w14:paraId="12778B0C" w14:textId="77777777" w:rsidR="00BF56D4" w:rsidRDefault="00BF56D4" w:rsidP="00E50D8B">
            <w:pPr>
              <w:pStyle w:val="TableHeading0"/>
              <w:spacing w:before="20" w:after="20"/>
            </w:pPr>
            <w:r w:rsidRPr="00BD45CD">
              <w:t>FY 2027-28</w:t>
            </w:r>
          </w:p>
        </w:tc>
        <w:tc>
          <w:tcPr>
            <w:tcW w:w="1125" w:type="dxa"/>
          </w:tcPr>
          <w:p w14:paraId="0F1E1192" w14:textId="77777777" w:rsidR="00BF56D4" w:rsidRDefault="00BF56D4" w:rsidP="00E50D8B">
            <w:pPr>
              <w:pStyle w:val="TableHeading0"/>
              <w:spacing w:before="20" w:after="20"/>
            </w:pPr>
            <w:r w:rsidRPr="00BD45CD">
              <w:t>FY 2028-29</w:t>
            </w:r>
          </w:p>
        </w:tc>
        <w:tc>
          <w:tcPr>
            <w:tcW w:w="1110" w:type="dxa"/>
          </w:tcPr>
          <w:p w14:paraId="0F94C916" w14:textId="38264F9A" w:rsidR="00BF56D4" w:rsidRDefault="00BF56D4" w:rsidP="00E50D8B">
            <w:pPr>
              <w:pStyle w:val="TableHeading0"/>
              <w:spacing w:before="20" w:after="20"/>
            </w:pPr>
            <w:r w:rsidRPr="00BD45CD">
              <w:t>FY 2029-30</w:t>
            </w:r>
          </w:p>
        </w:tc>
      </w:tr>
      <w:tr w:rsidR="00AC434D" w14:paraId="2DF91399" w14:textId="77777777" w:rsidTr="006528C8">
        <w:trPr>
          <w:trHeight w:val="300"/>
        </w:trPr>
        <w:tc>
          <w:tcPr>
            <w:tcW w:w="2269" w:type="dxa"/>
          </w:tcPr>
          <w:p w14:paraId="5BC2B878" w14:textId="47912164" w:rsidR="00AC434D" w:rsidRPr="00E51A1A" w:rsidRDefault="00AC434D" w:rsidP="00E50D8B">
            <w:pPr>
              <w:pStyle w:val="Tabletext0"/>
              <w:spacing w:before="20" w:after="20"/>
              <w:jc w:val="left"/>
              <w:rPr>
                <w:vertAlign w:val="superscript"/>
              </w:rPr>
            </w:pPr>
            <w:r w:rsidRPr="005D5161">
              <w:t xml:space="preserve">Number of adult patients with </w:t>
            </w:r>
            <w:proofErr w:type="spellStart"/>
            <w:r w:rsidRPr="00D279BA">
              <w:t>XLH</w:t>
            </w:r>
            <w:r>
              <w:rPr>
                <w:vertAlign w:val="superscript"/>
              </w:rPr>
              <w:t>a</w:t>
            </w:r>
            <w:proofErr w:type="spellEnd"/>
          </w:p>
        </w:tc>
        <w:tc>
          <w:tcPr>
            <w:tcW w:w="1125" w:type="dxa"/>
            <w:gridSpan w:val="2"/>
          </w:tcPr>
          <w:p w14:paraId="22975FBC" w14:textId="77777777" w:rsidR="00AC434D" w:rsidRDefault="00AC434D" w:rsidP="00E50D8B">
            <w:pPr>
              <w:pStyle w:val="Tabletext0"/>
              <w:spacing w:before="20" w:after="20"/>
              <w:jc w:val="left"/>
            </w:pPr>
            <w:r w:rsidRPr="006D2257">
              <w:t>282</w:t>
            </w:r>
          </w:p>
        </w:tc>
        <w:tc>
          <w:tcPr>
            <w:tcW w:w="1125" w:type="dxa"/>
          </w:tcPr>
          <w:p w14:paraId="244071C3" w14:textId="77777777" w:rsidR="00AC434D" w:rsidRDefault="00AC434D" w:rsidP="00E50D8B">
            <w:pPr>
              <w:pStyle w:val="Tabletext0"/>
              <w:spacing w:before="20" w:after="20"/>
              <w:jc w:val="left"/>
            </w:pPr>
            <w:r w:rsidRPr="006D2257">
              <w:t>287</w:t>
            </w:r>
          </w:p>
        </w:tc>
        <w:tc>
          <w:tcPr>
            <w:tcW w:w="1125" w:type="dxa"/>
          </w:tcPr>
          <w:p w14:paraId="5758FDBC" w14:textId="77777777" w:rsidR="00AC434D" w:rsidRDefault="00AC434D" w:rsidP="00E50D8B">
            <w:pPr>
              <w:pStyle w:val="Tabletext0"/>
              <w:spacing w:before="20" w:after="20"/>
              <w:jc w:val="left"/>
            </w:pPr>
            <w:r w:rsidRPr="006D2257">
              <w:t>292</w:t>
            </w:r>
          </w:p>
        </w:tc>
        <w:tc>
          <w:tcPr>
            <w:tcW w:w="1125" w:type="dxa"/>
          </w:tcPr>
          <w:p w14:paraId="0C0B0279" w14:textId="77777777" w:rsidR="00AC434D" w:rsidRDefault="00AC434D" w:rsidP="00E50D8B">
            <w:pPr>
              <w:pStyle w:val="Tabletext0"/>
              <w:spacing w:before="20" w:after="20"/>
              <w:jc w:val="left"/>
            </w:pPr>
            <w:r w:rsidRPr="006D2257">
              <w:t>298</w:t>
            </w:r>
          </w:p>
        </w:tc>
        <w:tc>
          <w:tcPr>
            <w:tcW w:w="1125" w:type="dxa"/>
          </w:tcPr>
          <w:p w14:paraId="1D6A8206" w14:textId="77777777" w:rsidR="00AC434D" w:rsidRDefault="00AC434D" w:rsidP="00E50D8B">
            <w:pPr>
              <w:pStyle w:val="Tabletext0"/>
              <w:spacing w:before="20" w:after="20"/>
              <w:jc w:val="left"/>
            </w:pPr>
            <w:r w:rsidRPr="006D2257">
              <w:t>303</w:t>
            </w:r>
          </w:p>
        </w:tc>
        <w:tc>
          <w:tcPr>
            <w:tcW w:w="1110" w:type="dxa"/>
          </w:tcPr>
          <w:p w14:paraId="1A0ADE26" w14:textId="77777777" w:rsidR="00AC434D" w:rsidRDefault="00AC434D" w:rsidP="00E50D8B">
            <w:pPr>
              <w:pStyle w:val="Tabletext0"/>
              <w:spacing w:before="20" w:after="20"/>
              <w:jc w:val="left"/>
            </w:pPr>
            <w:r w:rsidRPr="006D2257">
              <w:t>309</w:t>
            </w:r>
          </w:p>
        </w:tc>
      </w:tr>
      <w:tr w:rsidR="00AC434D" w14:paraId="4E378282" w14:textId="77777777" w:rsidTr="006528C8">
        <w:trPr>
          <w:trHeight w:val="300"/>
        </w:trPr>
        <w:tc>
          <w:tcPr>
            <w:tcW w:w="2269" w:type="dxa"/>
          </w:tcPr>
          <w:p w14:paraId="4771AC79" w14:textId="25BAE680" w:rsidR="00AC434D" w:rsidRPr="00FA3616" w:rsidRDefault="00AC434D" w:rsidP="00E50D8B">
            <w:pPr>
              <w:pStyle w:val="Tabletext0"/>
              <w:spacing w:before="20" w:after="20"/>
              <w:jc w:val="left"/>
              <w:rPr>
                <w:vertAlign w:val="superscript"/>
              </w:rPr>
            </w:pPr>
            <w:r w:rsidRPr="00D279BA">
              <w:t xml:space="preserve">Number of </w:t>
            </w:r>
            <w:proofErr w:type="spellStart"/>
            <w:r w:rsidRPr="00D279BA">
              <w:t>burosumab</w:t>
            </w:r>
            <w:proofErr w:type="spellEnd"/>
            <w:r w:rsidRPr="00D279BA">
              <w:t xml:space="preserve"> naïve </w:t>
            </w:r>
            <w:proofErr w:type="spellStart"/>
            <w:r w:rsidRPr="00D279BA">
              <w:t>patients</w:t>
            </w:r>
            <w:r>
              <w:rPr>
                <w:vertAlign w:val="superscript"/>
              </w:rPr>
              <w:t>b</w:t>
            </w:r>
            <w:proofErr w:type="spellEnd"/>
          </w:p>
        </w:tc>
        <w:tc>
          <w:tcPr>
            <w:tcW w:w="1125" w:type="dxa"/>
            <w:gridSpan w:val="2"/>
          </w:tcPr>
          <w:p w14:paraId="67497A83" w14:textId="77777777" w:rsidR="00AC434D" w:rsidRDefault="00AC434D" w:rsidP="00E50D8B">
            <w:pPr>
              <w:pStyle w:val="Tabletext0"/>
              <w:spacing w:before="20" w:after="20"/>
              <w:jc w:val="left"/>
            </w:pPr>
            <w:r w:rsidRPr="006D2257">
              <w:t>150</w:t>
            </w:r>
          </w:p>
        </w:tc>
        <w:tc>
          <w:tcPr>
            <w:tcW w:w="1125" w:type="dxa"/>
          </w:tcPr>
          <w:p w14:paraId="08EDDE84" w14:textId="77777777" w:rsidR="00AC434D" w:rsidRDefault="00AC434D" w:rsidP="00E50D8B">
            <w:pPr>
              <w:pStyle w:val="Tabletext0"/>
              <w:spacing w:before="20" w:after="20"/>
              <w:jc w:val="left"/>
            </w:pPr>
            <w:r w:rsidRPr="006D2257">
              <w:t>103</w:t>
            </w:r>
          </w:p>
        </w:tc>
        <w:tc>
          <w:tcPr>
            <w:tcW w:w="1125" w:type="dxa"/>
          </w:tcPr>
          <w:p w14:paraId="287E2926" w14:textId="77777777" w:rsidR="00AC434D" w:rsidRDefault="00AC434D" w:rsidP="00E50D8B">
            <w:pPr>
              <w:pStyle w:val="Tabletext0"/>
              <w:spacing w:before="20" w:after="20"/>
              <w:jc w:val="left"/>
            </w:pPr>
            <w:r w:rsidRPr="006D2257">
              <w:t>67</w:t>
            </w:r>
          </w:p>
        </w:tc>
        <w:tc>
          <w:tcPr>
            <w:tcW w:w="1125" w:type="dxa"/>
          </w:tcPr>
          <w:p w14:paraId="0AFD5D51" w14:textId="77777777" w:rsidR="00AC434D" w:rsidRDefault="00AC434D" w:rsidP="00E50D8B">
            <w:pPr>
              <w:pStyle w:val="Tabletext0"/>
              <w:spacing w:before="20" w:after="20"/>
              <w:jc w:val="left"/>
            </w:pPr>
            <w:r w:rsidRPr="006D2257">
              <w:t>42</w:t>
            </w:r>
          </w:p>
        </w:tc>
        <w:tc>
          <w:tcPr>
            <w:tcW w:w="1125" w:type="dxa"/>
          </w:tcPr>
          <w:p w14:paraId="34F19CFB" w14:textId="77777777" w:rsidR="00AC434D" w:rsidRDefault="00AC434D" w:rsidP="00E50D8B">
            <w:pPr>
              <w:pStyle w:val="Tabletext0"/>
              <w:spacing w:before="20" w:after="20"/>
              <w:jc w:val="left"/>
            </w:pPr>
            <w:r w:rsidRPr="006D2257">
              <w:t>26</w:t>
            </w:r>
          </w:p>
        </w:tc>
        <w:tc>
          <w:tcPr>
            <w:tcW w:w="1110" w:type="dxa"/>
          </w:tcPr>
          <w:p w14:paraId="342017A2" w14:textId="77777777" w:rsidR="00AC434D" w:rsidRDefault="00AC434D" w:rsidP="00E50D8B">
            <w:pPr>
              <w:pStyle w:val="Tabletext0"/>
              <w:spacing w:before="20" w:after="20"/>
              <w:jc w:val="left"/>
            </w:pPr>
            <w:r w:rsidRPr="006D2257">
              <w:t>17</w:t>
            </w:r>
          </w:p>
        </w:tc>
      </w:tr>
      <w:tr w:rsidR="00AC434D" w14:paraId="0E26613D" w14:textId="77777777" w:rsidTr="006528C8">
        <w:trPr>
          <w:trHeight w:val="300"/>
        </w:trPr>
        <w:tc>
          <w:tcPr>
            <w:tcW w:w="2269" w:type="dxa"/>
          </w:tcPr>
          <w:p w14:paraId="42969B34" w14:textId="77777777" w:rsidR="00AC434D" w:rsidRPr="00064E6E" w:rsidRDefault="00AC434D" w:rsidP="00E50D8B">
            <w:pPr>
              <w:pStyle w:val="Tabletext0"/>
              <w:spacing w:before="20" w:after="20"/>
              <w:jc w:val="left"/>
            </w:pPr>
            <w:r w:rsidRPr="00D279BA">
              <w:t>Burosumab uptake rate</w:t>
            </w:r>
          </w:p>
        </w:tc>
        <w:tc>
          <w:tcPr>
            <w:tcW w:w="1125" w:type="dxa"/>
            <w:gridSpan w:val="2"/>
          </w:tcPr>
          <w:p w14:paraId="20E87083" w14:textId="77777777" w:rsidR="00AC434D" w:rsidRDefault="00AC434D" w:rsidP="00E50D8B">
            <w:pPr>
              <w:pStyle w:val="Tabletext0"/>
              <w:spacing w:before="20" w:after="20"/>
              <w:jc w:val="left"/>
            </w:pPr>
            <w:r w:rsidRPr="006D2257">
              <w:t>35%</w:t>
            </w:r>
          </w:p>
        </w:tc>
        <w:tc>
          <w:tcPr>
            <w:tcW w:w="1125" w:type="dxa"/>
          </w:tcPr>
          <w:p w14:paraId="10310FC9" w14:textId="77777777" w:rsidR="00AC434D" w:rsidRDefault="00AC434D" w:rsidP="00E50D8B">
            <w:pPr>
              <w:pStyle w:val="Tabletext0"/>
              <w:spacing w:before="20" w:after="20"/>
              <w:jc w:val="left"/>
            </w:pPr>
            <w:r w:rsidRPr="006D2257">
              <w:t>40%</w:t>
            </w:r>
          </w:p>
        </w:tc>
        <w:tc>
          <w:tcPr>
            <w:tcW w:w="1125" w:type="dxa"/>
          </w:tcPr>
          <w:p w14:paraId="45373C5B" w14:textId="77777777" w:rsidR="00AC434D" w:rsidRDefault="00AC434D" w:rsidP="00E50D8B">
            <w:pPr>
              <w:pStyle w:val="Tabletext0"/>
              <w:spacing w:before="20" w:after="20"/>
              <w:jc w:val="left"/>
            </w:pPr>
            <w:r w:rsidRPr="006D2257">
              <w:t>45%</w:t>
            </w:r>
          </w:p>
        </w:tc>
        <w:tc>
          <w:tcPr>
            <w:tcW w:w="1125" w:type="dxa"/>
          </w:tcPr>
          <w:p w14:paraId="73133A95" w14:textId="77777777" w:rsidR="00AC434D" w:rsidRDefault="00AC434D" w:rsidP="00E50D8B">
            <w:pPr>
              <w:pStyle w:val="Tabletext0"/>
              <w:spacing w:before="20" w:after="20"/>
              <w:jc w:val="left"/>
            </w:pPr>
            <w:r w:rsidRPr="006D2257">
              <w:t>50%</w:t>
            </w:r>
          </w:p>
        </w:tc>
        <w:tc>
          <w:tcPr>
            <w:tcW w:w="1125" w:type="dxa"/>
          </w:tcPr>
          <w:p w14:paraId="43BB69EE" w14:textId="77777777" w:rsidR="00AC434D" w:rsidRDefault="00AC434D" w:rsidP="00E50D8B">
            <w:pPr>
              <w:pStyle w:val="Tabletext0"/>
              <w:spacing w:before="20" w:after="20"/>
              <w:jc w:val="left"/>
            </w:pPr>
            <w:r w:rsidRPr="006D2257">
              <w:t>55%</w:t>
            </w:r>
          </w:p>
        </w:tc>
        <w:tc>
          <w:tcPr>
            <w:tcW w:w="1110" w:type="dxa"/>
          </w:tcPr>
          <w:p w14:paraId="07DB966C" w14:textId="77777777" w:rsidR="00AC434D" w:rsidRDefault="00AC434D" w:rsidP="00E50D8B">
            <w:pPr>
              <w:pStyle w:val="Tabletext0"/>
              <w:spacing w:before="20" w:after="20"/>
              <w:jc w:val="left"/>
            </w:pPr>
            <w:r w:rsidRPr="006D2257">
              <w:t>60%</w:t>
            </w:r>
          </w:p>
        </w:tc>
      </w:tr>
      <w:tr w:rsidR="00AC434D" w14:paraId="0E5DC3B3" w14:textId="77777777" w:rsidTr="006528C8">
        <w:trPr>
          <w:trHeight w:val="300"/>
        </w:trPr>
        <w:tc>
          <w:tcPr>
            <w:tcW w:w="2269" w:type="dxa"/>
          </w:tcPr>
          <w:p w14:paraId="716D16E2" w14:textId="6A76D06D" w:rsidR="00AC434D" w:rsidRPr="0060301E" w:rsidRDefault="00AC434D" w:rsidP="00E50D8B">
            <w:pPr>
              <w:pStyle w:val="Tabletext0"/>
              <w:spacing w:before="20" w:after="20"/>
              <w:jc w:val="left"/>
              <w:rPr>
                <w:vertAlign w:val="superscript"/>
              </w:rPr>
            </w:pPr>
            <w:r w:rsidRPr="00D279BA">
              <w:t xml:space="preserve">Number of patients </w:t>
            </w:r>
            <w:r>
              <w:t>seeking</w:t>
            </w:r>
            <w:r w:rsidRPr="00D279BA">
              <w:t xml:space="preserve"> access </w:t>
            </w:r>
            <w:r>
              <w:t xml:space="preserve">to </w:t>
            </w:r>
            <w:proofErr w:type="spellStart"/>
            <w:r w:rsidRPr="00D279BA">
              <w:t>burosumab</w:t>
            </w:r>
            <w:r>
              <w:rPr>
                <w:vertAlign w:val="superscript"/>
              </w:rPr>
              <w:t>c</w:t>
            </w:r>
            <w:proofErr w:type="spellEnd"/>
          </w:p>
        </w:tc>
        <w:tc>
          <w:tcPr>
            <w:tcW w:w="1125" w:type="dxa"/>
            <w:gridSpan w:val="2"/>
          </w:tcPr>
          <w:p w14:paraId="6D938092" w14:textId="77777777" w:rsidR="00AC434D" w:rsidRDefault="00AC434D" w:rsidP="00E50D8B">
            <w:pPr>
              <w:pStyle w:val="Tabletext0"/>
              <w:spacing w:before="20" w:after="20"/>
              <w:jc w:val="left"/>
            </w:pPr>
            <w:r w:rsidRPr="006D2257">
              <w:t>53</w:t>
            </w:r>
          </w:p>
        </w:tc>
        <w:tc>
          <w:tcPr>
            <w:tcW w:w="1125" w:type="dxa"/>
          </w:tcPr>
          <w:p w14:paraId="4EB860DE" w14:textId="77777777" w:rsidR="00AC434D" w:rsidRDefault="00AC434D" w:rsidP="00E50D8B">
            <w:pPr>
              <w:pStyle w:val="Tabletext0"/>
              <w:spacing w:before="20" w:after="20"/>
              <w:jc w:val="left"/>
            </w:pPr>
            <w:r w:rsidRPr="006D2257">
              <w:t>41</w:t>
            </w:r>
          </w:p>
        </w:tc>
        <w:tc>
          <w:tcPr>
            <w:tcW w:w="1125" w:type="dxa"/>
          </w:tcPr>
          <w:p w14:paraId="12690562" w14:textId="77777777" w:rsidR="00AC434D" w:rsidRDefault="00AC434D" w:rsidP="00E50D8B">
            <w:pPr>
              <w:pStyle w:val="Tabletext0"/>
              <w:spacing w:before="20" w:after="20"/>
              <w:jc w:val="left"/>
            </w:pPr>
            <w:r w:rsidRPr="006D2257">
              <w:t>30</w:t>
            </w:r>
          </w:p>
        </w:tc>
        <w:tc>
          <w:tcPr>
            <w:tcW w:w="1125" w:type="dxa"/>
          </w:tcPr>
          <w:p w14:paraId="6200472F" w14:textId="77777777" w:rsidR="00AC434D" w:rsidRDefault="00AC434D" w:rsidP="00E50D8B">
            <w:pPr>
              <w:pStyle w:val="Tabletext0"/>
              <w:spacing w:before="20" w:after="20"/>
              <w:jc w:val="left"/>
            </w:pPr>
            <w:r w:rsidRPr="006D2257">
              <w:t>21</w:t>
            </w:r>
          </w:p>
        </w:tc>
        <w:tc>
          <w:tcPr>
            <w:tcW w:w="1125" w:type="dxa"/>
          </w:tcPr>
          <w:p w14:paraId="3FB7B3F6" w14:textId="77777777" w:rsidR="00AC434D" w:rsidRDefault="00AC434D" w:rsidP="00E50D8B">
            <w:pPr>
              <w:pStyle w:val="Tabletext0"/>
              <w:spacing w:before="20" w:after="20"/>
              <w:jc w:val="left"/>
            </w:pPr>
            <w:r w:rsidRPr="006D2257">
              <w:t>15</w:t>
            </w:r>
          </w:p>
        </w:tc>
        <w:tc>
          <w:tcPr>
            <w:tcW w:w="1110" w:type="dxa"/>
          </w:tcPr>
          <w:p w14:paraId="057FAEB3" w14:textId="77777777" w:rsidR="00AC434D" w:rsidRDefault="00AC434D" w:rsidP="00E50D8B">
            <w:pPr>
              <w:pStyle w:val="Tabletext0"/>
              <w:spacing w:before="20" w:after="20"/>
              <w:jc w:val="left"/>
            </w:pPr>
            <w:r w:rsidRPr="006D2257">
              <w:t>10</w:t>
            </w:r>
          </w:p>
        </w:tc>
      </w:tr>
      <w:tr w:rsidR="002B34D6" w14:paraId="71776280" w14:textId="77777777" w:rsidTr="006528C8">
        <w:trPr>
          <w:trHeight w:val="300"/>
        </w:trPr>
        <w:tc>
          <w:tcPr>
            <w:tcW w:w="2269" w:type="dxa"/>
          </w:tcPr>
          <w:p w14:paraId="0F21252E" w14:textId="00739AC9" w:rsidR="002B34D6" w:rsidRPr="00D279BA" w:rsidRDefault="002B34D6" w:rsidP="00E50D8B">
            <w:pPr>
              <w:pStyle w:val="Tabletext0"/>
              <w:spacing w:before="20" w:after="20"/>
              <w:jc w:val="left"/>
            </w:pPr>
            <w:r w:rsidRPr="004B0326">
              <w:t>Proportion of patients accessing burosumab through PHEX testing</w:t>
            </w:r>
          </w:p>
        </w:tc>
        <w:tc>
          <w:tcPr>
            <w:tcW w:w="1125" w:type="dxa"/>
            <w:gridSpan w:val="2"/>
          </w:tcPr>
          <w:p w14:paraId="059C03A5" w14:textId="6DEEC0A4" w:rsidR="002B34D6" w:rsidRPr="00A10DEB" w:rsidRDefault="002B34D6" w:rsidP="00E50D8B">
            <w:pPr>
              <w:pStyle w:val="Tabletext0"/>
              <w:spacing w:before="20" w:after="20"/>
              <w:jc w:val="left"/>
            </w:pPr>
            <w:r w:rsidRPr="00FA0CEC">
              <w:t>16%</w:t>
            </w:r>
          </w:p>
        </w:tc>
        <w:tc>
          <w:tcPr>
            <w:tcW w:w="1125" w:type="dxa"/>
          </w:tcPr>
          <w:p w14:paraId="4D4491AE" w14:textId="7B6157AC" w:rsidR="002B34D6" w:rsidRPr="00A10DEB" w:rsidRDefault="002B34D6" w:rsidP="00E50D8B">
            <w:pPr>
              <w:pStyle w:val="Tabletext0"/>
              <w:spacing w:before="20" w:after="20"/>
              <w:jc w:val="left"/>
            </w:pPr>
            <w:r w:rsidRPr="00FA0CEC">
              <w:t>8%</w:t>
            </w:r>
          </w:p>
        </w:tc>
        <w:tc>
          <w:tcPr>
            <w:tcW w:w="1125" w:type="dxa"/>
          </w:tcPr>
          <w:p w14:paraId="5A9597A7" w14:textId="606D6AAD" w:rsidR="002B34D6" w:rsidRPr="00A10DEB" w:rsidRDefault="002B34D6" w:rsidP="00E50D8B">
            <w:pPr>
              <w:pStyle w:val="Tabletext0"/>
              <w:spacing w:before="20" w:after="20"/>
              <w:jc w:val="left"/>
            </w:pPr>
            <w:r w:rsidRPr="00FA0CEC">
              <w:t>4%</w:t>
            </w:r>
          </w:p>
        </w:tc>
        <w:tc>
          <w:tcPr>
            <w:tcW w:w="1125" w:type="dxa"/>
          </w:tcPr>
          <w:p w14:paraId="37E7BA89" w14:textId="60A25F2A" w:rsidR="002B34D6" w:rsidRPr="00A10DEB" w:rsidRDefault="002B34D6" w:rsidP="00E50D8B">
            <w:pPr>
              <w:pStyle w:val="Tabletext0"/>
              <w:spacing w:before="20" w:after="20"/>
              <w:jc w:val="left"/>
            </w:pPr>
            <w:r w:rsidRPr="00FA0CEC">
              <w:t>2%</w:t>
            </w:r>
          </w:p>
        </w:tc>
        <w:tc>
          <w:tcPr>
            <w:tcW w:w="1125" w:type="dxa"/>
          </w:tcPr>
          <w:p w14:paraId="4FEBDD94" w14:textId="5029B2D0" w:rsidR="002B34D6" w:rsidRPr="00A10DEB" w:rsidRDefault="002B34D6" w:rsidP="00E50D8B">
            <w:pPr>
              <w:pStyle w:val="Tabletext0"/>
              <w:spacing w:before="20" w:after="20"/>
              <w:jc w:val="left"/>
            </w:pPr>
            <w:r w:rsidRPr="00FA0CEC">
              <w:t>1%</w:t>
            </w:r>
          </w:p>
        </w:tc>
        <w:tc>
          <w:tcPr>
            <w:tcW w:w="1110" w:type="dxa"/>
          </w:tcPr>
          <w:p w14:paraId="26A05F5E" w14:textId="6ABDA642" w:rsidR="002B34D6" w:rsidRPr="00A10DEB" w:rsidRDefault="002B34D6" w:rsidP="00E50D8B">
            <w:pPr>
              <w:pStyle w:val="Tabletext0"/>
              <w:spacing w:before="20" w:after="20"/>
              <w:jc w:val="left"/>
            </w:pPr>
            <w:r w:rsidRPr="00FA0CEC">
              <w:t>0%</w:t>
            </w:r>
          </w:p>
        </w:tc>
      </w:tr>
      <w:tr w:rsidR="00C149E1" w14:paraId="78C3CC3B" w14:textId="77777777" w:rsidTr="006528C8">
        <w:trPr>
          <w:trHeight w:val="300"/>
        </w:trPr>
        <w:tc>
          <w:tcPr>
            <w:tcW w:w="2269" w:type="dxa"/>
          </w:tcPr>
          <w:p w14:paraId="3E29661F" w14:textId="6B26C7C0" w:rsidR="00C149E1" w:rsidRPr="0060301E" w:rsidRDefault="00C149E1" w:rsidP="00E50D8B">
            <w:pPr>
              <w:pStyle w:val="Tabletext0"/>
              <w:spacing w:before="20" w:after="20"/>
              <w:jc w:val="left"/>
              <w:rPr>
                <w:b/>
                <w:bCs/>
                <w:vertAlign w:val="superscript"/>
              </w:rPr>
            </w:pPr>
            <w:r w:rsidRPr="00D279BA">
              <w:t xml:space="preserve">Number of patients accessing </w:t>
            </w:r>
            <w:proofErr w:type="spellStart"/>
            <w:r w:rsidRPr="00D279BA">
              <w:t>burosumab</w:t>
            </w:r>
            <w:proofErr w:type="spellEnd"/>
            <w:r w:rsidRPr="00D279BA">
              <w:t xml:space="preserve"> through PHEX </w:t>
            </w:r>
            <w:proofErr w:type="spellStart"/>
            <w:r w:rsidRPr="00D279BA">
              <w:t>testing</w:t>
            </w:r>
            <w:r>
              <w:rPr>
                <w:vertAlign w:val="superscript"/>
              </w:rPr>
              <w:t>d</w:t>
            </w:r>
            <w:proofErr w:type="spellEnd"/>
          </w:p>
        </w:tc>
        <w:tc>
          <w:tcPr>
            <w:tcW w:w="1125" w:type="dxa"/>
            <w:gridSpan w:val="2"/>
          </w:tcPr>
          <w:p w14:paraId="0037C597" w14:textId="503ACF4D" w:rsidR="00C149E1" w:rsidRPr="003D1289" w:rsidRDefault="00C149E1" w:rsidP="00E50D8B">
            <w:pPr>
              <w:pStyle w:val="Tabletext0"/>
              <w:spacing w:before="20" w:after="20"/>
              <w:jc w:val="left"/>
              <w:rPr>
                <w:b/>
                <w:bCs/>
              </w:rPr>
            </w:pPr>
            <w:r w:rsidRPr="006840F6">
              <w:t>8</w:t>
            </w:r>
          </w:p>
        </w:tc>
        <w:tc>
          <w:tcPr>
            <w:tcW w:w="1125" w:type="dxa"/>
          </w:tcPr>
          <w:p w14:paraId="76A3DE6F" w14:textId="6E237F6D" w:rsidR="00C149E1" w:rsidRPr="003D1289" w:rsidRDefault="00C149E1" w:rsidP="00E50D8B">
            <w:pPr>
              <w:pStyle w:val="Tabletext0"/>
              <w:spacing w:before="20" w:after="20"/>
              <w:jc w:val="left"/>
              <w:rPr>
                <w:b/>
                <w:bCs/>
              </w:rPr>
            </w:pPr>
            <w:r w:rsidRPr="006840F6">
              <w:t>3</w:t>
            </w:r>
          </w:p>
        </w:tc>
        <w:tc>
          <w:tcPr>
            <w:tcW w:w="1125" w:type="dxa"/>
          </w:tcPr>
          <w:p w14:paraId="07994B74" w14:textId="3E77E934" w:rsidR="00C149E1" w:rsidRPr="003D1289" w:rsidRDefault="00C149E1" w:rsidP="00E50D8B">
            <w:pPr>
              <w:pStyle w:val="Tabletext0"/>
              <w:spacing w:before="20" w:after="20"/>
              <w:jc w:val="left"/>
              <w:rPr>
                <w:b/>
                <w:bCs/>
              </w:rPr>
            </w:pPr>
            <w:r w:rsidRPr="006840F6">
              <w:t>1</w:t>
            </w:r>
          </w:p>
        </w:tc>
        <w:tc>
          <w:tcPr>
            <w:tcW w:w="1125" w:type="dxa"/>
          </w:tcPr>
          <w:p w14:paraId="1EF05E0F" w14:textId="6C003E8B" w:rsidR="00C149E1" w:rsidRPr="003D1289" w:rsidRDefault="00C149E1" w:rsidP="00E50D8B">
            <w:pPr>
              <w:pStyle w:val="Tabletext0"/>
              <w:spacing w:before="20" w:after="20"/>
              <w:jc w:val="left"/>
              <w:rPr>
                <w:b/>
                <w:bCs/>
              </w:rPr>
            </w:pPr>
            <w:r w:rsidRPr="006840F6">
              <w:t>0</w:t>
            </w:r>
          </w:p>
        </w:tc>
        <w:tc>
          <w:tcPr>
            <w:tcW w:w="1125" w:type="dxa"/>
          </w:tcPr>
          <w:p w14:paraId="065532C7" w14:textId="3593115D" w:rsidR="00C149E1" w:rsidRPr="003D1289" w:rsidRDefault="00C149E1" w:rsidP="00E50D8B">
            <w:pPr>
              <w:pStyle w:val="Tabletext0"/>
              <w:spacing w:before="20" w:after="20"/>
              <w:jc w:val="left"/>
              <w:rPr>
                <w:b/>
                <w:bCs/>
              </w:rPr>
            </w:pPr>
            <w:r w:rsidRPr="006840F6">
              <w:t>0</w:t>
            </w:r>
          </w:p>
        </w:tc>
        <w:tc>
          <w:tcPr>
            <w:tcW w:w="1110" w:type="dxa"/>
          </w:tcPr>
          <w:p w14:paraId="0D89C128" w14:textId="3D207350" w:rsidR="00C149E1" w:rsidRPr="003D1289" w:rsidRDefault="00C149E1" w:rsidP="00E50D8B">
            <w:pPr>
              <w:pStyle w:val="Tabletext0"/>
              <w:spacing w:before="20" w:after="20"/>
              <w:jc w:val="left"/>
              <w:rPr>
                <w:b/>
                <w:bCs/>
              </w:rPr>
            </w:pPr>
            <w:r w:rsidRPr="006840F6">
              <w:t>0</w:t>
            </w:r>
          </w:p>
        </w:tc>
      </w:tr>
      <w:tr w:rsidR="00C149E1" w14:paraId="1D84B810" w14:textId="77777777" w:rsidTr="006528C8">
        <w:trPr>
          <w:trHeight w:val="300"/>
        </w:trPr>
        <w:tc>
          <w:tcPr>
            <w:tcW w:w="2269" w:type="dxa"/>
          </w:tcPr>
          <w:p w14:paraId="0A7EF630" w14:textId="49CA0F01" w:rsidR="00C149E1" w:rsidRPr="009343DE" w:rsidRDefault="00C149E1" w:rsidP="00E50D8B">
            <w:pPr>
              <w:pStyle w:val="Tabletext0"/>
              <w:spacing w:before="20" w:after="20"/>
              <w:jc w:val="left"/>
              <w:rPr>
                <w:b/>
                <w:bCs/>
                <w:vertAlign w:val="superscript"/>
              </w:rPr>
            </w:pPr>
            <w:r w:rsidRPr="00D279BA">
              <w:t xml:space="preserve">Total number of patients having FGF-23 </w:t>
            </w:r>
            <w:proofErr w:type="spellStart"/>
            <w:r w:rsidRPr="00D279BA">
              <w:t>testing</w:t>
            </w:r>
            <w:r>
              <w:rPr>
                <w:vertAlign w:val="superscript"/>
              </w:rPr>
              <w:t>e</w:t>
            </w:r>
            <w:proofErr w:type="spellEnd"/>
          </w:p>
        </w:tc>
        <w:tc>
          <w:tcPr>
            <w:tcW w:w="1125" w:type="dxa"/>
            <w:gridSpan w:val="2"/>
          </w:tcPr>
          <w:p w14:paraId="685B1F01" w14:textId="604F7BA3" w:rsidR="00C149E1" w:rsidRPr="000045D6" w:rsidRDefault="00C149E1" w:rsidP="00E50D8B">
            <w:pPr>
              <w:pStyle w:val="Tabletext0"/>
              <w:spacing w:before="20" w:after="20"/>
              <w:jc w:val="left"/>
              <w:rPr>
                <w:b/>
                <w:bCs/>
              </w:rPr>
            </w:pPr>
            <w:r w:rsidRPr="006840F6">
              <w:t>44</w:t>
            </w:r>
          </w:p>
        </w:tc>
        <w:tc>
          <w:tcPr>
            <w:tcW w:w="1125" w:type="dxa"/>
            <w:tcBorders>
              <w:bottom w:val="single" w:sz="4" w:space="0" w:color="auto"/>
            </w:tcBorders>
          </w:tcPr>
          <w:p w14:paraId="0AC16692" w14:textId="11ECE22A" w:rsidR="00C149E1" w:rsidRPr="000045D6" w:rsidRDefault="00C149E1" w:rsidP="00E50D8B">
            <w:pPr>
              <w:pStyle w:val="Tabletext0"/>
              <w:spacing w:before="20" w:after="20"/>
              <w:jc w:val="left"/>
              <w:rPr>
                <w:b/>
                <w:bCs/>
              </w:rPr>
            </w:pPr>
            <w:r w:rsidRPr="006840F6">
              <w:t>38</w:t>
            </w:r>
          </w:p>
        </w:tc>
        <w:tc>
          <w:tcPr>
            <w:tcW w:w="1125" w:type="dxa"/>
            <w:tcBorders>
              <w:bottom w:val="single" w:sz="4" w:space="0" w:color="auto"/>
            </w:tcBorders>
          </w:tcPr>
          <w:p w14:paraId="3888B685" w14:textId="5988F437" w:rsidR="00C149E1" w:rsidRPr="000045D6" w:rsidRDefault="00C149E1" w:rsidP="00E50D8B">
            <w:pPr>
              <w:pStyle w:val="Tabletext0"/>
              <w:spacing w:before="20" w:after="20"/>
              <w:jc w:val="left"/>
              <w:rPr>
                <w:b/>
                <w:bCs/>
              </w:rPr>
            </w:pPr>
            <w:r w:rsidRPr="006840F6">
              <w:t>29</w:t>
            </w:r>
          </w:p>
        </w:tc>
        <w:tc>
          <w:tcPr>
            <w:tcW w:w="1125" w:type="dxa"/>
            <w:tcBorders>
              <w:bottom w:val="single" w:sz="4" w:space="0" w:color="auto"/>
            </w:tcBorders>
          </w:tcPr>
          <w:p w14:paraId="6FCEF118" w14:textId="07A35C33" w:rsidR="00C149E1" w:rsidRPr="000045D6" w:rsidRDefault="00C149E1" w:rsidP="00E50D8B">
            <w:pPr>
              <w:pStyle w:val="Tabletext0"/>
              <w:spacing w:before="20" w:after="20"/>
              <w:jc w:val="left"/>
              <w:rPr>
                <w:b/>
                <w:bCs/>
              </w:rPr>
            </w:pPr>
            <w:r w:rsidRPr="006840F6">
              <w:t>21</w:t>
            </w:r>
          </w:p>
        </w:tc>
        <w:tc>
          <w:tcPr>
            <w:tcW w:w="1125" w:type="dxa"/>
            <w:tcBorders>
              <w:bottom w:val="single" w:sz="4" w:space="0" w:color="auto"/>
            </w:tcBorders>
          </w:tcPr>
          <w:p w14:paraId="71040B52" w14:textId="32D30181" w:rsidR="00C149E1" w:rsidRPr="000045D6" w:rsidRDefault="00C149E1" w:rsidP="00E50D8B">
            <w:pPr>
              <w:pStyle w:val="Tabletext0"/>
              <w:spacing w:before="20" w:after="20"/>
              <w:jc w:val="left"/>
              <w:rPr>
                <w:b/>
                <w:bCs/>
              </w:rPr>
            </w:pPr>
            <w:r w:rsidRPr="006840F6">
              <w:t>14</w:t>
            </w:r>
          </w:p>
        </w:tc>
        <w:tc>
          <w:tcPr>
            <w:tcW w:w="1110" w:type="dxa"/>
          </w:tcPr>
          <w:p w14:paraId="43332E51" w14:textId="2A0CD5F6" w:rsidR="00C149E1" w:rsidRPr="000045D6" w:rsidRDefault="00C149E1" w:rsidP="00E50D8B">
            <w:pPr>
              <w:pStyle w:val="Tabletext0"/>
              <w:spacing w:before="20" w:after="20"/>
              <w:jc w:val="left"/>
              <w:rPr>
                <w:b/>
                <w:bCs/>
              </w:rPr>
            </w:pPr>
            <w:r w:rsidRPr="006840F6">
              <w:t>10</w:t>
            </w:r>
          </w:p>
        </w:tc>
      </w:tr>
      <w:tr w:rsidR="00BF56D4" w14:paraId="24395B4F" w14:textId="77777777" w:rsidTr="006528C8">
        <w:trPr>
          <w:trHeight w:val="300"/>
        </w:trPr>
        <w:tc>
          <w:tcPr>
            <w:tcW w:w="2691" w:type="dxa"/>
            <w:gridSpan w:val="2"/>
            <w:tcBorders>
              <w:right w:val="nil"/>
            </w:tcBorders>
          </w:tcPr>
          <w:p w14:paraId="0796011A" w14:textId="77777777" w:rsidR="00BF56D4" w:rsidRPr="00D279BA" w:rsidRDefault="00BF56D4" w:rsidP="00E50D8B">
            <w:pPr>
              <w:pStyle w:val="Tabletext0"/>
              <w:spacing w:before="20" w:after="20"/>
              <w:jc w:val="left"/>
            </w:pPr>
            <w:r w:rsidRPr="00C81C96">
              <w:rPr>
                <w:b/>
                <w:bCs/>
              </w:rPr>
              <w:t>Change in cost to the MBS</w:t>
            </w:r>
          </w:p>
        </w:tc>
        <w:tc>
          <w:tcPr>
            <w:tcW w:w="703" w:type="dxa"/>
            <w:tcBorders>
              <w:left w:val="nil"/>
              <w:right w:val="nil"/>
            </w:tcBorders>
          </w:tcPr>
          <w:p w14:paraId="59F1E8E7" w14:textId="77777777" w:rsidR="00BF56D4" w:rsidRPr="00A10DEB" w:rsidRDefault="00BF56D4" w:rsidP="00E50D8B">
            <w:pPr>
              <w:pStyle w:val="Tabletext0"/>
              <w:spacing w:before="20" w:after="20"/>
              <w:jc w:val="left"/>
            </w:pPr>
          </w:p>
        </w:tc>
        <w:tc>
          <w:tcPr>
            <w:tcW w:w="1125" w:type="dxa"/>
            <w:tcBorders>
              <w:left w:val="nil"/>
              <w:right w:val="nil"/>
            </w:tcBorders>
          </w:tcPr>
          <w:p w14:paraId="3080DCD5" w14:textId="77777777" w:rsidR="00BF56D4" w:rsidRPr="00A10DEB" w:rsidRDefault="00BF56D4" w:rsidP="00E50D8B">
            <w:pPr>
              <w:pStyle w:val="Tabletext0"/>
              <w:spacing w:before="20" w:after="20"/>
              <w:jc w:val="left"/>
            </w:pPr>
          </w:p>
        </w:tc>
        <w:tc>
          <w:tcPr>
            <w:tcW w:w="1125" w:type="dxa"/>
            <w:tcBorders>
              <w:left w:val="nil"/>
              <w:right w:val="nil"/>
            </w:tcBorders>
          </w:tcPr>
          <w:p w14:paraId="5AA494F8" w14:textId="77777777" w:rsidR="00BF56D4" w:rsidRPr="00A10DEB" w:rsidRDefault="00BF56D4" w:rsidP="00E50D8B">
            <w:pPr>
              <w:pStyle w:val="Tabletext0"/>
              <w:spacing w:before="20" w:after="20"/>
              <w:jc w:val="left"/>
            </w:pPr>
          </w:p>
        </w:tc>
        <w:tc>
          <w:tcPr>
            <w:tcW w:w="1125" w:type="dxa"/>
            <w:tcBorders>
              <w:left w:val="nil"/>
              <w:right w:val="nil"/>
            </w:tcBorders>
          </w:tcPr>
          <w:p w14:paraId="76F3D3C5" w14:textId="77777777" w:rsidR="00BF56D4" w:rsidRPr="00A10DEB" w:rsidRDefault="00BF56D4" w:rsidP="00E50D8B">
            <w:pPr>
              <w:pStyle w:val="Tabletext0"/>
              <w:spacing w:before="20" w:after="20"/>
              <w:jc w:val="left"/>
            </w:pPr>
          </w:p>
        </w:tc>
        <w:tc>
          <w:tcPr>
            <w:tcW w:w="1125" w:type="dxa"/>
            <w:tcBorders>
              <w:left w:val="nil"/>
              <w:right w:val="nil"/>
            </w:tcBorders>
          </w:tcPr>
          <w:p w14:paraId="03101911" w14:textId="77777777" w:rsidR="00BF56D4" w:rsidRPr="00A10DEB" w:rsidRDefault="00BF56D4" w:rsidP="00E50D8B">
            <w:pPr>
              <w:pStyle w:val="Tabletext0"/>
              <w:spacing w:before="20" w:after="20"/>
              <w:jc w:val="left"/>
            </w:pPr>
          </w:p>
        </w:tc>
        <w:tc>
          <w:tcPr>
            <w:tcW w:w="1110" w:type="dxa"/>
            <w:tcBorders>
              <w:left w:val="nil"/>
            </w:tcBorders>
          </w:tcPr>
          <w:p w14:paraId="1B9E5541" w14:textId="77777777" w:rsidR="00BF56D4" w:rsidRPr="00A10DEB" w:rsidRDefault="00BF56D4" w:rsidP="00E50D8B">
            <w:pPr>
              <w:pStyle w:val="Tabletext0"/>
              <w:spacing w:before="20" w:after="20"/>
              <w:jc w:val="left"/>
            </w:pPr>
          </w:p>
        </w:tc>
      </w:tr>
      <w:tr w:rsidR="00641621" w14:paraId="1018E452" w14:textId="77777777" w:rsidTr="006528C8">
        <w:trPr>
          <w:trHeight w:val="300"/>
        </w:trPr>
        <w:tc>
          <w:tcPr>
            <w:tcW w:w="2269" w:type="dxa"/>
          </w:tcPr>
          <w:p w14:paraId="4770B520" w14:textId="2AE81F2B" w:rsidR="00641621" w:rsidRPr="00D279BA" w:rsidRDefault="00641621" w:rsidP="00E50D8B">
            <w:pPr>
              <w:pStyle w:val="Tabletext0"/>
              <w:spacing w:before="20" w:after="20"/>
              <w:jc w:val="left"/>
            </w:pPr>
            <w:r w:rsidRPr="00F30B38">
              <w:t xml:space="preserve">Cost to the MBS (85% </w:t>
            </w:r>
            <w:proofErr w:type="gramStart"/>
            <w:r w:rsidRPr="00F30B38">
              <w:t>benefit)</w:t>
            </w:r>
            <w:r>
              <w:rPr>
                <w:vertAlign w:val="superscript"/>
              </w:rPr>
              <w:t>f</w:t>
            </w:r>
            <w:proofErr w:type="gramEnd"/>
            <w:r w:rsidRPr="00064E6E">
              <w:t xml:space="preserve"> </w:t>
            </w:r>
            <w:r>
              <w:t>of proposed</w:t>
            </w:r>
            <w:r w:rsidRPr="00F30B38">
              <w:t xml:space="preserve"> item for FGF-23 testing</w:t>
            </w:r>
          </w:p>
        </w:tc>
        <w:tc>
          <w:tcPr>
            <w:tcW w:w="1125" w:type="dxa"/>
            <w:gridSpan w:val="2"/>
          </w:tcPr>
          <w:p w14:paraId="647E536C" w14:textId="46984ED6" w:rsidR="00641621" w:rsidRPr="00A10DEB" w:rsidRDefault="00641621" w:rsidP="00E50D8B">
            <w:pPr>
              <w:pStyle w:val="Tabletext0"/>
              <w:spacing w:before="20" w:after="20"/>
              <w:jc w:val="left"/>
            </w:pPr>
            <w:r w:rsidRPr="000130EE">
              <w:t>$3,366</w:t>
            </w:r>
          </w:p>
        </w:tc>
        <w:tc>
          <w:tcPr>
            <w:tcW w:w="1125" w:type="dxa"/>
          </w:tcPr>
          <w:p w14:paraId="5D533D1C" w14:textId="370BBC98" w:rsidR="00641621" w:rsidRPr="00A10DEB" w:rsidRDefault="00641621" w:rsidP="00E50D8B">
            <w:pPr>
              <w:pStyle w:val="Tabletext0"/>
              <w:spacing w:before="20" w:after="20"/>
              <w:jc w:val="left"/>
            </w:pPr>
            <w:r w:rsidRPr="000130EE">
              <w:t>$2,907</w:t>
            </w:r>
          </w:p>
        </w:tc>
        <w:tc>
          <w:tcPr>
            <w:tcW w:w="1125" w:type="dxa"/>
          </w:tcPr>
          <w:p w14:paraId="5D5C4412" w14:textId="65F1F53E" w:rsidR="00641621" w:rsidRPr="00A10DEB" w:rsidRDefault="00641621" w:rsidP="00E50D8B">
            <w:pPr>
              <w:pStyle w:val="Tabletext0"/>
              <w:spacing w:before="20" w:after="20"/>
              <w:jc w:val="left"/>
            </w:pPr>
            <w:r w:rsidRPr="000130EE">
              <w:t>$2,219</w:t>
            </w:r>
          </w:p>
        </w:tc>
        <w:tc>
          <w:tcPr>
            <w:tcW w:w="1125" w:type="dxa"/>
          </w:tcPr>
          <w:p w14:paraId="37AC4BC5" w14:textId="34A5A375" w:rsidR="00641621" w:rsidRPr="00A10DEB" w:rsidRDefault="00641621" w:rsidP="00E50D8B">
            <w:pPr>
              <w:pStyle w:val="Tabletext0"/>
              <w:spacing w:before="20" w:after="20"/>
              <w:jc w:val="left"/>
            </w:pPr>
            <w:r w:rsidRPr="000130EE">
              <w:t>$1,607</w:t>
            </w:r>
          </w:p>
        </w:tc>
        <w:tc>
          <w:tcPr>
            <w:tcW w:w="1125" w:type="dxa"/>
          </w:tcPr>
          <w:p w14:paraId="67E38740" w14:textId="315BF5F0" w:rsidR="00641621" w:rsidRPr="00A10DEB" w:rsidRDefault="00641621" w:rsidP="00E50D8B">
            <w:pPr>
              <w:pStyle w:val="Tabletext0"/>
              <w:spacing w:before="20" w:after="20"/>
              <w:jc w:val="left"/>
            </w:pPr>
            <w:r w:rsidRPr="000130EE">
              <w:t>$1,071</w:t>
            </w:r>
          </w:p>
        </w:tc>
        <w:tc>
          <w:tcPr>
            <w:tcW w:w="1110" w:type="dxa"/>
          </w:tcPr>
          <w:p w14:paraId="1EC8956B" w14:textId="2ACD2940" w:rsidR="00641621" w:rsidRPr="00A10DEB" w:rsidRDefault="00641621" w:rsidP="00E50D8B">
            <w:pPr>
              <w:pStyle w:val="Tabletext0"/>
              <w:spacing w:before="20" w:after="20"/>
              <w:jc w:val="left"/>
            </w:pPr>
            <w:r w:rsidRPr="000130EE">
              <w:t>$765</w:t>
            </w:r>
          </w:p>
        </w:tc>
      </w:tr>
    </w:tbl>
    <w:p w14:paraId="25FBC4FA" w14:textId="6CF1DCFA" w:rsidR="00BF56D4" w:rsidRDefault="00BF56D4" w:rsidP="00AC5C8C">
      <w:pPr>
        <w:pStyle w:val="TableFigureFooter"/>
        <w:spacing w:before="0"/>
      </w:pPr>
      <w:r>
        <w:t>FGF-23 = </w:t>
      </w:r>
      <w:r w:rsidRPr="00946089">
        <w:t>fibroblast growth factor 23</w:t>
      </w:r>
      <w:r>
        <w:t xml:space="preserve">; FY = financial year; </w:t>
      </w:r>
      <w:r w:rsidR="00714DC2">
        <w:t>MBS = Medicare Benefits Schedule</w:t>
      </w:r>
      <w:r>
        <w:t>; PHEX = </w:t>
      </w:r>
      <w:r w:rsidRPr="00CA0619">
        <w:t>phosphate-regulating endopeptidase homolog X-linked</w:t>
      </w:r>
      <w:r>
        <w:t>; XLH = </w:t>
      </w:r>
      <w:r w:rsidRPr="00937D38">
        <w:t>X-linked hypophosphatemia</w:t>
      </w:r>
      <w:r>
        <w:t>.</w:t>
      </w:r>
      <w:r>
        <w:br/>
      </w:r>
      <w:r w:rsidR="002061A9">
        <w:t xml:space="preserve">a </w:t>
      </w:r>
      <w:r>
        <w:t>Calculated using annual population growth of 1.8%.</w:t>
      </w:r>
      <w:r>
        <w:br/>
      </w:r>
      <w:r w:rsidR="002061A9">
        <w:t xml:space="preserve">b </w:t>
      </w:r>
      <w:r>
        <w:t>Calculated using the growth in number of adult patients with XLH and the number of burosumab naïve patients remaining from the previous year (e.g. [282-277]+[208-62]).</w:t>
      </w:r>
      <w:r>
        <w:br/>
      </w:r>
      <w:r w:rsidR="002061A9">
        <w:t>c</w:t>
      </w:r>
      <w:r>
        <w:t xml:space="preserve"> Calculated by multiplying the number of burosumab naïve patients with the burosumab uptake rate.</w:t>
      </w:r>
      <w:r>
        <w:br/>
      </w:r>
      <w:r w:rsidR="002061A9">
        <w:t xml:space="preserve">d </w:t>
      </w:r>
      <w:r>
        <w:t xml:space="preserve">Calculated by multiplying the number of patients </w:t>
      </w:r>
      <w:r w:rsidR="000C2A63">
        <w:t>seeking</w:t>
      </w:r>
      <w:r>
        <w:t xml:space="preserve"> access </w:t>
      </w:r>
      <w:r w:rsidR="000C2A63">
        <w:t>to</w:t>
      </w:r>
      <w:r>
        <w:t xml:space="preserve"> burosumab by the proportion of patients accessing burosumab through PHEX testing.</w:t>
      </w:r>
      <w:r>
        <w:br/>
      </w:r>
      <w:r w:rsidR="002061A9">
        <w:t xml:space="preserve">e </w:t>
      </w:r>
      <w:r>
        <w:t xml:space="preserve">Difference between the number of patients </w:t>
      </w:r>
      <w:r w:rsidR="000C2A63">
        <w:t xml:space="preserve">seeking </w:t>
      </w:r>
      <w:r>
        <w:t xml:space="preserve">access </w:t>
      </w:r>
      <w:r w:rsidR="000C2A63">
        <w:t>to</w:t>
      </w:r>
      <w:r>
        <w:t xml:space="preserve"> burosumab and the number of patients accessing burosumab through PHEX testing.</w:t>
      </w:r>
      <w:r w:rsidRPr="00757BE9">
        <w:t xml:space="preserve"> </w:t>
      </w:r>
      <w:r>
        <w:br/>
      </w:r>
      <w:r w:rsidR="002061A9">
        <w:t>f</w:t>
      </w:r>
      <w:r>
        <w:t xml:space="preserve"> Calculated using 85% benefit ($76.50) for proposed MBS item</w:t>
      </w:r>
      <w:r>
        <w:br/>
        <w:t xml:space="preserve">Source: </w:t>
      </w:r>
      <w:r w:rsidR="002061A9">
        <w:t xml:space="preserve">DCAR </w:t>
      </w:r>
      <w:r w:rsidR="005D6D7D">
        <w:fldChar w:fldCharType="begin"/>
      </w:r>
      <w:r w:rsidR="005D6D7D">
        <w:instrText xml:space="preserve"> REF _Ref168344921 \h </w:instrText>
      </w:r>
      <w:r w:rsidR="005D6D7D">
        <w:fldChar w:fldCharType="separate"/>
      </w:r>
      <w:r w:rsidR="00A367FC">
        <w:t xml:space="preserve">Table </w:t>
      </w:r>
      <w:r w:rsidR="00A367FC">
        <w:rPr>
          <w:noProof/>
        </w:rPr>
        <w:t>14</w:t>
      </w:r>
      <w:r w:rsidR="005D6D7D">
        <w:fldChar w:fldCharType="end"/>
      </w:r>
      <w:r>
        <w:t>.</w:t>
      </w:r>
    </w:p>
    <w:p w14:paraId="3E7A7B3C" w14:textId="7BDB27EB" w:rsidR="003C7758" w:rsidRDefault="003C7758" w:rsidP="003C7758">
      <w:pPr>
        <w:pStyle w:val="Heading3"/>
      </w:pPr>
      <w:r>
        <w:lastRenderedPageBreak/>
        <w:t>Reduction of uncertainty</w:t>
      </w:r>
    </w:p>
    <w:p w14:paraId="15B0F993" w14:textId="37FCC7E4" w:rsidR="00D41BFE" w:rsidRDefault="00F419C9" w:rsidP="00D41BFE">
      <w:r>
        <w:t>A range of analys</w:t>
      </w:r>
      <w:r w:rsidR="0062627C">
        <w:t>e</w:t>
      </w:r>
      <w:r>
        <w:t xml:space="preserve">s were undertaken to explore the </w:t>
      </w:r>
      <w:r w:rsidR="00747D12">
        <w:t>uncertainty</w:t>
      </w:r>
      <w:r>
        <w:t xml:space="preserve"> associated with the </w:t>
      </w:r>
      <w:r w:rsidR="00856D36">
        <w:t xml:space="preserve">item fee, </w:t>
      </w:r>
      <w:r>
        <w:t>prevalence of XLH, the uptake rate of burosumab</w:t>
      </w:r>
      <w:r w:rsidR="00F0649D">
        <w:t>,</w:t>
      </w:r>
      <w:r>
        <w:t xml:space="preserve"> and the proportion of patients accessing burosumab </w:t>
      </w:r>
      <w:r w:rsidR="00477EEC">
        <w:t>via PHEX</w:t>
      </w:r>
      <w:r w:rsidR="00507D50">
        <w:t xml:space="preserve"> testing compared to FGF-23 testing. Although these </w:t>
      </w:r>
      <w:r w:rsidR="002475C6">
        <w:t>generally</w:t>
      </w:r>
      <w:r w:rsidR="00507D50">
        <w:t xml:space="preserve"> increased the impact to the MBS, the pattern of </w:t>
      </w:r>
      <w:r w:rsidR="00747D12">
        <w:t xml:space="preserve">declining </w:t>
      </w:r>
      <w:r w:rsidR="00CF0DB3">
        <w:t xml:space="preserve">or stable </w:t>
      </w:r>
      <w:r w:rsidR="00747D12">
        <w:t>impact remained</w:t>
      </w:r>
      <w:r w:rsidR="006D2CBD">
        <w:t>;</w:t>
      </w:r>
      <w:r w:rsidR="00747D12">
        <w:t xml:space="preserve"> </w:t>
      </w:r>
      <w:r w:rsidR="008B0A9D">
        <w:t xml:space="preserve">in none of the analyses undertaken did the cost to the MBS </w:t>
      </w:r>
      <w:r w:rsidR="003F64BE">
        <w:t>exceed</w:t>
      </w:r>
      <w:r w:rsidR="008B0A9D">
        <w:t xml:space="preserve"> </w:t>
      </w:r>
      <w:r w:rsidR="009E728B">
        <w:t xml:space="preserve">$9,000 in a single year for the adult population. </w:t>
      </w:r>
    </w:p>
    <w:p w14:paraId="766F5C1F" w14:textId="59492476" w:rsidR="00A61A7E" w:rsidRDefault="006834D6" w:rsidP="00D41BFE">
      <w:r>
        <w:t xml:space="preserve">Although </w:t>
      </w:r>
      <w:r w:rsidR="00A61A7E" w:rsidRPr="00A61A7E">
        <w:t xml:space="preserve">MBS funding for FGF-23 testing could result in reduced PHEX testing </w:t>
      </w:r>
      <w:r w:rsidR="00BA6EC4">
        <w:t xml:space="preserve">for access to burosumab </w:t>
      </w:r>
      <w:r>
        <w:t>(</w:t>
      </w:r>
      <w:r w:rsidR="00A61A7E" w:rsidRPr="00A61A7E">
        <w:t>due to substitution by FGF-23</w:t>
      </w:r>
      <w:r>
        <w:t>)</w:t>
      </w:r>
      <w:r w:rsidR="00A61A7E" w:rsidRPr="00A61A7E">
        <w:t xml:space="preserve"> </w:t>
      </w:r>
      <w:r w:rsidR="00443621">
        <w:t xml:space="preserve">and </w:t>
      </w:r>
      <w:r w:rsidR="00DA2709">
        <w:t xml:space="preserve">a consequent </w:t>
      </w:r>
      <w:r w:rsidR="00443621">
        <w:t>reduc</w:t>
      </w:r>
      <w:r w:rsidR="00DA2709">
        <w:t>tion in</w:t>
      </w:r>
      <w:r>
        <w:t xml:space="preserve"> </w:t>
      </w:r>
      <w:r w:rsidR="00A61A7E" w:rsidRPr="00A61A7E">
        <w:t>overall costs to the MBS</w:t>
      </w:r>
      <w:r w:rsidR="00443621">
        <w:t>,</w:t>
      </w:r>
      <w:r w:rsidR="00A61A7E" w:rsidRPr="00A61A7E">
        <w:t xml:space="preserve"> </w:t>
      </w:r>
      <w:r w:rsidR="00443621">
        <w:t>t</w:t>
      </w:r>
      <w:r w:rsidR="00A61A7E" w:rsidRPr="00A61A7E">
        <w:t xml:space="preserve">he likelihood of this </w:t>
      </w:r>
      <w:r w:rsidR="00DA2709">
        <w:t xml:space="preserve">scenario </w:t>
      </w:r>
      <w:r w:rsidR="00A61A7E" w:rsidRPr="00A61A7E">
        <w:t xml:space="preserve">is uncertain. </w:t>
      </w:r>
      <w:r w:rsidR="00443621">
        <w:t>C</w:t>
      </w:r>
      <w:r w:rsidR="00A61A7E" w:rsidRPr="00A61A7E">
        <w:t>onsultation feedback from the Clinical Practice and Therapeutics Committees of the ANZBMS</w:t>
      </w:r>
      <w:r w:rsidR="00443621">
        <w:t xml:space="preserve"> suggest</w:t>
      </w:r>
      <w:r w:rsidR="0012595E">
        <w:t>ed</w:t>
      </w:r>
      <w:r w:rsidR="00443621">
        <w:t xml:space="preserve"> </w:t>
      </w:r>
      <w:r w:rsidR="00A61A7E" w:rsidRPr="00A61A7E">
        <w:t>that patients who access</w:t>
      </w:r>
      <w:r w:rsidR="0012595E">
        <w:t>ed</w:t>
      </w:r>
      <w:r w:rsidR="00A61A7E" w:rsidRPr="00A61A7E">
        <w:t xml:space="preserve"> burosumab on the PBS via a confirmed diagnosis of XLH (including high or inappropriately normal FGF-23) w</w:t>
      </w:r>
      <w:r w:rsidR="0012595E">
        <w:t>ould</w:t>
      </w:r>
      <w:r w:rsidR="00A61A7E" w:rsidRPr="00A61A7E">
        <w:t xml:space="preserve"> still undergo PHEX testing as part of the diagnostic process.</w:t>
      </w:r>
    </w:p>
    <w:p w14:paraId="7838A9FF" w14:textId="725329F6" w:rsidR="00772829" w:rsidRPr="00CE28E3" w:rsidRDefault="00C36633" w:rsidP="002A18BE">
      <w:pPr>
        <w:pStyle w:val="Heading2"/>
        <w:numPr>
          <w:ilvl w:val="0"/>
          <w:numId w:val="0"/>
        </w:numPr>
      </w:pPr>
      <w:bookmarkStart w:id="38" w:name="_Toc166074010"/>
      <w:r>
        <w:t>1</w:t>
      </w:r>
      <w:r w:rsidR="00BF42A8">
        <w:t>5</w:t>
      </w:r>
      <w:r>
        <w:t>.</w:t>
      </w:r>
      <w:r>
        <w:tab/>
      </w:r>
      <w:r w:rsidR="00772829" w:rsidRPr="004843B1">
        <w:t xml:space="preserve">Other relevant </w:t>
      </w:r>
      <w:r w:rsidR="00FA5766" w:rsidRPr="004843B1">
        <w:t>information</w:t>
      </w:r>
      <w:bookmarkEnd w:id="38"/>
    </w:p>
    <w:p w14:paraId="30DE9625" w14:textId="3730FC52" w:rsidR="00772829" w:rsidRPr="003251C2" w:rsidRDefault="004843B1" w:rsidP="004843B1">
      <w:r>
        <w:t>Nil</w:t>
      </w:r>
    </w:p>
    <w:p w14:paraId="67FF279E" w14:textId="1299780D" w:rsidR="00BF42A8" w:rsidRDefault="00BF42A8" w:rsidP="00BF42A8">
      <w:pPr>
        <w:pStyle w:val="Heading2"/>
        <w:numPr>
          <w:ilvl w:val="0"/>
          <w:numId w:val="0"/>
        </w:numPr>
      </w:pPr>
      <w:r>
        <w:t>16.</w:t>
      </w:r>
      <w:r>
        <w:tab/>
        <w:t>Applicant comments on MSAC’s Public Summary Document</w:t>
      </w:r>
    </w:p>
    <w:p w14:paraId="225E3E87" w14:textId="6E336DE1" w:rsidR="00EF5ADF" w:rsidRDefault="00EF5ADF" w:rsidP="3A1D201C">
      <w:r w:rsidRPr="3A1D201C">
        <w:rPr>
          <w:rFonts w:eastAsiaTheme="minorEastAsia"/>
        </w:rPr>
        <w:t>The Hypophosphatemic Working Party of the Australian and New Zealand Bone and Mineral Society strongly supports the outcome of making FGF</w:t>
      </w:r>
      <w:r w:rsidR="76AC42C3" w:rsidRPr="3A1D201C">
        <w:rPr>
          <w:rFonts w:eastAsiaTheme="minorEastAsia"/>
        </w:rPr>
        <w:t>-</w:t>
      </w:r>
      <w:r w:rsidRPr="3A1D201C">
        <w:rPr>
          <w:rFonts w:eastAsiaTheme="minorEastAsia"/>
        </w:rPr>
        <w:t xml:space="preserve">23 testing available for </w:t>
      </w:r>
      <w:r w:rsidR="7E50DA86">
        <w:t>the diagnosis of XLH.</w:t>
      </w:r>
    </w:p>
    <w:p w14:paraId="08BB63D4" w14:textId="1499282F" w:rsidR="00BF42A8" w:rsidRDefault="00BF42A8" w:rsidP="00BF42A8">
      <w:pPr>
        <w:pStyle w:val="Heading2"/>
        <w:numPr>
          <w:ilvl w:val="0"/>
          <w:numId w:val="0"/>
        </w:numPr>
      </w:pPr>
      <w:r>
        <w:t>17.</w:t>
      </w:r>
      <w:r>
        <w:tab/>
        <w:t>Further information on MSAC</w:t>
      </w:r>
    </w:p>
    <w:p w14:paraId="01B2A9FA" w14:textId="537726F8" w:rsidR="00772829" w:rsidRPr="00BF42A8" w:rsidRDefault="00BF42A8" w:rsidP="00BF42A8">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16" w:tooltip="Link to the MSAC website" w:history="1">
        <w:r w:rsidRPr="00F309FA">
          <w:rPr>
            <w:rStyle w:val="Hyperlink"/>
            <w:rFonts w:ascii="Franklin Gothic Book" w:hAnsi="Franklin Gothic Book"/>
            <w:iCs/>
            <w:sz w:val="22"/>
          </w:rPr>
          <w:t>visit the MSAC website</w:t>
        </w:r>
      </w:hyperlink>
    </w:p>
    <w:sectPr w:rsidR="00772829" w:rsidRPr="00BF42A8" w:rsidSect="00F60A3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7F96" w14:textId="77777777" w:rsidR="00A36016" w:rsidRDefault="00A36016" w:rsidP="00B62DF2">
      <w:pPr>
        <w:spacing w:after="0" w:line="240" w:lineRule="auto"/>
      </w:pPr>
      <w:r>
        <w:separator/>
      </w:r>
    </w:p>
  </w:endnote>
  <w:endnote w:type="continuationSeparator" w:id="0">
    <w:p w14:paraId="34FA24B6" w14:textId="77777777" w:rsidR="00A36016" w:rsidRDefault="00A36016" w:rsidP="00B62DF2">
      <w:pPr>
        <w:spacing w:after="0" w:line="240" w:lineRule="auto"/>
      </w:pPr>
      <w:r>
        <w:continuationSeparator/>
      </w:r>
    </w:p>
  </w:endnote>
  <w:endnote w:type="continuationNotice" w:id="1">
    <w:p w14:paraId="0BBE2DAF" w14:textId="77777777" w:rsidR="00A36016" w:rsidRDefault="00A360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6E76D499" w14:textId="0840CF35" w:rsidR="00AC1891" w:rsidRDefault="00AC1891" w:rsidP="009D5F97">
        <w:pPr>
          <w:pStyle w:val="Footer"/>
          <w:tabs>
            <w:tab w:val="left" w:pos="142"/>
            <w:tab w:val="left" w:pos="426"/>
            <w:tab w:val="left" w:pos="851"/>
            <w:tab w:val="left" w:pos="1134"/>
            <w:tab w:val="left" w:pos="2127"/>
          </w:tabs>
          <w:ind w:left="420" w:hanging="420"/>
          <w:jc w:val="right"/>
        </w:pPr>
        <w:r>
          <w:fldChar w:fldCharType="begin"/>
        </w:r>
        <w:r>
          <w:instrText xml:space="preserve"> PAGE   \* MERGEFORMAT </w:instrText>
        </w:r>
        <w:r>
          <w:fldChar w:fldCharType="separate"/>
        </w:r>
        <w:r w:rsidR="00967549">
          <w:rPr>
            <w:noProof/>
          </w:rPr>
          <w:t>72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74A54245" w:rsidR="00AC1891" w:rsidRDefault="00AC1891" w:rsidP="009D5F97">
        <w:pPr>
          <w:pStyle w:val="Footer"/>
          <w:jc w:val="right"/>
        </w:pPr>
        <w:r>
          <w:fldChar w:fldCharType="begin"/>
        </w:r>
        <w:r>
          <w:instrText xml:space="preserve"> PAGE   \* MERGEFORMAT </w:instrText>
        </w:r>
        <w:r>
          <w:fldChar w:fldCharType="separate"/>
        </w:r>
        <w:r w:rsidR="00967549">
          <w:rPr>
            <w:noProof/>
          </w:rPr>
          <w:t>73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821755"/>
      <w:docPartObj>
        <w:docPartGallery w:val="Page Numbers (Bottom of Page)"/>
        <w:docPartUnique/>
      </w:docPartObj>
    </w:sdtPr>
    <w:sdtEndPr>
      <w:rPr>
        <w:noProof/>
      </w:rPr>
    </w:sdtEndPr>
    <w:sdtContent>
      <w:p w14:paraId="2404E418" w14:textId="5E8AD919" w:rsidR="009D5F97" w:rsidRDefault="009D5F97" w:rsidP="009D5F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F7249" w14:textId="77777777" w:rsidR="00A36016" w:rsidRDefault="00A36016" w:rsidP="00B62DF2">
      <w:pPr>
        <w:spacing w:after="0" w:line="240" w:lineRule="auto"/>
      </w:pPr>
      <w:r>
        <w:separator/>
      </w:r>
    </w:p>
  </w:footnote>
  <w:footnote w:type="continuationSeparator" w:id="0">
    <w:p w14:paraId="422DF786" w14:textId="77777777" w:rsidR="00A36016" w:rsidRDefault="00A36016" w:rsidP="00B62DF2">
      <w:pPr>
        <w:spacing w:after="0" w:line="240" w:lineRule="auto"/>
      </w:pPr>
      <w:r>
        <w:continuationSeparator/>
      </w:r>
    </w:p>
  </w:footnote>
  <w:footnote w:type="continuationNotice" w:id="1">
    <w:p w14:paraId="05E61BA0" w14:textId="77777777" w:rsidR="00A36016" w:rsidRDefault="00A36016">
      <w:pPr>
        <w:spacing w:before="0" w:after="0" w:line="240" w:lineRule="auto"/>
      </w:pPr>
    </w:p>
  </w:footnote>
  <w:footnote w:id="2">
    <w:p w14:paraId="4581880D" w14:textId="1681F097" w:rsidR="00146BF9" w:rsidRDefault="00146BF9">
      <w:pPr>
        <w:pStyle w:val="FootnoteText"/>
      </w:pPr>
      <w:r>
        <w:rPr>
          <w:rStyle w:val="FootnoteReference"/>
        </w:rPr>
        <w:footnoteRef/>
      </w:r>
      <w:r>
        <w:t xml:space="preserve"> </w:t>
      </w:r>
      <w:r w:rsidRPr="00146BF9">
        <w:t xml:space="preserve">Munns CF, Yoo HW, </w:t>
      </w:r>
      <w:proofErr w:type="spellStart"/>
      <w:r w:rsidRPr="00146BF9">
        <w:t>Jalaludin</w:t>
      </w:r>
      <w:proofErr w:type="spellEnd"/>
      <w:r w:rsidRPr="00146BF9">
        <w:t xml:space="preserve"> MY, </w:t>
      </w:r>
      <w:proofErr w:type="spellStart"/>
      <w:r w:rsidRPr="00146BF9">
        <w:t>Vasanwala</w:t>
      </w:r>
      <w:proofErr w:type="spellEnd"/>
      <w:r w:rsidRPr="00146BF9">
        <w:t xml:space="preserve"> R, Chandran M, Rhee Y, BUT WM, Kong APK, Su PH, </w:t>
      </w:r>
      <w:proofErr w:type="spellStart"/>
      <w:r w:rsidRPr="00146BF9">
        <w:t>Numbenjapon</w:t>
      </w:r>
      <w:proofErr w:type="spellEnd"/>
      <w:r w:rsidRPr="00146BF9">
        <w:t xml:space="preserve"> N, </w:t>
      </w:r>
      <w:proofErr w:type="spellStart"/>
      <w:r w:rsidRPr="00146BF9">
        <w:t>Namba</w:t>
      </w:r>
      <w:proofErr w:type="spellEnd"/>
      <w:r w:rsidRPr="00146BF9">
        <w:t xml:space="preserve"> N, </w:t>
      </w:r>
      <w:proofErr w:type="spellStart"/>
      <w:r w:rsidRPr="00146BF9">
        <w:t>Imanishi</w:t>
      </w:r>
      <w:proofErr w:type="spellEnd"/>
      <w:r w:rsidRPr="00146BF9">
        <w:t xml:space="preserve"> Y, Clifton Bligh RJ, Luo X, Xia W (2023) ‘Asia Pacific consensus recommendations on X linked hypophosphatemia: diagnosis, multidisciplinary management, and transition from </w:t>
      </w:r>
      <w:proofErr w:type="spellStart"/>
      <w:r w:rsidRPr="00146BF9">
        <w:t>pediatric</w:t>
      </w:r>
      <w:proofErr w:type="spellEnd"/>
      <w:r w:rsidRPr="00146BF9">
        <w:t xml:space="preserve"> to adult care’, JBMR Plus, 7(6</w:t>
      </w:r>
      <w:proofErr w:type="gramStart"/>
      <w:r w:rsidRPr="00146BF9">
        <w:t>):e</w:t>
      </w:r>
      <w:proofErr w:type="gramEnd"/>
      <w:r w:rsidRPr="00146BF9">
        <w:t>10744, doi:10.1002/jbm4.10744.</w:t>
      </w:r>
    </w:p>
  </w:footnote>
  <w:footnote w:id="3">
    <w:p w14:paraId="71D0ACB5" w14:textId="10E4B05C" w:rsidR="00C61524" w:rsidRDefault="00C61524">
      <w:pPr>
        <w:pStyle w:val="FootnoteText"/>
      </w:pPr>
      <w:r>
        <w:rPr>
          <w:rStyle w:val="FootnoteReference"/>
        </w:rPr>
        <w:footnoteRef/>
      </w:r>
      <w:r>
        <w:t xml:space="preserve"> </w:t>
      </w:r>
      <w:r w:rsidRPr="00C61524">
        <w:t xml:space="preserve">Haffner D, Emma F, Eastwood DM, </w:t>
      </w:r>
      <w:proofErr w:type="spellStart"/>
      <w:r w:rsidRPr="00C61524">
        <w:t>Biosse</w:t>
      </w:r>
      <w:proofErr w:type="spellEnd"/>
      <w:r w:rsidRPr="00C61524">
        <w:t xml:space="preserve"> </w:t>
      </w:r>
      <w:proofErr w:type="spellStart"/>
      <w:r w:rsidRPr="00C61524">
        <w:t>Duplan</w:t>
      </w:r>
      <w:proofErr w:type="spellEnd"/>
      <w:r w:rsidRPr="00C61524">
        <w:t xml:space="preserve"> M, </w:t>
      </w:r>
      <w:proofErr w:type="spellStart"/>
      <w:r w:rsidRPr="00C61524">
        <w:t>Bacchetta</w:t>
      </w:r>
      <w:proofErr w:type="spellEnd"/>
      <w:r w:rsidRPr="00C61524">
        <w:t xml:space="preserve"> J, Schnabel D, </w:t>
      </w:r>
      <w:proofErr w:type="spellStart"/>
      <w:r w:rsidRPr="00C61524">
        <w:t>Wicart</w:t>
      </w:r>
      <w:proofErr w:type="spellEnd"/>
      <w:r w:rsidRPr="00C61524">
        <w:t xml:space="preserve"> P, </w:t>
      </w:r>
      <w:proofErr w:type="spellStart"/>
      <w:r w:rsidRPr="00C61524">
        <w:t>Bockenhauer</w:t>
      </w:r>
      <w:proofErr w:type="spellEnd"/>
      <w:r w:rsidRPr="00C61524">
        <w:t xml:space="preserve"> D, Santos F, </w:t>
      </w:r>
      <w:proofErr w:type="spellStart"/>
      <w:r w:rsidRPr="00C61524">
        <w:t>Levtchenko</w:t>
      </w:r>
      <w:proofErr w:type="spellEnd"/>
      <w:r w:rsidRPr="00C61524">
        <w:t xml:space="preserve"> E, </w:t>
      </w:r>
      <w:proofErr w:type="spellStart"/>
      <w:r w:rsidRPr="00C61524">
        <w:t>Harvengt</w:t>
      </w:r>
      <w:proofErr w:type="spellEnd"/>
      <w:r w:rsidRPr="00C61524">
        <w:t xml:space="preserve"> P, Kirchhoff M, Di Rocco F, </w:t>
      </w:r>
      <w:proofErr w:type="spellStart"/>
      <w:r w:rsidRPr="00C61524">
        <w:t>Chaussain</w:t>
      </w:r>
      <w:proofErr w:type="spellEnd"/>
      <w:r w:rsidRPr="00C61524">
        <w:t xml:space="preserve"> C, Brandi ML, </w:t>
      </w:r>
      <w:proofErr w:type="spellStart"/>
      <w:r w:rsidRPr="00C61524">
        <w:t>Savendahl</w:t>
      </w:r>
      <w:proofErr w:type="spellEnd"/>
      <w:r w:rsidRPr="00C61524">
        <w:t xml:space="preserve"> L, </w:t>
      </w:r>
      <w:proofErr w:type="spellStart"/>
      <w:r w:rsidRPr="00C61524">
        <w:t>Briot</w:t>
      </w:r>
      <w:proofErr w:type="spellEnd"/>
      <w:r w:rsidRPr="00C61524">
        <w:t xml:space="preserve"> K, </w:t>
      </w:r>
      <w:proofErr w:type="spellStart"/>
      <w:r w:rsidRPr="00C61524">
        <w:t>Kamenicky</w:t>
      </w:r>
      <w:proofErr w:type="spellEnd"/>
      <w:r w:rsidRPr="00C61524">
        <w:t xml:space="preserve"> P, </w:t>
      </w:r>
      <w:proofErr w:type="spellStart"/>
      <w:r w:rsidRPr="00C61524">
        <w:t>Rejnmark</w:t>
      </w:r>
      <w:proofErr w:type="spellEnd"/>
      <w:r w:rsidRPr="00C61524">
        <w:t xml:space="preserve"> L, </w:t>
      </w:r>
      <w:proofErr w:type="spellStart"/>
      <w:r w:rsidRPr="00C61524">
        <w:t>Linglart</w:t>
      </w:r>
      <w:proofErr w:type="spellEnd"/>
      <w:r w:rsidRPr="00C61524">
        <w:t xml:space="preserve"> A (2019) ‘Clinical practice recommendations for the diagnosis and management of X-linked </w:t>
      </w:r>
      <w:proofErr w:type="spellStart"/>
      <w:r w:rsidRPr="00C61524">
        <w:t>hypophosphataemia</w:t>
      </w:r>
      <w:proofErr w:type="spellEnd"/>
      <w:r w:rsidRPr="00C61524">
        <w:t>’, Nat Rev Nephrol, 15:435–455, doi:10.1038/s41581-019-0152-5.</w:t>
      </w:r>
    </w:p>
  </w:footnote>
  <w:footnote w:id="4">
    <w:p w14:paraId="25572A5C" w14:textId="77777777" w:rsidR="009537DE" w:rsidRPr="0034517F" w:rsidRDefault="009537DE" w:rsidP="009537DE">
      <w:pPr>
        <w:pStyle w:val="FootnoteText"/>
        <w:rPr>
          <w:lang w:val="en-US"/>
        </w:rPr>
      </w:pPr>
      <w:r>
        <w:rPr>
          <w:rStyle w:val="FootnoteReference"/>
        </w:rPr>
        <w:footnoteRef/>
      </w:r>
      <w:r>
        <w:t xml:space="preserve"> </w:t>
      </w:r>
      <w:proofErr w:type="spellStart"/>
      <w:r w:rsidRPr="00293BDD">
        <w:t>Trombetti</w:t>
      </w:r>
      <w:proofErr w:type="spellEnd"/>
      <w:r w:rsidRPr="00293BDD">
        <w:t xml:space="preserve"> A, Al-</w:t>
      </w:r>
      <w:proofErr w:type="spellStart"/>
      <w:r w:rsidRPr="00293BDD">
        <w:t>Daghri</w:t>
      </w:r>
      <w:proofErr w:type="spellEnd"/>
      <w:r w:rsidRPr="00293BDD">
        <w:t xml:space="preserve"> N, Brandi ML, </w:t>
      </w:r>
      <w:proofErr w:type="spellStart"/>
      <w:r w:rsidRPr="00293BDD">
        <w:t>Cannata-Andía</w:t>
      </w:r>
      <w:proofErr w:type="spellEnd"/>
      <w:r w:rsidRPr="00293BDD">
        <w:t xml:space="preserve"> JB, Cavalier E, Chandran M, </w:t>
      </w:r>
      <w:proofErr w:type="spellStart"/>
      <w:r w:rsidRPr="00293BDD">
        <w:t>Chaussain</w:t>
      </w:r>
      <w:proofErr w:type="spellEnd"/>
      <w:r w:rsidRPr="00293BDD">
        <w:t xml:space="preserve"> C, </w:t>
      </w:r>
      <w:proofErr w:type="spellStart"/>
      <w:r w:rsidRPr="00293BDD">
        <w:t>Cipullo</w:t>
      </w:r>
      <w:proofErr w:type="spellEnd"/>
      <w:r w:rsidRPr="00293BDD">
        <w:t xml:space="preserve"> L, Cooper C, Haffner D, </w:t>
      </w:r>
      <w:proofErr w:type="spellStart"/>
      <w:r w:rsidRPr="00293BDD">
        <w:t>Harvengt</w:t>
      </w:r>
      <w:proofErr w:type="spellEnd"/>
      <w:r w:rsidRPr="00293BDD">
        <w:t xml:space="preserve"> P, Harvey NC, Javaid MK, Jiwa F, Kanis JA, </w:t>
      </w:r>
      <w:proofErr w:type="spellStart"/>
      <w:r w:rsidRPr="00293BDD">
        <w:t>Laslop</w:t>
      </w:r>
      <w:proofErr w:type="spellEnd"/>
      <w:r w:rsidRPr="00293BDD">
        <w:t xml:space="preserve"> A, Laurent MR, </w:t>
      </w:r>
      <w:proofErr w:type="spellStart"/>
      <w:r w:rsidRPr="00293BDD">
        <w:t>Linglart</w:t>
      </w:r>
      <w:proofErr w:type="spellEnd"/>
      <w:r w:rsidRPr="00293BDD">
        <w:t xml:space="preserve"> A, Marques A, </w:t>
      </w:r>
      <w:proofErr w:type="spellStart"/>
      <w:r w:rsidRPr="00293BDD">
        <w:t>Mindler</w:t>
      </w:r>
      <w:proofErr w:type="spellEnd"/>
      <w:r w:rsidRPr="00293BDD">
        <w:t xml:space="preserve"> GT, </w:t>
      </w:r>
      <w:proofErr w:type="spellStart"/>
      <w:r w:rsidRPr="00293BDD">
        <w:t>Minisola</w:t>
      </w:r>
      <w:proofErr w:type="spellEnd"/>
      <w:r w:rsidRPr="00293BDD">
        <w:t xml:space="preserve"> S, Prieto </w:t>
      </w:r>
      <w:proofErr w:type="spellStart"/>
      <w:r w:rsidRPr="00293BDD">
        <w:t>Yerro</w:t>
      </w:r>
      <w:proofErr w:type="spellEnd"/>
      <w:r w:rsidRPr="00293BDD">
        <w:t xml:space="preserve"> MC, Rosa MM, </w:t>
      </w:r>
      <w:proofErr w:type="spellStart"/>
      <w:r w:rsidRPr="00293BDD">
        <w:t>Seefried</w:t>
      </w:r>
      <w:proofErr w:type="spellEnd"/>
      <w:r w:rsidRPr="00293BDD">
        <w:t xml:space="preserve"> L, </w:t>
      </w:r>
      <w:proofErr w:type="spellStart"/>
      <w:r w:rsidRPr="00293BDD">
        <w:t>Vlaskovska</w:t>
      </w:r>
      <w:proofErr w:type="spellEnd"/>
      <w:r w:rsidRPr="00293BDD">
        <w:t xml:space="preserve"> M, </w:t>
      </w:r>
      <w:proofErr w:type="spellStart"/>
      <w:r w:rsidRPr="00293BDD">
        <w:t>Belén</w:t>
      </w:r>
      <w:proofErr w:type="spellEnd"/>
      <w:r w:rsidRPr="00293BDD">
        <w:t xml:space="preserve"> </w:t>
      </w:r>
      <w:proofErr w:type="spellStart"/>
      <w:r w:rsidRPr="00293BDD">
        <w:t>Zanchetta</w:t>
      </w:r>
      <w:proofErr w:type="spellEnd"/>
      <w:r w:rsidRPr="00293BDD">
        <w:t xml:space="preserve"> M, Rizzoli R (2022) ‘Interdisciplinary management of FGF23-related phosphate wasting syndromes: a consensus statement on the evaluation, diagnosis and care of patients with X-linked </w:t>
      </w:r>
      <w:proofErr w:type="spellStart"/>
      <w:r w:rsidRPr="00293BDD">
        <w:t>hypophosphataemia</w:t>
      </w:r>
      <w:proofErr w:type="spellEnd"/>
      <w:r w:rsidRPr="00293BDD">
        <w:t>’, Nat Rev Endocrinol, 18:366–384, doi:10.1038/s41574-022-00662-x.</w:t>
      </w:r>
    </w:p>
  </w:footnote>
  <w:footnote w:id="5">
    <w:p w14:paraId="1F08DA3B" w14:textId="4190C396" w:rsidR="00A5617E" w:rsidRDefault="00A5617E">
      <w:pPr>
        <w:pStyle w:val="FootnoteText"/>
      </w:pPr>
      <w:r>
        <w:rPr>
          <w:rStyle w:val="FootnoteReference"/>
        </w:rPr>
        <w:footnoteRef/>
      </w:r>
      <w:r>
        <w:t xml:space="preserve"> </w:t>
      </w:r>
      <w:r w:rsidRPr="00A5617E">
        <w:t>Lin X, Li S, Zhang Z, Yue H (2021) ‘Clinical and genetic characteristics of 153 Chinese patients with X-linked hypophosphatemia’, Frontiers in Cell and Developmental Biology, 9:617738, doi:10.3389/fcell.2021.617738.</w:t>
      </w:r>
    </w:p>
  </w:footnote>
  <w:footnote w:id="6">
    <w:p w14:paraId="4D88861C" w14:textId="4E04C976" w:rsidR="00BB6BA2" w:rsidRDefault="00BB6BA2">
      <w:pPr>
        <w:pStyle w:val="FootnoteText"/>
      </w:pPr>
      <w:r>
        <w:rPr>
          <w:rStyle w:val="FootnoteReference"/>
        </w:rPr>
        <w:footnoteRef/>
      </w:r>
      <w:r>
        <w:t xml:space="preserve"> </w:t>
      </w:r>
      <w:r w:rsidRPr="00BB6BA2">
        <w:t xml:space="preserve">Zhang C, Zhao Z, Sun Y, Xu L, </w:t>
      </w:r>
      <w:proofErr w:type="spellStart"/>
      <w:r w:rsidRPr="00BB6BA2">
        <w:t>JiaJue</w:t>
      </w:r>
      <w:proofErr w:type="spellEnd"/>
      <w:r w:rsidRPr="00BB6BA2">
        <w:t xml:space="preserve"> R, Cui L, Pang Q, Jiang Y, Li M, Wang O, He X, He S, </w:t>
      </w:r>
      <w:proofErr w:type="spellStart"/>
      <w:r w:rsidRPr="00BB6BA2">
        <w:t>Nie</w:t>
      </w:r>
      <w:proofErr w:type="spellEnd"/>
      <w:r w:rsidRPr="00BB6BA2">
        <w:t xml:space="preserve"> M, Xing X, Meng X, Zhou X, Yan L, Kaplan JM, </w:t>
      </w:r>
      <w:proofErr w:type="spellStart"/>
      <w:r w:rsidRPr="00BB6BA2">
        <w:t>Insogna</w:t>
      </w:r>
      <w:proofErr w:type="spellEnd"/>
      <w:r w:rsidRPr="00BB6BA2">
        <w:t xml:space="preserve"> KL, Xia W (2019) ‘Clinical and genetic analysis in a large Chinese cohort of patients with X-linked hypophosphatemia’, Bone, 121:212-220, doi:10.1016/j.bone.2019.01.021.</w:t>
      </w:r>
    </w:p>
  </w:footnote>
  <w:footnote w:id="7">
    <w:p w14:paraId="0786A7E2" w14:textId="18C8F176" w:rsidR="00EC5802" w:rsidRDefault="00EC5802">
      <w:pPr>
        <w:pStyle w:val="FootnoteText"/>
      </w:pPr>
      <w:r>
        <w:rPr>
          <w:rStyle w:val="FootnoteReference"/>
        </w:rPr>
        <w:footnoteRef/>
      </w:r>
      <w:r>
        <w:t xml:space="preserve"> </w:t>
      </w:r>
      <w:r w:rsidRPr="00EC5802">
        <w:t xml:space="preserve">Sandy JL, Nunez C, Wheeler BJ, Jefferies C, Morris A, </w:t>
      </w:r>
      <w:proofErr w:type="spellStart"/>
      <w:r w:rsidRPr="00EC5802">
        <w:t>Siafarikas</w:t>
      </w:r>
      <w:proofErr w:type="spellEnd"/>
      <w:r w:rsidRPr="00EC5802">
        <w:t xml:space="preserve"> A, Rodda CP, </w:t>
      </w:r>
      <w:proofErr w:type="spellStart"/>
      <w:r w:rsidRPr="00EC5802">
        <w:t>Simm</w:t>
      </w:r>
      <w:proofErr w:type="spellEnd"/>
      <w:r w:rsidRPr="00EC5802">
        <w:t xml:space="preserve"> P, Biggin A, Aum </w:t>
      </w:r>
      <w:proofErr w:type="spellStart"/>
      <w:proofErr w:type="gramStart"/>
      <w:r w:rsidRPr="00EC5802">
        <w:t>S,Elliot</w:t>
      </w:r>
      <w:proofErr w:type="spellEnd"/>
      <w:proofErr w:type="gramEnd"/>
      <w:r w:rsidRPr="00EC5802">
        <w:t xml:space="preserve"> EJ, Munns CF (2023) ‘Prevalence and characteristics of paediatric X-linked </w:t>
      </w:r>
      <w:proofErr w:type="spellStart"/>
      <w:r w:rsidRPr="00EC5802">
        <w:t>hypophosphataemia</w:t>
      </w:r>
      <w:proofErr w:type="spellEnd"/>
      <w:r w:rsidRPr="00EC5802">
        <w:t xml:space="preserve"> in Australia and New Zealand: results from the Australian and the New Zealand Paediatric Surveillance Units survey’, Bone, 173:116791, doi:10.1016/j.bone.2023.116791.</w:t>
      </w:r>
    </w:p>
  </w:footnote>
  <w:footnote w:id="8">
    <w:p w14:paraId="2471185C" w14:textId="07E66B46" w:rsidR="006A2FE5" w:rsidRDefault="006A2FE5">
      <w:pPr>
        <w:pStyle w:val="FootnoteText"/>
      </w:pPr>
      <w:r>
        <w:rPr>
          <w:rStyle w:val="FootnoteReference"/>
        </w:rPr>
        <w:footnoteRef/>
      </w:r>
      <w:r>
        <w:t xml:space="preserve"> </w:t>
      </w:r>
      <w:r w:rsidRPr="006A2FE5">
        <w:t xml:space="preserve">Hawley S, Shaw NJ, </w:t>
      </w:r>
      <w:proofErr w:type="spellStart"/>
      <w:r w:rsidRPr="006A2FE5">
        <w:t>Delmestri</w:t>
      </w:r>
      <w:proofErr w:type="spellEnd"/>
      <w:r w:rsidRPr="006A2FE5">
        <w:t xml:space="preserve"> A, Prieto-Alhambra D, Cooper C, </w:t>
      </w:r>
      <w:proofErr w:type="spellStart"/>
      <w:r w:rsidRPr="006A2FE5">
        <w:t>Pinedo</w:t>
      </w:r>
      <w:proofErr w:type="spellEnd"/>
      <w:r w:rsidRPr="006A2FE5">
        <w:t xml:space="preserve">-Villanueva R, Javaid MK (2020) ‘Prevalence and mortality of individuals with X-linked hypophosphatemia: a United Kingdom real-world data analysis’, J Clin Endocrinol </w:t>
      </w:r>
      <w:proofErr w:type="spellStart"/>
      <w:r w:rsidRPr="006A2FE5">
        <w:t>Metab</w:t>
      </w:r>
      <w:proofErr w:type="spellEnd"/>
      <w:r w:rsidRPr="006A2FE5">
        <w:t>, 105(3</w:t>
      </w:r>
      <w:proofErr w:type="gramStart"/>
      <w:r w:rsidRPr="006A2FE5">
        <w:t>):e</w:t>
      </w:r>
      <w:proofErr w:type="gramEnd"/>
      <w:r w:rsidRPr="006A2FE5">
        <w:t>871–8. doi:10.1210/</w:t>
      </w:r>
      <w:proofErr w:type="spellStart"/>
      <w:r w:rsidRPr="006A2FE5">
        <w:t>clinem</w:t>
      </w:r>
      <w:proofErr w:type="spellEnd"/>
      <w:r w:rsidRPr="006A2FE5">
        <w:t>/dgz203.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C483" w14:textId="77777777" w:rsidR="009D5F97" w:rsidRDefault="009D5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E6D6" w14:textId="77777777" w:rsidR="009D5F97" w:rsidRDefault="009D5F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8F18" w14:textId="77777777" w:rsidR="009D5F97" w:rsidRDefault="009D5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66"/>
    <w:multiLevelType w:val="hybridMultilevel"/>
    <w:tmpl w:val="C0DA11C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7F11D6"/>
    <w:multiLevelType w:val="hybridMultilevel"/>
    <w:tmpl w:val="95C64832"/>
    <w:lvl w:ilvl="0" w:tplc="182EE98E">
      <w:start w:val="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B5643"/>
    <w:multiLevelType w:val="hybridMultilevel"/>
    <w:tmpl w:val="0882A300"/>
    <w:lvl w:ilvl="0" w:tplc="4642E174">
      <w:start w:val="4"/>
      <w:numFmt w:val="bullet"/>
      <w:lvlText w:val="•"/>
      <w:lvlJc w:val="left"/>
      <w:pPr>
        <w:ind w:left="720" w:hanging="72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5C03C0"/>
    <w:multiLevelType w:val="hybridMultilevel"/>
    <w:tmpl w:val="3642F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E2269A"/>
    <w:multiLevelType w:val="hybridMultilevel"/>
    <w:tmpl w:val="8862B6D2"/>
    <w:lvl w:ilvl="0" w:tplc="9C4A6AEE">
      <w:start w:val="2"/>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7" w15:restartNumberingAfterBreak="0">
    <w:nsid w:val="238C62A1"/>
    <w:multiLevelType w:val="hybridMultilevel"/>
    <w:tmpl w:val="FE50C5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3F7C2A"/>
    <w:multiLevelType w:val="hybridMultilevel"/>
    <w:tmpl w:val="0B44A2D0"/>
    <w:lvl w:ilvl="0" w:tplc="D37CC52A">
      <w:start w:val="1"/>
      <w:numFmt w:val="lowerRoman"/>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2B4410"/>
    <w:multiLevelType w:val="hybridMultilevel"/>
    <w:tmpl w:val="9FEA6DC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15:restartNumberingAfterBreak="0">
    <w:nsid w:val="371617C8"/>
    <w:multiLevelType w:val="hybridMultilevel"/>
    <w:tmpl w:val="ED14AD34"/>
    <w:lvl w:ilvl="0" w:tplc="0C090001">
      <w:start w:val="1"/>
      <w:numFmt w:val="bullet"/>
      <w:lvlText w:val=""/>
      <w:lvlJc w:val="left"/>
      <w:pPr>
        <w:ind w:left="360" w:hanging="360"/>
      </w:pPr>
      <w:rPr>
        <w:rFonts w:ascii="Symbol" w:hAnsi="Symbol" w:hint="default"/>
      </w:rPr>
    </w:lvl>
    <w:lvl w:ilvl="1" w:tplc="D37CC52A">
      <w:start w:val="1"/>
      <w:numFmt w:val="lowerRoman"/>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3336FC"/>
    <w:multiLevelType w:val="hybridMultilevel"/>
    <w:tmpl w:val="0B44A2D0"/>
    <w:lvl w:ilvl="0" w:tplc="FFFFFFFF">
      <w:start w:val="1"/>
      <w:numFmt w:val="lowerRoman"/>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15:restartNumberingAfterBreak="0">
    <w:nsid w:val="3CD27BC0"/>
    <w:multiLevelType w:val="hybridMultilevel"/>
    <w:tmpl w:val="A8EC0DBE"/>
    <w:lvl w:ilvl="0" w:tplc="4642E174">
      <w:start w:val="4"/>
      <w:numFmt w:val="bullet"/>
      <w:lvlText w:val="•"/>
      <w:lvlJc w:val="left"/>
      <w:pPr>
        <w:tabs>
          <w:tab w:val="num" w:pos="360"/>
        </w:tabs>
        <w:ind w:left="36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AC24AF"/>
    <w:multiLevelType w:val="hybridMultilevel"/>
    <w:tmpl w:val="FA8ED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4C24C6"/>
    <w:multiLevelType w:val="hybridMultilevel"/>
    <w:tmpl w:val="F04AE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D556246"/>
    <w:multiLevelType w:val="hybridMultilevel"/>
    <w:tmpl w:val="D4DA6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063574"/>
    <w:multiLevelType w:val="hybridMultilevel"/>
    <w:tmpl w:val="C9020D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1EA070D"/>
    <w:multiLevelType w:val="hybridMultilevel"/>
    <w:tmpl w:val="65608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812B62"/>
    <w:multiLevelType w:val="hybridMultilevel"/>
    <w:tmpl w:val="D7AEE236"/>
    <w:lvl w:ilvl="0" w:tplc="D37CC52A">
      <w:start w:val="1"/>
      <w:numFmt w:val="lowerRoman"/>
      <w:lvlText w:val="(%1)"/>
      <w:lvlJc w:val="left"/>
      <w:pPr>
        <w:ind w:left="1440" w:hanging="72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697E5125"/>
    <w:multiLevelType w:val="hybridMultilevel"/>
    <w:tmpl w:val="A2BC991E"/>
    <w:lvl w:ilvl="0" w:tplc="4642E174">
      <w:start w:val="4"/>
      <w:numFmt w:val="bullet"/>
      <w:lvlText w:val="•"/>
      <w:lvlJc w:val="left"/>
      <w:pPr>
        <w:tabs>
          <w:tab w:val="num" w:pos="360"/>
        </w:tabs>
        <w:ind w:left="360" w:hanging="360"/>
      </w:pPr>
      <w:rPr>
        <w:rFonts w:ascii="Franklin Gothic Book" w:eastAsiaTheme="minorHAnsi" w:hAnsi="Franklin Gothic Book" w:cstheme="minorBidi"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A9D63B6"/>
    <w:multiLevelType w:val="hybridMultilevel"/>
    <w:tmpl w:val="849CB5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D600F3"/>
    <w:multiLevelType w:val="hybridMultilevel"/>
    <w:tmpl w:val="0BA8A7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726719"/>
    <w:multiLevelType w:val="hybridMultilevel"/>
    <w:tmpl w:val="592413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abstractNum w:abstractNumId="31" w15:restartNumberingAfterBreak="0">
    <w:nsid w:val="7FFE0728"/>
    <w:multiLevelType w:val="hybridMultilevel"/>
    <w:tmpl w:val="5C465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4524796">
    <w:abstractNumId w:val="13"/>
  </w:num>
  <w:num w:numId="2" w16cid:durableId="797795489">
    <w:abstractNumId w:val="30"/>
  </w:num>
  <w:num w:numId="3" w16cid:durableId="128939870">
    <w:abstractNumId w:val="3"/>
  </w:num>
  <w:num w:numId="4" w16cid:durableId="1152404405">
    <w:abstractNumId w:val="6"/>
  </w:num>
  <w:num w:numId="5" w16cid:durableId="868303670">
    <w:abstractNumId w:val="29"/>
  </w:num>
  <w:num w:numId="6" w16cid:durableId="548759251">
    <w:abstractNumId w:val="8"/>
  </w:num>
  <w:num w:numId="7" w16cid:durableId="943224942">
    <w:abstractNumId w:val="10"/>
  </w:num>
  <w:num w:numId="8" w16cid:durableId="1272661837">
    <w:abstractNumId w:val="11"/>
  </w:num>
  <w:num w:numId="9" w16cid:durableId="1017778684">
    <w:abstractNumId w:val="0"/>
  </w:num>
  <w:num w:numId="10" w16cid:durableId="661399103">
    <w:abstractNumId w:val="12"/>
  </w:num>
  <w:num w:numId="11" w16cid:durableId="1031609046">
    <w:abstractNumId w:val="20"/>
  </w:num>
  <w:num w:numId="12" w16cid:durableId="1789542165">
    <w:abstractNumId w:val="18"/>
  </w:num>
  <w:num w:numId="13" w16cid:durableId="2081825092">
    <w:abstractNumId w:val="22"/>
  </w:num>
  <w:num w:numId="14" w16cid:durableId="367996610">
    <w:abstractNumId w:val="28"/>
  </w:num>
  <w:num w:numId="15" w16cid:durableId="1688868662">
    <w:abstractNumId w:val="15"/>
  </w:num>
  <w:num w:numId="16" w16cid:durableId="2023585826">
    <w:abstractNumId w:val="2"/>
  </w:num>
  <w:num w:numId="17" w16cid:durableId="412974377">
    <w:abstractNumId w:val="24"/>
  </w:num>
  <w:num w:numId="18" w16cid:durableId="834495616">
    <w:abstractNumId w:val="25"/>
  </w:num>
  <w:num w:numId="19" w16cid:durableId="537745657">
    <w:abstractNumId w:val="9"/>
  </w:num>
  <w:num w:numId="20" w16cid:durableId="88359151">
    <w:abstractNumId w:val="19"/>
  </w:num>
  <w:num w:numId="21" w16cid:durableId="639653031">
    <w:abstractNumId w:val="23"/>
  </w:num>
  <w:num w:numId="22" w16cid:durableId="269436894">
    <w:abstractNumId w:val="5"/>
  </w:num>
  <w:num w:numId="23" w16cid:durableId="92164608">
    <w:abstractNumId w:val="31"/>
  </w:num>
  <w:num w:numId="24" w16cid:durableId="868949365">
    <w:abstractNumId w:val="17"/>
  </w:num>
  <w:num w:numId="25" w16cid:durableId="1306545401">
    <w:abstractNumId w:val="14"/>
  </w:num>
  <w:num w:numId="26" w16cid:durableId="598802739">
    <w:abstractNumId w:val="7"/>
  </w:num>
  <w:num w:numId="27" w16cid:durableId="1078094230">
    <w:abstractNumId w:val="21"/>
  </w:num>
  <w:num w:numId="28" w16cid:durableId="1376537261">
    <w:abstractNumId w:val="4"/>
  </w:num>
  <w:num w:numId="29" w16cid:durableId="659816588">
    <w:abstractNumId w:val="16"/>
  </w:num>
  <w:num w:numId="30" w16cid:durableId="179661345">
    <w:abstractNumId w:val="26"/>
  </w:num>
  <w:num w:numId="31" w16cid:durableId="1950162955">
    <w:abstractNumId w:val="27"/>
  </w:num>
  <w:num w:numId="32" w16cid:durableId="192278816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ED6"/>
    <w:rsid w:val="00000EFD"/>
    <w:rsid w:val="0000109A"/>
    <w:rsid w:val="000012B9"/>
    <w:rsid w:val="00001684"/>
    <w:rsid w:val="00001AE6"/>
    <w:rsid w:val="00001E4C"/>
    <w:rsid w:val="000021CA"/>
    <w:rsid w:val="00002467"/>
    <w:rsid w:val="0000287B"/>
    <w:rsid w:val="00002AA7"/>
    <w:rsid w:val="00002B0B"/>
    <w:rsid w:val="00002BDB"/>
    <w:rsid w:val="00002CDC"/>
    <w:rsid w:val="00002D43"/>
    <w:rsid w:val="00002DF8"/>
    <w:rsid w:val="00002F37"/>
    <w:rsid w:val="0000354E"/>
    <w:rsid w:val="00004134"/>
    <w:rsid w:val="00004135"/>
    <w:rsid w:val="00004192"/>
    <w:rsid w:val="000045D6"/>
    <w:rsid w:val="0000460D"/>
    <w:rsid w:val="00004D69"/>
    <w:rsid w:val="00004E01"/>
    <w:rsid w:val="00004E27"/>
    <w:rsid w:val="00004F7F"/>
    <w:rsid w:val="00005020"/>
    <w:rsid w:val="000052C5"/>
    <w:rsid w:val="00005334"/>
    <w:rsid w:val="000054C9"/>
    <w:rsid w:val="0000564A"/>
    <w:rsid w:val="00005BC9"/>
    <w:rsid w:val="00005EB0"/>
    <w:rsid w:val="00006349"/>
    <w:rsid w:val="000069B2"/>
    <w:rsid w:val="00006B9A"/>
    <w:rsid w:val="00006C88"/>
    <w:rsid w:val="00006CDD"/>
    <w:rsid w:val="00006F72"/>
    <w:rsid w:val="00006FF3"/>
    <w:rsid w:val="000070CF"/>
    <w:rsid w:val="000077B4"/>
    <w:rsid w:val="00007836"/>
    <w:rsid w:val="000079DA"/>
    <w:rsid w:val="000079FD"/>
    <w:rsid w:val="00007B13"/>
    <w:rsid w:val="00007F27"/>
    <w:rsid w:val="00010031"/>
    <w:rsid w:val="00010098"/>
    <w:rsid w:val="000100ED"/>
    <w:rsid w:val="00010395"/>
    <w:rsid w:val="00010506"/>
    <w:rsid w:val="000106A2"/>
    <w:rsid w:val="0001094C"/>
    <w:rsid w:val="00010B10"/>
    <w:rsid w:val="00010C20"/>
    <w:rsid w:val="00010E8F"/>
    <w:rsid w:val="000110AD"/>
    <w:rsid w:val="00011568"/>
    <w:rsid w:val="00011604"/>
    <w:rsid w:val="00011D57"/>
    <w:rsid w:val="0001239F"/>
    <w:rsid w:val="0001241E"/>
    <w:rsid w:val="00012897"/>
    <w:rsid w:val="00012BCF"/>
    <w:rsid w:val="00012CC0"/>
    <w:rsid w:val="00013260"/>
    <w:rsid w:val="0001345B"/>
    <w:rsid w:val="0001348E"/>
    <w:rsid w:val="00013537"/>
    <w:rsid w:val="0001356B"/>
    <w:rsid w:val="00013D21"/>
    <w:rsid w:val="00013E7F"/>
    <w:rsid w:val="00013F94"/>
    <w:rsid w:val="0001406E"/>
    <w:rsid w:val="000140AC"/>
    <w:rsid w:val="000146D6"/>
    <w:rsid w:val="000146F2"/>
    <w:rsid w:val="00014974"/>
    <w:rsid w:val="00014999"/>
    <w:rsid w:val="00014CBF"/>
    <w:rsid w:val="00014D38"/>
    <w:rsid w:val="00015290"/>
    <w:rsid w:val="0001532A"/>
    <w:rsid w:val="0001534A"/>
    <w:rsid w:val="0001535C"/>
    <w:rsid w:val="00015391"/>
    <w:rsid w:val="00015427"/>
    <w:rsid w:val="0001571C"/>
    <w:rsid w:val="00015CE7"/>
    <w:rsid w:val="00015EB0"/>
    <w:rsid w:val="000160F7"/>
    <w:rsid w:val="0001628D"/>
    <w:rsid w:val="000163EE"/>
    <w:rsid w:val="000169C7"/>
    <w:rsid w:val="00016B08"/>
    <w:rsid w:val="00016C86"/>
    <w:rsid w:val="00016D3B"/>
    <w:rsid w:val="0001733A"/>
    <w:rsid w:val="000173CF"/>
    <w:rsid w:val="00017717"/>
    <w:rsid w:val="0001792E"/>
    <w:rsid w:val="00017C09"/>
    <w:rsid w:val="000200BD"/>
    <w:rsid w:val="0002014E"/>
    <w:rsid w:val="0002019D"/>
    <w:rsid w:val="0002023B"/>
    <w:rsid w:val="000203FC"/>
    <w:rsid w:val="00020561"/>
    <w:rsid w:val="00020A53"/>
    <w:rsid w:val="00020AD5"/>
    <w:rsid w:val="00020B07"/>
    <w:rsid w:val="00020F3A"/>
    <w:rsid w:val="000218F9"/>
    <w:rsid w:val="0002195E"/>
    <w:rsid w:val="0002221E"/>
    <w:rsid w:val="000222FF"/>
    <w:rsid w:val="000226BA"/>
    <w:rsid w:val="000228B8"/>
    <w:rsid w:val="0002298F"/>
    <w:rsid w:val="00022C72"/>
    <w:rsid w:val="00022E15"/>
    <w:rsid w:val="00022EE6"/>
    <w:rsid w:val="000232A0"/>
    <w:rsid w:val="0002381B"/>
    <w:rsid w:val="00023BF9"/>
    <w:rsid w:val="00023FEC"/>
    <w:rsid w:val="000240F2"/>
    <w:rsid w:val="000247E8"/>
    <w:rsid w:val="00024E4A"/>
    <w:rsid w:val="00024EA5"/>
    <w:rsid w:val="00025097"/>
    <w:rsid w:val="00025371"/>
    <w:rsid w:val="000260A6"/>
    <w:rsid w:val="00026251"/>
    <w:rsid w:val="000262D0"/>
    <w:rsid w:val="00026594"/>
    <w:rsid w:val="000267D7"/>
    <w:rsid w:val="000269FD"/>
    <w:rsid w:val="00026D5A"/>
    <w:rsid w:val="00026D97"/>
    <w:rsid w:val="00026DFD"/>
    <w:rsid w:val="00026F9F"/>
    <w:rsid w:val="000271BF"/>
    <w:rsid w:val="0002739C"/>
    <w:rsid w:val="0002755F"/>
    <w:rsid w:val="000277C8"/>
    <w:rsid w:val="00027844"/>
    <w:rsid w:val="00027957"/>
    <w:rsid w:val="00027B3E"/>
    <w:rsid w:val="00027C51"/>
    <w:rsid w:val="00027CEF"/>
    <w:rsid w:val="00027E9D"/>
    <w:rsid w:val="00027F65"/>
    <w:rsid w:val="00030444"/>
    <w:rsid w:val="0003053B"/>
    <w:rsid w:val="0003088F"/>
    <w:rsid w:val="0003095E"/>
    <w:rsid w:val="00030BE4"/>
    <w:rsid w:val="00030D91"/>
    <w:rsid w:val="00031B13"/>
    <w:rsid w:val="00031D29"/>
    <w:rsid w:val="00031E4E"/>
    <w:rsid w:val="00032706"/>
    <w:rsid w:val="000328E4"/>
    <w:rsid w:val="000330F0"/>
    <w:rsid w:val="000331ED"/>
    <w:rsid w:val="00033927"/>
    <w:rsid w:val="00033BA9"/>
    <w:rsid w:val="00033DE2"/>
    <w:rsid w:val="000341B0"/>
    <w:rsid w:val="00034204"/>
    <w:rsid w:val="0003423A"/>
    <w:rsid w:val="0003449D"/>
    <w:rsid w:val="00034574"/>
    <w:rsid w:val="00034582"/>
    <w:rsid w:val="0003477F"/>
    <w:rsid w:val="00034F20"/>
    <w:rsid w:val="00034F37"/>
    <w:rsid w:val="00035090"/>
    <w:rsid w:val="00035172"/>
    <w:rsid w:val="000351BF"/>
    <w:rsid w:val="00035372"/>
    <w:rsid w:val="000353BE"/>
    <w:rsid w:val="0003563D"/>
    <w:rsid w:val="000357AE"/>
    <w:rsid w:val="00035A5E"/>
    <w:rsid w:val="00035CB3"/>
    <w:rsid w:val="00035E7F"/>
    <w:rsid w:val="00035EF2"/>
    <w:rsid w:val="00035F65"/>
    <w:rsid w:val="00036883"/>
    <w:rsid w:val="00036AD8"/>
    <w:rsid w:val="00036B70"/>
    <w:rsid w:val="00037037"/>
    <w:rsid w:val="0003717B"/>
    <w:rsid w:val="00037302"/>
    <w:rsid w:val="0003741E"/>
    <w:rsid w:val="000375A7"/>
    <w:rsid w:val="00037835"/>
    <w:rsid w:val="00037A56"/>
    <w:rsid w:val="00037CCA"/>
    <w:rsid w:val="00037D75"/>
    <w:rsid w:val="00037DCE"/>
    <w:rsid w:val="00037EBD"/>
    <w:rsid w:val="0004005D"/>
    <w:rsid w:val="000404E9"/>
    <w:rsid w:val="0004073F"/>
    <w:rsid w:val="00040933"/>
    <w:rsid w:val="00040ADF"/>
    <w:rsid w:val="00040B05"/>
    <w:rsid w:val="00040FB4"/>
    <w:rsid w:val="000413A0"/>
    <w:rsid w:val="000414D6"/>
    <w:rsid w:val="0004178C"/>
    <w:rsid w:val="000417AA"/>
    <w:rsid w:val="000418B9"/>
    <w:rsid w:val="000418DB"/>
    <w:rsid w:val="00041C91"/>
    <w:rsid w:val="00041EC6"/>
    <w:rsid w:val="00041EEF"/>
    <w:rsid w:val="00041F5D"/>
    <w:rsid w:val="00042853"/>
    <w:rsid w:val="0004293D"/>
    <w:rsid w:val="00042EF2"/>
    <w:rsid w:val="00042F5E"/>
    <w:rsid w:val="00043097"/>
    <w:rsid w:val="0004369A"/>
    <w:rsid w:val="00043999"/>
    <w:rsid w:val="00043B4B"/>
    <w:rsid w:val="00043B4E"/>
    <w:rsid w:val="00043D6B"/>
    <w:rsid w:val="00043EEF"/>
    <w:rsid w:val="00043F4B"/>
    <w:rsid w:val="00044202"/>
    <w:rsid w:val="000443A6"/>
    <w:rsid w:val="00044471"/>
    <w:rsid w:val="000447DC"/>
    <w:rsid w:val="000447E6"/>
    <w:rsid w:val="000449D1"/>
    <w:rsid w:val="00044C1A"/>
    <w:rsid w:val="00044F15"/>
    <w:rsid w:val="0004531B"/>
    <w:rsid w:val="000455D9"/>
    <w:rsid w:val="00045790"/>
    <w:rsid w:val="00045B8D"/>
    <w:rsid w:val="00045CAA"/>
    <w:rsid w:val="00045CC5"/>
    <w:rsid w:val="000467E5"/>
    <w:rsid w:val="00046975"/>
    <w:rsid w:val="00046B6A"/>
    <w:rsid w:val="00046BAC"/>
    <w:rsid w:val="00046E5E"/>
    <w:rsid w:val="000472D4"/>
    <w:rsid w:val="00047CC6"/>
    <w:rsid w:val="00047CE8"/>
    <w:rsid w:val="00047DEE"/>
    <w:rsid w:val="00047FD8"/>
    <w:rsid w:val="0005015A"/>
    <w:rsid w:val="0005040E"/>
    <w:rsid w:val="0005096C"/>
    <w:rsid w:val="00050AA7"/>
    <w:rsid w:val="00050B66"/>
    <w:rsid w:val="00050EDC"/>
    <w:rsid w:val="00050F36"/>
    <w:rsid w:val="00050F47"/>
    <w:rsid w:val="000510BC"/>
    <w:rsid w:val="00051109"/>
    <w:rsid w:val="00051138"/>
    <w:rsid w:val="0005154E"/>
    <w:rsid w:val="00051804"/>
    <w:rsid w:val="00051952"/>
    <w:rsid w:val="0005196D"/>
    <w:rsid w:val="00051A05"/>
    <w:rsid w:val="00052180"/>
    <w:rsid w:val="000521AA"/>
    <w:rsid w:val="000528AE"/>
    <w:rsid w:val="00052C7D"/>
    <w:rsid w:val="00052DD3"/>
    <w:rsid w:val="00053049"/>
    <w:rsid w:val="0005326D"/>
    <w:rsid w:val="0005369A"/>
    <w:rsid w:val="000538EA"/>
    <w:rsid w:val="000539D5"/>
    <w:rsid w:val="00053B13"/>
    <w:rsid w:val="00053BB2"/>
    <w:rsid w:val="00053EB7"/>
    <w:rsid w:val="00053F6C"/>
    <w:rsid w:val="000544AC"/>
    <w:rsid w:val="00054536"/>
    <w:rsid w:val="000546E4"/>
    <w:rsid w:val="00054965"/>
    <w:rsid w:val="000556A1"/>
    <w:rsid w:val="00055D9A"/>
    <w:rsid w:val="00055E17"/>
    <w:rsid w:val="0005652F"/>
    <w:rsid w:val="0005674E"/>
    <w:rsid w:val="000569F5"/>
    <w:rsid w:val="00056B69"/>
    <w:rsid w:val="00056BD2"/>
    <w:rsid w:val="00056C13"/>
    <w:rsid w:val="00056DA0"/>
    <w:rsid w:val="00056FC5"/>
    <w:rsid w:val="00057334"/>
    <w:rsid w:val="00057456"/>
    <w:rsid w:val="0006017C"/>
    <w:rsid w:val="0006019B"/>
    <w:rsid w:val="0006069B"/>
    <w:rsid w:val="00060AF4"/>
    <w:rsid w:val="00060B93"/>
    <w:rsid w:val="00060FBD"/>
    <w:rsid w:val="000613E3"/>
    <w:rsid w:val="000614A6"/>
    <w:rsid w:val="0006152E"/>
    <w:rsid w:val="00061574"/>
    <w:rsid w:val="0006168A"/>
    <w:rsid w:val="000618E2"/>
    <w:rsid w:val="00061B06"/>
    <w:rsid w:val="00061E77"/>
    <w:rsid w:val="00061E80"/>
    <w:rsid w:val="00062048"/>
    <w:rsid w:val="00062068"/>
    <w:rsid w:val="000624EC"/>
    <w:rsid w:val="00062723"/>
    <w:rsid w:val="00062973"/>
    <w:rsid w:val="000629A0"/>
    <w:rsid w:val="00062B19"/>
    <w:rsid w:val="0006318E"/>
    <w:rsid w:val="0006339C"/>
    <w:rsid w:val="000635E3"/>
    <w:rsid w:val="00063757"/>
    <w:rsid w:val="00063770"/>
    <w:rsid w:val="00063934"/>
    <w:rsid w:val="00063BED"/>
    <w:rsid w:val="00063CCD"/>
    <w:rsid w:val="00063D7D"/>
    <w:rsid w:val="00063EE2"/>
    <w:rsid w:val="00064497"/>
    <w:rsid w:val="000644D3"/>
    <w:rsid w:val="00064558"/>
    <w:rsid w:val="000645F7"/>
    <w:rsid w:val="00064783"/>
    <w:rsid w:val="000647C2"/>
    <w:rsid w:val="00064CF3"/>
    <w:rsid w:val="00064E6E"/>
    <w:rsid w:val="000651FF"/>
    <w:rsid w:val="0006538B"/>
    <w:rsid w:val="000654AD"/>
    <w:rsid w:val="00065792"/>
    <w:rsid w:val="00065938"/>
    <w:rsid w:val="00065DA6"/>
    <w:rsid w:val="00065E38"/>
    <w:rsid w:val="00065F98"/>
    <w:rsid w:val="00065FCC"/>
    <w:rsid w:val="00066186"/>
    <w:rsid w:val="000662FF"/>
    <w:rsid w:val="000664A1"/>
    <w:rsid w:val="000664C1"/>
    <w:rsid w:val="00066A27"/>
    <w:rsid w:val="00066F3B"/>
    <w:rsid w:val="0006712B"/>
    <w:rsid w:val="00067271"/>
    <w:rsid w:val="00067455"/>
    <w:rsid w:val="00067522"/>
    <w:rsid w:val="000675DB"/>
    <w:rsid w:val="000676C0"/>
    <w:rsid w:val="000678F6"/>
    <w:rsid w:val="000679B1"/>
    <w:rsid w:val="000679BF"/>
    <w:rsid w:val="00067A65"/>
    <w:rsid w:val="00070036"/>
    <w:rsid w:val="000701EB"/>
    <w:rsid w:val="0007021F"/>
    <w:rsid w:val="00070762"/>
    <w:rsid w:val="000709A0"/>
    <w:rsid w:val="000709C5"/>
    <w:rsid w:val="00070C6B"/>
    <w:rsid w:val="00071097"/>
    <w:rsid w:val="000712F1"/>
    <w:rsid w:val="000715B7"/>
    <w:rsid w:val="00071903"/>
    <w:rsid w:val="00071DA5"/>
    <w:rsid w:val="00071E39"/>
    <w:rsid w:val="00071F32"/>
    <w:rsid w:val="00071F8D"/>
    <w:rsid w:val="00072576"/>
    <w:rsid w:val="00072606"/>
    <w:rsid w:val="00072B3B"/>
    <w:rsid w:val="00072BB9"/>
    <w:rsid w:val="00072CDE"/>
    <w:rsid w:val="00072D9D"/>
    <w:rsid w:val="00072DFF"/>
    <w:rsid w:val="00072FE6"/>
    <w:rsid w:val="00073099"/>
    <w:rsid w:val="00073276"/>
    <w:rsid w:val="0007378B"/>
    <w:rsid w:val="00074199"/>
    <w:rsid w:val="0007430C"/>
    <w:rsid w:val="00074941"/>
    <w:rsid w:val="00074DD7"/>
    <w:rsid w:val="00074FE9"/>
    <w:rsid w:val="00075392"/>
    <w:rsid w:val="000759F9"/>
    <w:rsid w:val="00075CC6"/>
    <w:rsid w:val="00076019"/>
    <w:rsid w:val="00076032"/>
    <w:rsid w:val="000765BD"/>
    <w:rsid w:val="00076A53"/>
    <w:rsid w:val="00076BE5"/>
    <w:rsid w:val="00076BED"/>
    <w:rsid w:val="00076DFD"/>
    <w:rsid w:val="00076E47"/>
    <w:rsid w:val="00076E6E"/>
    <w:rsid w:val="000771CE"/>
    <w:rsid w:val="00077432"/>
    <w:rsid w:val="000774E1"/>
    <w:rsid w:val="00077558"/>
    <w:rsid w:val="000775BE"/>
    <w:rsid w:val="00077ABF"/>
    <w:rsid w:val="00077B70"/>
    <w:rsid w:val="00077BCC"/>
    <w:rsid w:val="00080066"/>
    <w:rsid w:val="00080241"/>
    <w:rsid w:val="000803FE"/>
    <w:rsid w:val="00080444"/>
    <w:rsid w:val="00080574"/>
    <w:rsid w:val="000805A1"/>
    <w:rsid w:val="000807A9"/>
    <w:rsid w:val="0008081D"/>
    <w:rsid w:val="00080978"/>
    <w:rsid w:val="00080B69"/>
    <w:rsid w:val="00080C66"/>
    <w:rsid w:val="00080DBE"/>
    <w:rsid w:val="00081664"/>
    <w:rsid w:val="00081778"/>
    <w:rsid w:val="00081868"/>
    <w:rsid w:val="000819E2"/>
    <w:rsid w:val="00081C23"/>
    <w:rsid w:val="000821F4"/>
    <w:rsid w:val="0008243D"/>
    <w:rsid w:val="0008316F"/>
    <w:rsid w:val="000831A8"/>
    <w:rsid w:val="000831F0"/>
    <w:rsid w:val="00083406"/>
    <w:rsid w:val="00083524"/>
    <w:rsid w:val="00083537"/>
    <w:rsid w:val="00083A24"/>
    <w:rsid w:val="00083CA5"/>
    <w:rsid w:val="00083E35"/>
    <w:rsid w:val="000840D6"/>
    <w:rsid w:val="0008421C"/>
    <w:rsid w:val="00084516"/>
    <w:rsid w:val="00084936"/>
    <w:rsid w:val="000849BF"/>
    <w:rsid w:val="00084A87"/>
    <w:rsid w:val="00085078"/>
    <w:rsid w:val="000850C3"/>
    <w:rsid w:val="0008534E"/>
    <w:rsid w:val="000853AB"/>
    <w:rsid w:val="0008558F"/>
    <w:rsid w:val="00085C60"/>
    <w:rsid w:val="00085EF3"/>
    <w:rsid w:val="00085F4E"/>
    <w:rsid w:val="00085FAD"/>
    <w:rsid w:val="00086058"/>
    <w:rsid w:val="00086180"/>
    <w:rsid w:val="00086477"/>
    <w:rsid w:val="000867A8"/>
    <w:rsid w:val="00086B94"/>
    <w:rsid w:val="00086EF9"/>
    <w:rsid w:val="00086FB0"/>
    <w:rsid w:val="000870B6"/>
    <w:rsid w:val="000870FA"/>
    <w:rsid w:val="000871CE"/>
    <w:rsid w:val="000872D0"/>
    <w:rsid w:val="00087365"/>
    <w:rsid w:val="0008739D"/>
    <w:rsid w:val="00087AE5"/>
    <w:rsid w:val="00087F30"/>
    <w:rsid w:val="00090105"/>
    <w:rsid w:val="000903DF"/>
    <w:rsid w:val="000904AA"/>
    <w:rsid w:val="000905AF"/>
    <w:rsid w:val="00090613"/>
    <w:rsid w:val="00090829"/>
    <w:rsid w:val="00090A25"/>
    <w:rsid w:val="00090B1B"/>
    <w:rsid w:val="00090BD1"/>
    <w:rsid w:val="00090D95"/>
    <w:rsid w:val="00090DF5"/>
    <w:rsid w:val="00090E7D"/>
    <w:rsid w:val="0009164B"/>
    <w:rsid w:val="000917D4"/>
    <w:rsid w:val="00091857"/>
    <w:rsid w:val="00091A9E"/>
    <w:rsid w:val="00091C59"/>
    <w:rsid w:val="00091D4F"/>
    <w:rsid w:val="00092269"/>
    <w:rsid w:val="0009244E"/>
    <w:rsid w:val="000924E1"/>
    <w:rsid w:val="000924F3"/>
    <w:rsid w:val="0009291A"/>
    <w:rsid w:val="00092A21"/>
    <w:rsid w:val="00092C49"/>
    <w:rsid w:val="00092F64"/>
    <w:rsid w:val="0009306B"/>
    <w:rsid w:val="00093229"/>
    <w:rsid w:val="00093264"/>
    <w:rsid w:val="000936E9"/>
    <w:rsid w:val="0009371C"/>
    <w:rsid w:val="000939C4"/>
    <w:rsid w:val="00093C97"/>
    <w:rsid w:val="00093CE7"/>
    <w:rsid w:val="00093D9A"/>
    <w:rsid w:val="00094023"/>
    <w:rsid w:val="00094142"/>
    <w:rsid w:val="000944FA"/>
    <w:rsid w:val="00094656"/>
    <w:rsid w:val="00094977"/>
    <w:rsid w:val="00094E8C"/>
    <w:rsid w:val="00094EC5"/>
    <w:rsid w:val="000952A4"/>
    <w:rsid w:val="00095ADB"/>
    <w:rsid w:val="00095EC1"/>
    <w:rsid w:val="00096130"/>
    <w:rsid w:val="0009654C"/>
    <w:rsid w:val="000966A2"/>
    <w:rsid w:val="000967F4"/>
    <w:rsid w:val="00096885"/>
    <w:rsid w:val="0009689D"/>
    <w:rsid w:val="000968C0"/>
    <w:rsid w:val="00096B35"/>
    <w:rsid w:val="00096B52"/>
    <w:rsid w:val="00097765"/>
    <w:rsid w:val="00097A67"/>
    <w:rsid w:val="00097A6E"/>
    <w:rsid w:val="00097A92"/>
    <w:rsid w:val="00097B43"/>
    <w:rsid w:val="00097C55"/>
    <w:rsid w:val="00097F35"/>
    <w:rsid w:val="000A0020"/>
    <w:rsid w:val="000A0039"/>
    <w:rsid w:val="000A00A8"/>
    <w:rsid w:val="000A0772"/>
    <w:rsid w:val="000A0A44"/>
    <w:rsid w:val="000A0C3A"/>
    <w:rsid w:val="000A101E"/>
    <w:rsid w:val="000A10BF"/>
    <w:rsid w:val="000A10EA"/>
    <w:rsid w:val="000A1218"/>
    <w:rsid w:val="000A1435"/>
    <w:rsid w:val="000A15C4"/>
    <w:rsid w:val="000A1AF9"/>
    <w:rsid w:val="000A1C58"/>
    <w:rsid w:val="000A2050"/>
    <w:rsid w:val="000A229E"/>
    <w:rsid w:val="000A2ACD"/>
    <w:rsid w:val="000A2B65"/>
    <w:rsid w:val="000A2BD9"/>
    <w:rsid w:val="000A2DA8"/>
    <w:rsid w:val="000A2E20"/>
    <w:rsid w:val="000A3652"/>
    <w:rsid w:val="000A39F9"/>
    <w:rsid w:val="000A42A6"/>
    <w:rsid w:val="000A42B9"/>
    <w:rsid w:val="000A435D"/>
    <w:rsid w:val="000A4650"/>
    <w:rsid w:val="000A4AD0"/>
    <w:rsid w:val="000A4D91"/>
    <w:rsid w:val="000A50EA"/>
    <w:rsid w:val="000A574C"/>
    <w:rsid w:val="000A577B"/>
    <w:rsid w:val="000A57E2"/>
    <w:rsid w:val="000A5820"/>
    <w:rsid w:val="000A587E"/>
    <w:rsid w:val="000A5954"/>
    <w:rsid w:val="000A5C0A"/>
    <w:rsid w:val="000A5C47"/>
    <w:rsid w:val="000A5E3A"/>
    <w:rsid w:val="000A6076"/>
    <w:rsid w:val="000A61B8"/>
    <w:rsid w:val="000A629E"/>
    <w:rsid w:val="000A6392"/>
    <w:rsid w:val="000A6733"/>
    <w:rsid w:val="000A695A"/>
    <w:rsid w:val="000A6B30"/>
    <w:rsid w:val="000A6B37"/>
    <w:rsid w:val="000A6BAB"/>
    <w:rsid w:val="000A6E2C"/>
    <w:rsid w:val="000A6FF5"/>
    <w:rsid w:val="000A73E4"/>
    <w:rsid w:val="000A74B3"/>
    <w:rsid w:val="000A785D"/>
    <w:rsid w:val="000A791A"/>
    <w:rsid w:val="000A7BB0"/>
    <w:rsid w:val="000A7ECD"/>
    <w:rsid w:val="000B0029"/>
    <w:rsid w:val="000B0184"/>
    <w:rsid w:val="000B02DC"/>
    <w:rsid w:val="000B0612"/>
    <w:rsid w:val="000B0C96"/>
    <w:rsid w:val="000B0C9F"/>
    <w:rsid w:val="000B0FB2"/>
    <w:rsid w:val="000B1249"/>
    <w:rsid w:val="000B1527"/>
    <w:rsid w:val="000B1675"/>
    <w:rsid w:val="000B1766"/>
    <w:rsid w:val="000B19D4"/>
    <w:rsid w:val="000B1F83"/>
    <w:rsid w:val="000B1FEE"/>
    <w:rsid w:val="000B2370"/>
    <w:rsid w:val="000B3065"/>
    <w:rsid w:val="000B3316"/>
    <w:rsid w:val="000B3330"/>
    <w:rsid w:val="000B37CC"/>
    <w:rsid w:val="000B38BA"/>
    <w:rsid w:val="000B3E25"/>
    <w:rsid w:val="000B3ECE"/>
    <w:rsid w:val="000B500C"/>
    <w:rsid w:val="000B5287"/>
    <w:rsid w:val="000B54E4"/>
    <w:rsid w:val="000B585B"/>
    <w:rsid w:val="000B5AF7"/>
    <w:rsid w:val="000B5B22"/>
    <w:rsid w:val="000B64AA"/>
    <w:rsid w:val="000B6557"/>
    <w:rsid w:val="000B6837"/>
    <w:rsid w:val="000B69D4"/>
    <w:rsid w:val="000B6AE7"/>
    <w:rsid w:val="000B6CDA"/>
    <w:rsid w:val="000B6CF0"/>
    <w:rsid w:val="000B6D0E"/>
    <w:rsid w:val="000B70CF"/>
    <w:rsid w:val="000B7186"/>
    <w:rsid w:val="000B720C"/>
    <w:rsid w:val="000B7424"/>
    <w:rsid w:val="000B7525"/>
    <w:rsid w:val="000B7650"/>
    <w:rsid w:val="000B7665"/>
    <w:rsid w:val="000B76D7"/>
    <w:rsid w:val="000B7E30"/>
    <w:rsid w:val="000B7EFE"/>
    <w:rsid w:val="000C0066"/>
    <w:rsid w:val="000C01FB"/>
    <w:rsid w:val="000C027B"/>
    <w:rsid w:val="000C0382"/>
    <w:rsid w:val="000C04A8"/>
    <w:rsid w:val="000C04C3"/>
    <w:rsid w:val="000C057D"/>
    <w:rsid w:val="000C05F1"/>
    <w:rsid w:val="000C077D"/>
    <w:rsid w:val="000C08BC"/>
    <w:rsid w:val="000C0905"/>
    <w:rsid w:val="000C0B32"/>
    <w:rsid w:val="000C0C9E"/>
    <w:rsid w:val="000C0F05"/>
    <w:rsid w:val="000C0FE8"/>
    <w:rsid w:val="000C1086"/>
    <w:rsid w:val="000C11DB"/>
    <w:rsid w:val="000C136F"/>
    <w:rsid w:val="000C16DD"/>
    <w:rsid w:val="000C1755"/>
    <w:rsid w:val="000C18FC"/>
    <w:rsid w:val="000C1B24"/>
    <w:rsid w:val="000C1B83"/>
    <w:rsid w:val="000C2221"/>
    <w:rsid w:val="000C235D"/>
    <w:rsid w:val="000C27D5"/>
    <w:rsid w:val="000C2957"/>
    <w:rsid w:val="000C2A63"/>
    <w:rsid w:val="000C2E4B"/>
    <w:rsid w:val="000C308A"/>
    <w:rsid w:val="000C3287"/>
    <w:rsid w:val="000C3833"/>
    <w:rsid w:val="000C3AD7"/>
    <w:rsid w:val="000C3EEA"/>
    <w:rsid w:val="000C42A8"/>
    <w:rsid w:val="000C461D"/>
    <w:rsid w:val="000C46F2"/>
    <w:rsid w:val="000C4736"/>
    <w:rsid w:val="000C4956"/>
    <w:rsid w:val="000C4A58"/>
    <w:rsid w:val="000C4F10"/>
    <w:rsid w:val="000C549F"/>
    <w:rsid w:val="000C5674"/>
    <w:rsid w:val="000C5729"/>
    <w:rsid w:val="000C5835"/>
    <w:rsid w:val="000C5BED"/>
    <w:rsid w:val="000C5D94"/>
    <w:rsid w:val="000C615F"/>
    <w:rsid w:val="000C6C2C"/>
    <w:rsid w:val="000C7409"/>
    <w:rsid w:val="000C7B06"/>
    <w:rsid w:val="000C7B84"/>
    <w:rsid w:val="000C7C46"/>
    <w:rsid w:val="000C7E4D"/>
    <w:rsid w:val="000D0314"/>
    <w:rsid w:val="000D03FB"/>
    <w:rsid w:val="000D04B9"/>
    <w:rsid w:val="000D05D0"/>
    <w:rsid w:val="000D0BCF"/>
    <w:rsid w:val="000D0C57"/>
    <w:rsid w:val="000D1096"/>
    <w:rsid w:val="000D147D"/>
    <w:rsid w:val="000D14EF"/>
    <w:rsid w:val="000D170A"/>
    <w:rsid w:val="000D1946"/>
    <w:rsid w:val="000D1A00"/>
    <w:rsid w:val="000D1B52"/>
    <w:rsid w:val="000D1B85"/>
    <w:rsid w:val="000D1E33"/>
    <w:rsid w:val="000D1F87"/>
    <w:rsid w:val="000D230A"/>
    <w:rsid w:val="000D2A7D"/>
    <w:rsid w:val="000D30EB"/>
    <w:rsid w:val="000D3117"/>
    <w:rsid w:val="000D37E2"/>
    <w:rsid w:val="000D3881"/>
    <w:rsid w:val="000D3CD0"/>
    <w:rsid w:val="000D3EAB"/>
    <w:rsid w:val="000D4030"/>
    <w:rsid w:val="000D41B1"/>
    <w:rsid w:val="000D44BD"/>
    <w:rsid w:val="000D4891"/>
    <w:rsid w:val="000D4980"/>
    <w:rsid w:val="000D4C1B"/>
    <w:rsid w:val="000D4E38"/>
    <w:rsid w:val="000D5523"/>
    <w:rsid w:val="000D55AE"/>
    <w:rsid w:val="000D578B"/>
    <w:rsid w:val="000D5836"/>
    <w:rsid w:val="000D589D"/>
    <w:rsid w:val="000D5AA4"/>
    <w:rsid w:val="000D5B89"/>
    <w:rsid w:val="000D5C0A"/>
    <w:rsid w:val="000D5CDA"/>
    <w:rsid w:val="000D5D5A"/>
    <w:rsid w:val="000D5E1E"/>
    <w:rsid w:val="000D609F"/>
    <w:rsid w:val="000D611A"/>
    <w:rsid w:val="000D65C0"/>
    <w:rsid w:val="000D6905"/>
    <w:rsid w:val="000D6933"/>
    <w:rsid w:val="000D6A07"/>
    <w:rsid w:val="000D6AD4"/>
    <w:rsid w:val="000D6BC6"/>
    <w:rsid w:val="000D6CD3"/>
    <w:rsid w:val="000D6E99"/>
    <w:rsid w:val="000D71B5"/>
    <w:rsid w:val="000D7209"/>
    <w:rsid w:val="000D735E"/>
    <w:rsid w:val="000D75A9"/>
    <w:rsid w:val="000D7898"/>
    <w:rsid w:val="000D79E9"/>
    <w:rsid w:val="000D7D0E"/>
    <w:rsid w:val="000D7EB3"/>
    <w:rsid w:val="000E03DC"/>
    <w:rsid w:val="000E051F"/>
    <w:rsid w:val="000E07B9"/>
    <w:rsid w:val="000E0AF3"/>
    <w:rsid w:val="000E1124"/>
    <w:rsid w:val="000E1377"/>
    <w:rsid w:val="000E1395"/>
    <w:rsid w:val="000E13A1"/>
    <w:rsid w:val="000E1757"/>
    <w:rsid w:val="000E1956"/>
    <w:rsid w:val="000E22A3"/>
    <w:rsid w:val="000E23DF"/>
    <w:rsid w:val="000E25F4"/>
    <w:rsid w:val="000E272E"/>
    <w:rsid w:val="000E2A40"/>
    <w:rsid w:val="000E2AED"/>
    <w:rsid w:val="000E2C70"/>
    <w:rsid w:val="000E2D42"/>
    <w:rsid w:val="000E3181"/>
    <w:rsid w:val="000E324F"/>
    <w:rsid w:val="000E3332"/>
    <w:rsid w:val="000E3417"/>
    <w:rsid w:val="000E3E6B"/>
    <w:rsid w:val="000E3EEB"/>
    <w:rsid w:val="000E3F77"/>
    <w:rsid w:val="000E4174"/>
    <w:rsid w:val="000E42C6"/>
    <w:rsid w:val="000E4349"/>
    <w:rsid w:val="000E437A"/>
    <w:rsid w:val="000E43A7"/>
    <w:rsid w:val="000E476C"/>
    <w:rsid w:val="000E4932"/>
    <w:rsid w:val="000E4B24"/>
    <w:rsid w:val="000E4D8E"/>
    <w:rsid w:val="000E4E1B"/>
    <w:rsid w:val="000E4F8D"/>
    <w:rsid w:val="000E50E9"/>
    <w:rsid w:val="000E5531"/>
    <w:rsid w:val="000E562E"/>
    <w:rsid w:val="000E5634"/>
    <w:rsid w:val="000E5AEA"/>
    <w:rsid w:val="000E5C54"/>
    <w:rsid w:val="000E5ED1"/>
    <w:rsid w:val="000E6005"/>
    <w:rsid w:val="000E6006"/>
    <w:rsid w:val="000E6410"/>
    <w:rsid w:val="000E671A"/>
    <w:rsid w:val="000E678B"/>
    <w:rsid w:val="000E6B87"/>
    <w:rsid w:val="000E6E37"/>
    <w:rsid w:val="000E6E61"/>
    <w:rsid w:val="000E6FD7"/>
    <w:rsid w:val="000E742C"/>
    <w:rsid w:val="000E749B"/>
    <w:rsid w:val="000E7587"/>
    <w:rsid w:val="000E7670"/>
    <w:rsid w:val="000E768A"/>
    <w:rsid w:val="000E78BB"/>
    <w:rsid w:val="000E7F85"/>
    <w:rsid w:val="000F024E"/>
    <w:rsid w:val="000F060C"/>
    <w:rsid w:val="000F078D"/>
    <w:rsid w:val="000F0A9E"/>
    <w:rsid w:val="000F0B03"/>
    <w:rsid w:val="000F0BC3"/>
    <w:rsid w:val="000F0CE0"/>
    <w:rsid w:val="000F0D5B"/>
    <w:rsid w:val="000F0D62"/>
    <w:rsid w:val="000F195B"/>
    <w:rsid w:val="000F1B89"/>
    <w:rsid w:val="000F2383"/>
    <w:rsid w:val="000F23C1"/>
    <w:rsid w:val="000F27AA"/>
    <w:rsid w:val="000F2CE3"/>
    <w:rsid w:val="000F2D75"/>
    <w:rsid w:val="000F2E01"/>
    <w:rsid w:val="000F2F5B"/>
    <w:rsid w:val="000F3309"/>
    <w:rsid w:val="000F3846"/>
    <w:rsid w:val="000F3876"/>
    <w:rsid w:val="000F3E51"/>
    <w:rsid w:val="000F4185"/>
    <w:rsid w:val="000F4485"/>
    <w:rsid w:val="000F45C2"/>
    <w:rsid w:val="000F4ED1"/>
    <w:rsid w:val="000F4F5F"/>
    <w:rsid w:val="000F54A0"/>
    <w:rsid w:val="000F56E5"/>
    <w:rsid w:val="000F5701"/>
    <w:rsid w:val="000F5A54"/>
    <w:rsid w:val="000F5E2D"/>
    <w:rsid w:val="000F5F0C"/>
    <w:rsid w:val="000F5F88"/>
    <w:rsid w:val="000F6790"/>
    <w:rsid w:val="000F70A3"/>
    <w:rsid w:val="000F7987"/>
    <w:rsid w:val="000F7AA3"/>
    <w:rsid w:val="000F7F82"/>
    <w:rsid w:val="000F7F95"/>
    <w:rsid w:val="001000CB"/>
    <w:rsid w:val="001002C7"/>
    <w:rsid w:val="001002D3"/>
    <w:rsid w:val="00100370"/>
    <w:rsid w:val="001003DB"/>
    <w:rsid w:val="0010051C"/>
    <w:rsid w:val="00100815"/>
    <w:rsid w:val="00100B32"/>
    <w:rsid w:val="00100F49"/>
    <w:rsid w:val="00101374"/>
    <w:rsid w:val="00101471"/>
    <w:rsid w:val="001017E3"/>
    <w:rsid w:val="00101E08"/>
    <w:rsid w:val="00102307"/>
    <w:rsid w:val="0010250A"/>
    <w:rsid w:val="0010262F"/>
    <w:rsid w:val="001029D5"/>
    <w:rsid w:val="001030EB"/>
    <w:rsid w:val="001033EC"/>
    <w:rsid w:val="001033FC"/>
    <w:rsid w:val="0010366F"/>
    <w:rsid w:val="001037C2"/>
    <w:rsid w:val="00103B8E"/>
    <w:rsid w:val="00103FD1"/>
    <w:rsid w:val="001040CB"/>
    <w:rsid w:val="0010448B"/>
    <w:rsid w:val="00104755"/>
    <w:rsid w:val="00104AB2"/>
    <w:rsid w:val="00104D41"/>
    <w:rsid w:val="00105123"/>
    <w:rsid w:val="0010521F"/>
    <w:rsid w:val="001055F1"/>
    <w:rsid w:val="001055F8"/>
    <w:rsid w:val="001059A7"/>
    <w:rsid w:val="00105F89"/>
    <w:rsid w:val="0010625A"/>
    <w:rsid w:val="001063B3"/>
    <w:rsid w:val="001063FD"/>
    <w:rsid w:val="0010704E"/>
    <w:rsid w:val="00107524"/>
    <w:rsid w:val="0010756B"/>
    <w:rsid w:val="001077A7"/>
    <w:rsid w:val="0010788B"/>
    <w:rsid w:val="00107DCD"/>
    <w:rsid w:val="00107EA0"/>
    <w:rsid w:val="00107EF0"/>
    <w:rsid w:val="001101D8"/>
    <w:rsid w:val="001103FF"/>
    <w:rsid w:val="00110FBE"/>
    <w:rsid w:val="0011125A"/>
    <w:rsid w:val="001113EE"/>
    <w:rsid w:val="00111417"/>
    <w:rsid w:val="00111591"/>
    <w:rsid w:val="00111A74"/>
    <w:rsid w:val="00112344"/>
    <w:rsid w:val="00112437"/>
    <w:rsid w:val="00112743"/>
    <w:rsid w:val="00112BB0"/>
    <w:rsid w:val="00112BB9"/>
    <w:rsid w:val="00113005"/>
    <w:rsid w:val="00113047"/>
    <w:rsid w:val="00113369"/>
    <w:rsid w:val="001135F8"/>
    <w:rsid w:val="00113791"/>
    <w:rsid w:val="00113831"/>
    <w:rsid w:val="00113AE9"/>
    <w:rsid w:val="00113AF7"/>
    <w:rsid w:val="00113C60"/>
    <w:rsid w:val="00113D56"/>
    <w:rsid w:val="00113D6D"/>
    <w:rsid w:val="00113EDF"/>
    <w:rsid w:val="001142E9"/>
    <w:rsid w:val="00114933"/>
    <w:rsid w:val="00114C3B"/>
    <w:rsid w:val="00114D0D"/>
    <w:rsid w:val="00114F6C"/>
    <w:rsid w:val="0011506B"/>
    <w:rsid w:val="00115203"/>
    <w:rsid w:val="00115365"/>
    <w:rsid w:val="001154EE"/>
    <w:rsid w:val="0011557F"/>
    <w:rsid w:val="00115691"/>
    <w:rsid w:val="00115794"/>
    <w:rsid w:val="001158BD"/>
    <w:rsid w:val="00115DD4"/>
    <w:rsid w:val="001162A8"/>
    <w:rsid w:val="00116378"/>
    <w:rsid w:val="0011650E"/>
    <w:rsid w:val="00116686"/>
    <w:rsid w:val="00116876"/>
    <w:rsid w:val="00116953"/>
    <w:rsid w:val="00116A47"/>
    <w:rsid w:val="00116D14"/>
    <w:rsid w:val="00117039"/>
    <w:rsid w:val="001172E4"/>
    <w:rsid w:val="00117886"/>
    <w:rsid w:val="00117985"/>
    <w:rsid w:val="00117EDB"/>
    <w:rsid w:val="00117F04"/>
    <w:rsid w:val="0012063D"/>
    <w:rsid w:val="00120765"/>
    <w:rsid w:val="00120859"/>
    <w:rsid w:val="00120D10"/>
    <w:rsid w:val="0012101E"/>
    <w:rsid w:val="001212E5"/>
    <w:rsid w:val="001213B0"/>
    <w:rsid w:val="00121EF3"/>
    <w:rsid w:val="0012208E"/>
    <w:rsid w:val="001221D8"/>
    <w:rsid w:val="0012285D"/>
    <w:rsid w:val="00122AE3"/>
    <w:rsid w:val="00122EE1"/>
    <w:rsid w:val="001235C9"/>
    <w:rsid w:val="00123658"/>
    <w:rsid w:val="001237AF"/>
    <w:rsid w:val="001237D1"/>
    <w:rsid w:val="0012380F"/>
    <w:rsid w:val="00123B05"/>
    <w:rsid w:val="00123F5D"/>
    <w:rsid w:val="001247EB"/>
    <w:rsid w:val="00124A36"/>
    <w:rsid w:val="00124B98"/>
    <w:rsid w:val="00124C6B"/>
    <w:rsid w:val="00124F3C"/>
    <w:rsid w:val="0012557E"/>
    <w:rsid w:val="0012571B"/>
    <w:rsid w:val="0012595E"/>
    <w:rsid w:val="00125B61"/>
    <w:rsid w:val="00125BBE"/>
    <w:rsid w:val="00126122"/>
    <w:rsid w:val="00126857"/>
    <w:rsid w:val="00126B33"/>
    <w:rsid w:val="00126B78"/>
    <w:rsid w:val="00126FAF"/>
    <w:rsid w:val="00126FE2"/>
    <w:rsid w:val="00127362"/>
    <w:rsid w:val="0012772A"/>
    <w:rsid w:val="001279A1"/>
    <w:rsid w:val="00127ABD"/>
    <w:rsid w:val="00127B75"/>
    <w:rsid w:val="00127C6E"/>
    <w:rsid w:val="00127EE9"/>
    <w:rsid w:val="0013016E"/>
    <w:rsid w:val="00130538"/>
    <w:rsid w:val="0013080D"/>
    <w:rsid w:val="00130BEE"/>
    <w:rsid w:val="00130E13"/>
    <w:rsid w:val="00130E26"/>
    <w:rsid w:val="001312A0"/>
    <w:rsid w:val="0013164C"/>
    <w:rsid w:val="001318CB"/>
    <w:rsid w:val="00131D45"/>
    <w:rsid w:val="001320BF"/>
    <w:rsid w:val="001320F0"/>
    <w:rsid w:val="0013217D"/>
    <w:rsid w:val="001323CA"/>
    <w:rsid w:val="001327D6"/>
    <w:rsid w:val="00132E27"/>
    <w:rsid w:val="001330B3"/>
    <w:rsid w:val="00133584"/>
    <w:rsid w:val="001336E0"/>
    <w:rsid w:val="00133761"/>
    <w:rsid w:val="001337B7"/>
    <w:rsid w:val="00133DC4"/>
    <w:rsid w:val="00133F34"/>
    <w:rsid w:val="00134038"/>
    <w:rsid w:val="00134080"/>
    <w:rsid w:val="001340C5"/>
    <w:rsid w:val="0013442B"/>
    <w:rsid w:val="001349F7"/>
    <w:rsid w:val="00134CF4"/>
    <w:rsid w:val="00135273"/>
    <w:rsid w:val="001354DB"/>
    <w:rsid w:val="001355FF"/>
    <w:rsid w:val="00135805"/>
    <w:rsid w:val="00135854"/>
    <w:rsid w:val="0013589B"/>
    <w:rsid w:val="00135932"/>
    <w:rsid w:val="00135987"/>
    <w:rsid w:val="00135D07"/>
    <w:rsid w:val="00135EC4"/>
    <w:rsid w:val="00135FC9"/>
    <w:rsid w:val="001360D3"/>
    <w:rsid w:val="0013632E"/>
    <w:rsid w:val="00136339"/>
    <w:rsid w:val="00136575"/>
    <w:rsid w:val="00136594"/>
    <w:rsid w:val="001365BD"/>
    <w:rsid w:val="0013660F"/>
    <w:rsid w:val="00136A0E"/>
    <w:rsid w:val="00136B9E"/>
    <w:rsid w:val="00136FC8"/>
    <w:rsid w:val="00137166"/>
    <w:rsid w:val="001371E0"/>
    <w:rsid w:val="00137305"/>
    <w:rsid w:val="0013765C"/>
    <w:rsid w:val="00137A15"/>
    <w:rsid w:val="00137AEA"/>
    <w:rsid w:val="00137F7E"/>
    <w:rsid w:val="00140233"/>
    <w:rsid w:val="00140387"/>
    <w:rsid w:val="00140436"/>
    <w:rsid w:val="001404CD"/>
    <w:rsid w:val="00140702"/>
    <w:rsid w:val="0014073B"/>
    <w:rsid w:val="001408FF"/>
    <w:rsid w:val="00140A41"/>
    <w:rsid w:val="00140CF6"/>
    <w:rsid w:val="00140D97"/>
    <w:rsid w:val="00140DDA"/>
    <w:rsid w:val="00141814"/>
    <w:rsid w:val="00141838"/>
    <w:rsid w:val="00141AB9"/>
    <w:rsid w:val="00141B85"/>
    <w:rsid w:val="00141F85"/>
    <w:rsid w:val="00141FD5"/>
    <w:rsid w:val="0014223C"/>
    <w:rsid w:val="00142307"/>
    <w:rsid w:val="00142ADD"/>
    <w:rsid w:val="00142C76"/>
    <w:rsid w:val="00142E14"/>
    <w:rsid w:val="001432F2"/>
    <w:rsid w:val="00143478"/>
    <w:rsid w:val="00143923"/>
    <w:rsid w:val="00143AFB"/>
    <w:rsid w:val="00143B33"/>
    <w:rsid w:val="00143E12"/>
    <w:rsid w:val="00143F03"/>
    <w:rsid w:val="00143F2F"/>
    <w:rsid w:val="0014453E"/>
    <w:rsid w:val="00144718"/>
    <w:rsid w:val="00144884"/>
    <w:rsid w:val="00144ECE"/>
    <w:rsid w:val="00144FA5"/>
    <w:rsid w:val="00145170"/>
    <w:rsid w:val="0014539F"/>
    <w:rsid w:val="00145559"/>
    <w:rsid w:val="001456C2"/>
    <w:rsid w:val="00145D63"/>
    <w:rsid w:val="00145EFC"/>
    <w:rsid w:val="00145F0A"/>
    <w:rsid w:val="00145FCC"/>
    <w:rsid w:val="00146510"/>
    <w:rsid w:val="00146624"/>
    <w:rsid w:val="001466D3"/>
    <w:rsid w:val="00146A8C"/>
    <w:rsid w:val="00146BF9"/>
    <w:rsid w:val="00146D42"/>
    <w:rsid w:val="001474DC"/>
    <w:rsid w:val="00147815"/>
    <w:rsid w:val="00147AC7"/>
    <w:rsid w:val="00147B05"/>
    <w:rsid w:val="00147C9A"/>
    <w:rsid w:val="0015012F"/>
    <w:rsid w:val="00150376"/>
    <w:rsid w:val="001503C4"/>
    <w:rsid w:val="001505D5"/>
    <w:rsid w:val="001508BF"/>
    <w:rsid w:val="00150916"/>
    <w:rsid w:val="00150BBC"/>
    <w:rsid w:val="00150C77"/>
    <w:rsid w:val="0015124B"/>
    <w:rsid w:val="00151DBD"/>
    <w:rsid w:val="00152424"/>
    <w:rsid w:val="0015270C"/>
    <w:rsid w:val="00152CF3"/>
    <w:rsid w:val="00152D4E"/>
    <w:rsid w:val="00152DBE"/>
    <w:rsid w:val="00152EDE"/>
    <w:rsid w:val="001531D6"/>
    <w:rsid w:val="001533A3"/>
    <w:rsid w:val="00153754"/>
    <w:rsid w:val="00153AB6"/>
    <w:rsid w:val="00153E96"/>
    <w:rsid w:val="00154071"/>
    <w:rsid w:val="00154280"/>
    <w:rsid w:val="00154338"/>
    <w:rsid w:val="001543A6"/>
    <w:rsid w:val="00154422"/>
    <w:rsid w:val="0015452B"/>
    <w:rsid w:val="001549DA"/>
    <w:rsid w:val="00155434"/>
    <w:rsid w:val="00155580"/>
    <w:rsid w:val="00155AA6"/>
    <w:rsid w:val="00155BDA"/>
    <w:rsid w:val="00155C7C"/>
    <w:rsid w:val="00155CA7"/>
    <w:rsid w:val="00156270"/>
    <w:rsid w:val="001562A6"/>
    <w:rsid w:val="001566BC"/>
    <w:rsid w:val="00156726"/>
    <w:rsid w:val="00156A7E"/>
    <w:rsid w:val="00156B72"/>
    <w:rsid w:val="00156D18"/>
    <w:rsid w:val="00156FA7"/>
    <w:rsid w:val="001572DC"/>
    <w:rsid w:val="0015752E"/>
    <w:rsid w:val="0015778C"/>
    <w:rsid w:val="00157A3A"/>
    <w:rsid w:val="00160197"/>
    <w:rsid w:val="0016023A"/>
    <w:rsid w:val="0016033C"/>
    <w:rsid w:val="001606A6"/>
    <w:rsid w:val="00160BE4"/>
    <w:rsid w:val="00160C24"/>
    <w:rsid w:val="00160D96"/>
    <w:rsid w:val="00160E66"/>
    <w:rsid w:val="00160F5F"/>
    <w:rsid w:val="00161583"/>
    <w:rsid w:val="0016163B"/>
    <w:rsid w:val="001617B8"/>
    <w:rsid w:val="00161913"/>
    <w:rsid w:val="00161C1E"/>
    <w:rsid w:val="0016204B"/>
    <w:rsid w:val="00162327"/>
    <w:rsid w:val="001623FE"/>
    <w:rsid w:val="00162733"/>
    <w:rsid w:val="00162D16"/>
    <w:rsid w:val="00162DBF"/>
    <w:rsid w:val="0016339B"/>
    <w:rsid w:val="001634D7"/>
    <w:rsid w:val="00163A6C"/>
    <w:rsid w:val="00163AC6"/>
    <w:rsid w:val="00163BBC"/>
    <w:rsid w:val="00163BEC"/>
    <w:rsid w:val="00163D99"/>
    <w:rsid w:val="0016400D"/>
    <w:rsid w:val="001642D9"/>
    <w:rsid w:val="00164434"/>
    <w:rsid w:val="001644B2"/>
    <w:rsid w:val="00164938"/>
    <w:rsid w:val="00164B77"/>
    <w:rsid w:val="00164CF8"/>
    <w:rsid w:val="00164DBF"/>
    <w:rsid w:val="00164E0F"/>
    <w:rsid w:val="001650A9"/>
    <w:rsid w:val="001653AE"/>
    <w:rsid w:val="00165483"/>
    <w:rsid w:val="00165761"/>
    <w:rsid w:val="00165D23"/>
    <w:rsid w:val="00166B5D"/>
    <w:rsid w:val="00166B99"/>
    <w:rsid w:val="00166E36"/>
    <w:rsid w:val="0016727C"/>
    <w:rsid w:val="00167369"/>
    <w:rsid w:val="0016737B"/>
    <w:rsid w:val="00167952"/>
    <w:rsid w:val="00167C07"/>
    <w:rsid w:val="001702BA"/>
    <w:rsid w:val="0017030C"/>
    <w:rsid w:val="0017045D"/>
    <w:rsid w:val="0017083A"/>
    <w:rsid w:val="00170B2B"/>
    <w:rsid w:val="00170D5B"/>
    <w:rsid w:val="00170F55"/>
    <w:rsid w:val="00171013"/>
    <w:rsid w:val="00171020"/>
    <w:rsid w:val="00171081"/>
    <w:rsid w:val="00171861"/>
    <w:rsid w:val="00171870"/>
    <w:rsid w:val="001718B4"/>
    <w:rsid w:val="00171E5F"/>
    <w:rsid w:val="00172046"/>
    <w:rsid w:val="0017224E"/>
    <w:rsid w:val="001726DA"/>
    <w:rsid w:val="001728EA"/>
    <w:rsid w:val="00172AA4"/>
    <w:rsid w:val="00172B8F"/>
    <w:rsid w:val="00173029"/>
    <w:rsid w:val="00173154"/>
    <w:rsid w:val="001734B9"/>
    <w:rsid w:val="001735E6"/>
    <w:rsid w:val="001735EC"/>
    <w:rsid w:val="001736F8"/>
    <w:rsid w:val="0017376F"/>
    <w:rsid w:val="001738C9"/>
    <w:rsid w:val="001739B7"/>
    <w:rsid w:val="00173B6C"/>
    <w:rsid w:val="00173BEA"/>
    <w:rsid w:val="00173BF6"/>
    <w:rsid w:val="00173D85"/>
    <w:rsid w:val="001746FA"/>
    <w:rsid w:val="00174B1E"/>
    <w:rsid w:val="00174B6B"/>
    <w:rsid w:val="00174DF7"/>
    <w:rsid w:val="00174FD4"/>
    <w:rsid w:val="001751EF"/>
    <w:rsid w:val="001755BA"/>
    <w:rsid w:val="001758A5"/>
    <w:rsid w:val="00175CD1"/>
    <w:rsid w:val="00175F9B"/>
    <w:rsid w:val="0017610D"/>
    <w:rsid w:val="00176467"/>
    <w:rsid w:val="00176BF7"/>
    <w:rsid w:val="00176C16"/>
    <w:rsid w:val="00176DC8"/>
    <w:rsid w:val="00177313"/>
    <w:rsid w:val="00177D57"/>
    <w:rsid w:val="00177DB1"/>
    <w:rsid w:val="00177E01"/>
    <w:rsid w:val="00180541"/>
    <w:rsid w:val="00180773"/>
    <w:rsid w:val="00180831"/>
    <w:rsid w:val="001809D4"/>
    <w:rsid w:val="00180D0F"/>
    <w:rsid w:val="0018108F"/>
    <w:rsid w:val="00181142"/>
    <w:rsid w:val="0018135E"/>
    <w:rsid w:val="00181413"/>
    <w:rsid w:val="00181B8C"/>
    <w:rsid w:val="0018207B"/>
    <w:rsid w:val="00182534"/>
    <w:rsid w:val="00182945"/>
    <w:rsid w:val="0018330A"/>
    <w:rsid w:val="00183379"/>
    <w:rsid w:val="0018376B"/>
    <w:rsid w:val="00183D59"/>
    <w:rsid w:val="00183F92"/>
    <w:rsid w:val="00183FF2"/>
    <w:rsid w:val="00184226"/>
    <w:rsid w:val="001848F3"/>
    <w:rsid w:val="00184B92"/>
    <w:rsid w:val="00184BAE"/>
    <w:rsid w:val="0018522B"/>
    <w:rsid w:val="00185521"/>
    <w:rsid w:val="0018574A"/>
    <w:rsid w:val="00185ABB"/>
    <w:rsid w:val="00185DBD"/>
    <w:rsid w:val="00185F76"/>
    <w:rsid w:val="0018600D"/>
    <w:rsid w:val="001868B7"/>
    <w:rsid w:val="00186978"/>
    <w:rsid w:val="001869E5"/>
    <w:rsid w:val="00186C0B"/>
    <w:rsid w:val="00186C73"/>
    <w:rsid w:val="00186C84"/>
    <w:rsid w:val="00186E2B"/>
    <w:rsid w:val="0018706C"/>
    <w:rsid w:val="0018727E"/>
    <w:rsid w:val="00187345"/>
    <w:rsid w:val="001873B6"/>
    <w:rsid w:val="0018786F"/>
    <w:rsid w:val="001879E2"/>
    <w:rsid w:val="00187BED"/>
    <w:rsid w:val="00187E20"/>
    <w:rsid w:val="00187EC7"/>
    <w:rsid w:val="001902E6"/>
    <w:rsid w:val="0019042C"/>
    <w:rsid w:val="00190516"/>
    <w:rsid w:val="001907DE"/>
    <w:rsid w:val="001908EF"/>
    <w:rsid w:val="001909AC"/>
    <w:rsid w:val="001909DE"/>
    <w:rsid w:val="00190B34"/>
    <w:rsid w:val="00190D1A"/>
    <w:rsid w:val="00190F5C"/>
    <w:rsid w:val="00191685"/>
    <w:rsid w:val="001917E0"/>
    <w:rsid w:val="00191D60"/>
    <w:rsid w:val="00192B95"/>
    <w:rsid w:val="00192D0C"/>
    <w:rsid w:val="00192DD3"/>
    <w:rsid w:val="0019312D"/>
    <w:rsid w:val="001931E8"/>
    <w:rsid w:val="0019362A"/>
    <w:rsid w:val="00194110"/>
    <w:rsid w:val="001941E4"/>
    <w:rsid w:val="00194290"/>
    <w:rsid w:val="001945FF"/>
    <w:rsid w:val="0019474E"/>
    <w:rsid w:val="001949CA"/>
    <w:rsid w:val="00194E64"/>
    <w:rsid w:val="00194ED9"/>
    <w:rsid w:val="00195009"/>
    <w:rsid w:val="0019506E"/>
    <w:rsid w:val="001952D1"/>
    <w:rsid w:val="001954FD"/>
    <w:rsid w:val="00195728"/>
    <w:rsid w:val="001957D4"/>
    <w:rsid w:val="001962EE"/>
    <w:rsid w:val="00196349"/>
    <w:rsid w:val="00196842"/>
    <w:rsid w:val="00196B2B"/>
    <w:rsid w:val="00196FDB"/>
    <w:rsid w:val="001970C0"/>
    <w:rsid w:val="00197193"/>
    <w:rsid w:val="0019729A"/>
    <w:rsid w:val="0019797C"/>
    <w:rsid w:val="00197FA2"/>
    <w:rsid w:val="001A0663"/>
    <w:rsid w:val="001A0800"/>
    <w:rsid w:val="001A0BA4"/>
    <w:rsid w:val="001A0E1B"/>
    <w:rsid w:val="001A14EB"/>
    <w:rsid w:val="001A1BCD"/>
    <w:rsid w:val="001A1C02"/>
    <w:rsid w:val="001A1C42"/>
    <w:rsid w:val="001A1CA8"/>
    <w:rsid w:val="001A1CB7"/>
    <w:rsid w:val="001A1EAA"/>
    <w:rsid w:val="001A1FA9"/>
    <w:rsid w:val="001A20C7"/>
    <w:rsid w:val="001A25EF"/>
    <w:rsid w:val="001A26B7"/>
    <w:rsid w:val="001A272E"/>
    <w:rsid w:val="001A2B5E"/>
    <w:rsid w:val="001A2BC0"/>
    <w:rsid w:val="001A326D"/>
    <w:rsid w:val="001A341E"/>
    <w:rsid w:val="001A3541"/>
    <w:rsid w:val="001A3C78"/>
    <w:rsid w:val="001A420B"/>
    <w:rsid w:val="001A42AA"/>
    <w:rsid w:val="001A43C2"/>
    <w:rsid w:val="001A47C7"/>
    <w:rsid w:val="001A491C"/>
    <w:rsid w:val="001A4A50"/>
    <w:rsid w:val="001A4ACE"/>
    <w:rsid w:val="001A4B97"/>
    <w:rsid w:val="001A4ED6"/>
    <w:rsid w:val="001A4F7D"/>
    <w:rsid w:val="001A5026"/>
    <w:rsid w:val="001A5140"/>
    <w:rsid w:val="001A5235"/>
    <w:rsid w:val="001A5520"/>
    <w:rsid w:val="001A5B9E"/>
    <w:rsid w:val="001A5F63"/>
    <w:rsid w:val="001A6550"/>
    <w:rsid w:val="001A6553"/>
    <w:rsid w:val="001A69D5"/>
    <w:rsid w:val="001A6A94"/>
    <w:rsid w:val="001A7138"/>
    <w:rsid w:val="001A7424"/>
    <w:rsid w:val="001A7A96"/>
    <w:rsid w:val="001A7B42"/>
    <w:rsid w:val="001A7D8F"/>
    <w:rsid w:val="001B00DE"/>
    <w:rsid w:val="001B05C7"/>
    <w:rsid w:val="001B05DE"/>
    <w:rsid w:val="001B068F"/>
    <w:rsid w:val="001B0886"/>
    <w:rsid w:val="001B08A0"/>
    <w:rsid w:val="001B0A10"/>
    <w:rsid w:val="001B0DAF"/>
    <w:rsid w:val="001B1031"/>
    <w:rsid w:val="001B1042"/>
    <w:rsid w:val="001B1220"/>
    <w:rsid w:val="001B1299"/>
    <w:rsid w:val="001B1387"/>
    <w:rsid w:val="001B1438"/>
    <w:rsid w:val="001B1441"/>
    <w:rsid w:val="001B17CD"/>
    <w:rsid w:val="001B18C7"/>
    <w:rsid w:val="001B1E75"/>
    <w:rsid w:val="001B2043"/>
    <w:rsid w:val="001B22D8"/>
    <w:rsid w:val="001B2465"/>
    <w:rsid w:val="001B269C"/>
    <w:rsid w:val="001B27E3"/>
    <w:rsid w:val="001B29D7"/>
    <w:rsid w:val="001B29DB"/>
    <w:rsid w:val="001B2A01"/>
    <w:rsid w:val="001B2A97"/>
    <w:rsid w:val="001B2CD4"/>
    <w:rsid w:val="001B2D29"/>
    <w:rsid w:val="001B321C"/>
    <w:rsid w:val="001B3423"/>
    <w:rsid w:val="001B34B0"/>
    <w:rsid w:val="001B37D8"/>
    <w:rsid w:val="001B3BF7"/>
    <w:rsid w:val="001B3DAA"/>
    <w:rsid w:val="001B40B8"/>
    <w:rsid w:val="001B4153"/>
    <w:rsid w:val="001B4465"/>
    <w:rsid w:val="001B44B0"/>
    <w:rsid w:val="001B44E0"/>
    <w:rsid w:val="001B44EE"/>
    <w:rsid w:val="001B4B23"/>
    <w:rsid w:val="001B4D5F"/>
    <w:rsid w:val="001B4F96"/>
    <w:rsid w:val="001B4FDE"/>
    <w:rsid w:val="001B561D"/>
    <w:rsid w:val="001B564F"/>
    <w:rsid w:val="001B590D"/>
    <w:rsid w:val="001B6194"/>
    <w:rsid w:val="001B657E"/>
    <w:rsid w:val="001B69E9"/>
    <w:rsid w:val="001B6C68"/>
    <w:rsid w:val="001B6CA9"/>
    <w:rsid w:val="001B6DB6"/>
    <w:rsid w:val="001B7048"/>
    <w:rsid w:val="001B707D"/>
    <w:rsid w:val="001B71F7"/>
    <w:rsid w:val="001B7329"/>
    <w:rsid w:val="001B7598"/>
    <w:rsid w:val="001B7B00"/>
    <w:rsid w:val="001B7BED"/>
    <w:rsid w:val="001B7E71"/>
    <w:rsid w:val="001C0231"/>
    <w:rsid w:val="001C0569"/>
    <w:rsid w:val="001C06B4"/>
    <w:rsid w:val="001C070C"/>
    <w:rsid w:val="001C0BA7"/>
    <w:rsid w:val="001C0D5C"/>
    <w:rsid w:val="001C0DB6"/>
    <w:rsid w:val="001C1221"/>
    <w:rsid w:val="001C126A"/>
    <w:rsid w:val="001C1302"/>
    <w:rsid w:val="001C1314"/>
    <w:rsid w:val="001C174A"/>
    <w:rsid w:val="001C18E8"/>
    <w:rsid w:val="001C19B7"/>
    <w:rsid w:val="001C1D05"/>
    <w:rsid w:val="001C2094"/>
    <w:rsid w:val="001C2498"/>
    <w:rsid w:val="001C28DD"/>
    <w:rsid w:val="001C2900"/>
    <w:rsid w:val="001C2A48"/>
    <w:rsid w:val="001C3056"/>
    <w:rsid w:val="001C3673"/>
    <w:rsid w:val="001C39C8"/>
    <w:rsid w:val="001C3AC4"/>
    <w:rsid w:val="001C3D14"/>
    <w:rsid w:val="001C3E9C"/>
    <w:rsid w:val="001C43CC"/>
    <w:rsid w:val="001C4457"/>
    <w:rsid w:val="001C44A5"/>
    <w:rsid w:val="001C463A"/>
    <w:rsid w:val="001C46A8"/>
    <w:rsid w:val="001C4800"/>
    <w:rsid w:val="001C4948"/>
    <w:rsid w:val="001C49F8"/>
    <w:rsid w:val="001C4EA3"/>
    <w:rsid w:val="001C5126"/>
    <w:rsid w:val="001C5748"/>
    <w:rsid w:val="001C5B8A"/>
    <w:rsid w:val="001C6161"/>
    <w:rsid w:val="001C638F"/>
    <w:rsid w:val="001C645D"/>
    <w:rsid w:val="001C65DF"/>
    <w:rsid w:val="001C6974"/>
    <w:rsid w:val="001C69E3"/>
    <w:rsid w:val="001C69F4"/>
    <w:rsid w:val="001C6A67"/>
    <w:rsid w:val="001C6DFD"/>
    <w:rsid w:val="001C6EDF"/>
    <w:rsid w:val="001C70F8"/>
    <w:rsid w:val="001C72D1"/>
    <w:rsid w:val="001C74BF"/>
    <w:rsid w:val="001C7880"/>
    <w:rsid w:val="001C7D32"/>
    <w:rsid w:val="001C7ED3"/>
    <w:rsid w:val="001D0910"/>
    <w:rsid w:val="001D0D3E"/>
    <w:rsid w:val="001D0DA3"/>
    <w:rsid w:val="001D13CF"/>
    <w:rsid w:val="001D1751"/>
    <w:rsid w:val="001D1A1A"/>
    <w:rsid w:val="001D1D4A"/>
    <w:rsid w:val="001D1E61"/>
    <w:rsid w:val="001D20A5"/>
    <w:rsid w:val="001D20D2"/>
    <w:rsid w:val="001D2515"/>
    <w:rsid w:val="001D28CF"/>
    <w:rsid w:val="001D2F16"/>
    <w:rsid w:val="001D3098"/>
    <w:rsid w:val="001D31A0"/>
    <w:rsid w:val="001D3214"/>
    <w:rsid w:val="001D32C0"/>
    <w:rsid w:val="001D34A0"/>
    <w:rsid w:val="001D370B"/>
    <w:rsid w:val="001D3A5F"/>
    <w:rsid w:val="001D3A64"/>
    <w:rsid w:val="001D3FD4"/>
    <w:rsid w:val="001D41DC"/>
    <w:rsid w:val="001D4473"/>
    <w:rsid w:val="001D449C"/>
    <w:rsid w:val="001D45E4"/>
    <w:rsid w:val="001D4BA9"/>
    <w:rsid w:val="001D4FC2"/>
    <w:rsid w:val="001D549C"/>
    <w:rsid w:val="001D5793"/>
    <w:rsid w:val="001D5829"/>
    <w:rsid w:val="001D5ADC"/>
    <w:rsid w:val="001D5BBF"/>
    <w:rsid w:val="001D5D00"/>
    <w:rsid w:val="001D5D32"/>
    <w:rsid w:val="001D6230"/>
    <w:rsid w:val="001D6745"/>
    <w:rsid w:val="001D67C8"/>
    <w:rsid w:val="001D7033"/>
    <w:rsid w:val="001D7331"/>
    <w:rsid w:val="001D74A7"/>
    <w:rsid w:val="001D757A"/>
    <w:rsid w:val="001D78DC"/>
    <w:rsid w:val="001E041A"/>
    <w:rsid w:val="001E0604"/>
    <w:rsid w:val="001E061D"/>
    <w:rsid w:val="001E0EF9"/>
    <w:rsid w:val="001E13F0"/>
    <w:rsid w:val="001E15F2"/>
    <w:rsid w:val="001E1A01"/>
    <w:rsid w:val="001E1A25"/>
    <w:rsid w:val="001E1E0E"/>
    <w:rsid w:val="001E1F04"/>
    <w:rsid w:val="001E1F62"/>
    <w:rsid w:val="001E201F"/>
    <w:rsid w:val="001E22F7"/>
    <w:rsid w:val="001E24CC"/>
    <w:rsid w:val="001E25CD"/>
    <w:rsid w:val="001E25D6"/>
    <w:rsid w:val="001E262D"/>
    <w:rsid w:val="001E2868"/>
    <w:rsid w:val="001E2C62"/>
    <w:rsid w:val="001E330F"/>
    <w:rsid w:val="001E33CC"/>
    <w:rsid w:val="001E33FB"/>
    <w:rsid w:val="001E3555"/>
    <w:rsid w:val="001E3821"/>
    <w:rsid w:val="001E38A3"/>
    <w:rsid w:val="001E38B3"/>
    <w:rsid w:val="001E3C1B"/>
    <w:rsid w:val="001E405A"/>
    <w:rsid w:val="001E4353"/>
    <w:rsid w:val="001E462C"/>
    <w:rsid w:val="001E465F"/>
    <w:rsid w:val="001E477F"/>
    <w:rsid w:val="001E4855"/>
    <w:rsid w:val="001E4920"/>
    <w:rsid w:val="001E4A50"/>
    <w:rsid w:val="001E4AB0"/>
    <w:rsid w:val="001E4C19"/>
    <w:rsid w:val="001E4C4D"/>
    <w:rsid w:val="001E4E84"/>
    <w:rsid w:val="001E4F4B"/>
    <w:rsid w:val="001E502F"/>
    <w:rsid w:val="001E50B6"/>
    <w:rsid w:val="001E5114"/>
    <w:rsid w:val="001E532C"/>
    <w:rsid w:val="001E539F"/>
    <w:rsid w:val="001E5500"/>
    <w:rsid w:val="001E5ADF"/>
    <w:rsid w:val="001E5E2F"/>
    <w:rsid w:val="001E609B"/>
    <w:rsid w:val="001E627B"/>
    <w:rsid w:val="001E6337"/>
    <w:rsid w:val="001E644E"/>
    <w:rsid w:val="001E670E"/>
    <w:rsid w:val="001E67D2"/>
    <w:rsid w:val="001E6A4B"/>
    <w:rsid w:val="001E6D89"/>
    <w:rsid w:val="001E6E0B"/>
    <w:rsid w:val="001E6F3C"/>
    <w:rsid w:val="001E7016"/>
    <w:rsid w:val="001E785B"/>
    <w:rsid w:val="001E7B46"/>
    <w:rsid w:val="001E7B59"/>
    <w:rsid w:val="001E7D9B"/>
    <w:rsid w:val="001F062F"/>
    <w:rsid w:val="001F0809"/>
    <w:rsid w:val="001F09ED"/>
    <w:rsid w:val="001F0A15"/>
    <w:rsid w:val="001F12FE"/>
    <w:rsid w:val="001F1581"/>
    <w:rsid w:val="001F17C3"/>
    <w:rsid w:val="001F1869"/>
    <w:rsid w:val="001F1AA9"/>
    <w:rsid w:val="001F1D6D"/>
    <w:rsid w:val="001F2133"/>
    <w:rsid w:val="001F220D"/>
    <w:rsid w:val="001F27A3"/>
    <w:rsid w:val="001F2902"/>
    <w:rsid w:val="001F2B91"/>
    <w:rsid w:val="001F2D9C"/>
    <w:rsid w:val="001F3205"/>
    <w:rsid w:val="001F320E"/>
    <w:rsid w:val="001F32AE"/>
    <w:rsid w:val="001F32B0"/>
    <w:rsid w:val="001F3358"/>
    <w:rsid w:val="001F39C8"/>
    <w:rsid w:val="001F39F4"/>
    <w:rsid w:val="001F3DA6"/>
    <w:rsid w:val="001F3DD6"/>
    <w:rsid w:val="001F3EA5"/>
    <w:rsid w:val="001F3F36"/>
    <w:rsid w:val="001F42B1"/>
    <w:rsid w:val="001F4381"/>
    <w:rsid w:val="001F4518"/>
    <w:rsid w:val="001F4666"/>
    <w:rsid w:val="001F4733"/>
    <w:rsid w:val="001F4750"/>
    <w:rsid w:val="001F476D"/>
    <w:rsid w:val="001F49E5"/>
    <w:rsid w:val="001F4A59"/>
    <w:rsid w:val="001F4F73"/>
    <w:rsid w:val="001F5235"/>
    <w:rsid w:val="001F5A0B"/>
    <w:rsid w:val="001F5B29"/>
    <w:rsid w:val="001F630E"/>
    <w:rsid w:val="001F6331"/>
    <w:rsid w:val="001F658C"/>
    <w:rsid w:val="001F675C"/>
    <w:rsid w:val="001F6997"/>
    <w:rsid w:val="001F6BDF"/>
    <w:rsid w:val="001F6EFF"/>
    <w:rsid w:val="001F6F44"/>
    <w:rsid w:val="001F707A"/>
    <w:rsid w:val="001F712A"/>
    <w:rsid w:val="001F743E"/>
    <w:rsid w:val="001F7563"/>
    <w:rsid w:val="001F7579"/>
    <w:rsid w:val="001F75CA"/>
    <w:rsid w:val="001F7796"/>
    <w:rsid w:val="001F78C2"/>
    <w:rsid w:val="001F7905"/>
    <w:rsid w:val="001F79BF"/>
    <w:rsid w:val="001F7EF7"/>
    <w:rsid w:val="00200678"/>
    <w:rsid w:val="002007E9"/>
    <w:rsid w:val="00200935"/>
    <w:rsid w:val="00200CD6"/>
    <w:rsid w:val="0020126B"/>
    <w:rsid w:val="0020214B"/>
    <w:rsid w:val="002021B7"/>
    <w:rsid w:val="00202A63"/>
    <w:rsid w:val="00203195"/>
    <w:rsid w:val="002031AD"/>
    <w:rsid w:val="0020357A"/>
    <w:rsid w:val="00203979"/>
    <w:rsid w:val="002039B5"/>
    <w:rsid w:val="002039D3"/>
    <w:rsid w:val="00203F95"/>
    <w:rsid w:val="002041A5"/>
    <w:rsid w:val="002044FF"/>
    <w:rsid w:val="0020451F"/>
    <w:rsid w:val="00204BA5"/>
    <w:rsid w:val="00204E61"/>
    <w:rsid w:val="00205501"/>
    <w:rsid w:val="002057B7"/>
    <w:rsid w:val="00205BAB"/>
    <w:rsid w:val="002061A9"/>
    <w:rsid w:val="0020658D"/>
    <w:rsid w:val="00206BCE"/>
    <w:rsid w:val="002076B5"/>
    <w:rsid w:val="002078A8"/>
    <w:rsid w:val="00207A34"/>
    <w:rsid w:val="00207BF8"/>
    <w:rsid w:val="00207C40"/>
    <w:rsid w:val="00207C93"/>
    <w:rsid w:val="00207F59"/>
    <w:rsid w:val="00210248"/>
    <w:rsid w:val="0021037A"/>
    <w:rsid w:val="00210443"/>
    <w:rsid w:val="002106BE"/>
    <w:rsid w:val="00210EBB"/>
    <w:rsid w:val="00210F36"/>
    <w:rsid w:val="00210F8D"/>
    <w:rsid w:val="00211064"/>
    <w:rsid w:val="00211471"/>
    <w:rsid w:val="0021175E"/>
    <w:rsid w:val="00211D58"/>
    <w:rsid w:val="00211DC3"/>
    <w:rsid w:val="0021203B"/>
    <w:rsid w:val="00212500"/>
    <w:rsid w:val="0021282B"/>
    <w:rsid w:val="002131EC"/>
    <w:rsid w:val="00213987"/>
    <w:rsid w:val="00213DBB"/>
    <w:rsid w:val="00214B4F"/>
    <w:rsid w:val="00214C18"/>
    <w:rsid w:val="00214EE5"/>
    <w:rsid w:val="00215168"/>
    <w:rsid w:val="00215474"/>
    <w:rsid w:val="002154BD"/>
    <w:rsid w:val="002155B6"/>
    <w:rsid w:val="002157E4"/>
    <w:rsid w:val="00215AFB"/>
    <w:rsid w:val="00215C5A"/>
    <w:rsid w:val="00215DEA"/>
    <w:rsid w:val="0021619D"/>
    <w:rsid w:val="00216311"/>
    <w:rsid w:val="00216796"/>
    <w:rsid w:val="00216850"/>
    <w:rsid w:val="00216B41"/>
    <w:rsid w:val="00216C0E"/>
    <w:rsid w:val="00216E02"/>
    <w:rsid w:val="00216E3E"/>
    <w:rsid w:val="00216E60"/>
    <w:rsid w:val="00217295"/>
    <w:rsid w:val="002172C7"/>
    <w:rsid w:val="0021785E"/>
    <w:rsid w:val="00217A9F"/>
    <w:rsid w:val="00217AC0"/>
    <w:rsid w:val="002200D8"/>
    <w:rsid w:val="00220655"/>
    <w:rsid w:val="0022080B"/>
    <w:rsid w:val="00220891"/>
    <w:rsid w:val="00220C10"/>
    <w:rsid w:val="00220E81"/>
    <w:rsid w:val="0022104F"/>
    <w:rsid w:val="00221B54"/>
    <w:rsid w:val="00221DAF"/>
    <w:rsid w:val="00221F8F"/>
    <w:rsid w:val="0022201E"/>
    <w:rsid w:val="00222071"/>
    <w:rsid w:val="002223E0"/>
    <w:rsid w:val="002224D6"/>
    <w:rsid w:val="00222808"/>
    <w:rsid w:val="00222BDC"/>
    <w:rsid w:val="00222E5D"/>
    <w:rsid w:val="0022314C"/>
    <w:rsid w:val="002232E6"/>
    <w:rsid w:val="00223664"/>
    <w:rsid w:val="00223A56"/>
    <w:rsid w:val="00223BA9"/>
    <w:rsid w:val="00223EF9"/>
    <w:rsid w:val="00224261"/>
    <w:rsid w:val="00224491"/>
    <w:rsid w:val="00224709"/>
    <w:rsid w:val="00224B5B"/>
    <w:rsid w:val="00224B7B"/>
    <w:rsid w:val="00224BFD"/>
    <w:rsid w:val="00224D5A"/>
    <w:rsid w:val="002255B4"/>
    <w:rsid w:val="00225833"/>
    <w:rsid w:val="00225983"/>
    <w:rsid w:val="00226095"/>
    <w:rsid w:val="002263CF"/>
    <w:rsid w:val="0022674C"/>
    <w:rsid w:val="00226A62"/>
    <w:rsid w:val="00227611"/>
    <w:rsid w:val="00227624"/>
    <w:rsid w:val="00227770"/>
    <w:rsid w:val="00227865"/>
    <w:rsid w:val="00227B6C"/>
    <w:rsid w:val="00227B89"/>
    <w:rsid w:val="00227CC9"/>
    <w:rsid w:val="00227F43"/>
    <w:rsid w:val="00230192"/>
    <w:rsid w:val="0023069D"/>
    <w:rsid w:val="002308AC"/>
    <w:rsid w:val="0023096C"/>
    <w:rsid w:val="00230C4E"/>
    <w:rsid w:val="00230FB7"/>
    <w:rsid w:val="00231005"/>
    <w:rsid w:val="00231196"/>
    <w:rsid w:val="0023119C"/>
    <w:rsid w:val="0023124B"/>
    <w:rsid w:val="0023152D"/>
    <w:rsid w:val="00231892"/>
    <w:rsid w:val="00231D26"/>
    <w:rsid w:val="00231D6D"/>
    <w:rsid w:val="0023232E"/>
    <w:rsid w:val="0023244D"/>
    <w:rsid w:val="002328EE"/>
    <w:rsid w:val="00232EC4"/>
    <w:rsid w:val="0023342F"/>
    <w:rsid w:val="00233A85"/>
    <w:rsid w:val="00233B8E"/>
    <w:rsid w:val="0023430C"/>
    <w:rsid w:val="002343DE"/>
    <w:rsid w:val="002345BC"/>
    <w:rsid w:val="00234640"/>
    <w:rsid w:val="0023486A"/>
    <w:rsid w:val="002348E0"/>
    <w:rsid w:val="00234A3F"/>
    <w:rsid w:val="00234B68"/>
    <w:rsid w:val="00235337"/>
    <w:rsid w:val="002353B4"/>
    <w:rsid w:val="002353E5"/>
    <w:rsid w:val="00235444"/>
    <w:rsid w:val="002355A7"/>
    <w:rsid w:val="00235AD6"/>
    <w:rsid w:val="00235B7B"/>
    <w:rsid w:val="00235B82"/>
    <w:rsid w:val="002364BE"/>
    <w:rsid w:val="002368F3"/>
    <w:rsid w:val="00236CF6"/>
    <w:rsid w:val="00236D6E"/>
    <w:rsid w:val="00237177"/>
    <w:rsid w:val="00237293"/>
    <w:rsid w:val="0023745F"/>
    <w:rsid w:val="0023746E"/>
    <w:rsid w:val="00237941"/>
    <w:rsid w:val="00237956"/>
    <w:rsid w:val="00237E40"/>
    <w:rsid w:val="00240106"/>
    <w:rsid w:val="0024080F"/>
    <w:rsid w:val="002409C5"/>
    <w:rsid w:val="00240A30"/>
    <w:rsid w:val="00240B86"/>
    <w:rsid w:val="002410CA"/>
    <w:rsid w:val="0024117E"/>
    <w:rsid w:val="002411C7"/>
    <w:rsid w:val="0024184C"/>
    <w:rsid w:val="0024187C"/>
    <w:rsid w:val="002419FF"/>
    <w:rsid w:val="00241C13"/>
    <w:rsid w:val="00241ED9"/>
    <w:rsid w:val="00241F66"/>
    <w:rsid w:val="002420F5"/>
    <w:rsid w:val="00242217"/>
    <w:rsid w:val="00242291"/>
    <w:rsid w:val="0024259D"/>
    <w:rsid w:val="00242756"/>
    <w:rsid w:val="00242851"/>
    <w:rsid w:val="00242A0F"/>
    <w:rsid w:val="00242D7F"/>
    <w:rsid w:val="00242E65"/>
    <w:rsid w:val="00242F4E"/>
    <w:rsid w:val="0024337A"/>
    <w:rsid w:val="002434CA"/>
    <w:rsid w:val="0024368F"/>
    <w:rsid w:val="00243BEC"/>
    <w:rsid w:val="00243DDD"/>
    <w:rsid w:val="00243E6F"/>
    <w:rsid w:val="00243E79"/>
    <w:rsid w:val="00243F98"/>
    <w:rsid w:val="002447B4"/>
    <w:rsid w:val="002447DC"/>
    <w:rsid w:val="002447FF"/>
    <w:rsid w:val="00244A04"/>
    <w:rsid w:val="00245291"/>
    <w:rsid w:val="002452A0"/>
    <w:rsid w:val="00245324"/>
    <w:rsid w:val="00245393"/>
    <w:rsid w:val="002455BC"/>
    <w:rsid w:val="0024563C"/>
    <w:rsid w:val="00245669"/>
    <w:rsid w:val="00245A95"/>
    <w:rsid w:val="00245E64"/>
    <w:rsid w:val="002463A6"/>
    <w:rsid w:val="00246517"/>
    <w:rsid w:val="00246587"/>
    <w:rsid w:val="002466AB"/>
    <w:rsid w:val="00246740"/>
    <w:rsid w:val="0024676D"/>
    <w:rsid w:val="00246ADB"/>
    <w:rsid w:val="00246B0C"/>
    <w:rsid w:val="00246D12"/>
    <w:rsid w:val="0024716A"/>
    <w:rsid w:val="00247184"/>
    <w:rsid w:val="0024755D"/>
    <w:rsid w:val="002475C6"/>
    <w:rsid w:val="00247D5B"/>
    <w:rsid w:val="0025099D"/>
    <w:rsid w:val="00250B6F"/>
    <w:rsid w:val="00250F39"/>
    <w:rsid w:val="00251671"/>
    <w:rsid w:val="002517A5"/>
    <w:rsid w:val="00251C6D"/>
    <w:rsid w:val="00251E3B"/>
    <w:rsid w:val="00251F6C"/>
    <w:rsid w:val="0025249C"/>
    <w:rsid w:val="00252670"/>
    <w:rsid w:val="002526D9"/>
    <w:rsid w:val="00252946"/>
    <w:rsid w:val="00252C37"/>
    <w:rsid w:val="00253063"/>
    <w:rsid w:val="002532DB"/>
    <w:rsid w:val="002535B4"/>
    <w:rsid w:val="002536DC"/>
    <w:rsid w:val="00253742"/>
    <w:rsid w:val="002539ED"/>
    <w:rsid w:val="00253D7D"/>
    <w:rsid w:val="00253DC2"/>
    <w:rsid w:val="00253EAF"/>
    <w:rsid w:val="00253F70"/>
    <w:rsid w:val="00254095"/>
    <w:rsid w:val="002541B8"/>
    <w:rsid w:val="0025440D"/>
    <w:rsid w:val="0025450E"/>
    <w:rsid w:val="0025461C"/>
    <w:rsid w:val="002547E9"/>
    <w:rsid w:val="00254C0D"/>
    <w:rsid w:val="00255152"/>
    <w:rsid w:val="00255382"/>
    <w:rsid w:val="00255489"/>
    <w:rsid w:val="0025554E"/>
    <w:rsid w:val="0025579B"/>
    <w:rsid w:val="00255847"/>
    <w:rsid w:val="00255BC6"/>
    <w:rsid w:val="00255C96"/>
    <w:rsid w:val="00255D0D"/>
    <w:rsid w:val="00255D67"/>
    <w:rsid w:val="00255E5B"/>
    <w:rsid w:val="00256575"/>
    <w:rsid w:val="00256C38"/>
    <w:rsid w:val="00257235"/>
    <w:rsid w:val="0025748A"/>
    <w:rsid w:val="002575A1"/>
    <w:rsid w:val="002578E4"/>
    <w:rsid w:val="00257BDD"/>
    <w:rsid w:val="00257E10"/>
    <w:rsid w:val="00257E24"/>
    <w:rsid w:val="00257F9E"/>
    <w:rsid w:val="002600B3"/>
    <w:rsid w:val="00260117"/>
    <w:rsid w:val="002602DF"/>
    <w:rsid w:val="00260507"/>
    <w:rsid w:val="0026072A"/>
    <w:rsid w:val="0026091F"/>
    <w:rsid w:val="00260993"/>
    <w:rsid w:val="00260A48"/>
    <w:rsid w:val="00260EF1"/>
    <w:rsid w:val="00260FB6"/>
    <w:rsid w:val="002611F5"/>
    <w:rsid w:val="002614F1"/>
    <w:rsid w:val="002616E5"/>
    <w:rsid w:val="00261722"/>
    <w:rsid w:val="00261A50"/>
    <w:rsid w:val="00261BB5"/>
    <w:rsid w:val="00261F65"/>
    <w:rsid w:val="002620CA"/>
    <w:rsid w:val="00262197"/>
    <w:rsid w:val="002623E2"/>
    <w:rsid w:val="00262A6B"/>
    <w:rsid w:val="00262B39"/>
    <w:rsid w:val="00262BAD"/>
    <w:rsid w:val="002633F7"/>
    <w:rsid w:val="00263669"/>
    <w:rsid w:val="002638C8"/>
    <w:rsid w:val="002638F4"/>
    <w:rsid w:val="00263DF5"/>
    <w:rsid w:val="002642EA"/>
    <w:rsid w:val="0026450F"/>
    <w:rsid w:val="002645FF"/>
    <w:rsid w:val="0026462B"/>
    <w:rsid w:val="002647BE"/>
    <w:rsid w:val="00264A71"/>
    <w:rsid w:val="00264CD9"/>
    <w:rsid w:val="00264D6E"/>
    <w:rsid w:val="002653B6"/>
    <w:rsid w:val="002657BE"/>
    <w:rsid w:val="00265B32"/>
    <w:rsid w:val="00265B9A"/>
    <w:rsid w:val="00265FE4"/>
    <w:rsid w:val="002661BE"/>
    <w:rsid w:val="002662EE"/>
    <w:rsid w:val="002664A8"/>
    <w:rsid w:val="0026691E"/>
    <w:rsid w:val="00266A23"/>
    <w:rsid w:val="00266D54"/>
    <w:rsid w:val="002670A5"/>
    <w:rsid w:val="00267655"/>
    <w:rsid w:val="00267663"/>
    <w:rsid w:val="00267826"/>
    <w:rsid w:val="00267A4C"/>
    <w:rsid w:val="00270375"/>
    <w:rsid w:val="00270513"/>
    <w:rsid w:val="00270A4A"/>
    <w:rsid w:val="00270A5C"/>
    <w:rsid w:val="00270E3F"/>
    <w:rsid w:val="00271038"/>
    <w:rsid w:val="00271378"/>
    <w:rsid w:val="002713B7"/>
    <w:rsid w:val="00271553"/>
    <w:rsid w:val="0027160C"/>
    <w:rsid w:val="002716EF"/>
    <w:rsid w:val="00271A69"/>
    <w:rsid w:val="00271BA6"/>
    <w:rsid w:val="00271E76"/>
    <w:rsid w:val="00271F40"/>
    <w:rsid w:val="00272102"/>
    <w:rsid w:val="002721A3"/>
    <w:rsid w:val="002726EE"/>
    <w:rsid w:val="0027296A"/>
    <w:rsid w:val="00272C26"/>
    <w:rsid w:val="00272DC5"/>
    <w:rsid w:val="00272E99"/>
    <w:rsid w:val="002732B6"/>
    <w:rsid w:val="00273B35"/>
    <w:rsid w:val="00273DAB"/>
    <w:rsid w:val="002740E5"/>
    <w:rsid w:val="0027432A"/>
    <w:rsid w:val="002743F2"/>
    <w:rsid w:val="002744E5"/>
    <w:rsid w:val="00274874"/>
    <w:rsid w:val="002751CC"/>
    <w:rsid w:val="002751D1"/>
    <w:rsid w:val="00275209"/>
    <w:rsid w:val="002753D6"/>
    <w:rsid w:val="002755C9"/>
    <w:rsid w:val="002757E6"/>
    <w:rsid w:val="00275A82"/>
    <w:rsid w:val="00275B6A"/>
    <w:rsid w:val="00275EDF"/>
    <w:rsid w:val="00275F8F"/>
    <w:rsid w:val="00275FF6"/>
    <w:rsid w:val="00276149"/>
    <w:rsid w:val="002761E7"/>
    <w:rsid w:val="00276483"/>
    <w:rsid w:val="00276590"/>
    <w:rsid w:val="002765A0"/>
    <w:rsid w:val="002766AC"/>
    <w:rsid w:val="0027674A"/>
    <w:rsid w:val="00276D99"/>
    <w:rsid w:val="00277017"/>
    <w:rsid w:val="0027759F"/>
    <w:rsid w:val="0027774F"/>
    <w:rsid w:val="002777EB"/>
    <w:rsid w:val="00277988"/>
    <w:rsid w:val="00277B21"/>
    <w:rsid w:val="0028059A"/>
    <w:rsid w:val="002806B1"/>
    <w:rsid w:val="00280D71"/>
    <w:rsid w:val="00281067"/>
    <w:rsid w:val="00281306"/>
    <w:rsid w:val="00281570"/>
    <w:rsid w:val="00281617"/>
    <w:rsid w:val="002816A6"/>
    <w:rsid w:val="00281713"/>
    <w:rsid w:val="00281931"/>
    <w:rsid w:val="002819F7"/>
    <w:rsid w:val="00281BD0"/>
    <w:rsid w:val="00281C76"/>
    <w:rsid w:val="00281D5C"/>
    <w:rsid w:val="00281E14"/>
    <w:rsid w:val="002821D1"/>
    <w:rsid w:val="00282269"/>
    <w:rsid w:val="0028229C"/>
    <w:rsid w:val="00282345"/>
    <w:rsid w:val="0028240C"/>
    <w:rsid w:val="00282661"/>
    <w:rsid w:val="0028280B"/>
    <w:rsid w:val="00282E5E"/>
    <w:rsid w:val="002834EB"/>
    <w:rsid w:val="002837CF"/>
    <w:rsid w:val="002837D9"/>
    <w:rsid w:val="0028380A"/>
    <w:rsid w:val="00283B3E"/>
    <w:rsid w:val="00283F59"/>
    <w:rsid w:val="00283FBB"/>
    <w:rsid w:val="00284340"/>
    <w:rsid w:val="0028475D"/>
    <w:rsid w:val="0028476A"/>
    <w:rsid w:val="00284968"/>
    <w:rsid w:val="00284D49"/>
    <w:rsid w:val="00284E81"/>
    <w:rsid w:val="00285881"/>
    <w:rsid w:val="0028663E"/>
    <w:rsid w:val="00286ECB"/>
    <w:rsid w:val="00286EEA"/>
    <w:rsid w:val="00286FFC"/>
    <w:rsid w:val="00287144"/>
    <w:rsid w:val="002875CA"/>
    <w:rsid w:val="002879EB"/>
    <w:rsid w:val="00287CBB"/>
    <w:rsid w:val="00287D7A"/>
    <w:rsid w:val="00287E78"/>
    <w:rsid w:val="00290676"/>
    <w:rsid w:val="002908B3"/>
    <w:rsid w:val="002908F2"/>
    <w:rsid w:val="002908F5"/>
    <w:rsid w:val="00290988"/>
    <w:rsid w:val="00290BB3"/>
    <w:rsid w:val="00290C1F"/>
    <w:rsid w:val="00290EE5"/>
    <w:rsid w:val="002913D6"/>
    <w:rsid w:val="00291462"/>
    <w:rsid w:val="00291572"/>
    <w:rsid w:val="00291660"/>
    <w:rsid w:val="00291713"/>
    <w:rsid w:val="00291A45"/>
    <w:rsid w:val="00291BCC"/>
    <w:rsid w:val="00291FAB"/>
    <w:rsid w:val="00292077"/>
    <w:rsid w:val="002922D6"/>
    <w:rsid w:val="0029235B"/>
    <w:rsid w:val="0029235C"/>
    <w:rsid w:val="00292612"/>
    <w:rsid w:val="00292E4A"/>
    <w:rsid w:val="00292FA5"/>
    <w:rsid w:val="00292FE9"/>
    <w:rsid w:val="00293096"/>
    <w:rsid w:val="00293627"/>
    <w:rsid w:val="00293668"/>
    <w:rsid w:val="0029377A"/>
    <w:rsid w:val="002938E9"/>
    <w:rsid w:val="00293BDD"/>
    <w:rsid w:val="00293C87"/>
    <w:rsid w:val="00293ED3"/>
    <w:rsid w:val="00293EDF"/>
    <w:rsid w:val="0029427E"/>
    <w:rsid w:val="00295620"/>
    <w:rsid w:val="002958A1"/>
    <w:rsid w:val="0029591A"/>
    <w:rsid w:val="00295DB1"/>
    <w:rsid w:val="00295FE9"/>
    <w:rsid w:val="00296315"/>
    <w:rsid w:val="002965B3"/>
    <w:rsid w:val="00296614"/>
    <w:rsid w:val="00296C75"/>
    <w:rsid w:val="0029738A"/>
    <w:rsid w:val="00297608"/>
    <w:rsid w:val="002A0088"/>
    <w:rsid w:val="002A04B4"/>
    <w:rsid w:val="002A07BB"/>
    <w:rsid w:val="002A0D0A"/>
    <w:rsid w:val="002A0F89"/>
    <w:rsid w:val="002A140B"/>
    <w:rsid w:val="002A145B"/>
    <w:rsid w:val="002A15A7"/>
    <w:rsid w:val="002A15D7"/>
    <w:rsid w:val="002A18AD"/>
    <w:rsid w:val="002A18BE"/>
    <w:rsid w:val="002A1957"/>
    <w:rsid w:val="002A1BBF"/>
    <w:rsid w:val="002A1C8A"/>
    <w:rsid w:val="002A1DA2"/>
    <w:rsid w:val="002A269C"/>
    <w:rsid w:val="002A26F2"/>
    <w:rsid w:val="002A2910"/>
    <w:rsid w:val="002A2FF3"/>
    <w:rsid w:val="002A32C5"/>
    <w:rsid w:val="002A3442"/>
    <w:rsid w:val="002A36F6"/>
    <w:rsid w:val="002A3A84"/>
    <w:rsid w:val="002A3C28"/>
    <w:rsid w:val="002A3CBD"/>
    <w:rsid w:val="002A4084"/>
    <w:rsid w:val="002A42DB"/>
    <w:rsid w:val="002A4901"/>
    <w:rsid w:val="002A4A66"/>
    <w:rsid w:val="002A4AD6"/>
    <w:rsid w:val="002A4C16"/>
    <w:rsid w:val="002A4C39"/>
    <w:rsid w:val="002A505E"/>
    <w:rsid w:val="002A5278"/>
    <w:rsid w:val="002A55E5"/>
    <w:rsid w:val="002A59C1"/>
    <w:rsid w:val="002A5BC1"/>
    <w:rsid w:val="002A5C93"/>
    <w:rsid w:val="002A660E"/>
    <w:rsid w:val="002A6617"/>
    <w:rsid w:val="002A66AE"/>
    <w:rsid w:val="002A6904"/>
    <w:rsid w:val="002A6F0C"/>
    <w:rsid w:val="002A7196"/>
    <w:rsid w:val="002A73C2"/>
    <w:rsid w:val="002A7581"/>
    <w:rsid w:val="002A76AE"/>
    <w:rsid w:val="002A77AF"/>
    <w:rsid w:val="002A7C38"/>
    <w:rsid w:val="002A7E36"/>
    <w:rsid w:val="002B020D"/>
    <w:rsid w:val="002B0328"/>
    <w:rsid w:val="002B035E"/>
    <w:rsid w:val="002B08D5"/>
    <w:rsid w:val="002B0DE1"/>
    <w:rsid w:val="002B10C3"/>
    <w:rsid w:val="002B1384"/>
    <w:rsid w:val="002B14FC"/>
    <w:rsid w:val="002B16FE"/>
    <w:rsid w:val="002B17A8"/>
    <w:rsid w:val="002B18E7"/>
    <w:rsid w:val="002B2703"/>
    <w:rsid w:val="002B28D9"/>
    <w:rsid w:val="002B2AFD"/>
    <w:rsid w:val="002B2C21"/>
    <w:rsid w:val="002B34D6"/>
    <w:rsid w:val="002B3681"/>
    <w:rsid w:val="002B3695"/>
    <w:rsid w:val="002B3912"/>
    <w:rsid w:val="002B3FD0"/>
    <w:rsid w:val="002B4155"/>
    <w:rsid w:val="002B41AF"/>
    <w:rsid w:val="002B44E4"/>
    <w:rsid w:val="002B4565"/>
    <w:rsid w:val="002B4CB3"/>
    <w:rsid w:val="002B4CC0"/>
    <w:rsid w:val="002B4CDC"/>
    <w:rsid w:val="002B4FAB"/>
    <w:rsid w:val="002B545D"/>
    <w:rsid w:val="002B5895"/>
    <w:rsid w:val="002B5B4F"/>
    <w:rsid w:val="002B5C85"/>
    <w:rsid w:val="002B600F"/>
    <w:rsid w:val="002B667C"/>
    <w:rsid w:val="002B6ADC"/>
    <w:rsid w:val="002B6C86"/>
    <w:rsid w:val="002B7084"/>
    <w:rsid w:val="002B7464"/>
    <w:rsid w:val="002B753C"/>
    <w:rsid w:val="002B7636"/>
    <w:rsid w:val="002B7920"/>
    <w:rsid w:val="002B7DFA"/>
    <w:rsid w:val="002B7E2D"/>
    <w:rsid w:val="002C012A"/>
    <w:rsid w:val="002C032D"/>
    <w:rsid w:val="002C04AA"/>
    <w:rsid w:val="002C07A2"/>
    <w:rsid w:val="002C0806"/>
    <w:rsid w:val="002C0990"/>
    <w:rsid w:val="002C0B28"/>
    <w:rsid w:val="002C0C71"/>
    <w:rsid w:val="002C11CA"/>
    <w:rsid w:val="002C1280"/>
    <w:rsid w:val="002C139A"/>
    <w:rsid w:val="002C1426"/>
    <w:rsid w:val="002C1429"/>
    <w:rsid w:val="002C16A9"/>
    <w:rsid w:val="002C1B1B"/>
    <w:rsid w:val="002C1C0C"/>
    <w:rsid w:val="002C1C91"/>
    <w:rsid w:val="002C1DC7"/>
    <w:rsid w:val="002C1E4F"/>
    <w:rsid w:val="002C1FD0"/>
    <w:rsid w:val="002C2ACC"/>
    <w:rsid w:val="002C2C2E"/>
    <w:rsid w:val="002C2DD9"/>
    <w:rsid w:val="002C32A4"/>
    <w:rsid w:val="002C32CE"/>
    <w:rsid w:val="002C3624"/>
    <w:rsid w:val="002C3676"/>
    <w:rsid w:val="002C3B31"/>
    <w:rsid w:val="002C3B77"/>
    <w:rsid w:val="002C3D93"/>
    <w:rsid w:val="002C3E0C"/>
    <w:rsid w:val="002C4083"/>
    <w:rsid w:val="002C40B2"/>
    <w:rsid w:val="002C457E"/>
    <w:rsid w:val="002C45E8"/>
    <w:rsid w:val="002C4631"/>
    <w:rsid w:val="002C472F"/>
    <w:rsid w:val="002C4CD0"/>
    <w:rsid w:val="002C4CE5"/>
    <w:rsid w:val="002C4FEA"/>
    <w:rsid w:val="002C5827"/>
    <w:rsid w:val="002C58AF"/>
    <w:rsid w:val="002C5D5B"/>
    <w:rsid w:val="002C5DA4"/>
    <w:rsid w:val="002C6121"/>
    <w:rsid w:val="002C637C"/>
    <w:rsid w:val="002C6615"/>
    <w:rsid w:val="002C6B56"/>
    <w:rsid w:val="002C6BD8"/>
    <w:rsid w:val="002C6C57"/>
    <w:rsid w:val="002C6DCF"/>
    <w:rsid w:val="002C7065"/>
    <w:rsid w:val="002C70CE"/>
    <w:rsid w:val="002C7245"/>
    <w:rsid w:val="002C7AFE"/>
    <w:rsid w:val="002C7B73"/>
    <w:rsid w:val="002C7D16"/>
    <w:rsid w:val="002C7FF8"/>
    <w:rsid w:val="002D064A"/>
    <w:rsid w:val="002D07F2"/>
    <w:rsid w:val="002D0B8F"/>
    <w:rsid w:val="002D0C25"/>
    <w:rsid w:val="002D0CDE"/>
    <w:rsid w:val="002D130A"/>
    <w:rsid w:val="002D131A"/>
    <w:rsid w:val="002D1327"/>
    <w:rsid w:val="002D1355"/>
    <w:rsid w:val="002D19CE"/>
    <w:rsid w:val="002D1A08"/>
    <w:rsid w:val="002D1E09"/>
    <w:rsid w:val="002D224B"/>
    <w:rsid w:val="002D277B"/>
    <w:rsid w:val="002D2E33"/>
    <w:rsid w:val="002D31D2"/>
    <w:rsid w:val="002D3570"/>
    <w:rsid w:val="002D365E"/>
    <w:rsid w:val="002D3DA3"/>
    <w:rsid w:val="002D3E5B"/>
    <w:rsid w:val="002D3EF7"/>
    <w:rsid w:val="002D408E"/>
    <w:rsid w:val="002D4180"/>
    <w:rsid w:val="002D4574"/>
    <w:rsid w:val="002D4682"/>
    <w:rsid w:val="002D489D"/>
    <w:rsid w:val="002D48CF"/>
    <w:rsid w:val="002D4D1A"/>
    <w:rsid w:val="002D4F68"/>
    <w:rsid w:val="002D5097"/>
    <w:rsid w:val="002D5115"/>
    <w:rsid w:val="002D55E4"/>
    <w:rsid w:val="002D560A"/>
    <w:rsid w:val="002D5665"/>
    <w:rsid w:val="002D5829"/>
    <w:rsid w:val="002D5C9F"/>
    <w:rsid w:val="002D5F8D"/>
    <w:rsid w:val="002D5FC8"/>
    <w:rsid w:val="002D653A"/>
    <w:rsid w:val="002D690D"/>
    <w:rsid w:val="002D6B48"/>
    <w:rsid w:val="002D6B9B"/>
    <w:rsid w:val="002D6CDE"/>
    <w:rsid w:val="002D6D9C"/>
    <w:rsid w:val="002D710B"/>
    <w:rsid w:val="002D73F3"/>
    <w:rsid w:val="002D7A45"/>
    <w:rsid w:val="002D7A92"/>
    <w:rsid w:val="002E0087"/>
    <w:rsid w:val="002E00C0"/>
    <w:rsid w:val="002E01FE"/>
    <w:rsid w:val="002E051C"/>
    <w:rsid w:val="002E0787"/>
    <w:rsid w:val="002E07EE"/>
    <w:rsid w:val="002E0B66"/>
    <w:rsid w:val="002E0DB8"/>
    <w:rsid w:val="002E0F7F"/>
    <w:rsid w:val="002E11C8"/>
    <w:rsid w:val="002E129F"/>
    <w:rsid w:val="002E12D2"/>
    <w:rsid w:val="002E13BE"/>
    <w:rsid w:val="002E16ED"/>
    <w:rsid w:val="002E1D07"/>
    <w:rsid w:val="002E1D87"/>
    <w:rsid w:val="002E1DBC"/>
    <w:rsid w:val="002E2353"/>
    <w:rsid w:val="002E2648"/>
    <w:rsid w:val="002E26BF"/>
    <w:rsid w:val="002E2D6D"/>
    <w:rsid w:val="002E2E5B"/>
    <w:rsid w:val="002E315F"/>
    <w:rsid w:val="002E3838"/>
    <w:rsid w:val="002E39BB"/>
    <w:rsid w:val="002E39CA"/>
    <w:rsid w:val="002E3ADF"/>
    <w:rsid w:val="002E423D"/>
    <w:rsid w:val="002E43A3"/>
    <w:rsid w:val="002E44F8"/>
    <w:rsid w:val="002E4798"/>
    <w:rsid w:val="002E493F"/>
    <w:rsid w:val="002E4AD4"/>
    <w:rsid w:val="002E4BF2"/>
    <w:rsid w:val="002E4C12"/>
    <w:rsid w:val="002E4F74"/>
    <w:rsid w:val="002E5260"/>
    <w:rsid w:val="002E54C9"/>
    <w:rsid w:val="002E5D78"/>
    <w:rsid w:val="002E5FC5"/>
    <w:rsid w:val="002E610F"/>
    <w:rsid w:val="002E6174"/>
    <w:rsid w:val="002E61A8"/>
    <w:rsid w:val="002E61E4"/>
    <w:rsid w:val="002E66F6"/>
    <w:rsid w:val="002E67A8"/>
    <w:rsid w:val="002E6CC3"/>
    <w:rsid w:val="002E6D99"/>
    <w:rsid w:val="002E6E1E"/>
    <w:rsid w:val="002E6EBE"/>
    <w:rsid w:val="002E7091"/>
    <w:rsid w:val="002E7344"/>
    <w:rsid w:val="002E744A"/>
    <w:rsid w:val="002E752A"/>
    <w:rsid w:val="002E7541"/>
    <w:rsid w:val="002E7775"/>
    <w:rsid w:val="002E7787"/>
    <w:rsid w:val="002E78B1"/>
    <w:rsid w:val="002E78C5"/>
    <w:rsid w:val="002E7AD2"/>
    <w:rsid w:val="002E7F9E"/>
    <w:rsid w:val="002F02CB"/>
    <w:rsid w:val="002F076D"/>
    <w:rsid w:val="002F07E2"/>
    <w:rsid w:val="002F091F"/>
    <w:rsid w:val="002F0947"/>
    <w:rsid w:val="002F0956"/>
    <w:rsid w:val="002F09FD"/>
    <w:rsid w:val="002F0ACD"/>
    <w:rsid w:val="002F1399"/>
    <w:rsid w:val="002F157C"/>
    <w:rsid w:val="002F15AF"/>
    <w:rsid w:val="002F1BF8"/>
    <w:rsid w:val="002F1D94"/>
    <w:rsid w:val="002F2203"/>
    <w:rsid w:val="002F220D"/>
    <w:rsid w:val="002F26A2"/>
    <w:rsid w:val="002F27E3"/>
    <w:rsid w:val="002F2827"/>
    <w:rsid w:val="002F29B1"/>
    <w:rsid w:val="002F302D"/>
    <w:rsid w:val="002F311C"/>
    <w:rsid w:val="002F3224"/>
    <w:rsid w:val="002F3256"/>
    <w:rsid w:val="002F328A"/>
    <w:rsid w:val="002F32FB"/>
    <w:rsid w:val="002F3539"/>
    <w:rsid w:val="002F3797"/>
    <w:rsid w:val="002F3957"/>
    <w:rsid w:val="002F3A36"/>
    <w:rsid w:val="002F3CBB"/>
    <w:rsid w:val="002F3D94"/>
    <w:rsid w:val="002F3E09"/>
    <w:rsid w:val="002F3F8A"/>
    <w:rsid w:val="002F3FD4"/>
    <w:rsid w:val="002F41BE"/>
    <w:rsid w:val="002F4229"/>
    <w:rsid w:val="002F49F8"/>
    <w:rsid w:val="002F4CC9"/>
    <w:rsid w:val="002F4F0F"/>
    <w:rsid w:val="002F4F6F"/>
    <w:rsid w:val="002F5611"/>
    <w:rsid w:val="002F57B8"/>
    <w:rsid w:val="002F5B1C"/>
    <w:rsid w:val="002F5C1B"/>
    <w:rsid w:val="002F5F14"/>
    <w:rsid w:val="002F5F5E"/>
    <w:rsid w:val="002F5F85"/>
    <w:rsid w:val="002F602A"/>
    <w:rsid w:val="002F6112"/>
    <w:rsid w:val="002F63D3"/>
    <w:rsid w:val="002F65E5"/>
    <w:rsid w:val="002F68E4"/>
    <w:rsid w:val="002F68EB"/>
    <w:rsid w:val="002F692C"/>
    <w:rsid w:val="002F693F"/>
    <w:rsid w:val="002F69C3"/>
    <w:rsid w:val="002F6AFD"/>
    <w:rsid w:val="002F6B8D"/>
    <w:rsid w:val="002F72CE"/>
    <w:rsid w:val="002F7363"/>
    <w:rsid w:val="002F755B"/>
    <w:rsid w:val="002F77DE"/>
    <w:rsid w:val="002F783E"/>
    <w:rsid w:val="002F7880"/>
    <w:rsid w:val="002F789E"/>
    <w:rsid w:val="002F7A04"/>
    <w:rsid w:val="002F7AAB"/>
    <w:rsid w:val="002F7B45"/>
    <w:rsid w:val="002F7B56"/>
    <w:rsid w:val="003005C9"/>
    <w:rsid w:val="003008A8"/>
    <w:rsid w:val="003008CC"/>
    <w:rsid w:val="00300A42"/>
    <w:rsid w:val="00301288"/>
    <w:rsid w:val="0030154A"/>
    <w:rsid w:val="00301763"/>
    <w:rsid w:val="0030185D"/>
    <w:rsid w:val="003019E4"/>
    <w:rsid w:val="00301A12"/>
    <w:rsid w:val="00301C47"/>
    <w:rsid w:val="00301E69"/>
    <w:rsid w:val="00302252"/>
    <w:rsid w:val="0030239C"/>
    <w:rsid w:val="003023CE"/>
    <w:rsid w:val="003024FD"/>
    <w:rsid w:val="00302721"/>
    <w:rsid w:val="00302AD8"/>
    <w:rsid w:val="00302D91"/>
    <w:rsid w:val="003032D7"/>
    <w:rsid w:val="00303415"/>
    <w:rsid w:val="00303585"/>
    <w:rsid w:val="00303625"/>
    <w:rsid w:val="0030382B"/>
    <w:rsid w:val="00303C60"/>
    <w:rsid w:val="00303ED1"/>
    <w:rsid w:val="00303ED3"/>
    <w:rsid w:val="00304296"/>
    <w:rsid w:val="003046E0"/>
    <w:rsid w:val="003048F0"/>
    <w:rsid w:val="00304952"/>
    <w:rsid w:val="00304B18"/>
    <w:rsid w:val="00304ED9"/>
    <w:rsid w:val="00304FB8"/>
    <w:rsid w:val="00305286"/>
    <w:rsid w:val="00305378"/>
    <w:rsid w:val="0030560F"/>
    <w:rsid w:val="00305BD9"/>
    <w:rsid w:val="0030624B"/>
    <w:rsid w:val="0030672A"/>
    <w:rsid w:val="00306844"/>
    <w:rsid w:val="0030690C"/>
    <w:rsid w:val="0030696E"/>
    <w:rsid w:val="00306CC9"/>
    <w:rsid w:val="00307125"/>
    <w:rsid w:val="003071B1"/>
    <w:rsid w:val="00307299"/>
    <w:rsid w:val="003074DB"/>
    <w:rsid w:val="0030762C"/>
    <w:rsid w:val="00307AB5"/>
    <w:rsid w:val="003102B9"/>
    <w:rsid w:val="003104CD"/>
    <w:rsid w:val="00310B9B"/>
    <w:rsid w:val="00310C3F"/>
    <w:rsid w:val="00310C42"/>
    <w:rsid w:val="00310CCA"/>
    <w:rsid w:val="0031129B"/>
    <w:rsid w:val="003112D8"/>
    <w:rsid w:val="00311682"/>
    <w:rsid w:val="0031178D"/>
    <w:rsid w:val="003119E2"/>
    <w:rsid w:val="00311B7D"/>
    <w:rsid w:val="00311CFC"/>
    <w:rsid w:val="00311F14"/>
    <w:rsid w:val="00311F75"/>
    <w:rsid w:val="00312797"/>
    <w:rsid w:val="0031298C"/>
    <w:rsid w:val="00312F85"/>
    <w:rsid w:val="0031310A"/>
    <w:rsid w:val="00313647"/>
    <w:rsid w:val="003137BC"/>
    <w:rsid w:val="0031392A"/>
    <w:rsid w:val="0031397D"/>
    <w:rsid w:val="00313BF0"/>
    <w:rsid w:val="00313C45"/>
    <w:rsid w:val="00313D27"/>
    <w:rsid w:val="003140D2"/>
    <w:rsid w:val="00314339"/>
    <w:rsid w:val="003145CD"/>
    <w:rsid w:val="0031460C"/>
    <w:rsid w:val="0031502F"/>
    <w:rsid w:val="00315239"/>
    <w:rsid w:val="00315360"/>
    <w:rsid w:val="00315C49"/>
    <w:rsid w:val="00315E91"/>
    <w:rsid w:val="0031617B"/>
    <w:rsid w:val="0031643D"/>
    <w:rsid w:val="00316483"/>
    <w:rsid w:val="00316595"/>
    <w:rsid w:val="003168BB"/>
    <w:rsid w:val="0031714B"/>
    <w:rsid w:val="003176B4"/>
    <w:rsid w:val="00317714"/>
    <w:rsid w:val="00317778"/>
    <w:rsid w:val="00317839"/>
    <w:rsid w:val="00317EE5"/>
    <w:rsid w:val="00320144"/>
    <w:rsid w:val="003206F8"/>
    <w:rsid w:val="00320780"/>
    <w:rsid w:val="00320A17"/>
    <w:rsid w:val="00320A3E"/>
    <w:rsid w:val="00320C55"/>
    <w:rsid w:val="00320DCA"/>
    <w:rsid w:val="00321690"/>
    <w:rsid w:val="003216C0"/>
    <w:rsid w:val="00321A52"/>
    <w:rsid w:val="00321B96"/>
    <w:rsid w:val="00321C2D"/>
    <w:rsid w:val="00322225"/>
    <w:rsid w:val="003225C2"/>
    <w:rsid w:val="00322964"/>
    <w:rsid w:val="00322BDC"/>
    <w:rsid w:val="00322DA9"/>
    <w:rsid w:val="00322EA5"/>
    <w:rsid w:val="00322F70"/>
    <w:rsid w:val="003233D6"/>
    <w:rsid w:val="00323725"/>
    <w:rsid w:val="0032389B"/>
    <w:rsid w:val="00323AF6"/>
    <w:rsid w:val="00323C1F"/>
    <w:rsid w:val="00324019"/>
    <w:rsid w:val="00324E12"/>
    <w:rsid w:val="00324F38"/>
    <w:rsid w:val="00325197"/>
    <w:rsid w:val="003251C2"/>
    <w:rsid w:val="003255A0"/>
    <w:rsid w:val="00325C5D"/>
    <w:rsid w:val="00325FA0"/>
    <w:rsid w:val="0032652D"/>
    <w:rsid w:val="00326F1C"/>
    <w:rsid w:val="00327130"/>
    <w:rsid w:val="00327162"/>
    <w:rsid w:val="003273DA"/>
    <w:rsid w:val="003274C7"/>
    <w:rsid w:val="0032788E"/>
    <w:rsid w:val="00327970"/>
    <w:rsid w:val="00327D99"/>
    <w:rsid w:val="00327F9F"/>
    <w:rsid w:val="003306B5"/>
    <w:rsid w:val="003307A8"/>
    <w:rsid w:val="003309C1"/>
    <w:rsid w:val="00330A0A"/>
    <w:rsid w:val="00330A2A"/>
    <w:rsid w:val="00330B83"/>
    <w:rsid w:val="00330E0E"/>
    <w:rsid w:val="003314AB"/>
    <w:rsid w:val="0033181D"/>
    <w:rsid w:val="00331CF1"/>
    <w:rsid w:val="00331F12"/>
    <w:rsid w:val="003322BB"/>
    <w:rsid w:val="00332310"/>
    <w:rsid w:val="003324C4"/>
    <w:rsid w:val="0033273D"/>
    <w:rsid w:val="003328A9"/>
    <w:rsid w:val="00332AA6"/>
    <w:rsid w:val="00332B54"/>
    <w:rsid w:val="00332B66"/>
    <w:rsid w:val="00332BE7"/>
    <w:rsid w:val="00332C8F"/>
    <w:rsid w:val="00332ED2"/>
    <w:rsid w:val="00332F63"/>
    <w:rsid w:val="0033323E"/>
    <w:rsid w:val="00333275"/>
    <w:rsid w:val="00333593"/>
    <w:rsid w:val="00333604"/>
    <w:rsid w:val="003336CE"/>
    <w:rsid w:val="003339BC"/>
    <w:rsid w:val="00333A0F"/>
    <w:rsid w:val="00333AD8"/>
    <w:rsid w:val="00333B71"/>
    <w:rsid w:val="00334745"/>
    <w:rsid w:val="00334A11"/>
    <w:rsid w:val="00334B2C"/>
    <w:rsid w:val="00334CBD"/>
    <w:rsid w:val="00335292"/>
    <w:rsid w:val="00335394"/>
    <w:rsid w:val="00335582"/>
    <w:rsid w:val="003355CD"/>
    <w:rsid w:val="003356FD"/>
    <w:rsid w:val="00335916"/>
    <w:rsid w:val="00335A35"/>
    <w:rsid w:val="00335D2D"/>
    <w:rsid w:val="00335E9E"/>
    <w:rsid w:val="00336160"/>
    <w:rsid w:val="00336258"/>
    <w:rsid w:val="00336463"/>
    <w:rsid w:val="003364DF"/>
    <w:rsid w:val="00336750"/>
    <w:rsid w:val="0033676B"/>
    <w:rsid w:val="00336936"/>
    <w:rsid w:val="00336AB6"/>
    <w:rsid w:val="00336C1C"/>
    <w:rsid w:val="003371B5"/>
    <w:rsid w:val="003372D9"/>
    <w:rsid w:val="0033742E"/>
    <w:rsid w:val="00337675"/>
    <w:rsid w:val="0033779B"/>
    <w:rsid w:val="003377B2"/>
    <w:rsid w:val="0033780D"/>
    <w:rsid w:val="00337BAF"/>
    <w:rsid w:val="00337CE6"/>
    <w:rsid w:val="00340043"/>
    <w:rsid w:val="00340341"/>
    <w:rsid w:val="00340B99"/>
    <w:rsid w:val="00340BDA"/>
    <w:rsid w:val="00340EB4"/>
    <w:rsid w:val="0034104D"/>
    <w:rsid w:val="003410ED"/>
    <w:rsid w:val="00341226"/>
    <w:rsid w:val="003417CB"/>
    <w:rsid w:val="00341F3A"/>
    <w:rsid w:val="00341FAC"/>
    <w:rsid w:val="003422F0"/>
    <w:rsid w:val="0034232B"/>
    <w:rsid w:val="00342572"/>
    <w:rsid w:val="003425EE"/>
    <w:rsid w:val="003425FF"/>
    <w:rsid w:val="00342758"/>
    <w:rsid w:val="00342C86"/>
    <w:rsid w:val="00342CC8"/>
    <w:rsid w:val="00342DD1"/>
    <w:rsid w:val="00342FD6"/>
    <w:rsid w:val="00342FE0"/>
    <w:rsid w:val="003435A9"/>
    <w:rsid w:val="0034384F"/>
    <w:rsid w:val="00343C55"/>
    <w:rsid w:val="0034453C"/>
    <w:rsid w:val="00344649"/>
    <w:rsid w:val="00344DB9"/>
    <w:rsid w:val="00344E70"/>
    <w:rsid w:val="00344F43"/>
    <w:rsid w:val="00345030"/>
    <w:rsid w:val="0034517F"/>
    <w:rsid w:val="0034539D"/>
    <w:rsid w:val="00345496"/>
    <w:rsid w:val="00345BCF"/>
    <w:rsid w:val="00345C7A"/>
    <w:rsid w:val="003462C7"/>
    <w:rsid w:val="003466F9"/>
    <w:rsid w:val="00346950"/>
    <w:rsid w:val="00346B49"/>
    <w:rsid w:val="00346F53"/>
    <w:rsid w:val="00347340"/>
    <w:rsid w:val="00347D86"/>
    <w:rsid w:val="00347EB9"/>
    <w:rsid w:val="0035006D"/>
    <w:rsid w:val="00350092"/>
    <w:rsid w:val="00350272"/>
    <w:rsid w:val="00350318"/>
    <w:rsid w:val="003503AE"/>
    <w:rsid w:val="0035043B"/>
    <w:rsid w:val="003508FE"/>
    <w:rsid w:val="00350B34"/>
    <w:rsid w:val="00350C16"/>
    <w:rsid w:val="00350DD2"/>
    <w:rsid w:val="003510A6"/>
    <w:rsid w:val="00351258"/>
    <w:rsid w:val="003519AD"/>
    <w:rsid w:val="00351AF8"/>
    <w:rsid w:val="00351BA7"/>
    <w:rsid w:val="00351C73"/>
    <w:rsid w:val="00351E0E"/>
    <w:rsid w:val="00351E13"/>
    <w:rsid w:val="00351E69"/>
    <w:rsid w:val="00351FF7"/>
    <w:rsid w:val="0035248E"/>
    <w:rsid w:val="00352C1A"/>
    <w:rsid w:val="0035310E"/>
    <w:rsid w:val="00353AC5"/>
    <w:rsid w:val="003544F4"/>
    <w:rsid w:val="003545CA"/>
    <w:rsid w:val="003546B4"/>
    <w:rsid w:val="00354849"/>
    <w:rsid w:val="00354EB4"/>
    <w:rsid w:val="00355122"/>
    <w:rsid w:val="0035530F"/>
    <w:rsid w:val="00355529"/>
    <w:rsid w:val="003557C5"/>
    <w:rsid w:val="003557DD"/>
    <w:rsid w:val="00355AB9"/>
    <w:rsid w:val="00355DF2"/>
    <w:rsid w:val="0035641B"/>
    <w:rsid w:val="0035657A"/>
    <w:rsid w:val="0035663E"/>
    <w:rsid w:val="00356A98"/>
    <w:rsid w:val="00356B28"/>
    <w:rsid w:val="00356D29"/>
    <w:rsid w:val="00356FED"/>
    <w:rsid w:val="00357057"/>
    <w:rsid w:val="003571C2"/>
    <w:rsid w:val="003571F3"/>
    <w:rsid w:val="003572CF"/>
    <w:rsid w:val="00357499"/>
    <w:rsid w:val="00357556"/>
    <w:rsid w:val="003576F0"/>
    <w:rsid w:val="00357B43"/>
    <w:rsid w:val="00357FB3"/>
    <w:rsid w:val="00360A9E"/>
    <w:rsid w:val="00360BBE"/>
    <w:rsid w:val="00360CD7"/>
    <w:rsid w:val="00360E8A"/>
    <w:rsid w:val="00360ED8"/>
    <w:rsid w:val="00361236"/>
    <w:rsid w:val="003616BB"/>
    <w:rsid w:val="003618F1"/>
    <w:rsid w:val="00361B77"/>
    <w:rsid w:val="00361FD1"/>
    <w:rsid w:val="00362190"/>
    <w:rsid w:val="00362901"/>
    <w:rsid w:val="003629B2"/>
    <w:rsid w:val="00362A52"/>
    <w:rsid w:val="00362ADE"/>
    <w:rsid w:val="00363866"/>
    <w:rsid w:val="00363F86"/>
    <w:rsid w:val="00364034"/>
    <w:rsid w:val="003640A7"/>
    <w:rsid w:val="0036415C"/>
    <w:rsid w:val="003644B1"/>
    <w:rsid w:val="003646A3"/>
    <w:rsid w:val="00364802"/>
    <w:rsid w:val="00364941"/>
    <w:rsid w:val="00364CFD"/>
    <w:rsid w:val="00364D02"/>
    <w:rsid w:val="00365189"/>
    <w:rsid w:val="00365397"/>
    <w:rsid w:val="00365447"/>
    <w:rsid w:val="003656EA"/>
    <w:rsid w:val="00365A1D"/>
    <w:rsid w:val="00365B31"/>
    <w:rsid w:val="00366761"/>
    <w:rsid w:val="003667B6"/>
    <w:rsid w:val="00366874"/>
    <w:rsid w:val="00366888"/>
    <w:rsid w:val="00366B7C"/>
    <w:rsid w:val="00366D11"/>
    <w:rsid w:val="00366D22"/>
    <w:rsid w:val="00366DFD"/>
    <w:rsid w:val="00366F91"/>
    <w:rsid w:val="0036719D"/>
    <w:rsid w:val="0036727E"/>
    <w:rsid w:val="00367298"/>
    <w:rsid w:val="0036730B"/>
    <w:rsid w:val="003674A4"/>
    <w:rsid w:val="0036794E"/>
    <w:rsid w:val="00370095"/>
    <w:rsid w:val="003700D5"/>
    <w:rsid w:val="00370344"/>
    <w:rsid w:val="00370399"/>
    <w:rsid w:val="00370480"/>
    <w:rsid w:val="00370539"/>
    <w:rsid w:val="00370543"/>
    <w:rsid w:val="003709D4"/>
    <w:rsid w:val="00370DD3"/>
    <w:rsid w:val="003710A5"/>
    <w:rsid w:val="00371370"/>
    <w:rsid w:val="00371527"/>
    <w:rsid w:val="003721DB"/>
    <w:rsid w:val="00372219"/>
    <w:rsid w:val="00372800"/>
    <w:rsid w:val="0037301F"/>
    <w:rsid w:val="003730A5"/>
    <w:rsid w:val="0037313A"/>
    <w:rsid w:val="003731BA"/>
    <w:rsid w:val="003735A3"/>
    <w:rsid w:val="0037366E"/>
    <w:rsid w:val="00373B5D"/>
    <w:rsid w:val="0037407F"/>
    <w:rsid w:val="0037424A"/>
    <w:rsid w:val="003743A5"/>
    <w:rsid w:val="00374438"/>
    <w:rsid w:val="00374972"/>
    <w:rsid w:val="003750DF"/>
    <w:rsid w:val="00375213"/>
    <w:rsid w:val="003752E6"/>
    <w:rsid w:val="003753E4"/>
    <w:rsid w:val="00375473"/>
    <w:rsid w:val="00375846"/>
    <w:rsid w:val="00375AE4"/>
    <w:rsid w:val="00375C6A"/>
    <w:rsid w:val="00375DCC"/>
    <w:rsid w:val="00375EFE"/>
    <w:rsid w:val="0037600A"/>
    <w:rsid w:val="00376164"/>
    <w:rsid w:val="0037625F"/>
    <w:rsid w:val="003762E2"/>
    <w:rsid w:val="003768D1"/>
    <w:rsid w:val="00376CD2"/>
    <w:rsid w:val="0037715A"/>
    <w:rsid w:val="0037724D"/>
    <w:rsid w:val="003778B7"/>
    <w:rsid w:val="00377C90"/>
    <w:rsid w:val="00377C92"/>
    <w:rsid w:val="00377CDC"/>
    <w:rsid w:val="00377D36"/>
    <w:rsid w:val="0038017B"/>
    <w:rsid w:val="00380247"/>
    <w:rsid w:val="00380707"/>
    <w:rsid w:val="003810BF"/>
    <w:rsid w:val="0038146C"/>
    <w:rsid w:val="003818DF"/>
    <w:rsid w:val="003820F1"/>
    <w:rsid w:val="003823C2"/>
    <w:rsid w:val="00382448"/>
    <w:rsid w:val="00382609"/>
    <w:rsid w:val="00382862"/>
    <w:rsid w:val="00382866"/>
    <w:rsid w:val="00382B24"/>
    <w:rsid w:val="00382DA8"/>
    <w:rsid w:val="00382DE0"/>
    <w:rsid w:val="0038324F"/>
    <w:rsid w:val="00383256"/>
    <w:rsid w:val="003835B3"/>
    <w:rsid w:val="0038393A"/>
    <w:rsid w:val="00383C5D"/>
    <w:rsid w:val="00383D17"/>
    <w:rsid w:val="00383FD7"/>
    <w:rsid w:val="003844CD"/>
    <w:rsid w:val="0038458C"/>
    <w:rsid w:val="00384814"/>
    <w:rsid w:val="00384825"/>
    <w:rsid w:val="00384A06"/>
    <w:rsid w:val="00384F86"/>
    <w:rsid w:val="0038519C"/>
    <w:rsid w:val="00385686"/>
    <w:rsid w:val="0038572C"/>
    <w:rsid w:val="00385988"/>
    <w:rsid w:val="00385D02"/>
    <w:rsid w:val="00385D78"/>
    <w:rsid w:val="00386124"/>
    <w:rsid w:val="003862AF"/>
    <w:rsid w:val="003864D5"/>
    <w:rsid w:val="00386D34"/>
    <w:rsid w:val="00386E95"/>
    <w:rsid w:val="00387120"/>
    <w:rsid w:val="0038751F"/>
    <w:rsid w:val="00387653"/>
    <w:rsid w:val="00387D46"/>
    <w:rsid w:val="00390089"/>
    <w:rsid w:val="00390238"/>
    <w:rsid w:val="0039030A"/>
    <w:rsid w:val="00390567"/>
    <w:rsid w:val="003911BD"/>
    <w:rsid w:val="003914AD"/>
    <w:rsid w:val="003915E5"/>
    <w:rsid w:val="003917EB"/>
    <w:rsid w:val="00391B77"/>
    <w:rsid w:val="00391E91"/>
    <w:rsid w:val="00391EE1"/>
    <w:rsid w:val="0039204F"/>
    <w:rsid w:val="0039242A"/>
    <w:rsid w:val="003924FE"/>
    <w:rsid w:val="003925E8"/>
    <w:rsid w:val="00392D11"/>
    <w:rsid w:val="00392FCB"/>
    <w:rsid w:val="00393267"/>
    <w:rsid w:val="0039329A"/>
    <w:rsid w:val="00393C31"/>
    <w:rsid w:val="00394108"/>
    <w:rsid w:val="003942DC"/>
    <w:rsid w:val="0039471E"/>
    <w:rsid w:val="00394BC0"/>
    <w:rsid w:val="0039541C"/>
    <w:rsid w:val="003958AF"/>
    <w:rsid w:val="00395991"/>
    <w:rsid w:val="003966F6"/>
    <w:rsid w:val="0039677D"/>
    <w:rsid w:val="00396963"/>
    <w:rsid w:val="00397164"/>
    <w:rsid w:val="0039741F"/>
    <w:rsid w:val="00397726"/>
    <w:rsid w:val="003977D9"/>
    <w:rsid w:val="00397B16"/>
    <w:rsid w:val="00397F40"/>
    <w:rsid w:val="00397F59"/>
    <w:rsid w:val="003A0660"/>
    <w:rsid w:val="003A0D52"/>
    <w:rsid w:val="003A1590"/>
    <w:rsid w:val="003A1D55"/>
    <w:rsid w:val="003A1FED"/>
    <w:rsid w:val="003A28B4"/>
    <w:rsid w:val="003A2CFC"/>
    <w:rsid w:val="003A2ECC"/>
    <w:rsid w:val="003A2ED1"/>
    <w:rsid w:val="003A30E8"/>
    <w:rsid w:val="003A332C"/>
    <w:rsid w:val="003A333F"/>
    <w:rsid w:val="003A34B5"/>
    <w:rsid w:val="003A3708"/>
    <w:rsid w:val="003A372C"/>
    <w:rsid w:val="003A3740"/>
    <w:rsid w:val="003A3918"/>
    <w:rsid w:val="003A3BFE"/>
    <w:rsid w:val="003A4063"/>
    <w:rsid w:val="003A4BFC"/>
    <w:rsid w:val="003A4C47"/>
    <w:rsid w:val="003A4D35"/>
    <w:rsid w:val="003A4FE7"/>
    <w:rsid w:val="003A5035"/>
    <w:rsid w:val="003A5106"/>
    <w:rsid w:val="003A5241"/>
    <w:rsid w:val="003A57DC"/>
    <w:rsid w:val="003A587F"/>
    <w:rsid w:val="003A5B23"/>
    <w:rsid w:val="003A5F16"/>
    <w:rsid w:val="003A6181"/>
    <w:rsid w:val="003A6455"/>
    <w:rsid w:val="003A653A"/>
    <w:rsid w:val="003A6565"/>
    <w:rsid w:val="003A6724"/>
    <w:rsid w:val="003A6C7B"/>
    <w:rsid w:val="003A6C85"/>
    <w:rsid w:val="003A6D86"/>
    <w:rsid w:val="003A6DAF"/>
    <w:rsid w:val="003A6DB3"/>
    <w:rsid w:val="003A6E1A"/>
    <w:rsid w:val="003A7401"/>
    <w:rsid w:val="003A7717"/>
    <w:rsid w:val="003A7776"/>
    <w:rsid w:val="003A7982"/>
    <w:rsid w:val="003A7A24"/>
    <w:rsid w:val="003A7AD4"/>
    <w:rsid w:val="003A7DA4"/>
    <w:rsid w:val="003A7FD0"/>
    <w:rsid w:val="003B00B8"/>
    <w:rsid w:val="003B02E2"/>
    <w:rsid w:val="003B081A"/>
    <w:rsid w:val="003B0BA1"/>
    <w:rsid w:val="003B109B"/>
    <w:rsid w:val="003B11D8"/>
    <w:rsid w:val="003B12F5"/>
    <w:rsid w:val="003B134F"/>
    <w:rsid w:val="003B1397"/>
    <w:rsid w:val="003B1480"/>
    <w:rsid w:val="003B167A"/>
    <w:rsid w:val="003B1C31"/>
    <w:rsid w:val="003B1C69"/>
    <w:rsid w:val="003B1E64"/>
    <w:rsid w:val="003B1EA6"/>
    <w:rsid w:val="003B2167"/>
    <w:rsid w:val="003B21FB"/>
    <w:rsid w:val="003B249F"/>
    <w:rsid w:val="003B2705"/>
    <w:rsid w:val="003B27C9"/>
    <w:rsid w:val="003B2932"/>
    <w:rsid w:val="003B2DFB"/>
    <w:rsid w:val="003B305A"/>
    <w:rsid w:val="003B3083"/>
    <w:rsid w:val="003B312C"/>
    <w:rsid w:val="003B33B3"/>
    <w:rsid w:val="003B370B"/>
    <w:rsid w:val="003B3766"/>
    <w:rsid w:val="003B3AD9"/>
    <w:rsid w:val="003B3C6A"/>
    <w:rsid w:val="003B44D0"/>
    <w:rsid w:val="003B4599"/>
    <w:rsid w:val="003B492B"/>
    <w:rsid w:val="003B4CC2"/>
    <w:rsid w:val="003B4D5D"/>
    <w:rsid w:val="003B4F5C"/>
    <w:rsid w:val="003B4F8E"/>
    <w:rsid w:val="003B4F9A"/>
    <w:rsid w:val="003B59CE"/>
    <w:rsid w:val="003B5AA5"/>
    <w:rsid w:val="003B5C01"/>
    <w:rsid w:val="003B5D39"/>
    <w:rsid w:val="003B60C5"/>
    <w:rsid w:val="003B61B7"/>
    <w:rsid w:val="003B6851"/>
    <w:rsid w:val="003B6AA3"/>
    <w:rsid w:val="003B6FE1"/>
    <w:rsid w:val="003B7817"/>
    <w:rsid w:val="003B7AE9"/>
    <w:rsid w:val="003B7E43"/>
    <w:rsid w:val="003C033C"/>
    <w:rsid w:val="003C03A1"/>
    <w:rsid w:val="003C06D4"/>
    <w:rsid w:val="003C08F3"/>
    <w:rsid w:val="003C09FA"/>
    <w:rsid w:val="003C0FE7"/>
    <w:rsid w:val="003C10DB"/>
    <w:rsid w:val="003C17D2"/>
    <w:rsid w:val="003C1AE2"/>
    <w:rsid w:val="003C22F8"/>
    <w:rsid w:val="003C2377"/>
    <w:rsid w:val="003C26FB"/>
    <w:rsid w:val="003C276D"/>
    <w:rsid w:val="003C2998"/>
    <w:rsid w:val="003C2AC4"/>
    <w:rsid w:val="003C315C"/>
    <w:rsid w:val="003C31A6"/>
    <w:rsid w:val="003C31B0"/>
    <w:rsid w:val="003C33C4"/>
    <w:rsid w:val="003C3735"/>
    <w:rsid w:val="003C3746"/>
    <w:rsid w:val="003C3982"/>
    <w:rsid w:val="003C3B79"/>
    <w:rsid w:val="003C3D77"/>
    <w:rsid w:val="003C3F3A"/>
    <w:rsid w:val="003C48CA"/>
    <w:rsid w:val="003C4F8F"/>
    <w:rsid w:val="003C5285"/>
    <w:rsid w:val="003C5309"/>
    <w:rsid w:val="003C5989"/>
    <w:rsid w:val="003C5E8D"/>
    <w:rsid w:val="003C6225"/>
    <w:rsid w:val="003C6488"/>
    <w:rsid w:val="003C654B"/>
    <w:rsid w:val="003C6AF7"/>
    <w:rsid w:val="003C6B59"/>
    <w:rsid w:val="003C6FBD"/>
    <w:rsid w:val="003C7758"/>
    <w:rsid w:val="003C78B7"/>
    <w:rsid w:val="003C7CBE"/>
    <w:rsid w:val="003C7D2C"/>
    <w:rsid w:val="003C7DE7"/>
    <w:rsid w:val="003D017D"/>
    <w:rsid w:val="003D068F"/>
    <w:rsid w:val="003D0917"/>
    <w:rsid w:val="003D0C40"/>
    <w:rsid w:val="003D0C41"/>
    <w:rsid w:val="003D0F45"/>
    <w:rsid w:val="003D11D3"/>
    <w:rsid w:val="003D1240"/>
    <w:rsid w:val="003D1289"/>
    <w:rsid w:val="003D1678"/>
    <w:rsid w:val="003D18C2"/>
    <w:rsid w:val="003D19DE"/>
    <w:rsid w:val="003D20B0"/>
    <w:rsid w:val="003D2304"/>
    <w:rsid w:val="003D2877"/>
    <w:rsid w:val="003D299E"/>
    <w:rsid w:val="003D2AC7"/>
    <w:rsid w:val="003D2BE7"/>
    <w:rsid w:val="003D2C90"/>
    <w:rsid w:val="003D2D8E"/>
    <w:rsid w:val="003D31AD"/>
    <w:rsid w:val="003D31FB"/>
    <w:rsid w:val="003D354E"/>
    <w:rsid w:val="003D3883"/>
    <w:rsid w:val="003D3CA7"/>
    <w:rsid w:val="003D3EE3"/>
    <w:rsid w:val="003D4818"/>
    <w:rsid w:val="003D4CF7"/>
    <w:rsid w:val="003D55E1"/>
    <w:rsid w:val="003D59AA"/>
    <w:rsid w:val="003D59AB"/>
    <w:rsid w:val="003D59E4"/>
    <w:rsid w:val="003D5C4F"/>
    <w:rsid w:val="003D5F1D"/>
    <w:rsid w:val="003D632C"/>
    <w:rsid w:val="003D641A"/>
    <w:rsid w:val="003D6617"/>
    <w:rsid w:val="003D68C4"/>
    <w:rsid w:val="003D6F00"/>
    <w:rsid w:val="003D71EB"/>
    <w:rsid w:val="003D75AD"/>
    <w:rsid w:val="003E08D4"/>
    <w:rsid w:val="003E0A91"/>
    <w:rsid w:val="003E0C7F"/>
    <w:rsid w:val="003E1387"/>
    <w:rsid w:val="003E1390"/>
    <w:rsid w:val="003E17CF"/>
    <w:rsid w:val="003E1871"/>
    <w:rsid w:val="003E1A45"/>
    <w:rsid w:val="003E1B91"/>
    <w:rsid w:val="003E1BCA"/>
    <w:rsid w:val="003E1C42"/>
    <w:rsid w:val="003E1CEC"/>
    <w:rsid w:val="003E1FC5"/>
    <w:rsid w:val="003E2228"/>
    <w:rsid w:val="003E22CB"/>
    <w:rsid w:val="003E2343"/>
    <w:rsid w:val="003E2B8D"/>
    <w:rsid w:val="003E3270"/>
    <w:rsid w:val="003E346A"/>
    <w:rsid w:val="003E369B"/>
    <w:rsid w:val="003E3D82"/>
    <w:rsid w:val="003E3E45"/>
    <w:rsid w:val="003E406B"/>
    <w:rsid w:val="003E4144"/>
    <w:rsid w:val="003E431A"/>
    <w:rsid w:val="003E4F96"/>
    <w:rsid w:val="003E52C3"/>
    <w:rsid w:val="003E5BAC"/>
    <w:rsid w:val="003E5CCA"/>
    <w:rsid w:val="003E5DE5"/>
    <w:rsid w:val="003E5DEC"/>
    <w:rsid w:val="003E5E11"/>
    <w:rsid w:val="003E66F7"/>
    <w:rsid w:val="003E692D"/>
    <w:rsid w:val="003E74DF"/>
    <w:rsid w:val="003E75B0"/>
    <w:rsid w:val="003E7773"/>
    <w:rsid w:val="003E7E62"/>
    <w:rsid w:val="003E7F7B"/>
    <w:rsid w:val="003F00A6"/>
    <w:rsid w:val="003F07E7"/>
    <w:rsid w:val="003F09AB"/>
    <w:rsid w:val="003F0DF3"/>
    <w:rsid w:val="003F0E5A"/>
    <w:rsid w:val="003F0E6D"/>
    <w:rsid w:val="003F115E"/>
    <w:rsid w:val="003F14C2"/>
    <w:rsid w:val="003F18FE"/>
    <w:rsid w:val="003F1A12"/>
    <w:rsid w:val="003F1B2F"/>
    <w:rsid w:val="003F20DD"/>
    <w:rsid w:val="003F2210"/>
    <w:rsid w:val="003F26D7"/>
    <w:rsid w:val="003F2A3C"/>
    <w:rsid w:val="003F30AC"/>
    <w:rsid w:val="003F311D"/>
    <w:rsid w:val="003F386F"/>
    <w:rsid w:val="003F3B2C"/>
    <w:rsid w:val="003F3D4B"/>
    <w:rsid w:val="003F41C3"/>
    <w:rsid w:val="003F46AC"/>
    <w:rsid w:val="003F4F94"/>
    <w:rsid w:val="003F535C"/>
    <w:rsid w:val="003F546F"/>
    <w:rsid w:val="003F55E3"/>
    <w:rsid w:val="003F5683"/>
    <w:rsid w:val="003F57A5"/>
    <w:rsid w:val="003F5ABB"/>
    <w:rsid w:val="003F5AD3"/>
    <w:rsid w:val="003F5BA2"/>
    <w:rsid w:val="003F5CD4"/>
    <w:rsid w:val="003F5D93"/>
    <w:rsid w:val="003F5F53"/>
    <w:rsid w:val="003F5FEE"/>
    <w:rsid w:val="003F6364"/>
    <w:rsid w:val="003F6451"/>
    <w:rsid w:val="003F64BE"/>
    <w:rsid w:val="003F64F2"/>
    <w:rsid w:val="003F6604"/>
    <w:rsid w:val="003F6B88"/>
    <w:rsid w:val="003F6BC3"/>
    <w:rsid w:val="003F6CD2"/>
    <w:rsid w:val="003F7196"/>
    <w:rsid w:val="003F78E7"/>
    <w:rsid w:val="003F7A29"/>
    <w:rsid w:val="00400158"/>
    <w:rsid w:val="0040067E"/>
    <w:rsid w:val="00400777"/>
    <w:rsid w:val="004007BE"/>
    <w:rsid w:val="004008AF"/>
    <w:rsid w:val="004009AB"/>
    <w:rsid w:val="00400A32"/>
    <w:rsid w:val="00400B5F"/>
    <w:rsid w:val="00400BD6"/>
    <w:rsid w:val="00400D68"/>
    <w:rsid w:val="004010DE"/>
    <w:rsid w:val="0040112A"/>
    <w:rsid w:val="004012F0"/>
    <w:rsid w:val="004013C8"/>
    <w:rsid w:val="00401472"/>
    <w:rsid w:val="0040155C"/>
    <w:rsid w:val="004015BC"/>
    <w:rsid w:val="004018A1"/>
    <w:rsid w:val="00401C50"/>
    <w:rsid w:val="00401C8D"/>
    <w:rsid w:val="00401DBF"/>
    <w:rsid w:val="00401F1E"/>
    <w:rsid w:val="00402455"/>
    <w:rsid w:val="0040275E"/>
    <w:rsid w:val="004027BE"/>
    <w:rsid w:val="0040285D"/>
    <w:rsid w:val="004029F4"/>
    <w:rsid w:val="00402E9D"/>
    <w:rsid w:val="004033D9"/>
    <w:rsid w:val="00403A19"/>
    <w:rsid w:val="00403BE6"/>
    <w:rsid w:val="00403C5A"/>
    <w:rsid w:val="004041E8"/>
    <w:rsid w:val="00404259"/>
    <w:rsid w:val="00404986"/>
    <w:rsid w:val="00404A0E"/>
    <w:rsid w:val="00404A4C"/>
    <w:rsid w:val="00404A94"/>
    <w:rsid w:val="00404ACA"/>
    <w:rsid w:val="00404D95"/>
    <w:rsid w:val="00404E6F"/>
    <w:rsid w:val="00404FA1"/>
    <w:rsid w:val="00405236"/>
    <w:rsid w:val="0040551F"/>
    <w:rsid w:val="0040572E"/>
    <w:rsid w:val="00406141"/>
    <w:rsid w:val="0040698F"/>
    <w:rsid w:val="00406DCD"/>
    <w:rsid w:val="00407022"/>
    <w:rsid w:val="00407361"/>
    <w:rsid w:val="0040771F"/>
    <w:rsid w:val="0040777F"/>
    <w:rsid w:val="00407B75"/>
    <w:rsid w:val="00407E16"/>
    <w:rsid w:val="0041060D"/>
    <w:rsid w:val="0041116C"/>
    <w:rsid w:val="004111F7"/>
    <w:rsid w:val="00411285"/>
    <w:rsid w:val="00411340"/>
    <w:rsid w:val="00411834"/>
    <w:rsid w:val="00411E7A"/>
    <w:rsid w:val="0041211D"/>
    <w:rsid w:val="0041217D"/>
    <w:rsid w:val="004122A5"/>
    <w:rsid w:val="004125C6"/>
    <w:rsid w:val="0041260B"/>
    <w:rsid w:val="00412683"/>
    <w:rsid w:val="0041275F"/>
    <w:rsid w:val="004128DB"/>
    <w:rsid w:val="00412B50"/>
    <w:rsid w:val="00412B75"/>
    <w:rsid w:val="00412CF0"/>
    <w:rsid w:val="00412E1F"/>
    <w:rsid w:val="00413117"/>
    <w:rsid w:val="004133B0"/>
    <w:rsid w:val="00413761"/>
    <w:rsid w:val="00413AD3"/>
    <w:rsid w:val="00413E90"/>
    <w:rsid w:val="00413FC3"/>
    <w:rsid w:val="004142B4"/>
    <w:rsid w:val="00414472"/>
    <w:rsid w:val="0041451A"/>
    <w:rsid w:val="00414638"/>
    <w:rsid w:val="00414AB7"/>
    <w:rsid w:val="00414FD1"/>
    <w:rsid w:val="004151D6"/>
    <w:rsid w:val="00415C1C"/>
    <w:rsid w:val="00415DD4"/>
    <w:rsid w:val="004161B1"/>
    <w:rsid w:val="004163B2"/>
    <w:rsid w:val="0041655A"/>
    <w:rsid w:val="004167F8"/>
    <w:rsid w:val="0041697B"/>
    <w:rsid w:val="004169E6"/>
    <w:rsid w:val="00416B07"/>
    <w:rsid w:val="00416E27"/>
    <w:rsid w:val="00416EBC"/>
    <w:rsid w:val="0041744A"/>
    <w:rsid w:val="0041762F"/>
    <w:rsid w:val="00417DD3"/>
    <w:rsid w:val="004201A5"/>
    <w:rsid w:val="00420598"/>
    <w:rsid w:val="00420D2D"/>
    <w:rsid w:val="00420EC8"/>
    <w:rsid w:val="0042111C"/>
    <w:rsid w:val="0042121A"/>
    <w:rsid w:val="0042126B"/>
    <w:rsid w:val="0042137D"/>
    <w:rsid w:val="00421736"/>
    <w:rsid w:val="00421A89"/>
    <w:rsid w:val="00421C19"/>
    <w:rsid w:val="00421CDC"/>
    <w:rsid w:val="00421EBC"/>
    <w:rsid w:val="004220E4"/>
    <w:rsid w:val="0042253F"/>
    <w:rsid w:val="004226AE"/>
    <w:rsid w:val="00422955"/>
    <w:rsid w:val="00422BBC"/>
    <w:rsid w:val="00422CCA"/>
    <w:rsid w:val="00422E41"/>
    <w:rsid w:val="00423042"/>
    <w:rsid w:val="0042304B"/>
    <w:rsid w:val="00423097"/>
    <w:rsid w:val="00423E9E"/>
    <w:rsid w:val="0042403E"/>
    <w:rsid w:val="0042404C"/>
    <w:rsid w:val="00424084"/>
    <w:rsid w:val="004244E7"/>
    <w:rsid w:val="00424597"/>
    <w:rsid w:val="004247C9"/>
    <w:rsid w:val="004249AD"/>
    <w:rsid w:val="00424B40"/>
    <w:rsid w:val="00424C9E"/>
    <w:rsid w:val="00424D5C"/>
    <w:rsid w:val="00424E07"/>
    <w:rsid w:val="00424F59"/>
    <w:rsid w:val="00424FFE"/>
    <w:rsid w:val="0042567F"/>
    <w:rsid w:val="00425A75"/>
    <w:rsid w:val="00425DA0"/>
    <w:rsid w:val="00425F8D"/>
    <w:rsid w:val="0042642B"/>
    <w:rsid w:val="0042655B"/>
    <w:rsid w:val="0042679D"/>
    <w:rsid w:val="00426808"/>
    <w:rsid w:val="0042687C"/>
    <w:rsid w:val="004269A3"/>
    <w:rsid w:val="00426B8F"/>
    <w:rsid w:val="00426EE2"/>
    <w:rsid w:val="0042710E"/>
    <w:rsid w:val="004273AD"/>
    <w:rsid w:val="00427A8A"/>
    <w:rsid w:val="00427B62"/>
    <w:rsid w:val="00427BC6"/>
    <w:rsid w:val="00427DB2"/>
    <w:rsid w:val="00427F40"/>
    <w:rsid w:val="00430072"/>
    <w:rsid w:val="00430209"/>
    <w:rsid w:val="00430237"/>
    <w:rsid w:val="00430327"/>
    <w:rsid w:val="004305AE"/>
    <w:rsid w:val="004308F8"/>
    <w:rsid w:val="0043094A"/>
    <w:rsid w:val="0043097A"/>
    <w:rsid w:val="00430AD1"/>
    <w:rsid w:val="00430B1B"/>
    <w:rsid w:val="00430DE8"/>
    <w:rsid w:val="00431207"/>
    <w:rsid w:val="004312BB"/>
    <w:rsid w:val="00431800"/>
    <w:rsid w:val="00431E90"/>
    <w:rsid w:val="00431F78"/>
    <w:rsid w:val="0043241E"/>
    <w:rsid w:val="0043259E"/>
    <w:rsid w:val="004327BE"/>
    <w:rsid w:val="0043295F"/>
    <w:rsid w:val="004329A4"/>
    <w:rsid w:val="00432AAA"/>
    <w:rsid w:val="00432CA9"/>
    <w:rsid w:val="004331B0"/>
    <w:rsid w:val="0043337F"/>
    <w:rsid w:val="00433541"/>
    <w:rsid w:val="00433892"/>
    <w:rsid w:val="004339E8"/>
    <w:rsid w:val="00433BE2"/>
    <w:rsid w:val="00433FB9"/>
    <w:rsid w:val="00434EFB"/>
    <w:rsid w:val="00434FEE"/>
    <w:rsid w:val="00435432"/>
    <w:rsid w:val="00435732"/>
    <w:rsid w:val="00435932"/>
    <w:rsid w:val="00435EA6"/>
    <w:rsid w:val="00435F6C"/>
    <w:rsid w:val="004360C4"/>
    <w:rsid w:val="00436457"/>
    <w:rsid w:val="00436514"/>
    <w:rsid w:val="00436582"/>
    <w:rsid w:val="00436691"/>
    <w:rsid w:val="0043673B"/>
    <w:rsid w:val="00436C22"/>
    <w:rsid w:val="00437114"/>
    <w:rsid w:val="00437278"/>
    <w:rsid w:val="0043733F"/>
    <w:rsid w:val="0043740D"/>
    <w:rsid w:val="0043756D"/>
    <w:rsid w:val="004376DF"/>
    <w:rsid w:val="00437750"/>
    <w:rsid w:val="004379BF"/>
    <w:rsid w:val="00437C90"/>
    <w:rsid w:val="00437CEB"/>
    <w:rsid w:val="00437E41"/>
    <w:rsid w:val="00437EBB"/>
    <w:rsid w:val="0044045A"/>
    <w:rsid w:val="00440679"/>
    <w:rsid w:val="004406B8"/>
    <w:rsid w:val="00440A63"/>
    <w:rsid w:val="00440FE0"/>
    <w:rsid w:val="00441C8B"/>
    <w:rsid w:val="0044213F"/>
    <w:rsid w:val="004423F7"/>
    <w:rsid w:val="0044241C"/>
    <w:rsid w:val="00442743"/>
    <w:rsid w:val="00442782"/>
    <w:rsid w:val="004428A5"/>
    <w:rsid w:val="004428D6"/>
    <w:rsid w:val="00442A49"/>
    <w:rsid w:val="00442AB0"/>
    <w:rsid w:val="00442BFD"/>
    <w:rsid w:val="004431A6"/>
    <w:rsid w:val="00443391"/>
    <w:rsid w:val="00443621"/>
    <w:rsid w:val="004439CC"/>
    <w:rsid w:val="00443BF4"/>
    <w:rsid w:val="00443C41"/>
    <w:rsid w:val="00444127"/>
    <w:rsid w:val="0044444D"/>
    <w:rsid w:val="004444B2"/>
    <w:rsid w:val="00444577"/>
    <w:rsid w:val="00444917"/>
    <w:rsid w:val="00444D86"/>
    <w:rsid w:val="00444E38"/>
    <w:rsid w:val="004450D4"/>
    <w:rsid w:val="00445161"/>
    <w:rsid w:val="00446166"/>
    <w:rsid w:val="004461B6"/>
    <w:rsid w:val="0044662F"/>
    <w:rsid w:val="0044690B"/>
    <w:rsid w:val="00446BBE"/>
    <w:rsid w:val="00446BDE"/>
    <w:rsid w:val="00447707"/>
    <w:rsid w:val="0044782C"/>
    <w:rsid w:val="00447866"/>
    <w:rsid w:val="00447ADB"/>
    <w:rsid w:val="00447CB2"/>
    <w:rsid w:val="00447D74"/>
    <w:rsid w:val="00447FE6"/>
    <w:rsid w:val="00450243"/>
    <w:rsid w:val="004505FA"/>
    <w:rsid w:val="00450638"/>
    <w:rsid w:val="004508E7"/>
    <w:rsid w:val="0045093D"/>
    <w:rsid w:val="00450B87"/>
    <w:rsid w:val="00451377"/>
    <w:rsid w:val="00451645"/>
    <w:rsid w:val="00451911"/>
    <w:rsid w:val="00451978"/>
    <w:rsid w:val="0045199C"/>
    <w:rsid w:val="004520A7"/>
    <w:rsid w:val="004522CD"/>
    <w:rsid w:val="004523EA"/>
    <w:rsid w:val="004524F0"/>
    <w:rsid w:val="0045262C"/>
    <w:rsid w:val="0045269A"/>
    <w:rsid w:val="00452B3F"/>
    <w:rsid w:val="00452BAF"/>
    <w:rsid w:val="004530C0"/>
    <w:rsid w:val="004531B1"/>
    <w:rsid w:val="0045352F"/>
    <w:rsid w:val="004536AF"/>
    <w:rsid w:val="004538A3"/>
    <w:rsid w:val="00453A9E"/>
    <w:rsid w:val="00454270"/>
    <w:rsid w:val="0045429E"/>
    <w:rsid w:val="004544FD"/>
    <w:rsid w:val="0045482D"/>
    <w:rsid w:val="004548E1"/>
    <w:rsid w:val="00454A34"/>
    <w:rsid w:val="00454DDE"/>
    <w:rsid w:val="00454E6B"/>
    <w:rsid w:val="00454EA1"/>
    <w:rsid w:val="00454F8E"/>
    <w:rsid w:val="00455063"/>
    <w:rsid w:val="0045593F"/>
    <w:rsid w:val="00455F11"/>
    <w:rsid w:val="00456003"/>
    <w:rsid w:val="0045619F"/>
    <w:rsid w:val="0045624A"/>
    <w:rsid w:val="00456889"/>
    <w:rsid w:val="00456D69"/>
    <w:rsid w:val="00456EDF"/>
    <w:rsid w:val="00456FE0"/>
    <w:rsid w:val="00457209"/>
    <w:rsid w:val="004576C5"/>
    <w:rsid w:val="0045791D"/>
    <w:rsid w:val="00457D28"/>
    <w:rsid w:val="00457DB1"/>
    <w:rsid w:val="00457E80"/>
    <w:rsid w:val="00460259"/>
    <w:rsid w:val="004604CA"/>
    <w:rsid w:val="004606CA"/>
    <w:rsid w:val="00460952"/>
    <w:rsid w:val="004609EC"/>
    <w:rsid w:val="00460A86"/>
    <w:rsid w:val="00460C9D"/>
    <w:rsid w:val="00460E91"/>
    <w:rsid w:val="00460EC0"/>
    <w:rsid w:val="00460FEC"/>
    <w:rsid w:val="00461083"/>
    <w:rsid w:val="004611AB"/>
    <w:rsid w:val="0046139A"/>
    <w:rsid w:val="004615F2"/>
    <w:rsid w:val="004616FE"/>
    <w:rsid w:val="004617B7"/>
    <w:rsid w:val="00461AE8"/>
    <w:rsid w:val="00461BF2"/>
    <w:rsid w:val="00461C34"/>
    <w:rsid w:val="00461DEC"/>
    <w:rsid w:val="00462778"/>
    <w:rsid w:val="0046284E"/>
    <w:rsid w:val="00462CDD"/>
    <w:rsid w:val="00462D7D"/>
    <w:rsid w:val="00462FAA"/>
    <w:rsid w:val="004635AA"/>
    <w:rsid w:val="004635FE"/>
    <w:rsid w:val="00463866"/>
    <w:rsid w:val="00463D8D"/>
    <w:rsid w:val="00463E46"/>
    <w:rsid w:val="00464172"/>
    <w:rsid w:val="00464220"/>
    <w:rsid w:val="00464BED"/>
    <w:rsid w:val="00464F6C"/>
    <w:rsid w:val="0046517E"/>
    <w:rsid w:val="004655ED"/>
    <w:rsid w:val="004657D8"/>
    <w:rsid w:val="0046582F"/>
    <w:rsid w:val="00465B1C"/>
    <w:rsid w:val="00465C24"/>
    <w:rsid w:val="0046633E"/>
    <w:rsid w:val="004664D6"/>
    <w:rsid w:val="00466A00"/>
    <w:rsid w:val="00466C8F"/>
    <w:rsid w:val="00466CFD"/>
    <w:rsid w:val="00466D66"/>
    <w:rsid w:val="004670CC"/>
    <w:rsid w:val="004674BF"/>
    <w:rsid w:val="00467634"/>
    <w:rsid w:val="004678DE"/>
    <w:rsid w:val="00467A8C"/>
    <w:rsid w:val="004706EA"/>
    <w:rsid w:val="004709E6"/>
    <w:rsid w:val="00470CAF"/>
    <w:rsid w:val="00470E76"/>
    <w:rsid w:val="00470FA7"/>
    <w:rsid w:val="0047126A"/>
    <w:rsid w:val="004712DC"/>
    <w:rsid w:val="0047153F"/>
    <w:rsid w:val="004717E9"/>
    <w:rsid w:val="00471904"/>
    <w:rsid w:val="00471D0D"/>
    <w:rsid w:val="00472613"/>
    <w:rsid w:val="00472620"/>
    <w:rsid w:val="00472680"/>
    <w:rsid w:val="004727CC"/>
    <w:rsid w:val="00472868"/>
    <w:rsid w:val="00472BF2"/>
    <w:rsid w:val="00472E50"/>
    <w:rsid w:val="00472F3B"/>
    <w:rsid w:val="00472FD9"/>
    <w:rsid w:val="004731B7"/>
    <w:rsid w:val="00473653"/>
    <w:rsid w:val="004737F8"/>
    <w:rsid w:val="00473824"/>
    <w:rsid w:val="00473D62"/>
    <w:rsid w:val="00473D79"/>
    <w:rsid w:val="00473EFB"/>
    <w:rsid w:val="004746BA"/>
    <w:rsid w:val="00474753"/>
    <w:rsid w:val="0047480E"/>
    <w:rsid w:val="00474A7D"/>
    <w:rsid w:val="00474A83"/>
    <w:rsid w:val="00474E01"/>
    <w:rsid w:val="004751B8"/>
    <w:rsid w:val="00475AEB"/>
    <w:rsid w:val="0047642D"/>
    <w:rsid w:val="00476444"/>
    <w:rsid w:val="004769C1"/>
    <w:rsid w:val="00476AB4"/>
    <w:rsid w:val="00476FA4"/>
    <w:rsid w:val="00477029"/>
    <w:rsid w:val="00477090"/>
    <w:rsid w:val="0047709B"/>
    <w:rsid w:val="004771C0"/>
    <w:rsid w:val="00477253"/>
    <w:rsid w:val="004778C9"/>
    <w:rsid w:val="00477971"/>
    <w:rsid w:val="0047797E"/>
    <w:rsid w:val="00477E7F"/>
    <w:rsid w:val="00477E83"/>
    <w:rsid w:val="00477EEC"/>
    <w:rsid w:val="00480555"/>
    <w:rsid w:val="004805CA"/>
    <w:rsid w:val="00480DDC"/>
    <w:rsid w:val="004814F2"/>
    <w:rsid w:val="00481925"/>
    <w:rsid w:val="0048194A"/>
    <w:rsid w:val="00481ECA"/>
    <w:rsid w:val="0048208F"/>
    <w:rsid w:val="0048233C"/>
    <w:rsid w:val="0048273B"/>
    <w:rsid w:val="00482804"/>
    <w:rsid w:val="00482B47"/>
    <w:rsid w:val="00482EC4"/>
    <w:rsid w:val="00483054"/>
    <w:rsid w:val="0048306D"/>
    <w:rsid w:val="0048323E"/>
    <w:rsid w:val="00483573"/>
    <w:rsid w:val="00483673"/>
    <w:rsid w:val="00483885"/>
    <w:rsid w:val="004843B1"/>
    <w:rsid w:val="0048443C"/>
    <w:rsid w:val="00484B9C"/>
    <w:rsid w:val="00484DC5"/>
    <w:rsid w:val="00484E33"/>
    <w:rsid w:val="00485009"/>
    <w:rsid w:val="00485030"/>
    <w:rsid w:val="004851D9"/>
    <w:rsid w:val="0048543B"/>
    <w:rsid w:val="00485493"/>
    <w:rsid w:val="00485505"/>
    <w:rsid w:val="004855E4"/>
    <w:rsid w:val="00485675"/>
    <w:rsid w:val="0048582F"/>
    <w:rsid w:val="0048589E"/>
    <w:rsid w:val="00485C84"/>
    <w:rsid w:val="00485D9C"/>
    <w:rsid w:val="00485DEC"/>
    <w:rsid w:val="00485F2C"/>
    <w:rsid w:val="00486425"/>
    <w:rsid w:val="00486479"/>
    <w:rsid w:val="004865A9"/>
    <w:rsid w:val="0048682D"/>
    <w:rsid w:val="004869A1"/>
    <w:rsid w:val="00486CB9"/>
    <w:rsid w:val="00487098"/>
    <w:rsid w:val="0048741C"/>
    <w:rsid w:val="004876C4"/>
    <w:rsid w:val="00487A67"/>
    <w:rsid w:val="00487A9B"/>
    <w:rsid w:val="00487AE7"/>
    <w:rsid w:val="00487C85"/>
    <w:rsid w:val="004904B9"/>
    <w:rsid w:val="0049063E"/>
    <w:rsid w:val="00490C34"/>
    <w:rsid w:val="00490DC4"/>
    <w:rsid w:val="00491310"/>
    <w:rsid w:val="00491329"/>
    <w:rsid w:val="004914A8"/>
    <w:rsid w:val="004914EB"/>
    <w:rsid w:val="00491544"/>
    <w:rsid w:val="004915DD"/>
    <w:rsid w:val="004917C3"/>
    <w:rsid w:val="004918D1"/>
    <w:rsid w:val="00491B20"/>
    <w:rsid w:val="00491B44"/>
    <w:rsid w:val="00491E60"/>
    <w:rsid w:val="00492146"/>
    <w:rsid w:val="00492291"/>
    <w:rsid w:val="00492510"/>
    <w:rsid w:val="0049264C"/>
    <w:rsid w:val="004926F6"/>
    <w:rsid w:val="00492785"/>
    <w:rsid w:val="00492876"/>
    <w:rsid w:val="00492C09"/>
    <w:rsid w:val="00492D87"/>
    <w:rsid w:val="00492DA1"/>
    <w:rsid w:val="00493198"/>
    <w:rsid w:val="004934FA"/>
    <w:rsid w:val="00493587"/>
    <w:rsid w:val="00493742"/>
    <w:rsid w:val="00493903"/>
    <w:rsid w:val="00493979"/>
    <w:rsid w:val="00493A21"/>
    <w:rsid w:val="00493CD5"/>
    <w:rsid w:val="00493D6B"/>
    <w:rsid w:val="00494A76"/>
    <w:rsid w:val="00494F64"/>
    <w:rsid w:val="00494FC0"/>
    <w:rsid w:val="00495299"/>
    <w:rsid w:val="004956B5"/>
    <w:rsid w:val="00495F06"/>
    <w:rsid w:val="004960CA"/>
    <w:rsid w:val="00496188"/>
    <w:rsid w:val="00496906"/>
    <w:rsid w:val="00496A0C"/>
    <w:rsid w:val="00496D37"/>
    <w:rsid w:val="004974A2"/>
    <w:rsid w:val="004976DE"/>
    <w:rsid w:val="00497B9F"/>
    <w:rsid w:val="00497EC9"/>
    <w:rsid w:val="004A030D"/>
    <w:rsid w:val="004A092E"/>
    <w:rsid w:val="004A0F8C"/>
    <w:rsid w:val="004A0F99"/>
    <w:rsid w:val="004A10F2"/>
    <w:rsid w:val="004A13EC"/>
    <w:rsid w:val="004A199F"/>
    <w:rsid w:val="004A207E"/>
    <w:rsid w:val="004A2084"/>
    <w:rsid w:val="004A2280"/>
    <w:rsid w:val="004A2365"/>
    <w:rsid w:val="004A251B"/>
    <w:rsid w:val="004A2CBB"/>
    <w:rsid w:val="004A345A"/>
    <w:rsid w:val="004A3690"/>
    <w:rsid w:val="004A38D9"/>
    <w:rsid w:val="004A3E90"/>
    <w:rsid w:val="004A4006"/>
    <w:rsid w:val="004A4430"/>
    <w:rsid w:val="004A444C"/>
    <w:rsid w:val="004A45BF"/>
    <w:rsid w:val="004A4913"/>
    <w:rsid w:val="004A4FDF"/>
    <w:rsid w:val="004A50EE"/>
    <w:rsid w:val="004A5343"/>
    <w:rsid w:val="004A543B"/>
    <w:rsid w:val="004A5489"/>
    <w:rsid w:val="004A5C89"/>
    <w:rsid w:val="004A5CE3"/>
    <w:rsid w:val="004A5E73"/>
    <w:rsid w:val="004A6928"/>
    <w:rsid w:val="004A69F9"/>
    <w:rsid w:val="004A6B0E"/>
    <w:rsid w:val="004A6B81"/>
    <w:rsid w:val="004A6BA7"/>
    <w:rsid w:val="004A6DF6"/>
    <w:rsid w:val="004A70E9"/>
    <w:rsid w:val="004A7A52"/>
    <w:rsid w:val="004A7A9C"/>
    <w:rsid w:val="004A7E2F"/>
    <w:rsid w:val="004A7F5B"/>
    <w:rsid w:val="004B014F"/>
    <w:rsid w:val="004B0326"/>
    <w:rsid w:val="004B0610"/>
    <w:rsid w:val="004B06DA"/>
    <w:rsid w:val="004B0E5B"/>
    <w:rsid w:val="004B1139"/>
    <w:rsid w:val="004B169C"/>
    <w:rsid w:val="004B17F2"/>
    <w:rsid w:val="004B19FE"/>
    <w:rsid w:val="004B1A3A"/>
    <w:rsid w:val="004B1BBB"/>
    <w:rsid w:val="004B1E22"/>
    <w:rsid w:val="004B1FFF"/>
    <w:rsid w:val="004B205B"/>
    <w:rsid w:val="004B2A4D"/>
    <w:rsid w:val="004B2C52"/>
    <w:rsid w:val="004B2F45"/>
    <w:rsid w:val="004B30B0"/>
    <w:rsid w:val="004B3152"/>
    <w:rsid w:val="004B33BC"/>
    <w:rsid w:val="004B33C2"/>
    <w:rsid w:val="004B3CD1"/>
    <w:rsid w:val="004B3D41"/>
    <w:rsid w:val="004B3DB7"/>
    <w:rsid w:val="004B4214"/>
    <w:rsid w:val="004B43CE"/>
    <w:rsid w:val="004B47E2"/>
    <w:rsid w:val="004B4857"/>
    <w:rsid w:val="004B49FD"/>
    <w:rsid w:val="004B5735"/>
    <w:rsid w:val="004B59A2"/>
    <w:rsid w:val="004B5BAB"/>
    <w:rsid w:val="004B5DAF"/>
    <w:rsid w:val="004B62FE"/>
    <w:rsid w:val="004B639C"/>
    <w:rsid w:val="004B6761"/>
    <w:rsid w:val="004B6886"/>
    <w:rsid w:val="004B689D"/>
    <w:rsid w:val="004B68F3"/>
    <w:rsid w:val="004B6949"/>
    <w:rsid w:val="004B695A"/>
    <w:rsid w:val="004B6C0A"/>
    <w:rsid w:val="004B6F90"/>
    <w:rsid w:val="004B6FB7"/>
    <w:rsid w:val="004B7212"/>
    <w:rsid w:val="004B7A51"/>
    <w:rsid w:val="004B7AF9"/>
    <w:rsid w:val="004B7F58"/>
    <w:rsid w:val="004C0042"/>
    <w:rsid w:val="004C0357"/>
    <w:rsid w:val="004C0A1E"/>
    <w:rsid w:val="004C0E09"/>
    <w:rsid w:val="004C0E97"/>
    <w:rsid w:val="004C13C3"/>
    <w:rsid w:val="004C16F8"/>
    <w:rsid w:val="004C17EC"/>
    <w:rsid w:val="004C17F1"/>
    <w:rsid w:val="004C1C51"/>
    <w:rsid w:val="004C2868"/>
    <w:rsid w:val="004C2A0C"/>
    <w:rsid w:val="004C2C2A"/>
    <w:rsid w:val="004C2C41"/>
    <w:rsid w:val="004C2EEC"/>
    <w:rsid w:val="004C3346"/>
    <w:rsid w:val="004C3440"/>
    <w:rsid w:val="004C35A1"/>
    <w:rsid w:val="004C35CE"/>
    <w:rsid w:val="004C4239"/>
    <w:rsid w:val="004C4476"/>
    <w:rsid w:val="004C48C8"/>
    <w:rsid w:val="004C4950"/>
    <w:rsid w:val="004C4BE6"/>
    <w:rsid w:val="004C4F4F"/>
    <w:rsid w:val="004C5123"/>
    <w:rsid w:val="004C520F"/>
    <w:rsid w:val="004C5309"/>
    <w:rsid w:val="004C532B"/>
    <w:rsid w:val="004C5455"/>
    <w:rsid w:val="004C55DB"/>
    <w:rsid w:val="004C598D"/>
    <w:rsid w:val="004C5CA1"/>
    <w:rsid w:val="004C5FD5"/>
    <w:rsid w:val="004C60DD"/>
    <w:rsid w:val="004C61BD"/>
    <w:rsid w:val="004C6248"/>
    <w:rsid w:val="004C6308"/>
    <w:rsid w:val="004C63A1"/>
    <w:rsid w:val="004C6A56"/>
    <w:rsid w:val="004C6ADF"/>
    <w:rsid w:val="004C6C64"/>
    <w:rsid w:val="004C6DCB"/>
    <w:rsid w:val="004C7334"/>
    <w:rsid w:val="004C7534"/>
    <w:rsid w:val="004C7677"/>
    <w:rsid w:val="004C792C"/>
    <w:rsid w:val="004C7E23"/>
    <w:rsid w:val="004D031D"/>
    <w:rsid w:val="004D048F"/>
    <w:rsid w:val="004D08A6"/>
    <w:rsid w:val="004D0ACA"/>
    <w:rsid w:val="004D0E01"/>
    <w:rsid w:val="004D123F"/>
    <w:rsid w:val="004D139C"/>
    <w:rsid w:val="004D13AE"/>
    <w:rsid w:val="004D1538"/>
    <w:rsid w:val="004D170E"/>
    <w:rsid w:val="004D1724"/>
    <w:rsid w:val="004D1AA7"/>
    <w:rsid w:val="004D1B8C"/>
    <w:rsid w:val="004D1E12"/>
    <w:rsid w:val="004D2045"/>
    <w:rsid w:val="004D2046"/>
    <w:rsid w:val="004D2518"/>
    <w:rsid w:val="004D25B5"/>
    <w:rsid w:val="004D2CAC"/>
    <w:rsid w:val="004D2DED"/>
    <w:rsid w:val="004D2E48"/>
    <w:rsid w:val="004D386F"/>
    <w:rsid w:val="004D3897"/>
    <w:rsid w:val="004D3DC0"/>
    <w:rsid w:val="004D3DD7"/>
    <w:rsid w:val="004D4011"/>
    <w:rsid w:val="004D41EF"/>
    <w:rsid w:val="004D42D9"/>
    <w:rsid w:val="004D4425"/>
    <w:rsid w:val="004D442B"/>
    <w:rsid w:val="004D44BF"/>
    <w:rsid w:val="004D4815"/>
    <w:rsid w:val="004D4988"/>
    <w:rsid w:val="004D49A3"/>
    <w:rsid w:val="004D4A29"/>
    <w:rsid w:val="004D4E06"/>
    <w:rsid w:val="004D4E83"/>
    <w:rsid w:val="004D5A81"/>
    <w:rsid w:val="004D5B9F"/>
    <w:rsid w:val="004D5C2A"/>
    <w:rsid w:val="004D5F39"/>
    <w:rsid w:val="004D60CD"/>
    <w:rsid w:val="004D63CA"/>
    <w:rsid w:val="004D6A42"/>
    <w:rsid w:val="004D6AB7"/>
    <w:rsid w:val="004D6E91"/>
    <w:rsid w:val="004D6EB3"/>
    <w:rsid w:val="004D6ED9"/>
    <w:rsid w:val="004D6F40"/>
    <w:rsid w:val="004D7194"/>
    <w:rsid w:val="004D7679"/>
    <w:rsid w:val="004D7717"/>
    <w:rsid w:val="004E026A"/>
    <w:rsid w:val="004E04B9"/>
    <w:rsid w:val="004E0637"/>
    <w:rsid w:val="004E0780"/>
    <w:rsid w:val="004E08DC"/>
    <w:rsid w:val="004E0B9F"/>
    <w:rsid w:val="004E0BE2"/>
    <w:rsid w:val="004E0F0D"/>
    <w:rsid w:val="004E18B0"/>
    <w:rsid w:val="004E1927"/>
    <w:rsid w:val="004E1955"/>
    <w:rsid w:val="004E1AB4"/>
    <w:rsid w:val="004E1D3B"/>
    <w:rsid w:val="004E24CD"/>
    <w:rsid w:val="004E25AC"/>
    <w:rsid w:val="004E2BD6"/>
    <w:rsid w:val="004E2CDF"/>
    <w:rsid w:val="004E307C"/>
    <w:rsid w:val="004E333C"/>
    <w:rsid w:val="004E360A"/>
    <w:rsid w:val="004E365D"/>
    <w:rsid w:val="004E39DC"/>
    <w:rsid w:val="004E3B6C"/>
    <w:rsid w:val="004E3E24"/>
    <w:rsid w:val="004E4238"/>
    <w:rsid w:val="004E44A5"/>
    <w:rsid w:val="004E45ED"/>
    <w:rsid w:val="004E4925"/>
    <w:rsid w:val="004E49F5"/>
    <w:rsid w:val="004E4DE7"/>
    <w:rsid w:val="004E4F23"/>
    <w:rsid w:val="004E4FF8"/>
    <w:rsid w:val="004E553C"/>
    <w:rsid w:val="004E5B40"/>
    <w:rsid w:val="004E5E0E"/>
    <w:rsid w:val="004E5EE2"/>
    <w:rsid w:val="004E651C"/>
    <w:rsid w:val="004E6779"/>
    <w:rsid w:val="004E6EDD"/>
    <w:rsid w:val="004E7582"/>
    <w:rsid w:val="004F0065"/>
    <w:rsid w:val="004F0194"/>
    <w:rsid w:val="004F0570"/>
    <w:rsid w:val="004F0B62"/>
    <w:rsid w:val="004F0CF7"/>
    <w:rsid w:val="004F0D28"/>
    <w:rsid w:val="004F11A0"/>
    <w:rsid w:val="004F153D"/>
    <w:rsid w:val="004F1593"/>
    <w:rsid w:val="004F1657"/>
    <w:rsid w:val="004F1840"/>
    <w:rsid w:val="004F194C"/>
    <w:rsid w:val="004F1A83"/>
    <w:rsid w:val="004F1DD4"/>
    <w:rsid w:val="004F1F7E"/>
    <w:rsid w:val="004F2068"/>
    <w:rsid w:val="004F21D9"/>
    <w:rsid w:val="004F291F"/>
    <w:rsid w:val="004F2B01"/>
    <w:rsid w:val="004F2E8D"/>
    <w:rsid w:val="004F2F8A"/>
    <w:rsid w:val="004F33B6"/>
    <w:rsid w:val="004F3425"/>
    <w:rsid w:val="004F36D6"/>
    <w:rsid w:val="004F3780"/>
    <w:rsid w:val="004F3B7C"/>
    <w:rsid w:val="004F3BB6"/>
    <w:rsid w:val="004F4906"/>
    <w:rsid w:val="004F4E38"/>
    <w:rsid w:val="004F4F4E"/>
    <w:rsid w:val="004F4F72"/>
    <w:rsid w:val="004F5510"/>
    <w:rsid w:val="004F5695"/>
    <w:rsid w:val="004F5712"/>
    <w:rsid w:val="004F5A4B"/>
    <w:rsid w:val="004F5E19"/>
    <w:rsid w:val="004F692D"/>
    <w:rsid w:val="004F6AD3"/>
    <w:rsid w:val="004F6CC5"/>
    <w:rsid w:val="004F756A"/>
    <w:rsid w:val="004F773B"/>
    <w:rsid w:val="004F777A"/>
    <w:rsid w:val="004F7D1A"/>
    <w:rsid w:val="004F7D39"/>
    <w:rsid w:val="004F7F50"/>
    <w:rsid w:val="004F7F75"/>
    <w:rsid w:val="00500176"/>
    <w:rsid w:val="00500A2D"/>
    <w:rsid w:val="00501382"/>
    <w:rsid w:val="00501386"/>
    <w:rsid w:val="005014BA"/>
    <w:rsid w:val="0050158C"/>
    <w:rsid w:val="005016C8"/>
    <w:rsid w:val="00501700"/>
    <w:rsid w:val="0050177A"/>
    <w:rsid w:val="005018B1"/>
    <w:rsid w:val="00501B65"/>
    <w:rsid w:val="00501BD9"/>
    <w:rsid w:val="00501C1B"/>
    <w:rsid w:val="00501C25"/>
    <w:rsid w:val="00501DBB"/>
    <w:rsid w:val="00502380"/>
    <w:rsid w:val="005025D0"/>
    <w:rsid w:val="005025FC"/>
    <w:rsid w:val="005027A6"/>
    <w:rsid w:val="00502AC2"/>
    <w:rsid w:val="00502DAE"/>
    <w:rsid w:val="00502F0F"/>
    <w:rsid w:val="00502FFB"/>
    <w:rsid w:val="005031BD"/>
    <w:rsid w:val="00503839"/>
    <w:rsid w:val="005038A0"/>
    <w:rsid w:val="00503985"/>
    <w:rsid w:val="00503CFB"/>
    <w:rsid w:val="00503D18"/>
    <w:rsid w:val="00503DE1"/>
    <w:rsid w:val="00503FF7"/>
    <w:rsid w:val="005041B5"/>
    <w:rsid w:val="0050434F"/>
    <w:rsid w:val="0050436F"/>
    <w:rsid w:val="0050457A"/>
    <w:rsid w:val="00504A63"/>
    <w:rsid w:val="00504A82"/>
    <w:rsid w:val="00505181"/>
    <w:rsid w:val="005057DF"/>
    <w:rsid w:val="00505A66"/>
    <w:rsid w:val="00505B05"/>
    <w:rsid w:val="00505D39"/>
    <w:rsid w:val="00505E19"/>
    <w:rsid w:val="00505EC1"/>
    <w:rsid w:val="005060C2"/>
    <w:rsid w:val="00506611"/>
    <w:rsid w:val="005067B3"/>
    <w:rsid w:val="00506C01"/>
    <w:rsid w:val="00506F92"/>
    <w:rsid w:val="005070CB"/>
    <w:rsid w:val="00507514"/>
    <w:rsid w:val="00507553"/>
    <w:rsid w:val="00507648"/>
    <w:rsid w:val="00507D50"/>
    <w:rsid w:val="00507DBA"/>
    <w:rsid w:val="00510129"/>
    <w:rsid w:val="00510260"/>
    <w:rsid w:val="005103C5"/>
    <w:rsid w:val="0051060F"/>
    <w:rsid w:val="0051078B"/>
    <w:rsid w:val="00510AEB"/>
    <w:rsid w:val="00510B8F"/>
    <w:rsid w:val="0051101E"/>
    <w:rsid w:val="0051109C"/>
    <w:rsid w:val="005112D9"/>
    <w:rsid w:val="00511416"/>
    <w:rsid w:val="0051149E"/>
    <w:rsid w:val="005118F7"/>
    <w:rsid w:val="005118F8"/>
    <w:rsid w:val="00511B07"/>
    <w:rsid w:val="00511B5B"/>
    <w:rsid w:val="00511B74"/>
    <w:rsid w:val="00511CA2"/>
    <w:rsid w:val="00511D53"/>
    <w:rsid w:val="00511EC6"/>
    <w:rsid w:val="0051248C"/>
    <w:rsid w:val="005127A1"/>
    <w:rsid w:val="005127CD"/>
    <w:rsid w:val="0051280F"/>
    <w:rsid w:val="00512889"/>
    <w:rsid w:val="005131D3"/>
    <w:rsid w:val="0051352C"/>
    <w:rsid w:val="005138AF"/>
    <w:rsid w:val="00513A6B"/>
    <w:rsid w:val="0051410A"/>
    <w:rsid w:val="00514295"/>
    <w:rsid w:val="00514728"/>
    <w:rsid w:val="00514D53"/>
    <w:rsid w:val="00514E76"/>
    <w:rsid w:val="00514F0A"/>
    <w:rsid w:val="00514FC2"/>
    <w:rsid w:val="005155C6"/>
    <w:rsid w:val="00515699"/>
    <w:rsid w:val="00515BFA"/>
    <w:rsid w:val="00515F39"/>
    <w:rsid w:val="00516868"/>
    <w:rsid w:val="00516B22"/>
    <w:rsid w:val="00516C30"/>
    <w:rsid w:val="00516EEF"/>
    <w:rsid w:val="00517166"/>
    <w:rsid w:val="00517276"/>
    <w:rsid w:val="00517473"/>
    <w:rsid w:val="005177A4"/>
    <w:rsid w:val="00517A86"/>
    <w:rsid w:val="00517CC9"/>
    <w:rsid w:val="00520075"/>
    <w:rsid w:val="0052050F"/>
    <w:rsid w:val="0052073A"/>
    <w:rsid w:val="00520BAE"/>
    <w:rsid w:val="00520D22"/>
    <w:rsid w:val="00520DDA"/>
    <w:rsid w:val="0052165B"/>
    <w:rsid w:val="005217AE"/>
    <w:rsid w:val="005218FD"/>
    <w:rsid w:val="00521BDE"/>
    <w:rsid w:val="00521BED"/>
    <w:rsid w:val="00521CCC"/>
    <w:rsid w:val="00521E64"/>
    <w:rsid w:val="0052201E"/>
    <w:rsid w:val="005222B3"/>
    <w:rsid w:val="005225A6"/>
    <w:rsid w:val="005225FA"/>
    <w:rsid w:val="00522722"/>
    <w:rsid w:val="005227C0"/>
    <w:rsid w:val="0052287E"/>
    <w:rsid w:val="00522DC6"/>
    <w:rsid w:val="00523048"/>
    <w:rsid w:val="00523144"/>
    <w:rsid w:val="00523446"/>
    <w:rsid w:val="0052345B"/>
    <w:rsid w:val="0052349D"/>
    <w:rsid w:val="005235C1"/>
    <w:rsid w:val="005235FF"/>
    <w:rsid w:val="0052380A"/>
    <w:rsid w:val="00523C59"/>
    <w:rsid w:val="00523C74"/>
    <w:rsid w:val="00523FA6"/>
    <w:rsid w:val="005241FC"/>
    <w:rsid w:val="00524343"/>
    <w:rsid w:val="0052444E"/>
    <w:rsid w:val="0052465E"/>
    <w:rsid w:val="005249AA"/>
    <w:rsid w:val="005249D9"/>
    <w:rsid w:val="005249E7"/>
    <w:rsid w:val="00524BE8"/>
    <w:rsid w:val="00524D0E"/>
    <w:rsid w:val="00524D9C"/>
    <w:rsid w:val="00524DF8"/>
    <w:rsid w:val="00525409"/>
    <w:rsid w:val="0052575D"/>
    <w:rsid w:val="0052577C"/>
    <w:rsid w:val="005258BE"/>
    <w:rsid w:val="005258D9"/>
    <w:rsid w:val="00525C89"/>
    <w:rsid w:val="00525DE8"/>
    <w:rsid w:val="00525E20"/>
    <w:rsid w:val="005266C9"/>
    <w:rsid w:val="00526994"/>
    <w:rsid w:val="00526C92"/>
    <w:rsid w:val="00526D90"/>
    <w:rsid w:val="0052715E"/>
    <w:rsid w:val="00527562"/>
    <w:rsid w:val="005275FC"/>
    <w:rsid w:val="0052768C"/>
    <w:rsid w:val="00527E03"/>
    <w:rsid w:val="00527FA3"/>
    <w:rsid w:val="00530158"/>
    <w:rsid w:val="00530896"/>
    <w:rsid w:val="00530BAB"/>
    <w:rsid w:val="00530D92"/>
    <w:rsid w:val="00530E3F"/>
    <w:rsid w:val="00530F50"/>
    <w:rsid w:val="005310AF"/>
    <w:rsid w:val="00531148"/>
    <w:rsid w:val="00531157"/>
    <w:rsid w:val="005311B7"/>
    <w:rsid w:val="0053127C"/>
    <w:rsid w:val="0053128C"/>
    <w:rsid w:val="00531818"/>
    <w:rsid w:val="00531A8B"/>
    <w:rsid w:val="00531F1C"/>
    <w:rsid w:val="00532570"/>
    <w:rsid w:val="0053279B"/>
    <w:rsid w:val="00532BE1"/>
    <w:rsid w:val="00532E77"/>
    <w:rsid w:val="00532EFF"/>
    <w:rsid w:val="005331DD"/>
    <w:rsid w:val="0053327A"/>
    <w:rsid w:val="005335ED"/>
    <w:rsid w:val="00533858"/>
    <w:rsid w:val="00533AD0"/>
    <w:rsid w:val="005342C3"/>
    <w:rsid w:val="005342F0"/>
    <w:rsid w:val="0053432F"/>
    <w:rsid w:val="0053458B"/>
    <w:rsid w:val="00534696"/>
    <w:rsid w:val="005346EA"/>
    <w:rsid w:val="00534E65"/>
    <w:rsid w:val="0053525E"/>
    <w:rsid w:val="005353B8"/>
    <w:rsid w:val="005353C1"/>
    <w:rsid w:val="005355B3"/>
    <w:rsid w:val="00535915"/>
    <w:rsid w:val="00535A93"/>
    <w:rsid w:val="00535AB1"/>
    <w:rsid w:val="00535E82"/>
    <w:rsid w:val="0053607D"/>
    <w:rsid w:val="005360DC"/>
    <w:rsid w:val="005360E0"/>
    <w:rsid w:val="005362F5"/>
    <w:rsid w:val="0053644D"/>
    <w:rsid w:val="00536588"/>
    <w:rsid w:val="00536636"/>
    <w:rsid w:val="0053664B"/>
    <w:rsid w:val="0053725B"/>
    <w:rsid w:val="00537396"/>
    <w:rsid w:val="00537403"/>
    <w:rsid w:val="00537463"/>
    <w:rsid w:val="0053774A"/>
    <w:rsid w:val="00537887"/>
    <w:rsid w:val="0053796C"/>
    <w:rsid w:val="005379D9"/>
    <w:rsid w:val="005402D0"/>
    <w:rsid w:val="00540314"/>
    <w:rsid w:val="005408B0"/>
    <w:rsid w:val="005408D5"/>
    <w:rsid w:val="0054094F"/>
    <w:rsid w:val="00540AF5"/>
    <w:rsid w:val="00540B8C"/>
    <w:rsid w:val="00540C30"/>
    <w:rsid w:val="00540C3E"/>
    <w:rsid w:val="00540C57"/>
    <w:rsid w:val="00540D5E"/>
    <w:rsid w:val="00540DD3"/>
    <w:rsid w:val="00540EBA"/>
    <w:rsid w:val="00541118"/>
    <w:rsid w:val="005412B9"/>
    <w:rsid w:val="005418A2"/>
    <w:rsid w:val="00541BA2"/>
    <w:rsid w:val="00541CB7"/>
    <w:rsid w:val="00542303"/>
    <w:rsid w:val="00542577"/>
    <w:rsid w:val="00542886"/>
    <w:rsid w:val="00542B0F"/>
    <w:rsid w:val="00542DE2"/>
    <w:rsid w:val="0054374A"/>
    <w:rsid w:val="0054376B"/>
    <w:rsid w:val="00543850"/>
    <w:rsid w:val="005438A8"/>
    <w:rsid w:val="00543916"/>
    <w:rsid w:val="00543DDE"/>
    <w:rsid w:val="00543E1A"/>
    <w:rsid w:val="00543FDE"/>
    <w:rsid w:val="00544113"/>
    <w:rsid w:val="00544428"/>
    <w:rsid w:val="005448D5"/>
    <w:rsid w:val="00544C1A"/>
    <w:rsid w:val="00544CF5"/>
    <w:rsid w:val="0054551C"/>
    <w:rsid w:val="0054558C"/>
    <w:rsid w:val="00545A8F"/>
    <w:rsid w:val="00545B42"/>
    <w:rsid w:val="00545DC0"/>
    <w:rsid w:val="00546131"/>
    <w:rsid w:val="0054613B"/>
    <w:rsid w:val="00546593"/>
    <w:rsid w:val="005465E4"/>
    <w:rsid w:val="00546D09"/>
    <w:rsid w:val="00546DBD"/>
    <w:rsid w:val="00547294"/>
    <w:rsid w:val="00547396"/>
    <w:rsid w:val="005475BB"/>
    <w:rsid w:val="00547867"/>
    <w:rsid w:val="00547ADC"/>
    <w:rsid w:val="00547AEE"/>
    <w:rsid w:val="00547D54"/>
    <w:rsid w:val="00547ECE"/>
    <w:rsid w:val="005508F2"/>
    <w:rsid w:val="00550FE1"/>
    <w:rsid w:val="005513AB"/>
    <w:rsid w:val="00551814"/>
    <w:rsid w:val="00551905"/>
    <w:rsid w:val="0055194D"/>
    <w:rsid w:val="00552138"/>
    <w:rsid w:val="00552335"/>
    <w:rsid w:val="005523C6"/>
    <w:rsid w:val="005523DD"/>
    <w:rsid w:val="005525CB"/>
    <w:rsid w:val="005525E6"/>
    <w:rsid w:val="00552843"/>
    <w:rsid w:val="00552A05"/>
    <w:rsid w:val="00552C0B"/>
    <w:rsid w:val="00552EAD"/>
    <w:rsid w:val="0055302D"/>
    <w:rsid w:val="005531BD"/>
    <w:rsid w:val="005531BE"/>
    <w:rsid w:val="005533DF"/>
    <w:rsid w:val="005534F5"/>
    <w:rsid w:val="00553BDA"/>
    <w:rsid w:val="00553E8D"/>
    <w:rsid w:val="0055444A"/>
    <w:rsid w:val="00554459"/>
    <w:rsid w:val="00554616"/>
    <w:rsid w:val="00554832"/>
    <w:rsid w:val="005549BF"/>
    <w:rsid w:val="00554A0F"/>
    <w:rsid w:val="005550EA"/>
    <w:rsid w:val="00555532"/>
    <w:rsid w:val="00555820"/>
    <w:rsid w:val="00555C5F"/>
    <w:rsid w:val="00555D19"/>
    <w:rsid w:val="0055602F"/>
    <w:rsid w:val="0055611C"/>
    <w:rsid w:val="0055612D"/>
    <w:rsid w:val="005563A3"/>
    <w:rsid w:val="005567B2"/>
    <w:rsid w:val="00556917"/>
    <w:rsid w:val="005569FB"/>
    <w:rsid w:val="00556BCC"/>
    <w:rsid w:val="00556CA3"/>
    <w:rsid w:val="00556CF5"/>
    <w:rsid w:val="00556F02"/>
    <w:rsid w:val="005577C0"/>
    <w:rsid w:val="00557862"/>
    <w:rsid w:val="00557870"/>
    <w:rsid w:val="00557BD9"/>
    <w:rsid w:val="00557EFC"/>
    <w:rsid w:val="00557F06"/>
    <w:rsid w:val="0056002B"/>
    <w:rsid w:val="005601E2"/>
    <w:rsid w:val="00560277"/>
    <w:rsid w:val="0056058D"/>
    <w:rsid w:val="00560938"/>
    <w:rsid w:val="005609D1"/>
    <w:rsid w:val="00560AF1"/>
    <w:rsid w:val="0056104B"/>
    <w:rsid w:val="00561562"/>
    <w:rsid w:val="00561609"/>
    <w:rsid w:val="00561A8C"/>
    <w:rsid w:val="00561C18"/>
    <w:rsid w:val="00561CA8"/>
    <w:rsid w:val="00561CD1"/>
    <w:rsid w:val="00561D68"/>
    <w:rsid w:val="00562210"/>
    <w:rsid w:val="00562665"/>
    <w:rsid w:val="005629E5"/>
    <w:rsid w:val="00562A3C"/>
    <w:rsid w:val="00562C9C"/>
    <w:rsid w:val="00562DA7"/>
    <w:rsid w:val="00562F26"/>
    <w:rsid w:val="00563065"/>
    <w:rsid w:val="00563377"/>
    <w:rsid w:val="0056362D"/>
    <w:rsid w:val="00563904"/>
    <w:rsid w:val="00563DE6"/>
    <w:rsid w:val="00563E0A"/>
    <w:rsid w:val="00563FAD"/>
    <w:rsid w:val="005641CB"/>
    <w:rsid w:val="005643DE"/>
    <w:rsid w:val="0056465B"/>
    <w:rsid w:val="0056467C"/>
    <w:rsid w:val="005648A9"/>
    <w:rsid w:val="005648AA"/>
    <w:rsid w:val="005648FD"/>
    <w:rsid w:val="00564B53"/>
    <w:rsid w:val="00564F07"/>
    <w:rsid w:val="00565042"/>
    <w:rsid w:val="0056528D"/>
    <w:rsid w:val="005652E5"/>
    <w:rsid w:val="005655C1"/>
    <w:rsid w:val="00565A33"/>
    <w:rsid w:val="00565D41"/>
    <w:rsid w:val="00565E51"/>
    <w:rsid w:val="00565F38"/>
    <w:rsid w:val="00565F5F"/>
    <w:rsid w:val="00565F66"/>
    <w:rsid w:val="005661F5"/>
    <w:rsid w:val="0056628B"/>
    <w:rsid w:val="00566298"/>
    <w:rsid w:val="00566626"/>
    <w:rsid w:val="0056696C"/>
    <w:rsid w:val="005669B8"/>
    <w:rsid w:val="005669F3"/>
    <w:rsid w:val="00566A5F"/>
    <w:rsid w:val="00566C26"/>
    <w:rsid w:val="005670D7"/>
    <w:rsid w:val="005670DF"/>
    <w:rsid w:val="005670EB"/>
    <w:rsid w:val="0056720F"/>
    <w:rsid w:val="005672BE"/>
    <w:rsid w:val="00567D4F"/>
    <w:rsid w:val="00567EB9"/>
    <w:rsid w:val="0057024F"/>
    <w:rsid w:val="005702BA"/>
    <w:rsid w:val="005703D5"/>
    <w:rsid w:val="0057041F"/>
    <w:rsid w:val="0057065B"/>
    <w:rsid w:val="0057090D"/>
    <w:rsid w:val="0057091E"/>
    <w:rsid w:val="00570C1B"/>
    <w:rsid w:val="00571067"/>
    <w:rsid w:val="005710FD"/>
    <w:rsid w:val="005713DA"/>
    <w:rsid w:val="00571524"/>
    <w:rsid w:val="0057178B"/>
    <w:rsid w:val="00571EF3"/>
    <w:rsid w:val="005720B4"/>
    <w:rsid w:val="005723D6"/>
    <w:rsid w:val="005725BC"/>
    <w:rsid w:val="00572665"/>
    <w:rsid w:val="00572948"/>
    <w:rsid w:val="00572958"/>
    <w:rsid w:val="00572A82"/>
    <w:rsid w:val="00572FC2"/>
    <w:rsid w:val="00572FD4"/>
    <w:rsid w:val="00572FF1"/>
    <w:rsid w:val="00573923"/>
    <w:rsid w:val="0057392F"/>
    <w:rsid w:val="00573AA0"/>
    <w:rsid w:val="00573B93"/>
    <w:rsid w:val="00573FA6"/>
    <w:rsid w:val="00574040"/>
    <w:rsid w:val="00574727"/>
    <w:rsid w:val="0057480A"/>
    <w:rsid w:val="00574A6E"/>
    <w:rsid w:val="00574D0B"/>
    <w:rsid w:val="00574E79"/>
    <w:rsid w:val="005751E8"/>
    <w:rsid w:val="005752C0"/>
    <w:rsid w:val="0057583B"/>
    <w:rsid w:val="00575BC4"/>
    <w:rsid w:val="00576136"/>
    <w:rsid w:val="00576781"/>
    <w:rsid w:val="00576AB3"/>
    <w:rsid w:val="00576BE7"/>
    <w:rsid w:val="00576DD3"/>
    <w:rsid w:val="00577145"/>
    <w:rsid w:val="005772CC"/>
    <w:rsid w:val="005773BE"/>
    <w:rsid w:val="0057748D"/>
    <w:rsid w:val="0057770F"/>
    <w:rsid w:val="00577B07"/>
    <w:rsid w:val="00577BD0"/>
    <w:rsid w:val="00577CCA"/>
    <w:rsid w:val="00577FED"/>
    <w:rsid w:val="00580336"/>
    <w:rsid w:val="005808B0"/>
    <w:rsid w:val="00580D54"/>
    <w:rsid w:val="00580EFD"/>
    <w:rsid w:val="005810DE"/>
    <w:rsid w:val="0058131A"/>
    <w:rsid w:val="005813B8"/>
    <w:rsid w:val="00581496"/>
    <w:rsid w:val="005822EA"/>
    <w:rsid w:val="00582365"/>
    <w:rsid w:val="005823B8"/>
    <w:rsid w:val="00582414"/>
    <w:rsid w:val="00582802"/>
    <w:rsid w:val="00582A2E"/>
    <w:rsid w:val="00582F71"/>
    <w:rsid w:val="00582FA5"/>
    <w:rsid w:val="00583316"/>
    <w:rsid w:val="0058388D"/>
    <w:rsid w:val="00584168"/>
    <w:rsid w:val="00584A4F"/>
    <w:rsid w:val="00584ABE"/>
    <w:rsid w:val="00584C78"/>
    <w:rsid w:val="00585168"/>
    <w:rsid w:val="00585357"/>
    <w:rsid w:val="00585455"/>
    <w:rsid w:val="005854EF"/>
    <w:rsid w:val="00585572"/>
    <w:rsid w:val="00585C1B"/>
    <w:rsid w:val="00586056"/>
    <w:rsid w:val="0058605D"/>
    <w:rsid w:val="00586390"/>
    <w:rsid w:val="005867AD"/>
    <w:rsid w:val="00586905"/>
    <w:rsid w:val="00586A46"/>
    <w:rsid w:val="00586D3B"/>
    <w:rsid w:val="00586FE1"/>
    <w:rsid w:val="005872C3"/>
    <w:rsid w:val="005873DA"/>
    <w:rsid w:val="00587639"/>
    <w:rsid w:val="005876C7"/>
    <w:rsid w:val="005876E4"/>
    <w:rsid w:val="00587777"/>
    <w:rsid w:val="00587C42"/>
    <w:rsid w:val="00587DEC"/>
    <w:rsid w:val="00587ED2"/>
    <w:rsid w:val="005905CC"/>
    <w:rsid w:val="0059060C"/>
    <w:rsid w:val="00590951"/>
    <w:rsid w:val="00590C3C"/>
    <w:rsid w:val="005911FB"/>
    <w:rsid w:val="005912CC"/>
    <w:rsid w:val="005915FD"/>
    <w:rsid w:val="00591DD5"/>
    <w:rsid w:val="0059229B"/>
    <w:rsid w:val="00592417"/>
    <w:rsid w:val="00592638"/>
    <w:rsid w:val="0059268D"/>
    <w:rsid w:val="00592888"/>
    <w:rsid w:val="00592A95"/>
    <w:rsid w:val="00592C8B"/>
    <w:rsid w:val="00592FAD"/>
    <w:rsid w:val="00593138"/>
    <w:rsid w:val="00593829"/>
    <w:rsid w:val="00593A33"/>
    <w:rsid w:val="00593AB2"/>
    <w:rsid w:val="00593B36"/>
    <w:rsid w:val="00593E02"/>
    <w:rsid w:val="00593FC5"/>
    <w:rsid w:val="005943A3"/>
    <w:rsid w:val="005947B5"/>
    <w:rsid w:val="0059483D"/>
    <w:rsid w:val="00594B43"/>
    <w:rsid w:val="00594F3A"/>
    <w:rsid w:val="0059531F"/>
    <w:rsid w:val="005955F1"/>
    <w:rsid w:val="00595A7E"/>
    <w:rsid w:val="00595DFF"/>
    <w:rsid w:val="00595EFC"/>
    <w:rsid w:val="005960BB"/>
    <w:rsid w:val="00596146"/>
    <w:rsid w:val="0059637A"/>
    <w:rsid w:val="0059639B"/>
    <w:rsid w:val="00596763"/>
    <w:rsid w:val="005967DD"/>
    <w:rsid w:val="00596DE9"/>
    <w:rsid w:val="00596EFC"/>
    <w:rsid w:val="00596F57"/>
    <w:rsid w:val="00597143"/>
    <w:rsid w:val="005972DC"/>
    <w:rsid w:val="005972F2"/>
    <w:rsid w:val="00597407"/>
    <w:rsid w:val="00597653"/>
    <w:rsid w:val="005A0219"/>
    <w:rsid w:val="005A0496"/>
    <w:rsid w:val="005A0C7A"/>
    <w:rsid w:val="005A1638"/>
    <w:rsid w:val="005A179E"/>
    <w:rsid w:val="005A1B54"/>
    <w:rsid w:val="005A239B"/>
    <w:rsid w:val="005A26F1"/>
    <w:rsid w:val="005A2703"/>
    <w:rsid w:val="005A2B6A"/>
    <w:rsid w:val="005A33B7"/>
    <w:rsid w:val="005A34F1"/>
    <w:rsid w:val="005A360F"/>
    <w:rsid w:val="005A3991"/>
    <w:rsid w:val="005A3E6D"/>
    <w:rsid w:val="005A3EB0"/>
    <w:rsid w:val="005A3FC0"/>
    <w:rsid w:val="005A4009"/>
    <w:rsid w:val="005A4047"/>
    <w:rsid w:val="005A423F"/>
    <w:rsid w:val="005A4384"/>
    <w:rsid w:val="005A43B8"/>
    <w:rsid w:val="005A4714"/>
    <w:rsid w:val="005A47D3"/>
    <w:rsid w:val="005A48E3"/>
    <w:rsid w:val="005A49A4"/>
    <w:rsid w:val="005A4A97"/>
    <w:rsid w:val="005A4B5B"/>
    <w:rsid w:val="005A4D98"/>
    <w:rsid w:val="005A4E5D"/>
    <w:rsid w:val="005A55F0"/>
    <w:rsid w:val="005A57B0"/>
    <w:rsid w:val="005A60D1"/>
    <w:rsid w:val="005A6234"/>
    <w:rsid w:val="005A641C"/>
    <w:rsid w:val="005A6446"/>
    <w:rsid w:val="005A6491"/>
    <w:rsid w:val="005A64BD"/>
    <w:rsid w:val="005A6809"/>
    <w:rsid w:val="005A6B31"/>
    <w:rsid w:val="005A6B5F"/>
    <w:rsid w:val="005A6CCD"/>
    <w:rsid w:val="005A6E16"/>
    <w:rsid w:val="005A7012"/>
    <w:rsid w:val="005A7305"/>
    <w:rsid w:val="005A73AC"/>
    <w:rsid w:val="005A7820"/>
    <w:rsid w:val="005A7A5E"/>
    <w:rsid w:val="005A7CDC"/>
    <w:rsid w:val="005A7E9D"/>
    <w:rsid w:val="005A7EC9"/>
    <w:rsid w:val="005A9425"/>
    <w:rsid w:val="005B00C1"/>
    <w:rsid w:val="005B00F3"/>
    <w:rsid w:val="005B04F5"/>
    <w:rsid w:val="005B069D"/>
    <w:rsid w:val="005B0A28"/>
    <w:rsid w:val="005B0A8C"/>
    <w:rsid w:val="005B0D99"/>
    <w:rsid w:val="005B1074"/>
    <w:rsid w:val="005B110F"/>
    <w:rsid w:val="005B123A"/>
    <w:rsid w:val="005B153E"/>
    <w:rsid w:val="005B196A"/>
    <w:rsid w:val="005B1C07"/>
    <w:rsid w:val="005B1C1F"/>
    <w:rsid w:val="005B1D0D"/>
    <w:rsid w:val="005B22DD"/>
    <w:rsid w:val="005B248D"/>
    <w:rsid w:val="005B251A"/>
    <w:rsid w:val="005B2580"/>
    <w:rsid w:val="005B27C9"/>
    <w:rsid w:val="005B2922"/>
    <w:rsid w:val="005B308D"/>
    <w:rsid w:val="005B322B"/>
    <w:rsid w:val="005B32A2"/>
    <w:rsid w:val="005B3432"/>
    <w:rsid w:val="005B34D7"/>
    <w:rsid w:val="005B363D"/>
    <w:rsid w:val="005B3727"/>
    <w:rsid w:val="005B3AC0"/>
    <w:rsid w:val="005B3AC6"/>
    <w:rsid w:val="005B3BD6"/>
    <w:rsid w:val="005B3F06"/>
    <w:rsid w:val="005B41A8"/>
    <w:rsid w:val="005B41B6"/>
    <w:rsid w:val="005B4321"/>
    <w:rsid w:val="005B469C"/>
    <w:rsid w:val="005B4705"/>
    <w:rsid w:val="005B4780"/>
    <w:rsid w:val="005B5003"/>
    <w:rsid w:val="005B50B5"/>
    <w:rsid w:val="005B5134"/>
    <w:rsid w:val="005B5202"/>
    <w:rsid w:val="005B52A8"/>
    <w:rsid w:val="005B5321"/>
    <w:rsid w:val="005B5FDD"/>
    <w:rsid w:val="005B647B"/>
    <w:rsid w:val="005B676F"/>
    <w:rsid w:val="005B70E6"/>
    <w:rsid w:val="005B786E"/>
    <w:rsid w:val="005B786F"/>
    <w:rsid w:val="005B7B56"/>
    <w:rsid w:val="005B7D6C"/>
    <w:rsid w:val="005C0046"/>
    <w:rsid w:val="005C00D2"/>
    <w:rsid w:val="005C084E"/>
    <w:rsid w:val="005C0D00"/>
    <w:rsid w:val="005C16F9"/>
    <w:rsid w:val="005C1D8C"/>
    <w:rsid w:val="005C2117"/>
    <w:rsid w:val="005C2564"/>
    <w:rsid w:val="005C268A"/>
    <w:rsid w:val="005C27D9"/>
    <w:rsid w:val="005C2D23"/>
    <w:rsid w:val="005C2D55"/>
    <w:rsid w:val="005C2DAE"/>
    <w:rsid w:val="005C3051"/>
    <w:rsid w:val="005C320F"/>
    <w:rsid w:val="005C34B2"/>
    <w:rsid w:val="005C35C6"/>
    <w:rsid w:val="005C36E3"/>
    <w:rsid w:val="005C3B74"/>
    <w:rsid w:val="005C3E9C"/>
    <w:rsid w:val="005C42A1"/>
    <w:rsid w:val="005C516E"/>
    <w:rsid w:val="005C51AC"/>
    <w:rsid w:val="005C51DB"/>
    <w:rsid w:val="005C5469"/>
    <w:rsid w:val="005C59A2"/>
    <w:rsid w:val="005C5B63"/>
    <w:rsid w:val="005C5F26"/>
    <w:rsid w:val="005C60CE"/>
    <w:rsid w:val="005C60D4"/>
    <w:rsid w:val="005C6462"/>
    <w:rsid w:val="005C65AC"/>
    <w:rsid w:val="005C65BB"/>
    <w:rsid w:val="005C6729"/>
    <w:rsid w:val="005C7081"/>
    <w:rsid w:val="005C7215"/>
    <w:rsid w:val="005C73C4"/>
    <w:rsid w:val="005C758E"/>
    <w:rsid w:val="005C7A4A"/>
    <w:rsid w:val="005C7BE9"/>
    <w:rsid w:val="005C7D8C"/>
    <w:rsid w:val="005C7EEC"/>
    <w:rsid w:val="005D00EA"/>
    <w:rsid w:val="005D023B"/>
    <w:rsid w:val="005D0474"/>
    <w:rsid w:val="005D07CE"/>
    <w:rsid w:val="005D0B07"/>
    <w:rsid w:val="005D0B5F"/>
    <w:rsid w:val="005D0CF4"/>
    <w:rsid w:val="005D0EEE"/>
    <w:rsid w:val="005D1315"/>
    <w:rsid w:val="005D1947"/>
    <w:rsid w:val="005D1ACE"/>
    <w:rsid w:val="005D2076"/>
    <w:rsid w:val="005D2278"/>
    <w:rsid w:val="005D2304"/>
    <w:rsid w:val="005D2A8B"/>
    <w:rsid w:val="005D2AFA"/>
    <w:rsid w:val="005D2B15"/>
    <w:rsid w:val="005D2B65"/>
    <w:rsid w:val="005D2DA3"/>
    <w:rsid w:val="005D33DF"/>
    <w:rsid w:val="005D371B"/>
    <w:rsid w:val="005D376A"/>
    <w:rsid w:val="005D3799"/>
    <w:rsid w:val="005D379E"/>
    <w:rsid w:val="005D3A04"/>
    <w:rsid w:val="005D3A4C"/>
    <w:rsid w:val="005D3DB2"/>
    <w:rsid w:val="005D41BA"/>
    <w:rsid w:val="005D4596"/>
    <w:rsid w:val="005D4601"/>
    <w:rsid w:val="005D4635"/>
    <w:rsid w:val="005D48FE"/>
    <w:rsid w:val="005D4F81"/>
    <w:rsid w:val="005D5627"/>
    <w:rsid w:val="005D623B"/>
    <w:rsid w:val="005D66FC"/>
    <w:rsid w:val="005D6A6B"/>
    <w:rsid w:val="005D6C7F"/>
    <w:rsid w:val="005D6D7D"/>
    <w:rsid w:val="005D720A"/>
    <w:rsid w:val="005D7471"/>
    <w:rsid w:val="005D749D"/>
    <w:rsid w:val="005D7B86"/>
    <w:rsid w:val="005D7BAC"/>
    <w:rsid w:val="005D7CFB"/>
    <w:rsid w:val="005D7FE7"/>
    <w:rsid w:val="005E009B"/>
    <w:rsid w:val="005E017F"/>
    <w:rsid w:val="005E0576"/>
    <w:rsid w:val="005E08C2"/>
    <w:rsid w:val="005E0BAA"/>
    <w:rsid w:val="005E0E75"/>
    <w:rsid w:val="005E14A8"/>
    <w:rsid w:val="005E1789"/>
    <w:rsid w:val="005E1ACC"/>
    <w:rsid w:val="005E1B24"/>
    <w:rsid w:val="005E1C0E"/>
    <w:rsid w:val="005E1C7A"/>
    <w:rsid w:val="005E22F5"/>
    <w:rsid w:val="005E2702"/>
    <w:rsid w:val="005E2722"/>
    <w:rsid w:val="005E2B3B"/>
    <w:rsid w:val="005E2B55"/>
    <w:rsid w:val="005E2E3C"/>
    <w:rsid w:val="005E2E4A"/>
    <w:rsid w:val="005E2E66"/>
    <w:rsid w:val="005E330D"/>
    <w:rsid w:val="005E440C"/>
    <w:rsid w:val="005E4AA4"/>
    <w:rsid w:val="005E4C1A"/>
    <w:rsid w:val="005E4CEE"/>
    <w:rsid w:val="005E5874"/>
    <w:rsid w:val="005E5995"/>
    <w:rsid w:val="005E59C1"/>
    <w:rsid w:val="005E5A2F"/>
    <w:rsid w:val="005E5ECF"/>
    <w:rsid w:val="005E5EF6"/>
    <w:rsid w:val="005E6313"/>
    <w:rsid w:val="005E63C0"/>
    <w:rsid w:val="005E64DB"/>
    <w:rsid w:val="005E6632"/>
    <w:rsid w:val="005E6887"/>
    <w:rsid w:val="005E696C"/>
    <w:rsid w:val="005E6BAB"/>
    <w:rsid w:val="005E6E11"/>
    <w:rsid w:val="005E701F"/>
    <w:rsid w:val="005E722B"/>
    <w:rsid w:val="005E72E9"/>
    <w:rsid w:val="005E747C"/>
    <w:rsid w:val="005E75D5"/>
    <w:rsid w:val="005E7624"/>
    <w:rsid w:val="005E7780"/>
    <w:rsid w:val="005E77FE"/>
    <w:rsid w:val="005E7A6D"/>
    <w:rsid w:val="005E7A89"/>
    <w:rsid w:val="005E7F35"/>
    <w:rsid w:val="005F06B1"/>
    <w:rsid w:val="005F0A46"/>
    <w:rsid w:val="005F0B04"/>
    <w:rsid w:val="005F0D47"/>
    <w:rsid w:val="005F0FFE"/>
    <w:rsid w:val="005F12C1"/>
    <w:rsid w:val="005F1555"/>
    <w:rsid w:val="005F16C4"/>
    <w:rsid w:val="005F1D41"/>
    <w:rsid w:val="005F1DD9"/>
    <w:rsid w:val="005F2043"/>
    <w:rsid w:val="005F2382"/>
    <w:rsid w:val="005F2978"/>
    <w:rsid w:val="005F2A69"/>
    <w:rsid w:val="005F2B9A"/>
    <w:rsid w:val="005F2CBB"/>
    <w:rsid w:val="005F2E3B"/>
    <w:rsid w:val="005F31C6"/>
    <w:rsid w:val="005F31E5"/>
    <w:rsid w:val="005F3383"/>
    <w:rsid w:val="005F33BA"/>
    <w:rsid w:val="005F3440"/>
    <w:rsid w:val="005F3489"/>
    <w:rsid w:val="005F36A2"/>
    <w:rsid w:val="005F419F"/>
    <w:rsid w:val="005F41D2"/>
    <w:rsid w:val="005F446C"/>
    <w:rsid w:val="005F453B"/>
    <w:rsid w:val="005F4721"/>
    <w:rsid w:val="005F478B"/>
    <w:rsid w:val="005F484E"/>
    <w:rsid w:val="005F49D5"/>
    <w:rsid w:val="005F5251"/>
    <w:rsid w:val="005F5411"/>
    <w:rsid w:val="005F5489"/>
    <w:rsid w:val="005F593A"/>
    <w:rsid w:val="005F5A9F"/>
    <w:rsid w:val="005F5AA3"/>
    <w:rsid w:val="005F5DD8"/>
    <w:rsid w:val="005F5DFC"/>
    <w:rsid w:val="005F6115"/>
    <w:rsid w:val="005F6BB9"/>
    <w:rsid w:val="005F6D2F"/>
    <w:rsid w:val="005F6EE4"/>
    <w:rsid w:val="005F7117"/>
    <w:rsid w:val="005F720A"/>
    <w:rsid w:val="005F7520"/>
    <w:rsid w:val="005F75F8"/>
    <w:rsid w:val="005F7779"/>
    <w:rsid w:val="005F78B5"/>
    <w:rsid w:val="005F7C00"/>
    <w:rsid w:val="005F7FE0"/>
    <w:rsid w:val="00600060"/>
    <w:rsid w:val="0060015B"/>
    <w:rsid w:val="0060019C"/>
    <w:rsid w:val="006001CA"/>
    <w:rsid w:val="00600299"/>
    <w:rsid w:val="006003E7"/>
    <w:rsid w:val="00600780"/>
    <w:rsid w:val="00600DAC"/>
    <w:rsid w:val="00601154"/>
    <w:rsid w:val="0060118D"/>
    <w:rsid w:val="006012F2"/>
    <w:rsid w:val="006015F1"/>
    <w:rsid w:val="00601E92"/>
    <w:rsid w:val="00602482"/>
    <w:rsid w:val="006028E2"/>
    <w:rsid w:val="00602EC0"/>
    <w:rsid w:val="00602F20"/>
    <w:rsid w:val="00602F43"/>
    <w:rsid w:val="0060301E"/>
    <w:rsid w:val="00603447"/>
    <w:rsid w:val="00603456"/>
    <w:rsid w:val="006034E5"/>
    <w:rsid w:val="00603580"/>
    <w:rsid w:val="00603A81"/>
    <w:rsid w:val="00603B08"/>
    <w:rsid w:val="0060425B"/>
    <w:rsid w:val="00604617"/>
    <w:rsid w:val="006046DF"/>
    <w:rsid w:val="00604710"/>
    <w:rsid w:val="006049D6"/>
    <w:rsid w:val="00604E37"/>
    <w:rsid w:val="006051A7"/>
    <w:rsid w:val="00605374"/>
    <w:rsid w:val="006054C3"/>
    <w:rsid w:val="00605776"/>
    <w:rsid w:val="0060627F"/>
    <w:rsid w:val="00606532"/>
    <w:rsid w:val="00606943"/>
    <w:rsid w:val="00606D60"/>
    <w:rsid w:val="00607106"/>
    <w:rsid w:val="00607205"/>
    <w:rsid w:val="006072C9"/>
    <w:rsid w:val="006072E6"/>
    <w:rsid w:val="00607490"/>
    <w:rsid w:val="0060790F"/>
    <w:rsid w:val="00607925"/>
    <w:rsid w:val="00607A05"/>
    <w:rsid w:val="00607C19"/>
    <w:rsid w:val="00607EB7"/>
    <w:rsid w:val="0061004B"/>
    <w:rsid w:val="00610162"/>
    <w:rsid w:val="00610202"/>
    <w:rsid w:val="00610499"/>
    <w:rsid w:val="00610673"/>
    <w:rsid w:val="00610ABA"/>
    <w:rsid w:val="006110D4"/>
    <w:rsid w:val="006111B9"/>
    <w:rsid w:val="00611419"/>
    <w:rsid w:val="00611456"/>
    <w:rsid w:val="00611692"/>
    <w:rsid w:val="00611968"/>
    <w:rsid w:val="00611B7F"/>
    <w:rsid w:val="0061210D"/>
    <w:rsid w:val="006122BA"/>
    <w:rsid w:val="0061239F"/>
    <w:rsid w:val="006126DE"/>
    <w:rsid w:val="00612B11"/>
    <w:rsid w:val="00612C67"/>
    <w:rsid w:val="00612D3E"/>
    <w:rsid w:val="00612D7C"/>
    <w:rsid w:val="00613037"/>
    <w:rsid w:val="006133DB"/>
    <w:rsid w:val="006135AB"/>
    <w:rsid w:val="006135AD"/>
    <w:rsid w:val="006138E4"/>
    <w:rsid w:val="006142A6"/>
    <w:rsid w:val="006142C9"/>
    <w:rsid w:val="006143E8"/>
    <w:rsid w:val="006144F6"/>
    <w:rsid w:val="0061464D"/>
    <w:rsid w:val="00614BA6"/>
    <w:rsid w:val="00614F0D"/>
    <w:rsid w:val="006155D6"/>
    <w:rsid w:val="00615770"/>
    <w:rsid w:val="006157B7"/>
    <w:rsid w:val="00615929"/>
    <w:rsid w:val="00615A4F"/>
    <w:rsid w:val="00615F88"/>
    <w:rsid w:val="00615FD3"/>
    <w:rsid w:val="006161E0"/>
    <w:rsid w:val="00616363"/>
    <w:rsid w:val="00616407"/>
    <w:rsid w:val="0061675A"/>
    <w:rsid w:val="0061695C"/>
    <w:rsid w:val="006169B9"/>
    <w:rsid w:val="00616D55"/>
    <w:rsid w:val="00616E61"/>
    <w:rsid w:val="00617903"/>
    <w:rsid w:val="00617CBD"/>
    <w:rsid w:val="00617E2A"/>
    <w:rsid w:val="00617F0A"/>
    <w:rsid w:val="006202D9"/>
    <w:rsid w:val="0062034D"/>
    <w:rsid w:val="00620622"/>
    <w:rsid w:val="00620643"/>
    <w:rsid w:val="00620C85"/>
    <w:rsid w:val="00620E5A"/>
    <w:rsid w:val="00621106"/>
    <w:rsid w:val="00621303"/>
    <w:rsid w:val="00621D05"/>
    <w:rsid w:val="00621EDF"/>
    <w:rsid w:val="00621F86"/>
    <w:rsid w:val="006224B6"/>
    <w:rsid w:val="00622611"/>
    <w:rsid w:val="00622631"/>
    <w:rsid w:val="00622800"/>
    <w:rsid w:val="00622A78"/>
    <w:rsid w:val="0062343F"/>
    <w:rsid w:val="00623B86"/>
    <w:rsid w:val="00623DC8"/>
    <w:rsid w:val="00623E57"/>
    <w:rsid w:val="00623FEB"/>
    <w:rsid w:val="006244A9"/>
    <w:rsid w:val="006247D6"/>
    <w:rsid w:val="00624E3E"/>
    <w:rsid w:val="00625096"/>
    <w:rsid w:val="006250E9"/>
    <w:rsid w:val="00625148"/>
    <w:rsid w:val="00625518"/>
    <w:rsid w:val="00625574"/>
    <w:rsid w:val="00625632"/>
    <w:rsid w:val="0062570B"/>
    <w:rsid w:val="00625725"/>
    <w:rsid w:val="00625A38"/>
    <w:rsid w:val="00625CAB"/>
    <w:rsid w:val="00625D0A"/>
    <w:rsid w:val="0062626A"/>
    <w:rsid w:val="0062627C"/>
    <w:rsid w:val="006262A4"/>
    <w:rsid w:val="00626C40"/>
    <w:rsid w:val="00626F4F"/>
    <w:rsid w:val="0062713C"/>
    <w:rsid w:val="00627274"/>
    <w:rsid w:val="0062731E"/>
    <w:rsid w:val="0063000C"/>
    <w:rsid w:val="00630150"/>
    <w:rsid w:val="0063039B"/>
    <w:rsid w:val="006303D1"/>
    <w:rsid w:val="006306EE"/>
    <w:rsid w:val="0063119D"/>
    <w:rsid w:val="00631301"/>
    <w:rsid w:val="00631721"/>
    <w:rsid w:val="0063184E"/>
    <w:rsid w:val="0063191C"/>
    <w:rsid w:val="00631C37"/>
    <w:rsid w:val="00631D92"/>
    <w:rsid w:val="00631E00"/>
    <w:rsid w:val="006321A4"/>
    <w:rsid w:val="006323DB"/>
    <w:rsid w:val="00632437"/>
    <w:rsid w:val="0063247D"/>
    <w:rsid w:val="00632714"/>
    <w:rsid w:val="00632AF0"/>
    <w:rsid w:val="00632C24"/>
    <w:rsid w:val="00632CDD"/>
    <w:rsid w:val="00632D01"/>
    <w:rsid w:val="00632FDC"/>
    <w:rsid w:val="00633124"/>
    <w:rsid w:val="00633196"/>
    <w:rsid w:val="0063334A"/>
    <w:rsid w:val="00633664"/>
    <w:rsid w:val="00633995"/>
    <w:rsid w:val="00633B2F"/>
    <w:rsid w:val="00633F7D"/>
    <w:rsid w:val="0063471C"/>
    <w:rsid w:val="00634751"/>
    <w:rsid w:val="006348C3"/>
    <w:rsid w:val="006349AE"/>
    <w:rsid w:val="00634A62"/>
    <w:rsid w:val="00634C66"/>
    <w:rsid w:val="00634CD3"/>
    <w:rsid w:val="00634D06"/>
    <w:rsid w:val="0063527E"/>
    <w:rsid w:val="00635679"/>
    <w:rsid w:val="006356A7"/>
    <w:rsid w:val="00635D18"/>
    <w:rsid w:val="00635E5A"/>
    <w:rsid w:val="00636106"/>
    <w:rsid w:val="006367B0"/>
    <w:rsid w:val="0063697A"/>
    <w:rsid w:val="00636992"/>
    <w:rsid w:val="00636A92"/>
    <w:rsid w:val="0063701F"/>
    <w:rsid w:val="006370E2"/>
    <w:rsid w:val="006374F3"/>
    <w:rsid w:val="00637618"/>
    <w:rsid w:val="00637659"/>
    <w:rsid w:val="0063777B"/>
    <w:rsid w:val="00637904"/>
    <w:rsid w:val="006379A1"/>
    <w:rsid w:val="00637C35"/>
    <w:rsid w:val="006400B8"/>
    <w:rsid w:val="00640890"/>
    <w:rsid w:val="00640C31"/>
    <w:rsid w:val="00640CA2"/>
    <w:rsid w:val="00640DB4"/>
    <w:rsid w:val="00640E9D"/>
    <w:rsid w:val="00640F64"/>
    <w:rsid w:val="00641328"/>
    <w:rsid w:val="00641496"/>
    <w:rsid w:val="006414FF"/>
    <w:rsid w:val="00641621"/>
    <w:rsid w:val="0064186B"/>
    <w:rsid w:val="0064195F"/>
    <w:rsid w:val="00641F0B"/>
    <w:rsid w:val="006422FE"/>
    <w:rsid w:val="0064237A"/>
    <w:rsid w:val="006424A3"/>
    <w:rsid w:val="00642832"/>
    <w:rsid w:val="00642A2B"/>
    <w:rsid w:val="006430CE"/>
    <w:rsid w:val="00643226"/>
    <w:rsid w:val="0064329F"/>
    <w:rsid w:val="00643740"/>
    <w:rsid w:val="006441FC"/>
    <w:rsid w:val="00644A45"/>
    <w:rsid w:val="00644C3B"/>
    <w:rsid w:val="00644D57"/>
    <w:rsid w:val="00644F80"/>
    <w:rsid w:val="00645140"/>
    <w:rsid w:val="006453E5"/>
    <w:rsid w:val="0064551B"/>
    <w:rsid w:val="00645689"/>
    <w:rsid w:val="006459EF"/>
    <w:rsid w:val="00645A8B"/>
    <w:rsid w:val="00645DF7"/>
    <w:rsid w:val="00645F0B"/>
    <w:rsid w:val="006460E7"/>
    <w:rsid w:val="006465F3"/>
    <w:rsid w:val="0064673C"/>
    <w:rsid w:val="00646779"/>
    <w:rsid w:val="00646790"/>
    <w:rsid w:val="00646A2D"/>
    <w:rsid w:val="00646A4F"/>
    <w:rsid w:val="00646C26"/>
    <w:rsid w:val="00646CE1"/>
    <w:rsid w:val="00646D5E"/>
    <w:rsid w:val="00646FD8"/>
    <w:rsid w:val="00647026"/>
    <w:rsid w:val="006472A1"/>
    <w:rsid w:val="006473C1"/>
    <w:rsid w:val="0064748E"/>
    <w:rsid w:val="00647BB9"/>
    <w:rsid w:val="00647C37"/>
    <w:rsid w:val="00647ECB"/>
    <w:rsid w:val="006503A1"/>
    <w:rsid w:val="00650430"/>
    <w:rsid w:val="00650AE2"/>
    <w:rsid w:val="00650B07"/>
    <w:rsid w:val="00650CF6"/>
    <w:rsid w:val="00650D67"/>
    <w:rsid w:val="00650EE0"/>
    <w:rsid w:val="00651039"/>
    <w:rsid w:val="0065151A"/>
    <w:rsid w:val="0065161A"/>
    <w:rsid w:val="00651841"/>
    <w:rsid w:val="00651DF1"/>
    <w:rsid w:val="006528C8"/>
    <w:rsid w:val="00652954"/>
    <w:rsid w:val="00652957"/>
    <w:rsid w:val="00652E04"/>
    <w:rsid w:val="00653259"/>
    <w:rsid w:val="006534BF"/>
    <w:rsid w:val="00653591"/>
    <w:rsid w:val="006537D7"/>
    <w:rsid w:val="006537EC"/>
    <w:rsid w:val="006539C9"/>
    <w:rsid w:val="00653A37"/>
    <w:rsid w:val="00653BC2"/>
    <w:rsid w:val="0065444A"/>
    <w:rsid w:val="006549A6"/>
    <w:rsid w:val="00654BFB"/>
    <w:rsid w:val="00654F3F"/>
    <w:rsid w:val="00654F68"/>
    <w:rsid w:val="00654FB4"/>
    <w:rsid w:val="00655118"/>
    <w:rsid w:val="0065548C"/>
    <w:rsid w:val="0065562F"/>
    <w:rsid w:val="006558F9"/>
    <w:rsid w:val="00655CC6"/>
    <w:rsid w:val="00655CF9"/>
    <w:rsid w:val="00655D45"/>
    <w:rsid w:val="00655E95"/>
    <w:rsid w:val="00656116"/>
    <w:rsid w:val="00656303"/>
    <w:rsid w:val="00656418"/>
    <w:rsid w:val="00657059"/>
    <w:rsid w:val="0065714C"/>
    <w:rsid w:val="00657258"/>
    <w:rsid w:val="0065738E"/>
    <w:rsid w:val="00657EB7"/>
    <w:rsid w:val="00660129"/>
    <w:rsid w:val="00660547"/>
    <w:rsid w:val="00660A74"/>
    <w:rsid w:val="00660D57"/>
    <w:rsid w:val="00660F4C"/>
    <w:rsid w:val="00661460"/>
    <w:rsid w:val="0066151E"/>
    <w:rsid w:val="0066159A"/>
    <w:rsid w:val="006617E3"/>
    <w:rsid w:val="0066189E"/>
    <w:rsid w:val="006618E4"/>
    <w:rsid w:val="00661F37"/>
    <w:rsid w:val="00662073"/>
    <w:rsid w:val="0066245B"/>
    <w:rsid w:val="006626E7"/>
    <w:rsid w:val="00662706"/>
    <w:rsid w:val="00662B67"/>
    <w:rsid w:val="00662E5F"/>
    <w:rsid w:val="00662EEE"/>
    <w:rsid w:val="0066313C"/>
    <w:rsid w:val="0066353D"/>
    <w:rsid w:val="006637EB"/>
    <w:rsid w:val="0066382C"/>
    <w:rsid w:val="00663856"/>
    <w:rsid w:val="00663889"/>
    <w:rsid w:val="00663B6B"/>
    <w:rsid w:val="0066416D"/>
    <w:rsid w:val="0066428C"/>
    <w:rsid w:val="00664434"/>
    <w:rsid w:val="00664630"/>
    <w:rsid w:val="00664CE5"/>
    <w:rsid w:val="00664D37"/>
    <w:rsid w:val="0066561F"/>
    <w:rsid w:val="00665660"/>
    <w:rsid w:val="00665698"/>
    <w:rsid w:val="006656BE"/>
    <w:rsid w:val="00665BFB"/>
    <w:rsid w:val="00665F42"/>
    <w:rsid w:val="006668C4"/>
    <w:rsid w:val="00666A58"/>
    <w:rsid w:val="00666BAE"/>
    <w:rsid w:val="00666D66"/>
    <w:rsid w:val="00666DDD"/>
    <w:rsid w:val="00667047"/>
    <w:rsid w:val="006670F2"/>
    <w:rsid w:val="00667563"/>
    <w:rsid w:val="006675E8"/>
    <w:rsid w:val="00667BAB"/>
    <w:rsid w:val="00667D0D"/>
    <w:rsid w:val="00667DDC"/>
    <w:rsid w:val="006701AD"/>
    <w:rsid w:val="00670402"/>
    <w:rsid w:val="00670637"/>
    <w:rsid w:val="00670650"/>
    <w:rsid w:val="0067066E"/>
    <w:rsid w:val="00670842"/>
    <w:rsid w:val="00670C46"/>
    <w:rsid w:val="00670F5F"/>
    <w:rsid w:val="00670F8D"/>
    <w:rsid w:val="00671069"/>
    <w:rsid w:val="006712C0"/>
    <w:rsid w:val="00671481"/>
    <w:rsid w:val="00671A52"/>
    <w:rsid w:val="00671BB1"/>
    <w:rsid w:val="00671C0D"/>
    <w:rsid w:val="00671F85"/>
    <w:rsid w:val="0067240C"/>
    <w:rsid w:val="0067240F"/>
    <w:rsid w:val="00672849"/>
    <w:rsid w:val="006728C8"/>
    <w:rsid w:val="006736D8"/>
    <w:rsid w:val="006741EB"/>
    <w:rsid w:val="006744AC"/>
    <w:rsid w:val="006745B8"/>
    <w:rsid w:val="0067480F"/>
    <w:rsid w:val="00674B32"/>
    <w:rsid w:val="00674B92"/>
    <w:rsid w:val="00674C32"/>
    <w:rsid w:val="00674C7D"/>
    <w:rsid w:val="00674F1F"/>
    <w:rsid w:val="006756BD"/>
    <w:rsid w:val="00675C3F"/>
    <w:rsid w:val="00675CE3"/>
    <w:rsid w:val="00675D92"/>
    <w:rsid w:val="00675E0F"/>
    <w:rsid w:val="00675E64"/>
    <w:rsid w:val="0067650D"/>
    <w:rsid w:val="00676774"/>
    <w:rsid w:val="00676954"/>
    <w:rsid w:val="00676AA3"/>
    <w:rsid w:val="00676B6E"/>
    <w:rsid w:val="00676CC3"/>
    <w:rsid w:val="006772F8"/>
    <w:rsid w:val="00677623"/>
    <w:rsid w:val="00677AC9"/>
    <w:rsid w:val="00677B95"/>
    <w:rsid w:val="00677F76"/>
    <w:rsid w:val="0068000E"/>
    <w:rsid w:val="00680327"/>
    <w:rsid w:val="006806E7"/>
    <w:rsid w:val="00680B40"/>
    <w:rsid w:val="00680D18"/>
    <w:rsid w:val="00680E41"/>
    <w:rsid w:val="00680E87"/>
    <w:rsid w:val="006812A3"/>
    <w:rsid w:val="00681378"/>
    <w:rsid w:val="00681401"/>
    <w:rsid w:val="0068148B"/>
    <w:rsid w:val="006814ED"/>
    <w:rsid w:val="0068168A"/>
    <w:rsid w:val="0068182D"/>
    <w:rsid w:val="00681A2E"/>
    <w:rsid w:val="00681EC9"/>
    <w:rsid w:val="006822FA"/>
    <w:rsid w:val="00682424"/>
    <w:rsid w:val="0068245B"/>
    <w:rsid w:val="00682577"/>
    <w:rsid w:val="006825E3"/>
    <w:rsid w:val="00682755"/>
    <w:rsid w:val="0068288C"/>
    <w:rsid w:val="00682DC7"/>
    <w:rsid w:val="00683072"/>
    <w:rsid w:val="006830E5"/>
    <w:rsid w:val="006831DA"/>
    <w:rsid w:val="006834D6"/>
    <w:rsid w:val="00683973"/>
    <w:rsid w:val="00683B17"/>
    <w:rsid w:val="00683CAD"/>
    <w:rsid w:val="00683F36"/>
    <w:rsid w:val="0068436F"/>
    <w:rsid w:val="006843A5"/>
    <w:rsid w:val="00684428"/>
    <w:rsid w:val="006847F2"/>
    <w:rsid w:val="00684862"/>
    <w:rsid w:val="00684F65"/>
    <w:rsid w:val="006850C0"/>
    <w:rsid w:val="00685364"/>
    <w:rsid w:val="00685537"/>
    <w:rsid w:val="00685589"/>
    <w:rsid w:val="00685DA1"/>
    <w:rsid w:val="00685DB4"/>
    <w:rsid w:val="006862EF"/>
    <w:rsid w:val="0068654B"/>
    <w:rsid w:val="0068682C"/>
    <w:rsid w:val="00687078"/>
    <w:rsid w:val="00687353"/>
    <w:rsid w:val="006877A1"/>
    <w:rsid w:val="00687BB2"/>
    <w:rsid w:val="00690060"/>
    <w:rsid w:val="006900CB"/>
    <w:rsid w:val="006903D7"/>
    <w:rsid w:val="00690430"/>
    <w:rsid w:val="00690808"/>
    <w:rsid w:val="00690A86"/>
    <w:rsid w:val="00690AF0"/>
    <w:rsid w:val="00690DFC"/>
    <w:rsid w:val="00690F2D"/>
    <w:rsid w:val="00691014"/>
    <w:rsid w:val="006911CF"/>
    <w:rsid w:val="00691234"/>
    <w:rsid w:val="006912D9"/>
    <w:rsid w:val="00691F74"/>
    <w:rsid w:val="006920F0"/>
    <w:rsid w:val="00692283"/>
    <w:rsid w:val="00692A61"/>
    <w:rsid w:val="00692E61"/>
    <w:rsid w:val="006932F1"/>
    <w:rsid w:val="006932FB"/>
    <w:rsid w:val="00693477"/>
    <w:rsid w:val="006934B4"/>
    <w:rsid w:val="006937D1"/>
    <w:rsid w:val="006938AA"/>
    <w:rsid w:val="006939A6"/>
    <w:rsid w:val="00693B77"/>
    <w:rsid w:val="0069474B"/>
    <w:rsid w:val="0069475D"/>
    <w:rsid w:val="006947EF"/>
    <w:rsid w:val="006949C0"/>
    <w:rsid w:val="00694EBA"/>
    <w:rsid w:val="00695524"/>
    <w:rsid w:val="0069608D"/>
    <w:rsid w:val="00696806"/>
    <w:rsid w:val="006968D0"/>
    <w:rsid w:val="00696B3F"/>
    <w:rsid w:val="00696E42"/>
    <w:rsid w:val="00697200"/>
    <w:rsid w:val="00697238"/>
    <w:rsid w:val="006977AC"/>
    <w:rsid w:val="00697921"/>
    <w:rsid w:val="00697961"/>
    <w:rsid w:val="00697966"/>
    <w:rsid w:val="00697F21"/>
    <w:rsid w:val="006A1087"/>
    <w:rsid w:val="006A109F"/>
    <w:rsid w:val="006A1269"/>
    <w:rsid w:val="006A131C"/>
    <w:rsid w:val="006A13CE"/>
    <w:rsid w:val="006A17B3"/>
    <w:rsid w:val="006A17B8"/>
    <w:rsid w:val="006A1B34"/>
    <w:rsid w:val="006A1BB8"/>
    <w:rsid w:val="006A1C20"/>
    <w:rsid w:val="006A2628"/>
    <w:rsid w:val="006A2984"/>
    <w:rsid w:val="006A2C5D"/>
    <w:rsid w:val="006A2E20"/>
    <w:rsid w:val="006A2FE5"/>
    <w:rsid w:val="006A3045"/>
    <w:rsid w:val="006A34B7"/>
    <w:rsid w:val="006A376C"/>
    <w:rsid w:val="006A3A2B"/>
    <w:rsid w:val="006A3BC7"/>
    <w:rsid w:val="006A3EDB"/>
    <w:rsid w:val="006A3F02"/>
    <w:rsid w:val="006A3F04"/>
    <w:rsid w:val="006A4496"/>
    <w:rsid w:val="006A49F3"/>
    <w:rsid w:val="006A522D"/>
    <w:rsid w:val="006A55FE"/>
    <w:rsid w:val="006A5E4F"/>
    <w:rsid w:val="006A5EA9"/>
    <w:rsid w:val="006A62E0"/>
    <w:rsid w:val="006A63C7"/>
    <w:rsid w:val="006A660A"/>
    <w:rsid w:val="006A6973"/>
    <w:rsid w:val="006A69E6"/>
    <w:rsid w:val="006A6A82"/>
    <w:rsid w:val="006A6BBF"/>
    <w:rsid w:val="006A6BF1"/>
    <w:rsid w:val="006A7026"/>
    <w:rsid w:val="006A72C6"/>
    <w:rsid w:val="006A74DD"/>
    <w:rsid w:val="006A7520"/>
    <w:rsid w:val="006A76A8"/>
    <w:rsid w:val="006A77CD"/>
    <w:rsid w:val="006A7903"/>
    <w:rsid w:val="006B0120"/>
    <w:rsid w:val="006B06A4"/>
    <w:rsid w:val="006B08B6"/>
    <w:rsid w:val="006B08C8"/>
    <w:rsid w:val="006B0A1E"/>
    <w:rsid w:val="006B0E2E"/>
    <w:rsid w:val="006B175B"/>
    <w:rsid w:val="006B17E7"/>
    <w:rsid w:val="006B1850"/>
    <w:rsid w:val="006B186E"/>
    <w:rsid w:val="006B1BDD"/>
    <w:rsid w:val="006B1D79"/>
    <w:rsid w:val="006B1DC8"/>
    <w:rsid w:val="006B1EBB"/>
    <w:rsid w:val="006B1EE0"/>
    <w:rsid w:val="006B1F8B"/>
    <w:rsid w:val="006B235C"/>
    <w:rsid w:val="006B248B"/>
    <w:rsid w:val="006B2720"/>
    <w:rsid w:val="006B27A0"/>
    <w:rsid w:val="006B27FC"/>
    <w:rsid w:val="006B29E6"/>
    <w:rsid w:val="006B2E8A"/>
    <w:rsid w:val="006B3017"/>
    <w:rsid w:val="006B3032"/>
    <w:rsid w:val="006B3202"/>
    <w:rsid w:val="006B33DE"/>
    <w:rsid w:val="006B3628"/>
    <w:rsid w:val="006B3ABD"/>
    <w:rsid w:val="006B3D50"/>
    <w:rsid w:val="006B3DBD"/>
    <w:rsid w:val="006B3F5E"/>
    <w:rsid w:val="006B4257"/>
    <w:rsid w:val="006B4B4A"/>
    <w:rsid w:val="006B4D63"/>
    <w:rsid w:val="006B4E58"/>
    <w:rsid w:val="006B4F78"/>
    <w:rsid w:val="006B56B1"/>
    <w:rsid w:val="006B56F7"/>
    <w:rsid w:val="006B5A04"/>
    <w:rsid w:val="006B62DD"/>
    <w:rsid w:val="006B64DC"/>
    <w:rsid w:val="006B65B5"/>
    <w:rsid w:val="006B65D7"/>
    <w:rsid w:val="006B665F"/>
    <w:rsid w:val="006B6BB4"/>
    <w:rsid w:val="006B70B5"/>
    <w:rsid w:val="006B717E"/>
    <w:rsid w:val="006B7377"/>
    <w:rsid w:val="006B739E"/>
    <w:rsid w:val="006B75C6"/>
    <w:rsid w:val="006B7639"/>
    <w:rsid w:val="006B7745"/>
    <w:rsid w:val="006B77D8"/>
    <w:rsid w:val="006B7A27"/>
    <w:rsid w:val="006C01BF"/>
    <w:rsid w:val="006C04D9"/>
    <w:rsid w:val="006C069B"/>
    <w:rsid w:val="006C06A5"/>
    <w:rsid w:val="006C0CCA"/>
    <w:rsid w:val="006C1023"/>
    <w:rsid w:val="006C110A"/>
    <w:rsid w:val="006C165E"/>
    <w:rsid w:val="006C171D"/>
    <w:rsid w:val="006C1CF2"/>
    <w:rsid w:val="006C1DDC"/>
    <w:rsid w:val="006C2048"/>
    <w:rsid w:val="006C263A"/>
    <w:rsid w:val="006C2794"/>
    <w:rsid w:val="006C2955"/>
    <w:rsid w:val="006C29B4"/>
    <w:rsid w:val="006C29FD"/>
    <w:rsid w:val="006C33D2"/>
    <w:rsid w:val="006C354C"/>
    <w:rsid w:val="006C360D"/>
    <w:rsid w:val="006C3A0E"/>
    <w:rsid w:val="006C3A0F"/>
    <w:rsid w:val="006C3B76"/>
    <w:rsid w:val="006C41C1"/>
    <w:rsid w:val="006C423B"/>
    <w:rsid w:val="006C4485"/>
    <w:rsid w:val="006C4572"/>
    <w:rsid w:val="006C544B"/>
    <w:rsid w:val="006C56A0"/>
    <w:rsid w:val="006C57D3"/>
    <w:rsid w:val="006C5B99"/>
    <w:rsid w:val="006C5ED6"/>
    <w:rsid w:val="006C5EED"/>
    <w:rsid w:val="006C6338"/>
    <w:rsid w:val="006C63C6"/>
    <w:rsid w:val="006C66F6"/>
    <w:rsid w:val="006C6778"/>
    <w:rsid w:val="006C6C37"/>
    <w:rsid w:val="006C7199"/>
    <w:rsid w:val="006C7285"/>
    <w:rsid w:val="006C72A5"/>
    <w:rsid w:val="006C7609"/>
    <w:rsid w:val="006C7808"/>
    <w:rsid w:val="006C7983"/>
    <w:rsid w:val="006C7B03"/>
    <w:rsid w:val="006C7C5A"/>
    <w:rsid w:val="006C7E5C"/>
    <w:rsid w:val="006D0290"/>
    <w:rsid w:val="006D0436"/>
    <w:rsid w:val="006D0500"/>
    <w:rsid w:val="006D051F"/>
    <w:rsid w:val="006D065C"/>
    <w:rsid w:val="006D068F"/>
    <w:rsid w:val="006D0997"/>
    <w:rsid w:val="006D0D5F"/>
    <w:rsid w:val="006D0EC2"/>
    <w:rsid w:val="006D0F40"/>
    <w:rsid w:val="006D1348"/>
    <w:rsid w:val="006D1887"/>
    <w:rsid w:val="006D1B81"/>
    <w:rsid w:val="006D1D54"/>
    <w:rsid w:val="006D1FE1"/>
    <w:rsid w:val="006D20E0"/>
    <w:rsid w:val="006D2174"/>
    <w:rsid w:val="006D21E3"/>
    <w:rsid w:val="006D2372"/>
    <w:rsid w:val="006D23D7"/>
    <w:rsid w:val="006D2864"/>
    <w:rsid w:val="006D2A6B"/>
    <w:rsid w:val="006D2CBD"/>
    <w:rsid w:val="006D2F1C"/>
    <w:rsid w:val="006D2F49"/>
    <w:rsid w:val="006D30F1"/>
    <w:rsid w:val="006D32F6"/>
    <w:rsid w:val="006D3318"/>
    <w:rsid w:val="006D3327"/>
    <w:rsid w:val="006D36B2"/>
    <w:rsid w:val="006D3A6F"/>
    <w:rsid w:val="006D3B41"/>
    <w:rsid w:val="006D3E51"/>
    <w:rsid w:val="006D42F5"/>
    <w:rsid w:val="006D45C1"/>
    <w:rsid w:val="006D4AC7"/>
    <w:rsid w:val="006D4C01"/>
    <w:rsid w:val="006D4C72"/>
    <w:rsid w:val="006D4E4C"/>
    <w:rsid w:val="006D4E9A"/>
    <w:rsid w:val="006D518F"/>
    <w:rsid w:val="006D553F"/>
    <w:rsid w:val="006D5585"/>
    <w:rsid w:val="006D5756"/>
    <w:rsid w:val="006D57D0"/>
    <w:rsid w:val="006D5F76"/>
    <w:rsid w:val="006D627F"/>
    <w:rsid w:val="006D640C"/>
    <w:rsid w:val="006D66F8"/>
    <w:rsid w:val="006D6776"/>
    <w:rsid w:val="006D67C8"/>
    <w:rsid w:val="006D6B06"/>
    <w:rsid w:val="006D6D96"/>
    <w:rsid w:val="006D7211"/>
    <w:rsid w:val="006D75C8"/>
    <w:rsid w:val="006D76F1"/>
    <w:rsid w:val="006D7C91"/>
    <w:rsid w:val="006D7E4A"/>
    <w:rsid w:val="006E001D"/>
    <w:rsid w:val="006E03D5"/>
    <w:rsid w:val="006E0CA0"/>
    <w:rsid w:val="006E0F7E"/>
    <w:rsid w:val="006E100D"/>
    <w:rsid w:val="006E128C"/>
    <w:rsid w:val="006E12E6"/>
    <w:rsid w:val="006E145F"/>
    <w:rsid w:val="006E18BE"/>
    <w:rsid w:val="006E1943"/>
    <w:rsid w:val="006E1A3D"/>
    <w:rsid w:val="006E234A"/>
    <w:rsid w:val="006E23B8"/>
    <w:rsid w:val="006E2514"/>
    <w:rsid w:val="006E2545"/>
    <w:rsid w:val="006E270F"/>
    <w:rsid w:val="006E2974"/>
    <w:rsid w:val="006E2A75"/>
    <w:rsid w:val="006E2B62"/>
    <w:rsid w:val="006E3107"/>
    <w:rsid w:val="006E32DD"/>
    <w:rsid w:val="006E34D6"/>
    <w:rsid w:val="006E3911"/>
    <w:rsid w:val="006E3AA0"/>
    <w:rsid w:val="006E3CC2"/>
    <w:rsid w:val="006E3F86"/>
    <w:rsid w:val="006E460B"/>
    <w:rsid w:val="006E46A5"/>
    <w:rsid w:val="006E4AE5"/>
    <w:rsid w:val="006E4C67"/>
    <w:rsid w:val="006E4D67"/>
    <w:rsid w:val="006E4E14"/>
    <w:rsid w:val="006E5B2F"/>
    <w:rsid w:val="006E6225"/>
    <w:rsid w:val="006E6DD4"/>
    <w:rsid w:val="006E6FFB"/>
    <w:rsid w:val="006E7022"/>
    <w:rsid w:val="006E71B0"/>
    <w:rsid w:val="006E71CE"/>
    <w:rsid w:val="006E7213"/>
    <w:rsid w:val="006E754C"/>
    <w:rsid w:val="006E77E4"/>
    <w:rsid w:val="006E7874"/>
    <w:rsid w:val="006E7D63"/>
    <w:rsid w:val="006F00C5"/>
    <w:rsid w:val="006F01CE"/>
    <w:rsid w:val="006F09E3"/>
    <w:rsid w:val="006F0D46"/>
    <w:rsid w:val="006F0E4F"/>
    <w:rsid w:val="006F0FA1"/>
    <w:rsid w:val="006F135D"/>
    <w:rsid w:val="006F140D"/>
    <w:rsid w:val="006F165E"/>
    <w:rsid w:val="006F1D50"/>
    <w:rsid w:val="006F1DDB"/>
    <w:rsid w:val="006F23DD"/>
    <w:rsid w:val="006F23FC"/>
    <w:rsid w:val="006F315E"/>
    <w:rsid w:val="006F320F"/>
    <w:rsid w:val="006F32D2"/>
    <w:rsid w:val="006F345A"/>
    <w:rsid w:val="006F34D1"/>
    <w:rsid w:val="006F380E"/>
    <w:rsid w:val="006F3972"/>
    <w:rsid w:val="006F3AE1"/>
    <w:rsid w:val="006F3C28"/>
    <w:rsid w:val="006F3DDE"/>
    <w:rsid w:val="006F455A"/>
    <w:rsid w:val="006F477C"/>
    <w:rsid w:val="006F47D9"/>
    <w:rsid w:val="006F4938"/>
    <w:rsid w:val="006F4A50"/>
    <w:rsid w:val="006F4E3F"/>
    <w:rsid w:val="006F5158"/>
    <w:rsid w:val="006F5735"/>
    <w:rsid w:val="006F5809"/>
    <w:rsid w:val="006F58CC"/>
    <w:rsid w:val="006F5AA0"/>
    <w:rsid w:val="006F6178"/>
    <w:rsid w:val="006F6318"/>
    <w:rsid w:val="006F6391"/>
    <w:rsid w:val="006F65EA"/>
    <w:rsid w:val="006F6627"/>
    <w:rsid w:val="006F6762"/>
    <w:rsid w:val="006F6BEB"/>
    <w:rsid w:val="006F6CF6"/>
    <w:rsid w:val="006F7028"/>
    <w:rsid w:val="006F7442"/>
    <w:rsid w:val="006F751A"/>
    <w:rsid w:val="006F77D0"/>
    <w:rsid w:val="006F7D1C"/>
    <w:rsid w:val="006F7F0A"/>
    <w:rsid w:val="006F7F4C"/>
    <w:rsid w:val="00700059"/>
    <w:rsid w:val="007001F2"/>
    <w:rsid w:val="00700203"/>
    <w:rsid w:val="007008F9"/>
    <w:rsid w:val="00700950"/>
    <w:rsid w:val="00701136"/>
    <w:rsid w:val="00701154"/>
    <w:rsid w:val="00701457"/>
    <w:rsid w:val="00701528"/>
    <w:rsid w:val="007015C5"/>
    <w:rsid w:val="0070191C"/>
    <w:rsid w:val="00702022"/>
    <w:rsid w:val="00702109"/>
    <w:rsid w:val="00702686"/>
    <w:rsid w:val="00702806"/>
    <w:rsid w:val="00702CED"/>
    <w:rsid w:val="00702D57"/>
    <w:rsid w:val="0070319A"/>
    <w:rsid w:val="00703451"/>
    <w:rsid w:val="007034FE"/>
    <w:rsid w:val="007038C1"/>
    <w:rsid w:val="00703A1F"/>
    <w:rsid w:val="00703CB4"/>
    <w:rsid w:val="00704135"/>
    <w:rsid w:val="007042EC"/>
    <w:rsid w:val="00704459"/>
    <w:rsid w:val="0070456A"/>
    <w:rsid w:val="00704C9D"/>
    <w:rsid w:val="00704EFB"/>
    <w:rsid w:val="00704F0B"/>
    <w:rsid w:val="00705561"/>
    <w:rsid w:val="00705B86"/>
    <w:rsid w:val="00705B89"/>
    <w:rsid w:val="00705BE7"/>
    <w:rsid w:val="00705BED"/>
    <w:rsid w:val="00706457"/>
    <w:rsid w:val="007068EB"/>
    <w:rsid w:val="0070693A"/>
    <w:rsid w:val="007072F5"/>
    <w:rsid w:val="00707451"/>
    <w:rsid w:val="00707592"/>
    <w:rsid w:val="00707733"/>
    <w:rsid w:val="00707C18"/>
    <w:rsid w:val="00707CC1"/>
    <w:rsid w:val="00707F9A"/>
    <w:rsid w:val="00707FAC"/>
    <w:rsid w:val="00710210"/>
    <w:rsid w:val="007103A9"/>
    <w:rsid w:val="007109A4"/>
    <w:rsid w:val="00710A44"/>
    <w:rsid w:val="007111DF"/>
    <w:rsid w:val="0071127E"/>
    <w:rsid w:val="007113EB"/>
    <w:rsid w:val="0071187D"/>
    <w:rsid w:val="0071189F"/>
    <w:rsid w:val="00711972"/>
    <w:rsid w:val="00711E9D"/>
    <w:rsid w:val="00712110"/>
    <w:rsid w:val="007124F0"/>
    <w:rsid w:val="0071261D"/>
    <w:rsid w:val="00712692"/>
    <w:rsid w:val="00712A26"/>
    <w:rsid w:val="00712E97"/>
    <w:rsid w:val="00712EBC"/>
    <w:rsid w:val="007135B9"/>
    <w:rsid w:val="007136AA"/>
    <w:rsid w:val="00713856"/>
    <w:rsid w:val="00713E88"/>
    <w:rsid w:val="007142AA"/>
    <w:rsid w:val="00714462"/>
    <w:rsid w:val="00714709"/>
    <w:rsid w:val="00714DC2"/>
    <w:rsid w:val="00714E19"/>
    <w:rsid w:val="00714EC8"/>
    <w:rsid w:val="00714F96"/>
    <w:rsid w:val="00715430"/>
    <w:rsid w:val="0071576B"/>
    <w:rsid w:val="007159D4"/>
    <w:rsid w:val="007159DC"/>
    <w:rsid w:val="00715A38"/>
    <w:rsid w:val="00715E0D"/>
    <w:rsid w:val="00715FE4"/>
    <w:rsid w:val="00716083"/>
    <w:rsid w:val="007161B3"/>
    <w:rsid w:val="007163BB"/>
    <w:rsid w:val="00716633"/>
    <w:rsid w:val="0071675F"/>
    <w:rsid w:val="00716AD2"/>
    <w:rsid w:val="007171BB"/>
    <w:rsid w:val="007173DA"/>
    <w:rsid w:val="007177AA"/>
    <w:rsid w:val="00717E64"/>
    <w:rsid w:val="007203CA"/>
    <w:rsid w:val="007203E6"/>
    <w:rsid w:val="007206A2"/>
    <w:rsid w:val="00720A2F"/>
    <w:rsid w:val="00720BB9"/>
    <w:rsid w:val="00720C63"/>
    <w:rsid w:val="007212EC"/>
    <w:rsid w:val="00721650"/>
    <w:rsid w:val="00721991"/>
    <w:rsid w:val="0072212B"/>
    <w:rsid w:val="00722343"/>
    <w:rsid w:val="00722668"/>
    <w:rsid w:val="007226F5"/>
    <w:rsid w:val="007227F7"/>
    <w:rsid w:val="00722B4E"/>
    <w:rsid w:val="007237E0"/>
    <w:rsid w:val="00723B2C"/>
    <w:rsid w:val="00723C73"/>
    <w:rsid w:val="00723D39"/>
    <w:rsid w:val="00723FA4"/>
    <w:rsid w:val="0072488D"/>
    <w:rsid w:val="00724C00"/>
    <w:rsid w:val="00724C85"/>
    <w:rsid w:val="00724E54"/>
    <w:rsid w:val="00724ED0"/>
    <w:rsid w:val="00724F92"/>
    <w:rsid w:val="00725277"/>
    <w:rsid w:val="007253D6"/>
    <w:rsid w:val="0072578A"/>
    <w:rsid w:val="007257EE"/>
    <w:rsid w:val="00725815"/>
    <w:rsid w:val="0072597A"/>
    <w:rsid w:val="00725D31"/>
    <w:rsid w:val="00725F15"/>
    <w:rsid w:val="00726051"/>
    <w:rsid w:val="0072663F"/>
    <w:rsid w:val="00726A72"/>
    <w:rsid w:val="00726D8E"/>
    <w:rsid w:val="00726DDF"/>
    <w:rsid w:val="0072723E"/>
    <w:rsid w:val="007273E5"/>
    <w:rsid w:val="0072750B"/>
    <w:rsid w:val="007276C6"/>
    <w:rsid w:val="007278F0"/>
    <w:rsid w:val="00727EAB"/>
    <w:rsid w:val="00727F9C"/>
    <w:rsid w:val="007304D4"/>
    <w:rsid w:val="0073071D"/>
    <w:rsid w:val="007308B0"/>
    <w:rsid w:val="00730DF3"/>
    <w:rsid w:val="00731037"/>
    <w:rsid w:val="007311A1"/>
    <w:rsid w:val="00731245"/>
    <w:rsid w:val="00731458"/>
    <w:rsid w:val="007318A9"/>
    <w:rsid w:val="00731CDA"/>
    <w:rsid w:val="00731DF9"/>
    <w:rsid w:val="0073222A"/>
    <w:rsid w:val="00732236"/>
    <w:rsid w:val="00732327"/>
    <w:rsid w:val="007323EF"/>
    <w:rsid w:val="007324B8"/>
    <w:rsid w:val="007328DE"/>
    <w:rsid w:val="00732A3E"/>
    <w:rsid w:val="00732B43"/>
    <w:rsid w:val="00732F1E"/>
    <w:rsid w:val="007338D3"/>
    <w:rsid w:val="007338F5"/>
    <w:rsid w:val="00733BB2"/>
    <w:rsid w:val="0073407B"/>
    <w:rsid w:val="00734136"/>
    <w:rsid w:val="00734273"/>
    <w:rsid w:val="0073429D"/>
    <w:rsid w:val="007347EA"/>
    <w:rsid w:val="00734DB3"/>
    <w:rsid w:val="00734DBE"/>
    <w:rsid w:val="007351CB"/>
    <w:rsid w:val="00735290"/>
    <w:rsid w:val="0073551E"/>
    <w:rsid w:val="0073566F"/>
    <w:rsid w:val="00735B30"/>
    <w:rsid w:val="00735C43"/>
    <w:rsid w:val="00736362"/>
    <w:rsid w:val="00736BA9"/>
    <w:rsid w:val="00736CD9"/>
    <w:rsid w:val="00736E03"/>
    <w:rsid w:val="00736F63"/>
    <w:rsid w:val="007371B9"/>
    <w:rsid w:val="007373FA"/>
    <w:rsid w:val="007375B0"/>
    <w:rsid w:val="00737677"/>
    <w:rsid w:val="007377CE"/>
    <w:rsid w:val="0073792C"/>
    <w:rsid w:val="00737979"/>
    <w:rsid w:val="00737E23"/>
    <w:rsid w:val="00740076"/>
    <w:rsid w:val="007403A7"/>
    <w:rsid w:val="007403EE"/>
    <w:rsid w:val="0074046B"/>
    <w:rsid w:val="00740529"/>
    <w:rsid w:val="007405DA"/>
    <w:rsid w:val="00740669"/>
    <w:rsid w:val="00740708"/>
    <w:rsid w:val="00740739"/>
    <w:rsid w:val="00740AE9"/>
    <w:rsid w:val="00740B1F"/>
    <w:rsid w:val="00740E24"/>
    <w:rsid w:val="00740F9C"/>
    <w:rsid w:val="00741256"/>
    <w:rsid w:val="00741D7E"/>
    <w:rsid w:val="007420F5"/>
    <w:rsid w:val="007420FA"/>
    <w:rsid w:val="007421CC"/>
    <w:rsid w:val="0074237A"/>
    <w:rsid w:val="007423BE"/>
    <w:rsid w:val="0074257A"/>
    <w:rsid w:val="0074294A"/>
    <w:rsid w:val="00742C2A"/>
    <w:rsid w:val="00742C94"/>
    <w:rsid w:val="00742CB4"/>
    <w:rsid w:val="00743421"/>
    <w:rsid w:val="007435BB"/>
    <w:rsid w:val="00743C27"/>
    <w:rsid w:val="00743CD9"/>
    <w:rsid w:val="00743DC8"/>
    <w:rsid w:val="00743E2D"/>
    <w:rsid w:val="0074454C"/>
    <w:rsid w:val="00744770"/>
    <w:rsid w:val="007447B0"/>
    <w:rsid w:val="007448B7"/>
    <w:rsid w:val="00744A72"/>
    <w:rsid w:val="00744AC6"/>
    <w:rsid w:val="0074505F"/>
    <w:rsid w:val="00745205"/>
    <w:rsid w:val="0074529D"/>
    <w:rsid w:val="00745337"/>
    <w:rsid w:val="007454D8"/>
    <w:rsid w:val="00745593"/>
    <w:rsid w:val="007455D4"/>
    <w:rsid w:val="00745924"/>
    <w:rsid w:val="00745B47"/>
    <w:rsid w:val="00745C65"/>
    <w:rsid w:val="00745E35"/>
    <w:rsid w:val="00745E45"/>
    <w:rsid w:val="007460F9"/>
    <w:rsid w:val="0074626B"/>
    <w:rsid w:val="00746372"/>
    <w:rsid w:val="007463B2"/>
    <w:rsid w:val="00746F46"/>
    <w:rsid w:val="00747434"/>
    <w:rsid w:val="00747582"/>
    <w:rsid w:val="00747629"/>
    <w:rsid w:val="0074788B"/>
    <w:rsid w:val="00747914"/>
    <w:rsid w:val="00747B7E"/>
    <w:rsid w:val="00747D12"/>
    <w:rsid w:val="007504A9"/>
    <w:rsid w:val="007505AE"/>
    <w:rsid w:val="00750690"/>
    <w:rsid w:val="007506C2"/>
    <w:rsid w:val="0075087B"/>
    <w:rsid w:val="00750C3A"/>
    <w:rsid w:val="00750EE9"/>
    <w:rsid w:val="0075137C"/>
    <w:rsid w:val="00751A34"/>
    <w:rsid w:val="00751D91"/>
    <w:rsid w:val="00752050"/>
    <w:rsid w:val="007524E5"/>
    <w:rsid w:val="0075250D"/>
    <w:rsid w:val="007525E0"/>
    <w:rsid w:val="0075268B"/>
    <w:rsid w:val="00753031"/>
    <w:rsid w:val="0075318D"/>
    <w:rsid w:val="007536FD"/>
    <w:rsid w:val="00753789"/>
    <w:rsid w:val="00753C56"/>
    <w:rsid w:val="00753C75"/>
    <w:rsid w:val="00753E76"/>
    <w:rsid w:val="0075418A"/>
    <w:rsid w:val="00754234"/>
    <w:rsid w:val="00754789"/>
    <w:rsid w:val="007547BE"/>
    <w:rsid w:val="00755179"/>
    <w:rsid w:val="00755E4D"/>
    <w:rsid w:val="00756378"/>
    <w:rsid w:val="00756430"/>
    <w:rsid w:val="007565EF"/>
    <w:rsid w:val="007567DE"/>
    <w:rsid w:val="007567F3"/>
    <w:rsid w:val="00756C3C"/>
    <w:rsid w:val="0075701D"/>
    <w:rsid w:val="00757369"/>
    <w:rsid w:val="007573FA"/>
    <w:rsid w:val="0075751D"/>
    <w:rsid w:val="00757976"/>
    <w:rsid w:val="007579FB"/>
    <w:rsid w:val="00757A59"/>
    <w:rsid w:val="00757BE9"/>
    <w:rsid w:val="00757C46"/>
    <w:rsid w:val="00757D1B"/>
    <w:rsid w:val="00757D1E"/>
    <w:rsid w:val="00757D49"/>
    <w:rsid w:val="00757E14"/>
    <w:rsid w:val="00757F00"/>
    <w:rsid w:val="007602B6"/>
    <w:rsid w:val="007603DE"/>
    <w:rsid w:val="00760BC3"/>
    <w:rsid w:val="00760DD3"/>
    <w:rsid w:val="00760F1A"/>
    <w:rsid w:val="00760F23"/>
    <w:rsid w:val="0076122C"/>
    <w:rsid w:val="0076177F"/>
    <w:rsid w:val="0076179D"/>
    <w:rsid w:val="007619D1"/>
    <w:rsid w:val="00762100"/>
    <w:rsid w:val="0076260D"/>
    <w:rsid w:val="00762749"/>
    <w:rsid w:val="00762B5A"/>
    <w:rsid w:val="00762BBA"/>
    <w:rsid w:val="00762BCE"/>
    <w:rsid w:val="00762CC0"/>
    <w:rsid w:val="00762F2E"/>
    <w:rsid w:val="0076380C"/>
    <w:rsid w:val="00763B77"/>
    <w:rsid w:val="00763C11"/>
    <w:rsid w:val="00763DF5"/>
    <w:rsid w:val="007646AB"/>
    <w:rsid w:val="00764737"/>
    <w:rsid w:val="0076476F"/>
    <w:rsid w:val="0076485C"/>
    <w:rsid w:val="00764B81"/>
    <w:rsid w:val="00764DA3"/>
    <w:rsid w:val="0076530B"/>
    <w:rsid w:val="00765320"/>
    <w:rsid w:val="0076555E"/>
    <w:rsid w:val="0076597C"/>
    <w:rsid w:val="00765E8A"/>
    <w:rsid w:val="00766151"/>
    <w:rsid w:val="00766168"/>
    <w:rsid w:val="007661DA"/>
    <w:rsid w:val="00766242"/>
    <w:rsid w:val="007662E1"/>
    <w:rsid w:val="00766F98"/>
    <w:rsid w:val="0076702C"/>
    <w:rsid w:val="00767241"/>
    <w:rsid w:val="007673BC"/>
    <w:rsid w:val="0076764C"/>
    <w:rsid w:val="00767D2A"/>
    <w:rsid w:val="00767D3E"/>
    <w:rsid w:val="00767D6B"/>
    <w:rsid w:val="00767F6C"/>
    <w:rsid w:val="00770117"/>
    <w:rsid w:val="0077014D"/>
    <w:rsid w:val="007705CF"/>
    <w:rsid w:val="007708C6"/>
    <w:rsid w:val="00770B5F"/>
    <w:rsid w:val="007710CB"/>
    <w:rsid w:val="00771287"/>
    <w:rsid w:val="0077145A"/>
    <w:rsid w:val="0077159F"/>
    <w:rsid w:val="007715C9"/>
    <w:rsid w:val="00771646"/>
    <w:rsid w:val="00771786"/>
    <w:rsid w:val="0077195A"/>
    <w:rsid w:val="00771A0E"/>
    <w:rsid w:val="00772045"/>
    <w:rsid w:val="007720C2"/>
    <w:rsid w:val="00772443"/>
    <w:rsid w:val="007724B2"/>
    <w:rsid w:val="00772829"/>
    <w:rsid w:val="00772875"/>
    <w:rsid w:val="00772939"/>
    <w:rsid w:val="00772A3D"/>
    <w:rsid w:val="00772C1F"/>
    <w:rsid w:val="00772C86"/>
    <w:rsid w:val="00773192"/>
    <w:rsid w:val="0077326E"/>
    <w:rsid w:val="007732CF"/>
    <w:rsid w:val="007735A0"/>
    <w:rsid w:val="0077381D"/>
    <w:rsid w:val="00773DF5"/>
    <w:rsid w:val="00773E05"/>
    <w:rsid w:val="007740C1"/>
    <w:rsid w:val="00774429"/>
    <w:rsid w:val="0077471D"/>
    <w:rsid w:val="00774752"/>
    <w:rsid w:val="007747F4"/>
    <w:rsid w:val="00774AF0"/>
    <w:rsid w:val="00774C54"/>
    <w:rsid w:val="00774EC8"/>
    <w:rsid w:val="007757A9"/>
    <w:rsid w:val="0077598B"/>
    <w:rsid w:val="00775C2C"/>
    <w:rsid w:val="00775FC1"/>
    <w:rsid w:val="00776020"/>
    <w:rsid w:val="0077612F"/>
    <w:rsid w:val="00776530"/>
    <w:rsid w:val="00776644"/>
    <w:rsid w:val="007768F3"/>
    <w:rsid w:val="00776A88"/>
    <w:rsid w:val="00776A8E"/>
    <w:rsid w:val="00776BAB"/>
    <w:rsid w:val="00776CD5"/>
    <w:rsid w:val="00777233"/>
    <w:rsid w:val="007777DB"/>
    <w:rsid w:val="00777848"/>
    <w:rsid w:val="00777893"/>
    <w:rsid w:val="00777EB5"/>
    <w:rsid w:val="00780166"/>
    <w:rsid w:val="007802D4"/>
    <w:rsid w:val="00780DA5"/>
    <w:rsid w:val="00781027"/>
    <w:rsid w:val="007817D7"/>
    <w:rsid w:val="0078196E"/>
    <w:rsid w:val="00781E24"/>
    <w:rsid w:val="0078222A"/>
    <w:rsid w:val="0078252C"/>
    <w:rsid w:val="007826DA"/>
    <w:rsid w:val="00782B02"/>
    <w:rsid w:val="00782E59"/>
    <w:rsid w:val="0078326C"/>
    <w:rsid w:val="00783756"/>
    <w:rsid w:val="00783E8B"/>
    <w:rsid w:val="00783FA2"/>
    <w:rsid w:val="0078407C"/>
    <w:rsid w:val="0078412D"/>
    <w:rsid w:val="0078415F"/>
    <w:rsid w:val="0078428D"/>
    <w:rsid w:val="00784611"/>
    <w:rsid w:val="007847D3"/>
    <w:rsid w:val="007852E9"/>
    <w:rsid w:val="007854A4"/>
    <w:rsid w:val="00785DAF"/>
    <w:rsid w:val="00785F4A"/>
    <w:rsid w:val="007863EF"/>
    <w:rsid w:val="0078657F"/>
    <w:rsid w:val="00786787"/>
    <w:rsid w:val="00786A3A"/>
    <w:rsid w:val="00786BEC"/>
    <w:rsid w:val="00786CD3"/>
    <w:rsid w:val="00786D16"/>
    <w:rsid w:val="00786DF6"/>
    <w:rsid w:val="00786DF9"/>
    <w:rsid w:val="0078710C"/>
    <w:rsid w:val="007872BF"/>
    <w:rsid w:val="00787FBB"/>
    <w:rsid w:val="00790013"/>
    <w:rsid w:val="00790094"/>
    <w:rsid w:val="00790394"/>
    <w:rsid w:val="00790638"/>
    <w:rsid w:val="00790748"/>
    <w:rsid w:val="0079081A"/>
    <w:rsid w:val="00790B15"/>
    <w:rsid w:val="00790F49"/>
    <w:rsid w:val="00791362"/>
    <w:rsid w:val="007913FE"/>
    <w:rsid w:val="0079160B"/>
    <w:rsid w:val="007918B1"/>
    <w:rsid w:val="007919CA"/>
    <w:rsid w:val="00791ABD"/>
    <w:rsid w:val="00791B0A"/>
    <w:rsid w:val="00792085"/>
    <w:rsid w:val="00792230"/>
    <w:rsid w:val="007923E2"/>
    <w:rsid w:val="007929BB"/>
    <w:rsid w:val="00792C18"/>
    <w:rsid w:val="00792E64"/>
    <w:rsid w:val="00792F22"/>
    <w:rsid w:val="007931BF"/>
    <w:rsid w:val="007931CB"/>
    <w:rsid w:val="0079363F"/>
    <w:rsid w:val="007938A9"/>
    <w:rsid w:val="00793AC3"/>
    <w:rsid w:val="00793ADF"/>
    <w:rsid w:val="00794131"/>
    <w:rsid w:val="007945F2"/>
    <w:rsid w:val="00794D81"/>
    <w:rsid w:val="00794DE0"/>
    <w:rsid w:val="00795173"/>
    <w:rsid w:val="007951D4"/>
    <w:rsid w:val="00795211"/>
    <w:rsid w:val="007952EB"/>
    <w:rsid w:val="007953C4"/>
    <w:rsid w:val="00795591"/>
    <w:rsid w:val="0079568F"/>
    <w:rsid w:val="007956EB"/>
    <w:rsid w:val="0079576A"/>
    <w:rsid w:val="0079589A"/>
    <w:rsid w:val="00795FAB"/>
    <w:rsid w:val="00796131"/>
    <w:rsid w:val="0079624D"/>
    <w:rsid w:val="007964AB"/>
    <w:rsid w:val="00796555"/>
    <w:rsid w:val="00796772"/>
    <w:rsid w:val="00796869"/>
    <w:rsid w:val="00796B4A"/>
    <w:rsid w:val="00796EC3"/>
    <w:rsid w:val="00797C46"/>
    <w:rsid w:val="00797F04"/>
    <w:rsid w:val="007A0069"/>
    <w:rsid w:val="007A0195"/>
    <w:rsid w:val="007A0874"/>
    <w:rsid w:val="007A0CD1"/>
    <w:rsid w:val="007A0E60"/>
    <w:rsid w:val="007A0F95"/>
    <w:rsid w:val="007A15AC"/>
    <w:rsid w:val="007A19F6"/>
    <w:rsid w:val="007A236C"/>
    <w:rsid w:val="007A25A8"/>
    <w:rsid w:val="007A26E0"/>
    <w:rsid w:val="007A279C"/>
    <w:rsid w:val="007A2ABC"/>
    <w:rsid w:val="007A2B65"/>
    <w:rsid w:val="007A310F"/>
    <w:rsid w:val="007A34A1"/>
    <w:rsid w:val="007A357A"/>
    <w:rsid w:val="007A3A51"/>
    <w:rsid w:val="007A3ADE"/>
    <w:rsid w:val="007A3E78"/>
    <w:rsid w:val="007A3F37"/>
    <w:rsid w:val="007A430F"/>
    <w:rsid w:val="007A43CC"/>
    <w:rsid w:val="007A4543"/>
    <w:rsid w:val="007A484E"/>
    <w:rsid w:val="007A4D3C"/>
    <w:rsid w:val="007A51B2"/>
    <w:rsid w:val="007A51E6"/>
    <w:rsid w:val="007A51E8"/>
    <w:rsid w:val="007A5222"/>
    <w:rsid w:val="007A5355"/>
    <w:rsid w:val="007A53B7"/>
    <w:rsid w:val="007A5617"/>
    <w:rsid w:val="007A599D"/>
    <w:rsid w:val="007A5D06"/>
    <w:rsid w:val="007A642D"/>
    <w:rsid w:val="007A677B"/>
    <w:rsid w:val="007A6801"/>
    <w:rsid w:val="007A698B"/>
    <w:rsid w:val="007A72DA"/>
    <w:rsid w:val="007A75A1"/>
    <w:rsid w:val="007A7CDD"/>
    <w:rsid w:val="007B0245"/>
    <w:rsid w:val="007B083F"/>
    <w:rsid w:val="007B0880"/>
    <w:rsid w:val="007B0D01"/>
    <w:rsid w:val="007B0D0F"/>
    <w:rsid w:val="007B0E84"/>
    <w:rsid w:val="007B0F69"/>
    <w:rsid w:val="007B1040"/>
    <w:rsid w:val="007B1142"/>
    <w:rsid w:val="007B1195"/>
    <w:rsid w:val="007B15A7"/>
    <w:rsid w:val="007B15B6"/>
    <w:rsid w:val="007B1A11"/>
    <w:rsid w:val="007B2083"/>
    <w:rsid w:val="007B2085"/>
    <w:rsid w:val="007B2302"/>
    <w:rsid w:val="007B2318"/>
    <w:rsid w:val="007B252A"/>
    <w:rsid w:val="007B26D0"/>
    <w:rsid w:val="007B2ACE"/>
    <w:rsid w:val="007B2F09"/>
    <w:rsid w:val="007B2FDC"/>
    <w:rsid w:val="007B3282"/>
    <w:rsid w:val="007B38A0"/>
    <w:rsid w:val="007B38B7"/>
    <w:rsid w:val="007B3D52"/>
    <w:rsid w:val="007B3ECC"/>
    <w:rsid w:val="007B3F42"/>
    <w:rsid w:val="007B3F5E"/>
    <w:rsid w:val="007B402D"/>
    <w:rsid w:val="007B43FD"/>
    <w:rsid w:val="007B4446"/>
    <w:rsid w:val="007B4594"/>
    <w:rsid w:val="007B4657"/>
    <w:rsid w:val="007B466E"/>
    <w:rsid w:val="007B4B92"/>
    <w:rsid w:val="007B4BC6"/>
    <w:rsid w:val="007B4DC6"/>
    <w:rsid w:val="007B4F7B"/>
    <w:rsid w:val="007B53F7"/>
    <w:rsid w:val="007B5440"/>
    <w:rsid w:val="007B5474"/>
    <w:rsid w:val="007B583D"/>
    <w:rsid w:val="007B6019"/>
    <w:rsid w:val="007B6197"/>
    <w:rsid w:val="007B640F"/>
    <w:rsid w:val="007B6684"/>
    <w:rsid w:val="007B6767"/>
    <w:rsid w:val="007B68DB"/>
    <w:rsid w:val="007B6A34"/>
    <w:rsid w:val="007B6B21"/>
    <w:rsid w:val="007B6C35"/>
    <w:rsid w:val="007B6C93"/>
    <w:rsid w:val="007B6DAE"/>
    <w:rsid w:val="007B6F7F"/>
    <w:rsid w:val="007B7024"/>
    <w:rsid w:val="007B7363"/>
    <w:rsid w:val="007B7973"/>
    <w:rsid w:val="007B7C92"/>
    <w:rsid w:val="007B7CD0"/>
    <w:rsid w:val="007B7D8B"/>
    <w:rsid w:val="007B7FD8"/>
    <w:rsid w:val="007C02A6"/>
    <w:rsid w:val="007C0390"/>
    <w:rsid w:val="007C0963"/>
    <w:rsid w:val="007C14A2"/>
    <w:rsid w:val="007C1BA4"/>
    <w:rsid w:val="007C1E29"/>
    <w:rsid w:val="007C1FC0"/>
    <w:rsid w:val="007C2030"/>
    <w:rsid w:val="007C2142"/>
    <w:rsid w:val="007C26EC"/>
    <w:rsid w:val="007C300E"/>
    <w:rsid w:val="007C328D"/>
    <w:rsid w:val="007C336F"/>
    <w:rsid w:val="007C359E"/>
    <w:rsid w:val="007C379D"/>
    <w:rsid w:val="007C3800"/>
    <w:rsid w:val="007C3853"/>
    <w:rsid w:val="007C397F"/>
    <w:rsid w:val="007C3AEC"/>
    <w:rsid w:val="007C3C3D"/>
    <w:rsid w:val="007C41B1"/>
    <w:rsid w:val="007C43E4"/>
    <w:rsid w:val="007C4450"/>
    <w:rsid w:val="007C477A"/>
    <w:rsid w:val="007C4784"/>
    <w:rsid w:val="007C482C"/>
    <w:rsid w:val="007C4BB5"/>
    <w:rsid w:val="007C4CBF"/>
    <w:rsid w:val="007C5191"/>
    <w:rsid w:val="007C521E"/>
    <w:rsid w:val="007C5463"/>
    <w:rsid w:val="007C573D"/>
    <w:rsid w:val="007C6144"/>
    <w:rsid w:val="007C629B"/>
    <w:rsid w:val="007C6B76"/>
    <w:rsid w:val="007C6CAE"/>
    <w:rsid w:val="007C6E4B"/>
    <w:rsid w:val="007D050E"/>
    <w:rsid w:val="007D05CD"/>
    <w:rsid w:val="007D0B14"/>
    <w:rsid w:val="007D1378"/>
    <w:rsid w:val="007D17D8"/>
    <w:rsid w:val="007D188D"/>
    <w:rsid w:val="007D1AAE"/>
    <w:rsid w:val="007D1E86"/>
    <w:rsid w:val="007D23A5"/>
    <w:rsid w:val="007D2656"/>
    <w:rsid w:val="007D277E"/>
    <w:rsid w:val="007D2B03"/>
    <w:rsid w:val="007D2BCC"/>
    <w:rsid w:val="007D2D34"/>
    <w:rsid w:val="007D2D6C"/>
    <w:rsid w:val="007D30B7"/>
    <w:rsid w:val="007D31F6"/>
    <w:rsid w:val="007D3235"/>
    <w:rsid w:val="007D35F4"/>
    <w:rsid w:val="007D368E"/>
    <w:rsid w:val="007D38F4"/>
    <w:rsid w:val="007D4079"/>
    <w:rsid w:val="007D4105"/>
    <w:rsid w:val="007D421D"/>
    <w:rsid w:val="007D433F"/>
    <w:rsid w:val="007D4369"/>
    <w:rsid w:val="007D4606"/>
    <w:rsid w:val="007D479C"/>
    <w:rsid w:val="007D4B2D"/>
    <w:rsid w:val="007D523E"/>
    <w:rsid w:val="007D52F3"/>
    <w:rsid w:val="007D52F7"/>
    <w:rsid w:val="007D5558"/>
    <w:rsid w:val="007D55F8"/>
    <w:rsid w:val="007D5627"/>
    <w:rsid w:val="007D5715"/>
    <w:rsid w:val="007D5899"/>
    <w:rsid w:val="007D5A8E"/>
    <w:rsid w:val="007D5B6A"/>
    <w:rsid w:val="007D5C5E"/>
    <w:rsid w:val="007D6668"/>
    <w:rsid w:val="007D67D6"/>
    <w:rsid w:val="007D6A9C"/>
    <w:rsid w:val="007D6F24"/>
    <w:rsid w:val="007D7019"/>
    <w:rsid w:val="007D7411"/>
    <w:rsid w:val="007D78B5"/>
    <w:rsid w:val="007D78E7"/>
    <w:rsid w:val="007E01B4"/>
    <w:rsid w:val="007E0308"/>
    <w:rsid w:val="007E038D"/>
    <w:rsid w:val="007E073F"/>
    <w:rsid w:val="007E0B4F"/>
    <w:rsid w:val="007E113D"/>
    <w:rsid w:val="007E115E"/>
    <w:rsid w:val="007E118D"/>
    <w:rsid w:val="007E14CD"/>
    <w:rsid w:val="007E15AD"/>
    <w:rsid w:val="007E181F"/>
    <w:rsid w:val="007E18D9"/>
    <w:rsid w:val="007E1F23"/>
    <w:rsid w:val="007E1F87"/>
    <w:rsid w:val="007E2308"/>
    <w:rsid w:val="007E2558"/>
    <w:rsid w:val="007E25ED"/>
    <w:rsid w:val="007E26A6"/>
    <w:rsid w:val="007E2ACD"/>
    <w:rsid w:val="007E2BC0"/>
    <w:rsid w:val="007E2BDE"/>
    <w:rsid w:val="007E2E8B"/>
    <w:rsid w:val="007E3A2E"/>
    <w:rsid w:val="007E3ADA"/>
    <w:rsid w:val="007E4194"/>
    <w:rsid w:val="007E419B"/>
    <w:rsid w:val="007E4733"/>
    <w:rsid w:val="007E4829"/>
    <w:rsid w:val="007E49DC"/>
    <w:rsid w:val="007E4B5E"/>
    <w:rsid w:val="007E4E80"/>
    <w:rsid w:val="007E4E9A"/>
    <w:rsid w:val="007E5028"/>
    <w:rsid w:val="007E540C"/>
    <w:rsid w:val="007E59DC"/>
    <w:rsid w:val="007E5AE0"/>
    <w:rsid w:val="007E5AF7"/>
    <w:rsid w:val="007E5CA2"/>
    <w:rsid w:val="007E5E66"/>
    <w:rsid w:val="007E5ED8"/>
    <w:rsid w:val="007E617B"/>
    <w:rsid w:val="007E6211"/>
    <w:rsid w:val="007E63AA"/>
    <w:rsid w:val="007E66E4"/>
    <w:rsid w:val="007E67A5"/>
    <w:rsid w:val="007E6878"/>
    <w:rsid w:val="007E6900"/>
    <w:rsid w:val="007E6B3D"/>
    <w:rsid w:val="007E6CA1"/>
    <w:rsid w:val="007E6CF7"/>
    <w:rsid w:val="007E6D41"/>
    <w:rsid w:val="007E6E6D"/>
    <w:rsid w:val="007E7410"/>
    <w:rsid w:val="007E778B"/>
    <w:rsid w:val="007E778C"/>
    <w:rsid w:val="007E7DE8"/>
    <w:rsid w:val="007E7EE7"/>
    <w:rsid w:val="007E7F63"/>
    <w:rsid w:val="007F0174"/>
    <w:rsid w:val="007F0247"/>
    <w:rsid w:val="007F0414"/>
    <w:rsid w:val="007F04E4"/>
    <w:rsid w:val="007F08D3"/>
    <w:rsid w:val="007F0996"/>
    <w:rsid w:val="007F09A9"/>
    <w:rsid w:val="007F0F3B"/>
    <w:rsid w:val="007F0F9A"/>
    <w:rsid w:val="007F12A6"/>
    <w:rsid w:val="007F15EF"/>
    <w:rsid w:val="007F1E0E"/>
    <w:rsid w:val="007F1F2B"/>
    <w:rsid w:val="007F20CE"/>
    <w:rsid w:val="007F2231"/>
    <w:rsid w:val="007F2419"/>
    <w:rsid w:val="007F244F"/>
    <w:rsid w:val="007F2453"/>
    <w:rsid w:val="007F298F"/>
    <w:rsid w:val="007F2A2E"/>
    <w:rsid w:val="007F2DF3"/>
    <w:rsid w:val="007F2F36"/>
    <w:rsid w:val="007F30DA"/>
    <w:rsid w:val="007F3A8C"/>
    <w:rsid w:val="007F415D"/>
    <w:rsid w:val="007F426F"/>
    <w:rsid w:val="007F42A7"/>
    <w:rsid w:val="007F43AF"/>
    <w:rsid w:val="007F44CD"/>
    <w:rsid w:val="007F4582"/>
    <w:rsid w:val="007F45CB"/>
    <w:rsid w:val="007F48BA"/>
    <w:rsid w:val="007F4911"/>
    <w:rsid w:val="007F4B8B"/>
    <w:rsid w:val="007F4E13"/>
    <w:rsid w:val="007F4FB3"/>
    <w:rsid w:val="007F5512"/>
    <w:rsid w:val="007F5DCC"/>
    <w:rsid w:val="007F6031"/>
    <w:rsid w:val="007F61E5"/>
    <w:rsid w:val="007F649F"/>
    <w:rsid w:val="007F6713"/>
    <w:rsid w:val="007F67E9"/>
    <w:rsid w:val="007F680C"/>
    <w:rsid w:val="007F68CA"/>
    <w:rsid w:val="007F6938"/>
    <w:rsid w:val="007F6EDC"/>
    <w:rsid w:val="007F7C7B"/>
    <w:rsid w:val="007F7FBC"/>
    <w:rsid w:val="007F7FCA"/>
    <w:rsid w:val="008003A2"/>
    <w:rsid w:val="0080087C"/>
    <w:rsid w:val="0080090D"/>
    <w:rsid w:val="00800C51"/>
    <w:rsid w:val="00800C52"/>
    <w:rsid w:val="008010E9"/>
    <w:rsid w:val="00801333"/>
    <w:rsid w:val="008017AD"/>
    <w:rsid w:val="00802893"/>
    <w:rsid w:val="00802AD0"/>
    <w:rsid w:val="00802B64"/>
    <w:rsid w:val="00803183"/>
    <w:rsid w:val="00803413"/>
    <w:rsid w:val="008038F0"/>
    <w:rsid w:val="008039F2"/>
    <w:rsid w:val="00803F3D"/>
    <w:rsid w:val="008040A2"/>
    <w:rsid w:val="00804253"/>
    <w:rsid w:val="00804522"/>
    <w:rsid w:val="008045B9"/>
    <w:rsid w:val="00804632"/>
    <w:rsid w:val="008047E6"/>
    <w:rsid w:val="00804B23"/>
    <w:rsid w:val="00804D4A"/>
    <w:rsid w:val="00804F75"/>
    <w:rsid w:val="00804F8D"/>
    <w:rsid w:val="008051C6"/>
    <w:rsid w:val="00805390"/>
    <w:rsid w:val="00805493"/>
    <w:rsid w:val="008054D9"/>
    <w:rsid w:val="008055F5"/>
    <w:rsid w:val="0080573F"/>
    <w:rsid w:val="00805839"/>
    <w:rsid w:val="00805901"/>
    <w:rsid w:val="00805A94"/>
    <w:rsid w:val="00805C32"/>
    <w:rsid w:val="00805DAF"/>
    <w:rsid w:val="00805E79"/>
    <w:rsid w:val="008061E5"/>
    <w:rsid w:val="0080632A"/>
    <w:rsid w:val="008063EE"/>
    <w:rsid w:val="00806688"/>
    <w:rsid w:val="008066AF"/>
    <w:rsid w:val="008066D1"/>
    <w:rsid w:val="00806A19"/>
    <w:rsid w:val="00806C6B"/>
    <w:rsid w:val="00806E93"/>
    <w:rsid w:val="00806FAA"/>
    <w:rsid w:val="0080700C"/>
    <w:rsid w:val="00807056"/>
    <w:rsid w:val="008075D3"/>
    <w:rsid w:val="008076CA"/>
    <w:rsid w:val="00807A3E"/>
    <w:rsid w:val="00807E20"/>
    <w:rsid w:val="00807EB5"/>
    <w:rsid w:val="00810338"/>
    <w:rsid w:val="008105E9"/>
    <w:rsid w:val="00810FD5"/>
    <w:rsid w:val="008113E7"/>
    <w:rsid w:val="0081193E"/>
    <w:rsid w:val="00811B11"/>
    <w:rsid w:val="00812047"/>
    <w:rsid w:val="008120AD"/>
    <w:rsid w:val="00812282"/>
    <w:rsid w:val="00812318"/>
    <w:rsid w:val="0081247C"/>
    <w:rsid w:val="0081265E"/>
    <w:rsid w:val="00812767"/>
    <w:rsid w:val="00812935"/>
    <w:rsid w:val="00812A5A"/>
    <w:rsid w:val="00812BDF"/>
    <w:rsid w:val="00812CD8"/>
    <w:rsid w:val="00812DAD"/>
    <w:rsid w:val="00813937"/>
    <w:rsid w:val="00813A94"/>
    <w:rsid w:val="00813F58"/>
    <w:rsid w:val="0081404A"/>
    <w:rsid w:val="00814060"/>
    <w:rsid w:val="0081415A"/>
    <w:rsid w:val="008146DF"/>
    <w:rsid w:val="008148E4"/>
    <w:rsid w:val="008150AB"/>
    <w:rsid w:val="00815403"/>
    <w:rsid w:val="0081577F"/>
    <w:rsid w:val="008157F1"/>
    <w:rsid w:val="008158BB"/>
    <w:rsid w:val="0081590F"/>
    <w:rsid w:val="0081593C"/>
    <w:rsid w:val="00815B2A"/>
    <w:rsid w:val="00815C1D"/>
    <w:rsid w:val="00815CAA"/>
    <w:rsid w:val="00815D29"/>
    <w:rsid w:val="00816381"/>
    <w:rsid w:val="008164F5"/>
    <w:rsid w:val="00816519"/>
    <w:rsid w:val="008165EE"/>
    <w:rsid w:val="008166D8"/>
    <w:rsid w:val="0081670A"/>
    <w:rsid w:val="00816A06"/>
    <w:rsid w:val="00816A5E"/>
    <w:rsid w:val="00816ABE"/>
    <w:rsid w:val="00816B1A"/>
    <w:rsid w:val="00816D96"/>
    <w:rsid w:val="00816EC2"/>
    <w:rsid w:val="00817151"/>
    <w:rsid w:val="00817262"/>
    <w:rsid w:val="0081740C"/>
    <w:rsid w:val="008175BB"/>
    <w:rsid w:val="008178CC"/>
    <w:rsid w:val="00817E45"/>
    <w:rsid w:val="00817F9E"/>
    <w:rsid w:val="00820354"/>
    <w:rsid w:val="0082039C"/>
    <w:rsid w:val="00820559"/>
    <w:rsid w:val="0082071F"/>
    <w:rsid w:val="008207CA"/>
    <w:rsid w:val="0082096E"/>
    <w:rsid w:val="0082098E"/>
    <w:rsid w:val="00820BC3"/>
    <w:rsid w:val="00820C2A"/>
    <w:rsid w:val="00820EB2"/>
    <w:rsid w:val="00821007"/>
    <w:rsid w:val="0082109E"/>
    <w:rsid w:val="008210AD"/>
    <w:rsid w:val="0082117D"/>
    <w:rsid w:val="0082120D"/>
    <w:rsid w:val="00821477"/>
    <w:rsid w:val="008216F9"/>
    <w:rsid w:val="008221BF"/>
    <w:rsid w:val="008222EE"/>
    <w:rsid w:val="0082247A"/>
    <w:rsid w:val="008224D7"/>
    <w:rsid w:val="008229A0"/>
    <w:rsid w:val="008236DE"/>
    <w:rsid w:val="008236E1"/>
    <w:rsid w:val="00823A06"/>
    <w:rsid w:val="00823D1D"/>
    <w:rsid w:val="00824066"/>
    <w:rsid w:val="0082411A"/>
    <w:rsid w:val="00824458"/>
    <w:rsid w:val="0082448C"/>
    <w:rsid w:val="008249F7"/>
    <w:rsid w:val="00824B74"/>
    <w:rsid w:val="00824C3E"/>
    <w:rsid w:val="00824FD0"/>
    <w:rsid w:val="0082518C"/>
    <w:rsid w:val="0082558F"/>
    <w:rsid w:val="0082590C"/>
    <w:rsid w:val="00825ACD"/>
    <w:rsid w:val="00825E3C"/>
    <w:rsid w:val="00826002"/>
    <w:rsid w:val="0082631F"/>
    <w:rsid w:val="0082681C"/>
    <w:rsid w:val="00826868"/>
    <w:rsid w:val="008268A5"/>
    <w:rsid w:val="00826E57"/>
    <w:rsid w:val="00827027"/>
    <w:rsid w:val="00827248"/>
    <w:rsid w:val="0082769F"/>
    <w:rsid w:val="008276AC"/>
    <w:rsid w:val="008279B1"/>
    <w:rsid w:val="00827B17"/>
    <w:rsid w:val="00827C30"/>
    <w:rsid w:val="00827D2A"/>
    <w:rsid w:val="00827ECC"/>
    <w:rsid w:val="00827F0F"/>
    <w:rsid w:val="00830571"/>
    <w:rsid w:val="00830899"/>
    <w:rsid w:val="008308BC"/>
    <w:rsid w:val="00830B4D"/>
    <w:rsid w:val="00830CB9"/>
    <w:rsid w:val="00830D58"/>
    <w:rsid w:val="00830DE9"/>
    <w:rsid w:val="008311DA"/>
    <w:rsid w:val="008312BE"/>
    <w:rsid w:val="00831465"/>
    <w:rsid w:val="008315A0"/>
    <w:rsid w:val="00831D50"/>
    <w:rsid w:val="00831EB1"/>
    <w:rsid w:val="008324B2"/>
    <w:rsid w:val="0083288F"/>
    <w:rsid w:val="00832A72"/>
    <w:rsid w:val="00833151"/>
    <w:rsid w:val="00833193"/>
    <w:rsid w:val="008331EF"/>
    <w:rsid w:val="00833301"/>
    <w:rsid w:val="00833693"/>
    <w:rsid w:val="008338AB"/>
    <w:rsid w:val="00833963"/>
    <w:rsid w:val="00833D38"/>
    <w:rsid w:val="00833FEF"/>
    <w:rsid w:val="00834038"/>
    <w:rsid w:val="008340AA"/>
    <w:rsid w:val="008341F4"/>
    <w:rsid w:val="00834362"/>
    <w:rsid w:val="0083460E"/>
    <w:rsid w:val="00834DCF"/>
    <w:rsid w:val="00834DD9"/>
    <w:rsid w:val="008352AC"/>
    <w:rsid w:val="00835E0F"/>
    <w:rsid w:val="00835EC9"/>
    <w:rsid w:val="0083605F"/>
    <w:rsid w:val="0083629E"/>
    <w:rsid w:val="00836638"/>
    <w:rsid w:val="00836981"/>
    <w:rsid w:val="00836A74"/>
    <w:rsid w:val="00836C20"/>
    <w:rsid w:val="00836F3F"/>
    <w:rsid w:val="008371A0"/>
    <w:rsid w:val="00837248"/>
    <w:rsid w:val="008374BC"/>
    <w:rsid w:val="0083795F"/>
    <w:rsid w:val="00837CCE"/>
    <w:rsid w:val="0084065F"/>
    <w:rsid w:val="00840851"/>
    <w:rsid w:val="00840899"/>
    <w:rsid w:val="00840B91"/>
    <w:rsid w:val="00840FF4"/>
    <w:rsid w:val="00841106"/>
    <w:rsid w:val="00841388"/>
    <w:rsid w:val="00841542"/>
    <w:rsid w:val="00841ADF"/>
    <w:rsid w:val="00841B26"/>
    <w:rsid w:val="00841C13"/>
    <w:rsid w:val="00841EFB"/>
    <w:rsid w:val="00841F44"/>
    <w:rsid w:val="00842060"/>
    <w:rsid w:val="00842214"/>
    <w:rsid w:val="008427EF"/>
    <w:rsid w:val="00842AE5"/>
    <w:rsid w:val="00842B56"/>
    <w:rsid w:val="00842BA7"/>
    <w:rsid w:val="00842C82"/>
    <w:rsid w:val="0084307C"/>
    <w:rsid w:val="00843534"/>
    <w:rsid w:val="0084369A"/>
    <w:rsid w:val="008436A3"/>
    <w:rsid w:val="008436D7"/>
    <w:rsid w:val="00843966"/>
    <w:rsid w:val="0084402D"/>
    <w:rsid w:val="008440CF"/>
    <w:rsid w:val="008440FE"/>
    <w:rsid w:val="00844641"/>
    <w:rsid w:val="008446E9"/>
    <w:rsid w:val="008449AE"/>
    <w:rsid w:val="00844BC9"/>
    <w:rsid w:val="0084510B"/>
    <w:rsid w:val="00845345"/>
    <w:rsid w:val="0084557B"/>
    <w:rsid w:val="00845760"/>
    <w:rsid w:val="0084591B"/>
    <w:rsid w:val="00845B46"/>
    <w:rsid w:val="00845C6F"/>
    <w:rsid w:val="008460C4"/>
    <w:rsid w:val="00846119"/>
    <w:rsid w:val="0084634F"/>
    <w:rsid w:val="0084639C"/>
    <w:rsid w:val="0084650B"/>
    <w:rsid w:val="00846743"/>
    <w:rsid w:val="00846921"/>
    <w:rsid w:val="00846E94"/>
    <w:rsid w:val="00847148"/>
    <w:rsid w:val="008471D3"/>
    <w:rsid w:val="00847226"/>
    <w:rsid w:val="008474E3"/>
    <w:rsid w:val="008475C6"/>
    <w:rsid w:val="00847AD8"/>
    <w:rsid w:val="00847C16"/>
    <w:rsid w:val="00847C1C"/>
    <w:rsid w:val="00847D85"/>
    <w:rsid w:val="00847D92"/>
    <w:rsid w:val="00850266"/>
    <w:rsid w:val="00850513"/>
    <w:rsid w:val="00850A06"/>
    <w:rsid w:val="00850A94"/>
    <w:rsid w:val="00850C14"/>
    <w:rsid w:val="0085106C"/>
    <w:rsid w:val="00851607"/>
    <w:rsid w:val="00851B2A"/>
    <w:rsid w:val="00851E63"/>
    <w:rsid w:val="00852070"/>
    <w:rsid w:val="008522A3"/>
    <w:rsid w:val="00852620"/>
    <w:rsid w:val="008527ED"/>
    <w:rsid w:val="00852D9D"/>
    <w:rsid w:val="00852DD6"/>
    <w:rsid w:val="00852F48"/>
    <w:rsid w:val="00852F4E"/>
    <w:rsid w:val="008531DD"/>
    <w:rsid w:val="00853371"/>
    <w:rsid w:val="008535A2"/>
    <w:rsid w:val="0085369E"/>
    <w:rsid w:val="00853775"/>
    <w:rsid w:val="008537F7"/>
    <w:rsid w:val="00853A22"/>
    <w:rsid w:val="00853CD9"/>
    <w:rsid w:val="008546BE"/>
    <w:rsid w:val="00854903"/>
    <w:rsid w:val="00854C06"/>
    <w:rsid w:val="00855387"/>
    <w:rsid w:val="008553E9"/>
    <w:rsid w:val="00855606"/>
    <w:rsid w:val="0085562C"/>
    <w:rsid w:val="0085574D"/>
    <w:rsid w:val="00855CFC"/>
    <w:rsid w:val="00855E9F"/>
    <w:rsid w:val="00856074"/>
    <w:rsid w:val="008564ED"/>
    <w:rsid w:val="0085695F"/>
    <w:rsid w:val="00856BAF"/>
    <w:rsid w:val="00856CF8"/>
    <w:rsid w:val="00856D36"/>
    <w:rsid w:val="00856F4E"/>
    <w:rsid w:val="00856F85"/>
    <w:rsid w:val="008571D6"/>
    <w:rsid w:val="008575DD"/>
    <w:rsid w:val="00857611"/>
    <w:rsid w:val="00857619"/>
    <w:rsid w:val="00857674"/>
    <w:rsid w:val="008576C8"/>
    <w:rsid w:val="00857820"/>
    <w:rsid w:val="00857949"/>
    <w:rsid w:val="00857AA5"/>
    <w:rsid w:val="00857CAA"/>
    <w:rsid w:val="00857D1E"/>
    <w:rsid w:val="008603BC"/>
    <w:rsid w:val="00860507"/>
    <w:rsid w:val="00860A09"/>
    <w:rsid w:val="00860CA0"/>
    <w:rsid w:val="00860E87"/>
    <w:rsid w:val="0086109D"/>
    <w:rsid w:val="00861DDC"/>
    <w:rsid w:val="00861E55"/>
    <w:rsid w:val="00861EBF"/>
    <w:rsid w:val="00862139"/>
    <w:rsid w:val="008622A4"/>
    <w:rsid w:val="00862673"/>
    <w:rsid w:val="00862AAD"/>
    <w:rsid w:val="00862DDD"/>
    <w:rsid w:val="00862E45"/>
    <w:rsid w:val="008633D4"/>
    <w:rsid w:val="008633EF"/>
    <w:rsid w:val="008635F3"/>
    <w:rsid w:val="008636EB"/>
    <w:rsid w:val="008639C1"/>
    <w:rsid w:val="008639CD"/>
    <w:rsid w:val="00863D44"/>
    <w:rsid w:val="00863D4D"/>
    <w:rsid w:val="00863D7C"/>
    <w:rsid w:val="008643BE"/>
    <w:rsid w:val="00864641"/>
    <w:rsid w:val="00864856"/>
    <w:rsid w:val="00864EA5"/>
    <w:rsid w:val="00864F7F"/>
    <w:rsid w:val="00865193"/>
    <w:rsid w:val="00865AC9"/>
    <w:rsid w:val="00865EB0"/>
    <w:rsid w:val="0086675A"/>
    <w:rsid w:val="008667D2"/>
    <w:rsid w:val="008667DC"/>
    <w:rsid w:val="00866B88"/>
    <w:rsid w:val="00866D91"/>
    <w:rsid w:val="00867046"/>
    <w:rsid w:val="0086723C"/>
    <w:rsid w:val="00867563"/>
    <w:rsid w:val="008675CB"/>
    <w:rsid w:val="008677A8"/>
    <w:rsid w:val="0086790C"/>
    <w:rsid w:val="00867BE5"/>
    <w:rsid w:val="00867C6A"/>
    <w:rsid w:val="00867CC3"/>
    <w:rsid w:val="00867CE5"/>
    <w:rsid w:val="00870279"/>
    <w:rsid w:val="00870826"/>
    <w:rsid w:val="00870ABB"/>
    <w:rsid w:val="00870DDE"/>
    <w:rsid w:val="00870E24"/>
    <w:rsid w:val="008711DD"/>
    <w:rsid w:val="00871419"/>
    <w:rsid w:val="00871865"/>
    <w:rsid w:val="00871A2A"/>
    <w:rsid w:val="00871B3E"/>
    <w:rsid w:val="00871D6E"/>
    <w:rsid w:val="0087236E"/>
    <w:rsid w:val="0087251F"/>
    <w:rsid w:val="008725AB"/>
    <w:rsid w:val="008726B5"/>
    <w:rsid w:val="0087277A"/>
    <w:rsid w:val="008727AA"/>
    <w:rsid w:val="00872A47"/>
    <w:rsid w:val="00872A89"/>
    <w:rsid w:val="00872E0F"/>
    <w:rsid w:val="008730E8"/>
    <w:rsid w:val="00873148"/>
    <w:rsid w:val="00873160"/>
    <w:rsid w:val="0087330D"/>
    <w:rsid w:val="00873595"/>
    <w:rsid w:val="00873605"/>
    <w:rsid w:val="008736BF"/>
    <w:rsid w:val="008736E2"/>
    <w:rsid w:val="00873886"/>
    <w:rsid w:val="00873AE5"/>
    <w:rsid w:val="00873AF9"/>
    <w:rsid w:val="00873DD4"/>
    <w:rsid w:val="00873FD1"/>
    <w:rsid w:val="00874274"/>
    <w:rsid w:val="0087445F"/>
    <w:rsid w:val="00874565"/>
    <w:rsid w:val="0087487F"/>
    <w:rsid w:val="00874AB0"/>
    <w:rsid w:val="00874CDE"/>
    <w:rsid w:val="00874CF6"/>
    <w:rsid w:val="00875079"/>
    <w:rsid w:val="00875443"/>
    <w:rsid w:val="008757CF"/>
    <w:rsid w:val="00875A36"/>
    <w:rsid w:val="00875C04"/>
    <w:rsid w:val="00875C3F"/>
    <w:rsid w:val="0087616F"/>
    <w:rsid w:val="00876255"/>
    <w:rsid w:val="0087695B"/>
    <w:rsid w:val="00876A0F"/>
    <w:rsid w:val="00876BA8"/>
    <w:rsid w:val="00876E8B"/>
    <w:rsid w:val="00877247"/>
    <w:rsid w:val="00877C70"/>
    <w:rsid w:val="008801AE"/>
    <w:rsid w:val="008803C7"/>
    <w:rsid w:val="008807F8"/>
    <w:rsid w:val="00880900"/>
    <w:rsid w:val="00880916"/>
    <w:rsid w:val="00880AA3"/>
    <w:rsid w:val="00880B03"/>
    <w:rsid w:val="008810E3"/>
    <w:rsid w:val="00881656"/>
    <w:rsid w:val="00881859"/>
    <w:rsid w:val="008818DC"/>
    <w:rsid w:val="008819C0"/>
    <w:rsid w:val="008820B3"/>
    <w:rsid w:val="008821D4"/>
    <w:rsid w:val="00882355"/>
    <w:rsid w:val="00882719"/>
    <w:rsid w:val="0088297F"/>
    <w:rsid w:val="00882E97"/>
    <w:rsid w:val="00882FE7"/>
    <w:rsid w:val="00883287"/>
    <w:rsid w:val="00883A7E"/>
    <w:rsid w:val="00883E90"/>
    <w:rsid w:val="0088421C"/>
    <w:rsid w:val="0088445B"/>
    <w:rsid w:val="00884527"/>
    <w:rsid w:val="00884D3E"/>
    <w:rsid w:val="00884E24"/>
    <w:rsid w:val="008852FE"/>
    <w:rsid w:val="00885408"/>
    <w:rsid w:val="00885698"/>
    <w:rsid w:val="008858E4"/>
    <w:rsid w:val="008859E3"/>
    <w:rsid w:val="00885B2C"/>
    <w:rsid w:val="0088610B"/>
    <w:rsid w:val="00886154"/>
    <w:rsid w:val="008865E2"/>
    <w:rsid w:val="00886896"/>
    <w:rsid w:val="00886CD8"/>
    <w:rsid w:val="00886F05"/>
    <w:rsid w:val="0088704A"/>
    <w:rsid w:val="008872A0"/>
    <w:rsid w:val="0088748C"/>
    <w:rsid w:val="0088749B"/>
    <w:rsid w:val="00887652"/>
    <w:rsid w:val="00887869"/>
    <w:rsid w:val="00887B25"/>
    <w:rsid w:val="00890285"/>
    <w:rsid w:val="00890405"/>
    <w:rsid w:val="008904E2"/>
    <w:rsid w:val="0089055F"/>
    <w:rsid w:val="008905FC"/>
    <w:rsid w:val="00890784"/>
    <w:rsid w:val="0089084B"/>
    <w:rsid w:val="0089089E"/>
    <w:rsid w:val="00890927"/>
    <w:rsid w:val="00890A22"/>
    <w:rsid w:val="00890AA1"/>
    <w:rsid w:val="00890D99"/>
    <w:rsid w:val="00890E41"/>
    <w:rsid w:val="00891673"/>
    <w:rsid w:val="00891971"/>
    <w:rsid w:val="00891AF6"/>
    <w:rsid w:val="00891BC3"/>
    <w:rsid w:val="00891C8A"/>
    <w:rsid w:val="00891DDE"/>
    <w:rsid w:val="00891FED"/>
    <w:rsid w:val="0089205B"/>
    <w:rsid w:val="008920F9"/>
    <w:rsid w:val="00892197"/>
    <w:rsid w:val="00892500"/>
    <w:rsid w:val="00892B29"/>
    <w:rsid w:val="00893102"/>
    <w:rsid w:val="008931EB"/>
    <w:rsid w:val="0089324B"/>
    <w:rsid w:val="0089326D"/>
    <w:rsid w:val="008937C8"/>
    <w:rsid w:val="00893A07"/>
    <w:rsid w:val="00893CC1"/>
    <w:rsid w:val="00893CD7"/>
    <w:rsid w:val="00893DC3"/>
    <w:rsid w:val="0089402F"/>
    <w:rsid w:val="008942BD"/>
    <w:rsid w:val="00894310"/>
    <w:rsid w:val="0089455B"/>
    <w:rsid w:val="008946DA"/>
    <w:rsid w:val="008948D5"/>
    <w:rsid w:val="008948DA"/>
    <w:rsid w:val="008948FC"/>
    <w:rsid w:val="00894990"/>
    <w:rsid w:val="00894C5D"/>
    <w:rsid w:val="00894E74"/>
    <w:rsid w:val="00895635"/>
    <w:rsid w:val="00895B5C"/>
    <w:rsid w:val="00895D97"/>
    <w:rsid w:val="00895EAB"/>
    <w:rsid w:val="00896036"/>
    <w:rsid w:val="00896455"/>
    <w:rsid w:val="008967C4"/>
    <w:rsid w:val="00896888"/>
    <w:rsid w:val="00896934"/>
    <w:rsid w:val="00897300"/>
    <w:rsid w:val="00897374"/>
    <w:rsid w:val="00897FAF"/>
    <w:rsid w:val="008A0060"/>
    <w:rsid w:val="008A0220"/>
    <w:rsid w:val="008A029F"/>
    <w:rsid w:val="008A030E"/>
    <w:rsid w:val="008A0554"/>
    <w:rsid w:val="008A0826"/>
    <w:rsid w:val="008A0C84"/>
    <w:rsid w:val="008A0D2A"/>
    <w:rsid w:val="008A0D49"/>
    <w:rsid w:val="008A1693"/>
    <w:rsid w:val="008A173E"/>
    <w:rsid w:val="008A189E"/>
    <w:rsid w:val="008A19C0"/>
    <w:rsid w:val="008A1B87"/>
    <w:rsid w:val="008A1BA7"/>
    <w:rsid w:val="008A20CD"/>
    <w:rsid w:val="008A23E8"/>
    <w:rsid w:val="008A254F"/>
    <w:rsid w:val="008A2630"/>
    <w:rsid w:val="008A27D0"/>
    <w:rsid w:val="008A2E1A"/>
    <w:rsid w:val="008A2E26"/>
    <w:rsid w:val="008A33CA"/>
    <w:rsid w:val="008A3E66"/>
    <w:rsid w:val="008A512F"/>
    <w:rsid w:val="008A5158"/>
    <w:rsid w:val="008A53E4"/>
    <w:rsid w:val="008A547D"/>
    <w:rsid w:val="008A565C"/>
    <w:rsid w:val="008A5833"/>
    <w:rsid w:val="008A5BB4"/>
    <w:rsid w:val="008A5D56"/>
    <w:rsid w:val="008A5F5D"/>
    <w:rsid w:val="008A63B0"/>
    <w:rsid w:val="008A65AD"/>
    <w:rsid w:val="008A6758"/>
    <w:rsid w:val="008A6780"/>
    <w:rsid w:val="008A6857"/>
    <w:rsid w:val="008A6ACD"/>
    <w:rsid w:val="008A6B15"/>
    <w:rsid w:val="008A71AE"/>
    <w:rsid w:val="008A746D"/>
    <w:rsid w:val="008A7E76"/>
    <w:rsid w:val="008A7E84"/>
    <w:rsid w:val="008A7EBC"/>
    <w:rsid w:val="008A7ED6"/>
    <w:rsid w:val="008B07F4"/>
    <w:rsid w:val="008B08EC"/>
    <w:rsid w:val="008B0A9D"/>
    <w:rsid w:val="008B0C95"/>
    <w:rsid w:val="008B0FCA"/>
    <w:rsid w:val="008B11AB"/>
    <w:rsid w:val="008B1A52"/>
    <w:rsid w:val="008B1DD3"/>
    <w:rsid w:val="008B1E77"/>
    <w:rsid w:val="008B2608"/>
    <w:rsid w:val="008B2A23"/>
    <w:rsid w:val="008B2E45"/>
    <w:rsid w:val="008B350E"/>
    <w:rsid w:val="008B3A88"/>
    <w:rsid w:val="008B3BF5"/>
    <w:rsid w:val="008B410F"/>
    <w:rsid w:val="008B4435"/>
    <w:rsid w:val="008B466D"/>
    <w:rsid w:val="008B4A56"/>
    <w:rsid w:val="008B4AEC"/>
    <w:rsid w:val="008B4B1E"/>
    <w:rsid w:val="008B4B4F"/>
    <w:rsid w:val="008B4BFC"/>
    <w:rsid w:val="008B4C25"/>
    <w:rsid w:val="008B4C87"/>
    <w:rsid w:val="008B51B4"/>
    <w:rsid w:val="008B5380"/>
    <w:rsid w:val="008B53C3"/>
    <w:rsid w:val="008B53E1"/>
    <w:rsid w:val="008B54A4"/>
    <w:rsid w:val="008B59E5"/>
    <w:rsid w:val="008B5B67"/>
    <w:rsid w:val="008B5D45"/>
    <w:rsid w:val="008B5D7A"/>
    <w:rsid w:val="008B5EF8"/>
    <w:rsid w:val="008B6217"/>
    <w:rsid w:val="008B62F8"/>
    <w:rsid w:val="008B648B"/>
    <w:rsid w:val="008B65D1"/>
    <w:rsid w:val="008B66E3"/>
    <w:rsid w:val="008B6872"/>
    <w:rsid w:val="008B68ED"/>
    <w:rsid w:val="008B6DA2"/>
    <w:rsid w:val="008B6E63"/>
    <w:rsid w:val="008B6F39"/>
    <w:rsid w:val="008B773F"/>
    <w:rsid w:val="008B7848"/>
    <w:rsid w:val="008C09EA"/>
    <w:rsid w:val="008C0C45"/>
    <w:rsid w:val="008C0D3D"/>
    <w:rsid w:val="008C0D90"/>
    <w:rsid w:val="008C105D"/>
    <w:rsid w:val="008C1098"/>
    <w:rsid w:val="008C1111"/>
    <w:rsid w:val="008C1379"/>
    <w:rsid w:val="008C1469"/>
    <w:rsid w:val="008C1596"/>
    <w:rsid w:val="008C17DB"/>
    <w:rsid w:val="008C18E1"/>
    <w:rsid w:val="008C195A"/>
    <w:rsid w:val="008C19A2"/>
    <w:rsid w:val="008C1A80"/>
    <w:rsid w:val="008C1E05"/>
    <w:rsid w:val="008C215D"/>
    <w:rsid w:val="008C2244"/>
    <w:rsid w:val="008C2381"/>
    <w:rsid w:val="008C2502"/>
    <w:rsid w:val="008C2B07"/>
    <w:rsid w:val="008C2B31"/>
    <w:rsid w:val="008C2F70"/>
    <w:rsid w:val="008C3052"/>
    <w:rsid w:val="008C32FC"/>
    <w:rsid w:val="008C34BB"/>
    <w:rsid w:val="008C3589"/>
    <w:rsid w:val="008C363C"/>
    <w:rsid w:val="008C3A2D"/>
    <w:rsid w:val="008C3B3F"/>
    <w:rsid w:val="008C3CB8"/>
    <w:rsid w:val="008C3CF3"/>
    <w:rsid w:val="008C4282"/>
    <w:rsid w:val="008C45E2"/>
    <w:rsid w:val="008C491D"/>
    <w:rsid w:val="008C4F97"/>
    <w:rsid w:val="008C519D"/>
    <w:rsid w:val="008C5567"/>
    <w:rsid w:val="008C5917"/>
    <w:rsid w:val="008C59D6"/>
    <w:rsid w:val="008C5A5E"/>
    <w:rsid w:val="008C5A67"/>
    <w:rsid w:val="008C5AA9"/>
    <w:rsid w:val="008C5E70"/>
    <w:rsid w:val="008C6798"/>
    <w:rsid w:val="008C68BA"/>
    <w:rsid w:val="008C6A8D"/>
    <w:rsid w:val="008C6AEC"/>
    <w:rsid w:val="008C6B49"/>
    <w:rsid w:val="008C6B75"/>
    <w:rsid w:val="008C76FA"/>
    <w:rsid w:val="008C7A3C"/>
    <w:rsid w:val="008C7F7E"/>
    <w:rsid w:val="008D0138"/>
    <w:rsid w:val="008D0E29"/>
    <w:rsid w:val="008D1514"/>
    <w:rsid w:val="008D16B5"/>
    <w:rsid w:val="008D1710"/>
    <w:rsid w:val="008D1BFC"/>
    <w:rsid w:val="008D1C45"/>
    <w:rsid w:val="008D23E3"/>
    <w:rsid w:val="008D2849"/>
    <w:rsid w:val="008D3165"/>
    <w:rsid w:val="008D33B3"/>
    <w:rsid w:val="008D360A"/>
    <w:rsid w:val="008D3726"/>
    <w:rsid w:val="008D4C26"/>
    <w:rsid w:val="008D4CB0"/>
    <w:rsid w:val="008D4D71"/>
    <w:rsid w:val="008D5016"/>
    <w:rsid w:val="008D50F6"/>
    <w:rsid w:val="008D5214"/>
    <w:rsid w:val="008D52B3"/>
    <w:rsid w:val="008D553E"/>
    <w:rsid w:val="008D5861"/>
    <w:rsid w:val="008D5A0A"/>
    <w:rsid w:val="008D5DCA"/>
    <w:rsid w:val="008D60E0"/>
    <w:rsid w:val="008D6397"/>
    <w:rsid w:val="008D6BA9"/>
    <w:rsid w:val="008D6F40"/>
    <w:rsid w:val="008D70CA"/>
    <w:rsid w:val="008D728F"/>
    <w:rsid w:val="008D7341"/>
    <w:rsid w:val="008D73C9"/>
    <w:rsid w:val="008D7617"/>
    <w:rsid w:val="008D7919"/>
    <w:rsid w:val="008D7A4D"/>
    <w:rsid w:val="008D7DBA"/>
    <w:rsid w:val="008D7FC2"/>
    <w:rsid w:val="008E00E4"/>
    <w:rsid w:val="008E00FC"/>
    <w:rsid w:val="008E039C"/>
    <w:rsid w:val="008E0577"/>
    <w:rsid w:val="008E0B29"/>
    <w:rsid w:val="008E0C88"/>
    <w:rsid w:val="008E10A9"/>
    <w:rsid w:val="008E1437"/>
    <w:rsid w:val="008E16A3"/>
    <w:rsid w:val="008E16BF"/>
    <w:rsid w:val="008E18A8"/>
    <w:rsid w:val="008E1EB4"/>
    <w:rsid w:val="008E24F1"/>
    <w:rsid w:val="008E2A10"/>
    <w:rsid w:val="008E3031"/>
    <w:rsid w:val="008E3049"/>
    <w:rsid w:val="008E30A5"/>
    <w:rsid w:val="008E31F4"/>
    <w:rsid w:val="008E3235"/>
    <w:rsid w:val="008E32B1"/>
    <w:rsid w:val="008E35A3"/>
    <w:rsid w:val="008E371C"/>
    <w:rsid w:val="008E3827"/>
    <w:rsid w:val="008E388F"/>
    <w:rsid w:val="008E3AEC"/>
    <w:rsid w:val="008E3BFF"/>
    <w:rsid w:val="008E3CD9"/>
    <w:rsid w:val="008E3D79"/>
    <w:rsid w:val="008E3FB0"/>
    <w:rsid w:val="008E402B"/>
    <w:rsid w:val="008E4286"/>
    <w:rsid w:val="008E4522"/>
    <w:rsid w:val="008E4635"/>
    <w:rsid w:val="008E4636"/>
    <w:rsid w:val="008E5043"/>
    <w:rsid w:val="008E54A9"/>
    <w:rsid w:val="008E5ADB"/>
    <w:rsid w:val="008E5ADC"/>
    <w:rsid w:val="008E5C6C"/>
    <w:rsid w:val="008E5F64"/>
    <w:rsid w:val="008E6037"/>
    <w:rsid w:val="008E63E1"/>
    <w:rsid w:val="008E64EB"/>
    <w:rsid w:val="008E6F19"/>
    <w:rsid w:val="008E6F36"/>
    <w:rsid w:val="008E6F59"/>
    <w:rsid w:val="008E7274"/>
    <w:rsid w:val="008E75E2"/>
    <w:rsid w:val="008E76A3"/>
    <w:rsid w:val="008E7C98"/>
    <w:rsid w:val="008E7DE4"/>
    <w:rsid w:val="008E7E11"/>
    <w:rsid w:val="008F01D7"/>
    <w:rsid w:val="008F03C7"/>
    <w:rsid w:val="008F04F3"/>
    <w:rsid w:val="008F0562"/>
    <w:rsid w:val="008F06C8"/>
    <w:rsid w:val="008F089A"/>
    <w:rsid w:val="008F0963"/>
    <w:rsid w:val="008F0AA9"/>
    <w:rsid w:val="008F0B7A"/>
    <w:rsid w:val="008F0EF6"/>
    <w:rsid w:val="008F0F07"/>
    <w:rsid w:val="008F0F71"/>
    <w:rsid w:val="008F1AFF"/>
    <w:rsid w:val="008F1E52"/>
    <w:rsid w:val="008F20E5"/>
    <w:rsid w:val="008F21CD"/>
    <w:rsid w:val="008F25F8"/>
    <w:rsid w:val="008F260B"/>
    <w:rsid w:val="008F2A65"/>
    <w:rsid w:val="008F2B66"/>
    <w:rsid w:val="008F2C43"/>
    <w:rsid w:val="008F2E2F"/>
    <w:rsid w:val="008F326A"/>
    <w:rsid w:val="008F3597"/>
    <w:rsid w:val="008F360B"/>
    <w:rsid w:val="008F38FF"/>
    <w:rsid w:val="008F39D6"/>
    <w:rsid w:val="008F3AF0"/>
    <w:rsid w:val="008F3C6D"/>
    <w:rsid w:val="008F3F2A"/>
    <w:rsid w:val="008F4098"/>
    <w:rsid w:val="008F40F8"/>
    <w:rsid w:val="008F4319"/>
    <w:rsid w:val="008F4361"/>
    <w:rsid w:val="008F4373"/>
    <w:rsid w:val="008F4AC8"/>
    <w:rsid w:val="008F4F6D"/>
    <w:rsid w:val="008F4FF2"/>
    <w:rsid w:val="008F51E6"/>
    <w:rsid w:val="008F538C"/>
    <w:rsid w:val="008F5E5C"/>
    <w:rsid w:val="008F63FC"/>
    <w:rsid w:val="008F65E7"/>
    <w:rsid w:val="008F6C2D"/>
    <w:rsid w:val="008F6C46"/>
    <w:rsid w:val="008F6C5A"/>
    <w:rsid w:val="008F702D"/>
    <w:rsid w:val="008F713B"/>
    <w:rsid w:val="008F7236"/>
    <w:rsid w:val="008F734A"/>
    <w:rsid w:val="008F7630"/>
    <w:rsid w:val="008F7874"/>
    <w:rsid w:val="008F7D0B"/>
    <w:rsid w:val="009006C6"/>
    <w:rsid w:val="00900798"/>
    <w:rsid w:val="00900862"/>
    <w:rsid w:val="00900988"/>
    <w:rsid w:val="00900AE4"/>
    <w:rsid w:val="00900C71"/>
    <w:rsid w:val="00900D5B"/>
    <w:rsid w:val="009011FE"/>
    <w:rsid w:val="009012E2"/>
    <w:rsid w:val="009013E1"/>
    <w:rsid w:val="00901561"/>
    <w:rsid w:val="00901AA0"/>
    <w:rsid w:val="00901AC8"/>
    <w:rsid w:val="00901B3C"/>
    <w:rsid w:val="00901C59"/>
    <w:rsid w:val="00901D90"/>
    <w:rsid w:val="00901E76"/>
    <w:rsid w:val="00902454"/>
    <w:rsid w:val="0090250C"/>
    <w:rsid w:val="009026C1"/>
    <w:rsid w:val="00902C74"/>
    <w:rsid w:val="00902F83"/>
    <w:rsid w:val="00903E7A"/>
    <w:rsid w:val="00903F1A"/>
    <w:rsid w:val="00903FC2"/>
    <w:rsid w:val="0090445D"/>
    <w:rsid w:val="00904A47"/>
    <w:rsid w:val="00904CC5"/>
    <w:rsid w:val="00905258"/>
    <w:rsid w:val="0090528E"/>
    <w:rsid w:val="0090558C"/>
    <w:rsid w:val="009059D4"/>
    <w:rsid w:val="00905A14"/>
    <w:rsid w:val="00905E68"/>
    <w:rsid w:val="00905F88"/>
    <w:rsid w:val="009062BD"/>
    <w:rsid w:val="00906429"/>
    <w:rsid w:val="0090646E"/>
    <w:rsid w:val="00906481"/>
    <w:rsid w:val="00906C9E"/>
    <w:rsid w:val="00906CF0"/>
    <w:rsid w:val="00906D49"/>
    <w:rsid w:val="00906E65"/>
    <w:rsid w:val="0090719F"/>
    <w:rsid w:val="0090732C"/>
    <w:rsid w:val="009073D3"/>
    <w:rsid w:val="00907AD3"/>
    <w:rsid w:val="00907F21"/>
    <w:rsid w:val="00907FC1"/>
    <w:rsid w:val="0091042C"/>
    <w:rsid w:val="009105DD"/>
    <w:rsid w:val="00910AFD"/>
    <w:rsid w:val="00910B13"/>
    <w:rsid w:val="009110D5"/>
    <w:rsid w:val="0091166A"/>
    <w:rsid w:val="009119C6"/>
    <w:rsid w:val="00911A4A"/>
    <w:rsid w:val="00912094"/>
    <w:rsid w:val="009121A5"/>
    <w:rsid w:val="0091227B"/>
    <w:rsid w:val="009124F1"/>
    <w:rsid w:val="0091281A"/>
    <w:rsid w:val="00912893"/>
    <w:rsid w:val="009129CB"/>
    <w:rsid w:val="00912D26"/>
    <w:rsid w:val="00912F3C"/>
    <w:rsid w:val="00913126"/>
    <w:rsid w:val="00913740"/>
    <w:rsid w:val="00913920"/>
    <w:rsid w:val="00913DEA"/>
    <w:rsid w:val="00914384"/>
    <w:rsid w:val="009144D5"/>
    <w:rsid w:val="00914557"/>
    <w:rsid w:val="0091464A"/>
    <w:rsid w:val="00914745"/>
    <w:rsid w:val="00914F9E"/>
    <w:rsid w:val="00915011"/>
    <w:rsid w:val="00915B3C"/>
    <w:rsid w:val="00915F37"/>
    <w:rsid w:val="00915F98"/>
    <w:rsid w:val="00915FA3"/>
    <w:rsid w:val="0091614C"/>
    <w:rsid w:val="00916463"/>
    <w:rsid w:val="0091680D"/>
    <w:rsid w:val="00916B12"/>
    <w:rsid w:val="00916D2A"/>
    <w:rsid w:val="00916D81"/>
    <w:rsid w:val="009170BB"/>
    <w:rsid w:val="009172EE"/>
    <w:rsid w:val="00917639"/>
    <w:rsid w:val="00917693"/>
    <w:rsid w:val="0091775A"/>
    <w:rsid w:val="009179C3"/>
    <w:rsid w:val="00917FFE"/>
    <w:rsid w:val="0092002A"/>
    <w:rsid w:val="00920224"/>
    <w:rsid w:val="009202E8"/>
    <w:rsid w:val="0092032D"/>
    <w:rsid w:val="009203F1"/>
    <w:rsid w:val="009204C5"/>
    <w:rsid w:val="00920513"/>
    <w:rsid w:val="009207C0"/>
    <w:rsid w:val="00920E55"/>
    <w:rsid w:val="00921130"/>
    <w:rsid w:val="0092169F"/>
    <w:rsid w:val="009217A8"/>
    <w:rsid w:val="009217E8"/>
    <w:rsid w:val="009217F8"/>
    <w:rsid w:val="009219BD"/>
    <w:rsid w:val="009221FF"/>
    <w:rsid w:val="00922405"/>
    <w:rsid w:val="00922902"/>
    <w:rsid w:val="009229E1"/>
    <w:rsid w:val="00922AB6"/>
    <w:rsid w:val="00922D05"/>
    <w:rsid w:val="009230C0"/>
    <w:rsid w:val="009238D3"/>
    <w:rsid w:val="0092392C"/>
    <w:rsid w:val="00923C6B"/>
    <w:rsid w:val="00923D63"/>
    <w:rsid w:val="00923FB8"/>
    <w:rsid w:val="0092405F"/>
    <w:rsid w:val="0092458B"/>
    <w:rsid w:val="009246DC"/>
    <w:rsid w:val="0092470E"/>
    <w:rsid w:val="009247C2"/>
    <w:rsid w:val="009247F5"/>
    <w:rsid w:val="00924ACB"/>
    <w:rsid w:val="00924B12"/>
    <w:rsid w:val="00924B61"/>
    <w:rsid w:val="00924F69"/>
    <w:rsid w:val="00925187"/>
    <w:rsid w:val="00925D72"/>
    <w:rsid w:val="00925F44"/>
    <w:rsid w:val="00925FCF"/>
    <w:rsid w:val="009265CF"/>
    <w:rsid w:val="00926809"/>
    <w:rsid w:val="0092709C"/>
    <w:rsid w:val="009270CC"/>
    <w:rsid w:val="00927130"/>
    <w:rsid w:val="0092717F"/>
    <w:rsid w:val="009274C1"/>
    <w:rsid w:val="009275F2"/>
    <w:rsid w:val="00927744"/>
    <w:rsid w:val="00927906"/>
    <w:rsid w:val="00927A74"/>
    <w:rsid w:val="00927B05"/>
    <w:rsid w:val="00927D27"/>
    <w:rsid w:val="0093022A"/>
    <w:rsid w:val="009303D5"/>
    <w:rsid w:val="0093077B"/>
    <w:rsid w:val="00930A10"/>
    <w:rsid w:val="00930F4E"/>
    <w:rsid w:val="0093115A"/>
    <w:rsid w:val="0093151D"/>
    <w:rsid w:val="00931743"/>
    <w:rsid w:val="0093178B"/>
    <w:rsid w:val="009318B1"/>
    <w:rsid w:val="00931C1D"/>
    <w:rsid w:val="00931E3E"/>
    <w:rsid w:val="00931F3C"/>
    <w:rsid w:val="00931FD9"/>
    <w:rsid w:val="00932245"/>
    <w:rsid w:val="009326B7"/>
    <w:rsid w:val="00932710"/>
    <w:rsid w:val="00932773"/>
    <w:rsid w:val="00932C06"/>
    <w:rsid w:val="00932C30"/>
    <w:rsid w:val="0093319B"/>
    <w:rsid w:val="009334D3"/>
    <w:rsid w:val="00933773"/>
    <w:rsid w:val="00933A5B"/>
    <w:rsid w:val="00933CF4"/>
    <w:rsid w:val="00933E39"/>
    <w:rsid w:val="0093400A"/>
    <w:rsid w:val="00934022"/>
    <w:rsid w:val="0093428D"/>
    <w:rsid w:val="009343DE"/>
    <w:rsid w:val="00934413"/>
    <w:rsid w:val="009344D9"/>
    <w:rsid w:val="0093489C"/>
    <w:rsid w:val="00934C24"/>
    <w:rsid w:val="00934D0C"/>
    <w:rsid w:val="009353A9"/>
    <w:rsid w:val="009356A3"/>
    <w:rsid w:val="009356D5"/>
    <w:rsid w:val="00935713"/>
    <w:rsid w:val="00935A95"/>
    <w:rsid w:val="00935D09"/>
    <w:rsid w:val="00935E03"/>
    <w:rsid w:val="00935FB0"/>
    <w:rsid w:val="00936018"/>
    <w:rsid w:val="00936062"/>
    <w:rsid w:val="0093606F"/>
    <w:rsid w:val="009360A5"/>
    <w:rsid w:val="0093637F"/>
    <w:rsid w:val="009364CA"/>
    <w:rsid w:val="009366FC"/>
    <w:rsid w:val="00936C32"/>
    <w:rsid w:val="00936D3A"/>
    <w:rsid w:val="009370BF"/>
    <w:rsid w:val="009374B0"/>
    <w:rsid w:val="0093780F"/>
    <w:rsid w:val="0093790F"/>
    <w:rsid w:val="00937984"/>
    <w:rsid w:val="00937BD8"/>
    <w:rsid w:val="00937CBE"/>
    <w:rsid w:val="00937D38"/>
    <w:rsid w:val="00940120"/>
    <w:rsid w:val="00940274"/>
    <w:rsid w:val="00940978"/>
    <w:rsid w:val="009409A3"/>
    <w:rsid w:val="00940EAE"/>
    <w:rsid w:val="00941088"/>
    <w:rsid w:val="00941220"/>
    <w:rsid w:val="0094133F"/>
    <w:rsid w:val="00941AE1"/>
    <w:rsid w:val="00941BD0"/>
    <w:rsid w:val="0094212D"/>
    <w:rsid w:val="00942FAD"/>
    <w:rsid w:val="00943021"/>
    <w:rsid w:val="0094362B"/>
    <w:rsid w:val="00943818"/>
    <w:rsid w:val="009439E5"/>
    <w:rsid w:val="00943BA4"/>
    <w:rsid w:val="0094402B"/>
    <w:rsid w:val="00944087"/>
    <w:rsid w:val="00944301"/>
    <w:rsid w:val="009445A2"/>
    <w:rsid w:val="009446C6"/>
    <w:rsid w:val="009449DD"/>
    <w:rsid w:val="00944D40"/>
    <w:rsid w:val="00944DEB"/>
    <w:rsid w:val="00944E70"/>
    <w:rsid w:val="00944E74"/>
    <w:rsid w:val="00945035"/>
    <w:rsid w:val="00945204"/>
    <w:rsid w:val="00945303"/>
    <w:rsid w:val="009456F2"/>
    <w:rsid w:val="0094581F"/>
    <w:rsid w:val="00945850"/>
    <w:rsid w:val="00945897"/>
    <w:rsid w:val="00945A68"/>
    <w:rsid w:val="00945F7A"/>
    <w:rsid w:val="00946089"/>
    <w:rsid w:val="00946385"/>
    <w:rsid w:val="009463B7"/>
    <w:rsid w:val="009464A8"/>
    <w:rsid w:val="009465DD"/>
    <w:rsid w:val="0094662F"/>
    <w:rsid w:val="0094676F"/>
    <w:rsid w:val="009469A9"/>
    <w:rsid w:val="009469C4"/>
    <w:rsid w:val="00946E66"/>
    <w:rsid w:val="00946EBB"/>
    <w:rsid w:val="00946F25"/>
    <w:rsid w:val="0094703E"/>
    <w:rsid w:val="009473C2"/>
    <w:rsid w:val="009474D3"/>
    <w:rsid w:val="00947B8A"/>
    <w:rsid w:val="00947BFF"/>
    <w:rsid w:val="0095012E"/>
    <w:rsid w:val="0095037E"/>
    <w:rsid w:val="0095065F"/>
    <w:rsid w:val="00950B9D"/>
    <w:rsid w:val="00950D13"/>
    <w:rsid w:val="00950DE8"/>
    <w:rsid w:val="00950E62"/>
    <w:rsid w:val="009512DE"/>
    <w:rsid w:val="00951775"/>
    <w:rsid w:val="0095180A"/>
    <w:rsid w:val="009518A0"/>
    <w:rsid w:val="00951934"/>
    <w:rsid w:val="00951D89"/>
    <w:rsid w:val="00951E17"/>
    <w:rsid w:val="00951E2F"/>
    <w:rsid w:val="00952020"/>
    <w:rsid w:val="0095207B"/>
    <w:rsid w:val="00952159"/>
    <w:rsid w:val="0095257E"/>
    <w:rsid w:val="00953072"/>
    <w:rsid w:val="009530A8"/>
    <w:rsid w:val="009532AD"/>
    <w:rsid w:val="009534FC"/>
    <w:rsid w:val="00953792"/>
    <w:rsid w:val="009537DE"/>
    <w:rsid w:val="00953A55"/>
    <w:rsid w:val="00954389"/>
    <w:rsid w:val="00954427"/>
    <w:rsid w:val="00954717"/>
    <w:rsid w:val="00954B6F"/>
    <w:rsid w:val="00954C8C"/>
    <w:rsid w:val="009555AC"/>
    <w:rsid w:val="00955931"/>
    <w:rsid w:val="00955B4E"/>
    <w:rsid w:val="009561DD"/>
    <w:rsid w:val="009563E5"/>
    <w:rsid w:val="00956490"/>
    <w:rsid w:val="009565B6"/>
    <w:rsid w:val="0095666B"/>
    <w:rsid w:val="00956705"/>
    <w:rsid w:val="00956ACE"/>
    <w:rsid w:val="00956F69"/>
    <w:rsid w:val="00957176"/>
    <w:rsid w:val="009572A0"/>
    <w:rsid w:val="0095742D"/>
    <w:rsid w:val="009574F5"/>
    <w:rsid w:val="00957686"/>
    <w:rsid w:val="009576D4"/>
    <w:rsid w:val="00957731"/>
    <w:rsid w:val="00957D24"/>
    <w:rsid w:val="00957E62"/>
    <w:rsid w:val="00960048"/>
    <w:rsid w:val="0096087A"/>
    <w:rsid w:val="00960D5D"/>
    <w:rsid w:val="00960DCF"/>
    <w:rsid w:val="00960FCD"/>
    <w:rsid w:val="00961293"/>
    <w:rsid w:val="009615CB"/>
    <w:rsid w:val="009617C9"/>
    <w:rsid w:val="009618E6"/>
    <w:rsid w:val="00961A0E"/>
    <w:rsid w:val="00961A65"/>
    <w:rsid w:val="00961B53"/>
    <w:rsid w:val="00961F42"/>
    <w:rsid w:val="009626D9"/>
    <w:rsid w:val="0096286F"/>
    <w:rsid w:val="00962A74"/>
    <w:rsid w:val="00962BED"/>
    <w:rsid w:val="00962DED"/>
    <w:rsid w:val="00962EDD"/>
    <w:rsid w:val="00962F2B"/>
    <w:rsid w:val="00963264"/>
    <w:rsid w:val="00963626"/>
    <w:rsid w:val="0096389D"/>
    <w:rsid w:val="0096399A"/>
    <w:rsid w:val="00963A16"/>
    <w:rsid w:val="00963BD3"/>
    <w:rsid w:val="009643D1"/>
    <w:rsid w:val="00964682"/>
    <w:rsid w:val="009647DE"/>
    <w:rsid w:val="0096522A"/>
    <w:rsid w:val="009652C5"/>
    <w:rsid w:val="00965455"/>
    <w:rsid w:val="0096558F"/>
    <w:rsid w:val="00965604"/>
    <w:rsid w:val="009657D0"/>
    <w:rsid w:val="009657F0"/>
    <w:rsid w:val="00965854"/>
    <w:rsid w:val="00965EF5"/>
    <w:rsid w:val="00965F3A"/>
    <w:rsid w:val="0096625B"/>
    <w:rsid w:val="00966639"/>
    <w:rsid w:val="00966E13"/>
    <w:rsid w:val="00967301"/>
    <w:rsid w:val="00967316"/>
    <w:rsid w:val="00967549"/>
    <w:rsid w:val="009676C0"/>
    <w:rsid w:val="00967B27"/>
    <w:rsid w:val="00967C33"/>
    <w:rsid w:val="00967C91"/>
    <w:rsid w:val="00967FDF"/>
    <w:rsid w:val="009703E2"/>
    <w:rsid w:val="00970634"/>
    <w:rsid w:val="009707E2"/>
    <w:rsid w:val="00970A26"/>
    <w:rsid w:val="00970CD0"/>
    <w:rsid w:val="00971568"/>
    <w:rsid w:val="0097188B"/>
    <w:rsid w:val="00971BB2"/>
    <w:rsid w:val="00971BD9"/>
    <w:rsid w:val="00972176"/>
    <w:rsid w:val="00972217"/>
    <w:rsid w:val="0097261D"/>
    <w:rsid w:val="00972693"/>
    <w:rsid w:val="009726C1"/>
    <w:rsid w:val="00972746"/>
    <w:rsid w:val="009729A3"/>
    <w:rsid w:val="00972B0E"/>
    <w:rsid w:val="00972CFB"/>
    <w:rsid w:val="00973813"/>
    <w:rsid w:val="0097398A"/>
    <w:rsid w:val="00973DE0"/>
    <w:rsid w:val="00973F9F"/>
    <w:rsid w:val="00974987"/>
    <w:rsid w:val="009752FF"/>
    <w:rsid w:val="009756F8"/>
    <w:rsid w:val="009757C2"/>
    <w:rsid w:val="0097602A"/>
    <w:rsid w:val="00976046"/>
    <w:rsid w:val="009761B1"/>
    <w:rsid w:val="009762EF"/>
    <w:rsid w:val="0097659A"/>
    <w:rsid w:val="00976686"/>
    <w:rsid w:val="00976E32"/>
    <w:rsid w:val="00977366"/>
    <w:rsid w:val="0097756A"/>
    <w:rsid w:val="00977807"/>
    <w:rsid w:val="009778B7"/>
    <w:rsid w:val="00977A19"/>
    <w:rsid w:val="00977B85"/>
    <w:rsid w:val="00980000"/>
    <w:rsid w:val="00980088"/>
    <w:rsid w:val="009803A9"/>
    <w:rsid w:val="009803CB"/>
    <w:rsid w:val="009803D4"/>
    <w:rsid w:val="009803F9"/>
    <w:rsid w:val="009805BC"/>
    <w:rsid w:val="009805C8"/>
    <w:rsid w:val="009806C8"/>
    <w:rsid w:val="0098077E"/>
    <w:rsid w:val="009807A2"/>
    <w:rsid w:val="00980940"/>
    <w:rsid w:val="00981234"/>
    <w:rsid w:val="0098130B"/>
    <w:rsid w:val="009814D5"/>
    <w:rsid w:val="0098199C"/>
    <w:rsid w:val="00982088"/>
    <w:rsid w:val="009823E5"/>
    <w:rsid w:val="0098268D"/>
    <w:rsid w:val="009829BE"/>
    <w:rsid w:val="00982E77"/>
    <w:rsid w:val="00982FD2"/>
    <w:rsid w:val="00982FD7"/>
    <w:rsid w:val="009832FB"/>
    <w:rsid w:val="009833E6"/>
    <w:rsid w:val="009836E9"/>
    <w:rsid w:val="009837AE"/>
    <w:rsid w:val="009839E3"/>
    <w:rsid w:val="00983C9C"/>
    <w:rsid w:val="00983E12"/>
    <w:rsid w:val="00983EED"/>
    <w:rsid w:val="00984066"/>
    <w:rsid w:val="00984331"/>
    <w:rsid w:val="00984917"/>
    <w:rsid w:val="00984EE3"/>
    <w:rsid w:val="0098524A"/>
    <w:rsid w:val="009856F0"/>
    <w:rsid w:val="00985740"/>
    <w:rsid w:val="00985877"/>
    <w:rsid w:val="009858CE"/>
    <w:rsid w:val="00985934"/>
    <w:rsid w:val="00985CEA"/>
    <w:rsid w:val="00985DC6"/>
    <w:rsid w:val="009861C6"/>
    <w:rsid w:val="0098658C"/>
    <w:rsid w:val="00986CA7"/>
    <w:rsid w:val="00987010"/>
    <w:rsid w:val="00987211"/>
    <w:rsid w:val="009873F3"/>
    <w:rsid w:val="00987960"/>
    <w:rsid w:val="00987A95"/>
    <w:rsid w:val="009903E5"/>
    <w:rsid w:val="00990518"/>
    <w:rsid w:val="009906CF"/>
    <w:rsid w:val="00990857"/>
    <w:rsid w:val="00990A8A"/>
    <w:rsid w:val="00990D37"/>
    <w:rsid w:val="00990F00"/>
    <w:rsid w:val="00991100"/>
    <w:rsid w:val="00991358"/>
    <w:rsid w:val="0099183C"/>
    <w:rsid w:val="00991886"/>
    <w:rsid w:val="00991913"/>
    <w:rsid w:val="00991EC7"/>
    <w:rsid w:val="0099214B"/>
    <w:rsid w:val="009921B2"/>
    <w:rsid w:val="0099236C"/>
    <w:rsid w:val="00992677"/>
    <w:rsid w:val="00992718"/>
    <w:rsid w:val="0099281A"/>
    <w:rsid w:val="00992B44"/>
    <w:rsid w:val="00992D55"/>
    <w:rsid w:val="00992EBC"/>
    <w:rsid w:val="00992FC1"/>
    <w:rsid w:val="00993168"/>
    <w:rsid w:val="009934D4"/>
    <w:rsid w:val="00993664"/>
    <w:rsid w:val="00993738"/>
    <w:rsid w:val="0099383B"/>
    <w:rsid w:val="00993D0C"/>
    <w:rsid w:val="00993FB2"/>
    <w:rsid w:val="009941CB"/>
    <w:rsid w:val="00994253"/>
    <w:rsid w:val="009943E4"/>
    <w:rsid w:val="00994643"/>
    <w:rsid w:val="00994914"/>
    <w:rsid w:val="00994B82"/>
    <w:rsid w:val="00994DF1"/>
    <w:rsid w:val="0099562F"/>
    <w:rsid w:val="00995D00"/>
    <w:rsid w:val="00995E98"/>
    <w:rsid w:val="00996043"/>
    <w:rsid w:val="0099619E"/>
    <w:rsid w:val="0099682A"/>
    <w:rsid w:val="00996957"/>
    <w:rsid w:val="00996B99"/>
    <w:rsid w:val="00996BC6"/>
    <w:rsid w:val="00996E56"/>
    <w:rsid w:val="00996F15"/>
    <w:rsid w:val="00997761"/>
    <w:rsid w:val="00997BA8"/>
    <w:rsid w:val="009A0069"/>
    <w:rsid w:val="009A0150"/>
    <w:rsid w:val="009A016E"/>
    <w:rsid w:val="009A028A"/>
    <w:rsid w:val="009A06F4"/>
    <w:rsid w:val="009A0777"/>
    <w:rsid w:val="009A07D6"/>
    <w:rsid w:val="009A0DED"/>
    <w:rsid w:val="009A0F00"/>
    <w:rsid w:val="009A11EA"/>
    <w:rsid w:val="009A184E"/>
    <w:rsid w:val="009A1A03"/>
    <w:rsid w:val="009A1C71"/>
    <w:rsid w:val="009A1E87"/>
    <w:rsid w:val="009A200F"/>
    <w:rsid w:val="009A21A0"/>
    <w:rsid w:val="009A2606"/>
    <w:rsid w:val="009A289C"/>
    <w:rsid w:val="009A2CED"/>
    <w:rsid w:val="009A2D7E"/>
    <w:rsid w:val="009A359B"/>
    <w:rsid w:val="009A368F"/>
    <w:rsid w:val="009A3778"/>
    <w:rsid w:val="009A3932"/>
    <w:rsid w:val="009A3E2E"/>
    <w:rsid w:val="009A40BA"/>
    <w:rsid w:val="009A4136"/>
    <w:rsid w:val="009A4349"/>
    <w:rsid w:val="009A4767"/>
    <w:rsid w:val="009A476A"/>
    <w:rsid w:val="009A5165"/>
    <w:rsid w:val="009A562E"/>
    <w:rsid w:val="009A5D74"/>
    <w:rsid w:val="009A628A"/>
    <w:rsid w:val="009A6374"/>
    <w:rsid w:val="009A6E18"/>
    <w:rsid w:val="009A6E44"/>
    <w:rsid w:val="009A722C"/>
    <w:rsid w:val="009A751C"/>
    <w:rsid w:val="009A779A"/>
    <w:rsid w:val="009A7887"/>
    <w:rsid w:val="009A795E"/>
    <w:rsid w:val="009A7A68"/>
    <w:rsid w:val="009A7DE9"/>
    <w:rsid w:val="009A7F2F"/>
    <w:rsid w:val="009A7F34"/>
    <w:rsid w:val="009B0B9F"/>
    <w:rsid w:val="009B0C82"/>
    <w:rsid w:val="009B0FF5"/>
    <w:rsid w:val="009B11BE"/>
    <w:rsid w:val="009B1592"/>
    <w:rsid w:val="009B178B"/>
    <w:rsid w:val="009B1803"/>
    <w:rsid w:val="009B187A"/>
    <w:rsid w:val="009B1D2E"/>
    <w:rsid w:val="009B2245"/>
    <w:rsid w:val="009B23BA"/>
    <w:rsid w:val="009B23D5"/>
    <w:rsid w:val="009B258E"/>
    <w:rsid w:val="009B2D59"/>
    <w:rsid w:val="009B3A81"/>
    <w:rsid w:val="009B3B3E"/>
    <w:rsid w:val="009B49BF"/>
    <w:rsid w:val="009B4A9C"/>
    <w:rsid w:val="009B5753"/>
    <w:rsid w:val="009B57EF"/>
    <w:rsid w:val="009B594D"/>
    <w:rsid w:val="009B5974"/>
    <w:rsid w:val="009B5997"/>
    <w:rsid w:val="009B61FD"/>
    <w:rsid w:val="009B6266"/>
    <w:rsid w:val="009B664F"/>
    <w:rsid w:val="009B6B23"/>
    <w:rsid w:val="009B6CC2"/>
    <w:rsid w:val="009B6EED"/>
    <w:rsid w:val="009B70C0"/>
    <w:rsid w:val="009B70FD"/>
    <w:rsid w:val="009B72F9"/>
    <w:rsid w:val="009B7407"/>
    <w:rsid w:val="009B74AC"/>
    <w:rsid w:val="009B74CF"/>
    <w:rsid w:val="009B74D7"/>
    <w:rsid w:val="009B74E1"/>
    <w:rsid w:val="009B74F3"/>
    <w:rsid w:val="009B7792"/>
    <w:rsid w:val="009B7ABD"/>
    <w:rsid w:val="009B7DE7"/>
    <w:rsid w:val="009B7FBD"/>
    <w:rsid w:val="009C027F"/>
    <w:rsid w:val="009C0561"/>
    <w:rsid w:val="009C0C48"/>
    <w:rsid w:val="009C0E38"/>
    <w:rsid w:val="009C0E8E"/>
    <w:rsid w:val="009C11BD"/>
    <w:rsid w:val="009C142D"/>
    <w:rsid w:val="009C148D"/>
    <w:rsid w:val="009C1833"/>
    <w:rsid w:val="009C1B57"/>
    <w:rsid w:val="009C1CF1"/>
    <w:rsid w:val="009C1D27"/>
    <w:rsid w:val="009C1DA8"/>
    <w:rsid w:val="009C1DB4"/>
    <w:rsid w:val="009C1F03"/>
    <w:rsid w:val="009C268C"/>
    <w:rsid w:val="009C292F"/>
    <w:rsid w:val="009C2FFE"/>
    <w:rsid w:val="009C3600"/>
    <w:rsid w:val="009C375D"/>
    <w:rsid w:val="009C3BD9"/>
    <w:rsid w:val="009C3F40"/>
    <w:rsid w:val="009C412B"/>
    <w:rsid w:val="009C42A2"/>
    <w:rsid w:val="009C45CB"/>
    <w:rsid w:val="009C46CD"/>
    <w:rsid w:val="009C4812"/>
    <w:rsid w:val="009C4817"/>
    <w:rsid w:val="009C4E8B"/>
    <w:rsid w:val="009C503E"/>
    <w:rsid w:val="009C51A5"/>
    <w:rsid w:val="009C5207"/>
    <w:rsid w:val="009C56DF"/>
    <w:rsid w:val="009C5736"/>
    <w:rsid w:val="009C5B82"/>
    <w:rsid w:val="009C6005"/>
    <w:rsid w:val="009C60AB"/>
    <w:rsid w:val="009C616B"/>
    <w:rsid w:val="009C668E"/>
    <w:rsid w:val="009C6958"/>
    <w:rsid w:val="009C705C"/>
    <w:rsid w:val="009C7202"/>
    <w:rsid w:val="009C7208"/>
    <w:rsid w:val="009C74C9"/>
    <w:rsid w:val="009C751D"/>
    <w:rsid w:val="009C756E"/>
    <w:rsid w:val="009C770D"/>
    <w:rsid w:val="009C7A4A"/>
    <w:rsid w:val="009C7BF7"/>
    <w:rsid w:val="009C7C3F"/>
    <w:rsid w:val="009D0043"/>
    <w:rsid w:val="009D00C1"/>
    <w:rsid w:val="009D0251"/>
    <w:rsid w:val="009D03B8"/>
    <w:rsid w:val="009D0785"/>
    <w:rsid w:val="009D0E3F"/>
    <w:rsid w:val="009D11A4"/>
    <w:rsid w:val="009D1231"/>
    <w:rsid w:val="009D13BD"/>
    <w:rsid w:val="009D1549"/>
    <w:rsid w:val="009D16D4"/>
    <w:rsid w:val="009D1778"/>
    <w:rsid w:val="009D1A09"/>
    <w:rsid w:val="009D1AF5"/>
    <w:rsid w:val="009D1B82"/>
    <w:rsid w:val="009D1C4C"/>
    <w:rsid w:val="009D1DE0"/>
    <w:rsid w:val="009D1F8A"/>
    <w:rsid w:val="009D21BE"/>
    <w:rsid w:val="009D2271"/>
    <w:rsid w:val="009D27CE"/>
    <w:rsid w:val="009D29A9"/>
    <w:rsid w:val="009D2C5C"/>
    <w:rsid w:val="009D2D8F"/>
    <w:rsid w:val="009D3C3D"/>
    <w:rsid w:val="009D3C5E"/>
    <w:rsid w:val="009D3E0F"/>
    <w:rsid w:val="009D3E5C"/>
    <w:rsid w:val="009D3EC1"/>
    <w:rsid w:val="009D49B7"/>
    <w:rsid w:val="009D4FE8"/>
    <w:rsid w:val="009D5288"/>
    <w:rsid w:val="009D5626"/>
    <w:rsid w:val="009D5AEE"/>
    <w:rsid w:val="009D5B43"/>
    <w:rsid w:val="009D5BCB"/>
    <w:rsid w:val="009D5C53"/>
    <w:rsid w:val="009D5E63"/>
    <w:rsid w:val="009D5F97"/>
    <w:rsid w:val="009D6348"/>
    <w:rsid w:val="009D64FF"/>
    <w:rsid w:val="009D6E3E"/>
    <w:rsid w:val="009D6FA6"/>
    <w:rsid w:val="009D7135"/>
    <w:rsid w:val="009D717A"/>
    <w:rsid w:val="009D74E8"/>
    <w:rsid w:val="009D7649"/>
    <w:rsid w:val="009D781A"/>
    <w:rsid w:val="009D7874"/>
    <w:rsid w:val="009D78B2"/>
    <w:rsid w:val="009D7A80"/>
    <w:rsid w:val="009D7B19"/>
    <w:rsid w:val="009D7BA1"/>
    <w:rsid w:val="009D7C76"/>
    <w:rsid w:val="009E0703"/>
    <w:rsid w:val="009E0AF0"/>
    <w:rsid w:val="009E0DEB"/>
    <w:rsid w:val="009E0EEC"/>
    <w:rsid w:val="009E1132"/>
    <w:rsid w:val="009E128D"/>
    <w:rsid w:val="009E13B9"/>
    <w:rsid w:val="009E1550"/>
    <w:rsid w:val="009E176A"/>
    <w:rsid w:val="009E1C37"/>
    <w:rsid w:val="009E1E03"/>
    <w:rsid w:val="009E1E39"/>
    <w:rsid w:val="009E1FCE"/>
    <w:rsid w:val="009E2089"/>
    <w:rsid w:val="009E23AC"/>
    <w:rsid w:val="009E2583"/>
    <w:rsid w:val="009E2AD3"/>
    <w:rsid w:val="009E32C8"/>
    <w:rsid w:val="009E3C14"/>
    <w:rsid w:val="009E430B"/>
    <w:rsid w:val="009E47E5"/>
    <w:rsid w:val="009E48A9"/>
    <w:rsid w:val="009E48D4"/>
    <w:rsid w:val="009E4923"/>
    <w:rsid w:val="009E4948"/>
    <w:rsid w:val="009E4DD2"/>
    <w:rsid w:val="009E4E85"/>
    <w:rsid w:val="009E4EAF"/>
    <w:rsid w:val="009E5457"/>
    <w:rsid w:val="009E57C3"/>
    <w:rsid w:val="009E6072"/>
    <w:rsid w:val="009E60E3"/>
    <w:rsid w:val="009E64D1"/>
    <w:rsid w:val="009E64D4"/>
    <w:rsid w:val="009E6863"/>
    <w:rsid w:val="009E6F09"/>
    <w:rsid w:val="009E71BD"/>
    <w:rsid w:val="009E728B"/>
    <w:rsid w:val="009E7678"/>
    <w:rsid w:val="009E781C"/>
    <w:rsid w:val="009E787B"/>
    <w:rsid w:val="009E7AEF"/>
    <w:rsid w:val="009E7C05"/>
    <w:rsid w:val="009F060D"/>
    <w:rsid w:val="009F06B7"/>
    <w:rsid w:val="009F0957"/>
    <w:rsid w:val="009F09A7"/>
    <w:rsid w:val="009F0E27"/>
    <w:rsid w:val="009F0F0E"/>
    <w:rsid w:val="009F12FF"/>
    <w:rsid w:val="009F1388"/>
    <w:rsid w:val="009F146F"/>
    <w:rsid w:val="009F17D4"/>
    <w:rsid w:val="009F1E07"/>
    <w:rsid w:val="009F1E2B"/>
    <w:rsid w:val="009F200B"/>
    <w:rsid w:val="009F229E"/>
    <w:rsid w:val="009F25B4"/>
    <w:rsid w:val="009F2748"/>
    <w:rsid w:val="009F2751"/>
    <w:rsid w:val="009F2911"/>
    <w:rsid w:val="009F29B2"/>
    <w:rsid w:val="009F2EA4"/>
    <w:rsid w:val="009F33DE"/>
    <w:rsid w:val="009F3B51"/>
    <w:rsid w:val="009F3C75"/>
    <w:rsid w:val="009F3F2A"/>
    <w:rsid w:val="009F415F"/>
    <w:rsid w:val="009F4262"/>
    <w:rsid w:val="009F43ED"/>
    <w:rsid w:val="009F45B3"/>
    <w:rsid w:val="009F510F"/>
    <w:rsid w:val="009F5B74"/>
    <w:rsid w:val="009F617C"/>
    <w:rsid w:val="009F6306"/>
    <w:rsid w:val="009F64DC"/>
    <w:rsid w:val="009F68B1"/>
    <w:rsid w:val="009F697E"/>
    <w:rsid w:val="009F72EA"/>
    <w:rsid w:val="009F75E9"/>
    <w:rsid w:val="009F765A"/>
    <w:rsid w:val="009F7667"/>
    <w:rsid w:val="009F7F4F"/>
    <w:rsid w:val="00A0005F"/>
    <w:rsid w:val="00A00153"/>
    <w:rsid w:val="00A0017E"/>
    <w:rsid w:val="00A0037E"/>
    <w:rsid w:val="00A003EB"/>
    <w:rsid w:val="00A006E7"/>
    <w:rsid w:val="00A0090A"/>
    <w:rsid w:val="00A00A7C"/>
    <w:rsid w:val="00A00C9B"/>
    <w:rsid w:val="00A00E3E"/>
    <w:rsid w:val="00A01303"/>
    <w:rsid w:val="00A018F4"/>
    <w:rsid w:val="00A019DD"/>
    <w:rsid w:val="00A01E95"/>
    <w:rsid w:val="00A02751"/>
    <w:rsid w:val="00A02B43"/>
    <w:rsid w:val="00A02C4F"/>
    <w:rsid w:val="00A02CD9"/>
    <w:rsid w:val="00A02D1B"/>
    <w:rsid w:val="00A02E16"/>
    <w:rsid w:val="00A030F9"/>
    <w:rsid w:val="00A03167"/>
    <w:rsid w:val="00A037A1"/>
    <w:rsid w:val="00A03850"/>
    <w:rsid w:val="00A038A6"/>
    <w:rsid w:val="00A03AD0"/>
    <w:rsid w:val="00A04649"/>
    <w:rsid w:val="00A046DA"/>
    <w:rsid w:val="00A048A5"/>
    <w:rsid w:val="00A04A09"/>
    <w:rsid w:val="00A04FC6"/>
    <w:rsid w:val="00A04FE3"/>
    <w:rsid w:val="00A051B1"/>
    <w:rsid w:val="00A054F8"/>
    <w:rsid w:val="00A05821"/>
    <w:rsid w:val="00A05D1D"/>
    <w:rsid w:val="00A05EA2"/>
    <w:rsid w:val="00A05F55"/>
    <w:rsid w:val="00A060D7"/>
    <w:rsid w:val="00A06439"/>
    <w:rsid w:val="00A0655E"/>
    <w:rsid w:val="00A06658"/>
    <w:rsid w:val="00A06846"/>
    <w:rsid w:val="00A06869"/>
    <w:rsid w:val="00A06B64"/>
    <w:rsid w:val="00A07149"/>
    <w:rsid w:val="00A0749D"/>
    <w:rsid w:val="00A075A4"/>
    <w:rsid w:val="00A075ED"/>
    <w:rsid w:val="00A07636"/>
    <w:rsid w:val="00A076CC"/>
    <w:rsid w:val="00A07803"/>
    <w:rsid w:val="00A07C74"/>
    <w:rsid w:val="00A07DD6"/>
    <w:rsid w:val="00A10140"/>
    <w:rsid w:val="00A10616"/>
    <w:rsid w:val="00A106D0"/>
    <w:rsid w:val="00A10CD7"/>
    <w:rsid w:val="00A11194"/>
    <w:rsid w:val="00A111C7"/>
    <w:rsid w:val="00A113DF"/>
    <w:rsid w:val="00A11486"/>
    <w:rsid w:val="00A11553"/>
    <w:rsid w:val="00A1165C"/>
    <w:rsid w:val="00A116C8"/>
    <w:rsid w:val="00A11AB0"/>
    <w:rsid w:val="00A11AB2"/>
    <w:rsid w:val="00A11BFD"/>
    <w:rsid w:val="00A12259"/>
    <w:rsid w:val="00A122F0"/>
    <w:rsid w:val="00A125D6"/>
    <w:rsid w:val="00A12610"/>
    <w:rsid w:val="00A126B1"/>
    <w:rsid w:val="00A12779"/>
    <w:rsid w:val="00A12A4D"/>
    <w:rsid w:val="00A12E73"/>
    <w:rsid w:val="00A13225"/>
    <w:rsid w:val="00A13574"/>
    <w:rsid w:val="00A1357E"/>
    <w:rsid w:val="00A13B04"/>
    <w:rsid w:val="00A13E41"/>
    <w:rsid w:val="00A13E70"/>
    <w:rsid w:val="00A13EBD"/>
    <w:rsid w:val="00A14944"/>
    <w:rsid w:val="00A14AA6"/>
    <w:rsid w:val="00A14D29"/>
    <w:rsid w:val="00A14DD3"/>
    <w:rsid w:val="00A14E53"/>
    <w:rsid w:val="00A14FCA"/>
    <w:rsid w:val="00A15116"/>
    <w:rsid w:val="00A1520A"/>
    <w:rsid w:val="00A15257"/>
    <w:rsid w:val="00A15507"/>
    <w:rsid w:val="00A15580"/>
    <w:rsid w:val="00A15734"/>
    <w:rsid w:val="00A15985"/>
    <w:rsid w:val="00A15E94"/>
    <w:rsid w:val="00A16056"/>
    <w:rsid w:val="00A162FF"/>
    <w:rsid w:val="00A16318"/>
    <w:rsid w:val="00A16449"/>
    <w:rsid w:val="00A164BD"/>
    <w:rsid w:val="00A164FC"/>
    <w:rsid w:val="00A16500"/>
    <w:rsid w:val="00A165B0"/>
    <w:rsid w:val="00A1671F"/>
    <w:rsid w:val="00A169B7"/>
    <w:rsid w:val="00A16D48"/>
    <w:rsid w:val="00A16DF5"/>
    <w:rsid w:val="00A17254"/>
    <w:rsid w:val="00A174E0"/>
    <w:rsid w:val="00A1796D"/>
    <w:rsid w:val="00A17D00"/>
    <w:rsid w:val="00A17D09"/>
    <w:rsid w:val="00A200E3"/>
    <w:rsid w:val="00A2022A"/>
    <w:rsid w:val="00A2045E"/>
    <w:rsid w:val="00A20DC1"/>
    <w:rsid w:val="00A20F61"/>
    <w:rsid w:val="00A20FBF"/>
    <w:rsid w:val="00A210B8"/>
    <w:rsid w:val="00A2125A"/>
    <w:rsid w:val="00A21583"/>
    <w:rsid w:val="00A21E72"/>
    <w:rsid w:val="00A22080"/>
    <w:rsid w:val="00A22167"/>
    <w:rsid w:val="00A22239"/>
    <w:rsid w:val="00A22284"/>
    <w:rsid w:val="00A22414"/>
    <w:rsid w:val="00A225ED"/>
    <w:rsid w:val="00A226CC"/>
    <w:rsid w:val="00A22EFC"/>
    <w:rsid w:val="00A2312B"/>
    <w:rsid w:val="00A23311"/>
    <w:rsid w:val="00A23928"/>
    <w:rsid w:val="00A23C5A"/>
    <w:rsid w:val="00A23E15"/>
    <w:rsid w:val="00A23E50"/>
    <w:rsid w:val="00A23F90"/>
    <w:rsid w:val="00A24003"/>
    <w:rsid w:val="00A24391"/>
    <w:rsid w:val="00A24481"/>
    <w:rsid w:val="00A24C64"/>
    <w:rsid w:val="00A24CC8"/>
    <w:rsid w:val="00A24E31"/>
    <w:rsid w:val="00A255C5"/>
    <w:rsid w:val="00A256A9"/>
    <w:rsid w:val="00A2574A"/>
    <w:rsid w:val="00A25759"/>
    <w:rsid w:val="00A25807"/>
    <w:rsid w:val="00A258BB"/>
    <w:rsid w:val="00A258D9"/>
    <w:rsid w:val="00A25EEC"/>
    <w:rsid w:val="00A26065"/>
    <w:rsid w:val="00A26067"/>
    <w:rsid w:val="00A261F0"/>
    <w:rsid w:val="00A26389"/>
    <w:rsid w:val="00A26665"/>
    <w:rsid w:val="00A26A81"/>
    <w:rsid w:val="00A26BBC"/>
    <w:rsid w:val="00A26D97"/>
    <w:rsid w:val="00A26F49"/>
    <w:rsid w:val="00A275B9"/>
    <w:rsid w:val="00A276D3"/>
    <w:rsid w:val="00A27724"/>
    <w:rsid w:val="00A30096"/>
    <w:rsid w:val="00A3017E"/>
    <w:rsid w:val="00A302BB"/>
    <w:rsid w:val="00A303B8"/>
    <w:rsid w:val="00A30413"/>
    <w:rsid w:val="00A30496"/>
    <w:rsid w:val="00A304D7"/>
    <w:rsid w:val="00A30A36"/>
    <w:rsid w:val="00A30C61"/>
    <w:rsid w:val="00A30CBF"/>
    <w:rsid w:val="00A30F7F"/>
    <w:rsid w:val="00A31AAD"/>
    <w:rsid w:val="00A31DE9"/>
    <w:rsid w:val="00A322F6"/>
    <w:rsid w:val="00A32AB4"/>
    <w:rsid w:val="00A32C30"/>
    <w:rsid w:val="00A32DF5"/>
    <w:rsid w:val="00A32EA2"/>
    <w:rsid w:val="00A32F40"/>
    <w:rsid w:val="00A330CA"/>
    <w:rsid w:val="00A333DE"/>
    <w:rsid w:val="00A333E5"/>
    <w:rsid w:val="00A33476"/>
    <w:rsid w:val="00A33A71"/>
    <w:rsid w:val="00A33FA1"/>
    <w:rsid w:val="00A34A3D"/>
    <w:rsid w:val="00A34DEB"/>
    <w:rsid w:val="00A34F7E"/>
    <w:rsid w:val="00A353E9"/>
    <w:rsid w:val="00A355B3"/>
    <w:rsid w:val="00A35824"/>
    <w:rsid w:val="00A35AF9"/>
    <w:rsid w:val="00A35D4D"/>
    <w:rsid w:val="00A35F2E"/>
    <w:rsid w:val="00A35F84"/>
    <w:rsid w:val="00A36016"/>
    <w:rsid w:val="00A3604B"/>
    <w:rsid w:val="00A361C3"/>
    <w:rsid w:val="00A361D0"/>
    <w:rsid w:val="00A367C9"/>
    <w:rsid w:val="00A367FC"/>
    <w:rsid w:val="00A368A8"/>
    <w:rsid w:val="00A3695C"/>
    <w:rsid w:val="00A36960"/>
    <w:rsid w:val="00A36A1A"/>
    <w:rsid w:val="00A36BA9"/>
    <w:rsid w:val="00A37127"/>
    <w:rsid w:val="00A3729E"/>
    <w:rsid w:val="00A3731E"/>
    <w:rsid w:val="00A373EA"/>
    <w:rsid w:val="00A3759F"/>
    <w:rsid w:val="00A37667"/>
    <w:rsid w:val="00A37AD4"/>
    <w:rsid w:val="00A37D30"/>
    <w:rsid w:val="00A37D72"/>
    <w:rsid w:val="00A40065"/>
    <w:rsid w:val="00A400EE"/>
    <w:rsid w:val="00A40327"/>
    <w:rsid w:val="00A40395"/>
    <w:rsid w:val="00A40863"/>
    <w:rsid w:val="00A409AF"/>
    <w:rsid w:val="00A40CAC"/>
    <w:rsid w:val="00A411FA"/>
    <w:rsid w:val="00A4122E"/>
    <w:rsid w:val="00A412BC"/>
    <w:rsid w:val="00A417B2"/>
    <w:rsid w:val="00A418B7"/>
    <w:rsid w:val="00A41ACE"/>
    <w:rsid w:val="00A41D21"/>
    <w:rsid w:val="00A41EC0"/>
    <w:rsid w:val="00A41F6B"/>
    <w:rsid w:val="00A42089"/>
    <w:rsid w:val="00A4259D"/>
    <w:rsid w:val="00A427D1"/>
    <w:rsid w:val="00A427E7"/>
    <w:rsid w:val="00A42921"/>
    <w:rsid w:val="00A42A61"/>
    <w:rsid w:val="00A43479"/>
    <w:rsid w:val="00A4378F"/>
    <w:rsid w:val="00A43C58"/>
    <w:rsid w:val="00A43E88"/>
    <w:rsid w:val="00A4405E"/>
    <w:rsid w:val="00A4412B"/>
    <w:rsid w:val="00A44354"/>
    <w:rsid w:val="00A443ED"/>
    <w:rsid w:val="00A44485"/>
    <w:rsid w:val="00A44493"/>
    <w:rsid w:val="00A445AC"/>
    <w:rsid w:val="00A4489D"/>
    <w:rsid w:val="00A44D1B"/>
    <w:rsid w:val="00A44EC1"/>
    <w:rsid w:val="00A44EC8"/>
    <w:rsid w:val="00A45107"/>
    <w:rsid w:val="00A454B3"/>
    <w:rsid w:val="00A4572B"/>
    <w:rsid w:val="00A45932"/>
    <w:rsid w:val="00A45AD8"/>
    <w:rsid w:val="00A45CED"/>
    <w:rsid w:val="00A45E52"/>
    <w:rsid w:val="00A460CF"/>
    <w:rsid w:val="00A461BA"/>
    <w:rsid w:val="00A4620A"/>
    <w:rsid w:val="00A46652"/>
    <w:rsid w:val="00A466F4"/>
    <w:rsid w:val="00A467AF"/>
    <w:rsid w:val="00A46C80"/>
    <w:rsid w:val="00A46D15"/>
    <w:rsid w:val="00A4713D"/>
    <w:rsid w:val="00A472D1"/>
    <w:rsid w:val="00A4757C"/>
    <w:rsid w:val="00A4782E"/>
    <w:rsid w:val="00A47EEE"/>
    <w:rsid w:val="00A500F7"/>
    <w:rsid w:val="00A50879"/>
    <w:rsid w:val="00A50BFC"/>
    <w:rsid w:val="00A50E22"/>
    <w:rsid w:val="00A50EBF"/>
    <w:rsid w:val="00A511ED"/>
    <w:rsid w:val="00A51336"/>
    <w:rsid w:val="00A51454"/>
    <w:rsid w:val="00A5156F"/>
    <w:rsid w:val="00A51B3B"/>
    <w:rsid w:val="00A51C8C"/>
    <w:rsid w:val="00A51C9E"/>
    <w:rsid w:val="00A51CBA"/>
    <w:rsid w:val="00A51FFF"/>
    <w:rsid w:val="00A52422"/>
    <w:rsid w:val="00A52864"/>
    <w:rsid w:val="00A52A02"/>
    <w:rsid w:val="00A52D5D"/>
    <w:rsid w:val="00A52F00"/>
    <w:rsid w:val="00A52F72"/>
    <w:rsid w:val="00A5323B"/>
    <w:rsid w:val="00A53310"/>
    <w:rsid w:val="00A53628"/>
    <w:rsid w:val="00A53755"/>
    <w:rsid w:val="00A537E9"/>
    <w:rsid w:val="00A53913"/>
    <w:rsid w:val="00A53CF5"/>
    <w:rsid w:val="00A53F39"/>
    <w:rsid w:val="00A540E8"/>
    <w:rsid w:val="00A545C9"/>
    <w:rsid w:val="00A546A8"/>
    <w:rsid w:val="00A54A4D"/>
    <w:rsid w:val="00A54FB4"/>
    <w:rsid w:val="00A5505D"/>
    <w:rsid w:val="00A5512C"/>
    <w:rsid w:val="00A553AA"/>
    <w:rsid w:val="00A5549D"/>
    <w:rsid w:val="00A556BC"/>
    <w:rsid w:val="00A556E3"/>
    <w:rsid w:val="00A55992"/>
    <w:rsid w:val="00A55BA7"/>
    <w:rsid w:val="00A55D39"/>
    <w:rsid w:val="00A55F8F"/>
    <w:rsid w:val="00A5617E"/>
    <w:rsid w:val="00A5683C"/>
    <w:rsid w:val="00A569C6"/>
    <w:rsid w:val="00A56A84"/>
    <w:rsid w:val="00A56AEC"/>
    <w:rsid w:val="00A56CB8"/>
    <w:rsid w:val="00A56DE0"/>
    <w:rsid w:val="00A572B1"/>
    <w:rsid w:val="00A5741B"/>
    <w:rsid w:val="00A575AD"/>
    <w:rsid w:val="00A57787"/>
    <w:rsid w:val="00A57BEE"/>
    <w:rsid w:val="00A57BF7"/>
    <w:rsid w:val="00A57D1E"/>
    <w:rsid w:val="00A60108"/>
    <w:rsid w:val="00A60138"/>
    <w:rsid w:val="00A60370"/>
    <w:rsid w:val="00A60BBB"/>
    <w:rsid w:val="00A60C7A"/>
    <w:rsid w:val="00A61029"/>
    <w:rsid w:val="00A61A7E"/>
    <w:rsid w:val="00A61BB6"/>
    <w:rsid w:val="00A61F0E"/>
    <w:rsid w:val="00A61F55"/>
    <w:rsid w:val="00A620E6"/>
    <w:rsid w:val="00A622C7"/>
    <w:rsid w:val="00A6278D"/>
    <w:rsid w:val="00A629DB"/>
    <w:rsid w:val="00A629ED"/>
    <w:rsid w:val="00A629FF"/>
    <w:rsid w:val="00A62AA0"/>
    <w:rsid w:val="00A62C69"/>
    <w:rsid w:val="00A62D22"/>
    <w:rsid w:val="00A62D5B"/>
    <w:rsid w:val="00A62F89"/>
    <w:rsid w:val="00A630C4"/>
    <w:rsid w:val="00A63627"/>
    <w:rsid w:val="00A6368B"/>
    <w:rsid w:val="00A63A37"/>
    <w:rsid w:val="00A63C08"/>
    <w:rsid w:val="00A63C18"/>
    <w:rsid w:val="00A641A6"/>
    <w:rsid w:val="00A644DB"/>
    <w:rsid w:val="00A645AB"/>
    <w:rsid w:val="00A64B04"/>
    <w:rsid w:val="00A64B73"/>
    <w:rsid w:val="00A64F9E"/>
    <w:rsid w:val="00A64FAA"/>
    <w:rsid w:val="00A64FBD"/>
    <w:rsid w:val="00A6509F"/>
    <w:rsid w:val="00A658E4"/>
    <w:rsid w:val="00A65AB8"/>
    <w:rsid w:val="00A65E63"/>
    <w:rsid w:val="00A65F6C"/>
    <w:rsid w:val="00A66146"/>
    <w:rsid w:val="00A661C9"/>
    <w:rsid w:val="00A662DC"/>
    <w:rsid w:val="00A66376"/>
    <w:rsid w:val="00A66569"/>
    <w:rsid w:val="00A66FEB"/>
    <w:rsid w:val="00A67064"/>
    <w:rsid w:val="00A671A4"/>
    <w:rsid w:val="00A672DF"/>
    <w:rsid w:val="00A6741B"/>
    <w:rsid w:val="00A67509"/>
    <w:rsid w:val="00A70057"/>
    <w:rsid w:val="00A708DE"/>
    <w:rsid w:val="00A70BB7"/>
    <w:rsid w:val="00A71294"/>
    <w:rsid w:val="00A712BE"/>
    <w:rsid w:val="00A7156C"/>
    <w:rsid w:val="00A715A5"/>
    <w:rsid w:val="00A71842"/>
    <w:rsid w:val="00A7235A"/>
    <w:rsid w:val="00A725E5"/>
    <w:rsid w:val="00A72993"/>
    <w:rsid w:val="00A72B46"/>
    <w:rsid w:val="00A72FD2"/>
    <w:rsid w:val="00A730BB"/>
    <w:rsid w:val="00A732E6"/>
    <w:rsid w:val="00A733C4"/>
    <w:rsid w:val="00A73519"/>
    <w:rsid w:val="00A7361E"/>
    <w:rsid w:val="00A73801"/>
    <w:rsid w:val="00A73861"/>
    <w:rsid w:val="00A739B5"/>
    <w:rsid w:val="00A73E19"/>
    <w:rsid w:val="00A7405D"/>
    <w:rsid w:val="00A74226"/>
    <w:rsid w:val="00A74C33"/>
    <w:rsid w:val="00A74F71"/>
    <w:rsid w:val="00A752BE"/>
    <w:rsid w:val="00A75646"/>
    <w:rsid w:val="00A757B0"/>
    <w:rsid w:val="00A7586F"/>
    <w:rsid w:val="00A76124"/>
    <w:rsid w:val="00A76271"/>
    <w:rsid w:val="00A76845"/>
    <w:rsid w:val="00A77403"/>
    <w:rsid w:val="00A7752F"/>
    <w:rsid w:val="00A776A4"/>
    <w:rsid w:val="00A77701"/>
    <w:rsid w:val="00A7781E"/>
    <w:rsid w:val="00A77BEA"/>
    <w:rsid w:val="00A77F56"/>
    <w:rsid w:val="00A80088"/>
    <w:rsid w:val="00A80247"/>
    <w:rsid w:val="00A802A0"/>
    <w:rsid w:val="00A8049D"/>
    <w:rsid w:val="00A805E3"/>
    <w:rsid w:val="00A80CEA"/>
    <w:rsid w:val="00A81118"/>
    <w:rsid w:val="00A81A6B"/>
    <w:rsid w:val="00A81DA7"/>
    <w:rsid w:val="00A82154"/>
    <w:rsid w:val="00A822C2"/>
    <w:rsid w:val="00A822CE"/>
    <w:rsid w:val="00A82697"/>
    <w:rsid w:val="00A82776"/>
    <w:rsid w:val="00A82990"/>
    <w:rsid w:val="00A82D1A"/>
    <w:rsid w:val="00A82DFD"/>
    <w:rsid w:val="00A82F23"/>
    <w:rsid w:val="00A8319F"/>
    <w:rsid w:val="00A831CC"/>
    <w:rsid w:val="00A8322C"/>
    <w:rsid w:val="00A8330A"/>
    <w:rsid w:val="00A83A76"/>
    <w:rsid w:val="00A83DED"/>
    <w:rsid w:val="00A840D4"/>
    <w:rsid w:val="00A842CA"/>
    <w:rsid w:val="00A84564"/>
    <w:rsid w:val="00A8456C"/>
    <w:rsid w:val="00A8480C"/>
    <w:rsid w:val="00A84F7F"/>
    <w:rsid w:val="00A853FC"/>
    <w:rsid w:val="00A854F4"/>
    <w:rsid w:val="00A85769"/>
    <w:rsid w:val="00A8586C"/>
    <w:rsid w:val="00A85A70"/>
    <w:rsid w:val="00A85DB2"/>
    <w:rsid w:val="00A85FBE"/>
    <w:rsid w:val="00A86071"/>
    <w:rsid w:val="00A8627E"/>
    <w:rsid w:val="00A867C6"/>
    <w:rsid w:val="00A8761D"/>
    <w:rsid w:val="00A876C8"/>
    <w:rsid w:val="00A878D8"/>
    <w:rsid w:val="00A87C84"/>
    <w:rsid w:val="00A87CB7"/>
    <w:rsid w:val="00A87FBE"/>
    <w:rsid w:val="00A90034"/>
    <w:rsid w:val="00A900BA"/>
    <w:rsid w:val="00A90248"/>
    <w:rsid w:val="00A90401"/>
    <w:rsid w:val="00A9065C"/>
    <w:rsid w:val="00A90DFF"/>
    <w:rsid w:val="00A90F0D"/>
    <w:rsid w:val="00A90F47"/>
    <w:rsid w:val="00A90FE1"/>
    <w:rsid w:val="00A9128C"/>
    <w:rsid w:val="00A917F5"/>
    <w:rsid w:val="00A92144"/>
    <w:rsid w:val="00A921E3"/>
    <w:rsid w:val="00A925BF"/>
    <w:rsid w:val="00A92A25"/>
    <w:rsid w:val="00A92AA5"/>
    <w:rsid w:val="00A92ADA"/>
    <w:rsid w:val="00A92C2F"/>
    <w:rsid w:val="00A9312C"/>
    <w:rsid w:val="00A931C4"/>
    <w:rsid w:val="00A93229"/>
    <w:rsid w:val="00A936D7"/>
    <w:rsid w:val="00A93974"/>
    <w:rsid w:val="00A93D0F"/>
    <w:rsid w:val="00A93F30"/>
    <w:rsid w:val="00A946D1"/>
    <w:rsid w:val="00A94734"/>
    <w:rsid w:val="00A94860"/>
    <w:rsid w:val="00A94C10"/>
    <w:rsid w:val="00A94D20"/>
    <w:rsid w:val="00A94EFF"/>
    <w:rsid w:val="00A94FBE"/>
    <w:rsid w:val="00A9525A"/>
    <w:rsid w:val="00A953FD"/>
    <w:rsid w:val="00A95453"/>
    <w:rsid w:val="00A9568B"/>
    <w:rsid w:val="00A958AA"/>
    <w:rsid w:val="00A96106"/>
    <w:rsid w:val="00A9630C"/>
    <w:rsid w:val="00A96492"/>
    <w:rsid w:val="00A966C6"/>
    <w:rsid w:val="00A9673C"/>
    <w:rsid w:val="00A96795"/>
    <w:rsid w:val="00A967CE"/>
    <w:rsid w:val="00A96E3E"/>
    <w:rsid w:val="00A9752B"/>
    <w:rsid w:val="00A97E1E"/>
    <w:rsid w:val="00A97E26"/>
    <w:rsid w:val="00AA0394"/>
    <w:rsid w:val="00AA057E"/>
    <w:rsid w:val="00AA079C"/>
    <w:rsid w:val="00AA0C95"/>
    <w:rsid w:val="00AA0F69"/>
    <w:rsid w:val="00AA0FBA"/>
    <w:rsid w:val="00AA12E7"/>
    <w:rsid w:val="00AA131E"/>
    <w:rsid w:val="00AA1430"/>
    <w:rsid w:val="00AA14F8"/>
    <w:rsid w:val="00AA1683"/>
    <w:rsid w:val="00AA1FF4"/>
    <w:rsid w:val="00AA2461"/>
    <w:rsid w:val="00AA25E6"/>
    <w:rsid w:val="00AA275E"/>
    <w:rsid w:val="00AA2865"/>
    <w:rsid w:val="00AA291A"/>
    <w:rsid w:val="00AA2E56"/>
    <w:rsid w:val="00AA2EFB"/>
    <w:rsid w:val="00AA30DB"/>
    <w:rsid w:val="00AA331D"/>
    <w:rsid w:val="00AA3438"/>
    <w:rsid w:val="00AA3700"/>
    <w:rsid w:val="00AA37B7"/>
    <w:rsid w:val="00AA3A9B"/>
    <w:rsid w:val="00AA3BF1"/>
    <w:rsid w:val="00AA3C1F"/>
    <w:rsid w:val="00AA3C74"/>
    <w:rsid w:val="00AA3D23"/>
    <w:rsid w:val="00AA4223"/>
    <w:rsid w:val="00AA42C9"/>
    <w:rsid w:val="00AA48D0"/>
    <w:rsid w:val="00AA493A"/>
    <w:rsid w:val="00AA5410"/>
    <w:rsid w:val="00AA5869"/>
    <w:rsid w:val="00AA593C"/>
    <w:rsid w:val="00AA6058"/>
    <w:rsid w:val="00AA62BA"/>
    <w:rsid w:val="00AA6D2B"/>
    <w:rsid w:val="00AA703F"/>
    <w:rsid w:val="00AA7049"/>
    <w:rsid w:val="00AA7098"/>
    <w:rsid w:val="00AA709E"/>
    <w:rsid w:val="00AA73EC"/>
    <w:rsid w:val="00AA7730"/>
    <w:rsid w:val="00AA793B"/>
    <w:rsid w:val="00AA7AF0"/>
    <w:rsid w:val="00AA7DE9"/>
    <w:rsid w:val="00AB034D"/>
    <w:rsid w:val="00AB077F"/>
    <w:rsid w:val="00AB0B6B"/>
    <w:rsid w:val="00AB0D6A"/>
    <w:rsid w:val="00AB0EA0"/>
    <w:rsid w:val="00AB0F99"/>
    <w:rsid w:val="00AB1123"/>
    <w:rsid w:val="00AB140C"/>
    <w:rsid w:val="00AB15DC"/>
    <w:rsid w:val="00AB18D9"/>
    <w:rsid w:val="00AB1C06"/>
    <w:rsid w:val="00AB1E16"/>
    <w:rsid w:val="00AB1F42"/>
    <w:rsid w:val="00AB20A1"/>
    <w:rsid w:val="00AB21C6"/>
    <w:rsid w:val="00AB22DB"/>
    <w:rsid w:val="00AB2357"/>
    <w:rsid w:val="00AB2784"/>
    <w:rsid w:val="00AB27AC"/>
    <w:rsid w:val="00AB2841"/>
    <w:rsid w:val="00AB2871"/>
    <w:rsid w:val="00AB2A87"/>
    <w:rsid w:val="00AB2C1F"/>
    <w:rsid w:val="00AB2C5A"/>
    <w:rsid w:val="00AB2D62"/>
    <w:rsid w:val="00AB314C"/>
    <w:rsid w:val="00AB3637"/>
    <w:rsid w:val="00AB3707"/>
    <w:rsid w:val="00AB387E"/>
    <w:rsid w:val="00AB3A70"/>
    <w:rsid w:val="00AB3B96"/>
    <w:rsid w:val="00AB3EA7"/>
    <w:rsid w:val="00AB4068"/>
    <w:rsid w:val="00AB408A"/>
    <w:rsid w:val="00AB447B"/>
    <w:rsid w:val="00AB4493"/>
    <w:rsid w:val="00AB4537"/>
    <w:rsid w:val="00AB4E1C"/>
    <w:rsid w:val="00AB4F2A"/>
    <w:rsid w:val="00AB5239"/>
    <w:rsid w:val="00AB53FB"/>
    <w:rsid w:val="00AB61B1"/>
    <w:rsid w:val="00AB68DD"/>
    <w:rsid w:val="00AB7362"/>
    <w:rsid w:val="00AB7A46"/>
    <w:rsid w:val="00AC00A3"/>
    <w:rsid w:val="00AC00C1"/>
    <w:rsid w:val="00AC01FC"/>
    <w:rsid w:val="00AC0318"/>
    <w:rsid w:val="00AC0529"/>
    <w:rsid w:val="00AC079F"/>
    <w:rsid w:val="00AC09FA"/>
    <w:rsid w:val="00AC0C7E"/>
    <w:rsid w:val="00AC0ECF"/>
    <w:rsid w:val="00AC0F93"/>
    <w:rsid w:val="00AC1024"/>
    <w:rsid w:val="00AC10AA"/>
    <w:rsid w:val="00AC138F"/>
    <w:rsid w:val="00AC15DB"/>
    <w:rsid w:val="00AC1891"/>
    <w:rsid w:val="00AC199A"/>
    <w:rsid w:val="00AC1A3B"/>
    <w:rsid w:val="00AC1B38"/>
    <w:rsid w:val="00AC1B74"/>
    <w:rsid w:val="00AC1B8D"/>
    <w:rsid w:val="00AC1CD6"/>
    <w:rsid w:val="00AC1F1A"/>
    <w:rsid w:val="00AC25F5"/>
    <w:rsid w:val="00AC2703"/>
    <w:rsid w:val="00AC27ED"/>
    <w:rsid w:val="00AC2836"/>
    <w:rsid w:val="00AC2E7E"/>
    <w:rsid w:val="00AC31E0"/>
    <w:rsid w:val="00AC3345"/>
    <w:rsid w:val="00AC350E"/>
    <w:rsid w:val="00AC3A97"/>
    <w:rsid w:val="00AC3B75"/>
    <w:rsid w:val="00AC3EA6"/>
    <w:rsid w:val="00AC4317"/>
    <w:rsid w:val="00AC434D"/>
    <w:rsid w:val="00AC44BF"/>
    <w:rsid w:val="00AC4561"/>
    <w:rsid w:val="00AC45FC"/>
    <w:rsid w:val="00AC4AA3"/>
    <w:rsid w:val="00AC539F"/>
    <w:rsid w:val="00AC56DA"/>
    <w:rsid w:val="00AC57B8"/>
    <w:rsid w:val="00AC5AE0"/>
    <w:rsid w:val="00AC5C8C"/>
    <w:rsid w:val="00AC5CF6"/>
    <w:rsid w:val="00AC5D47"/>
    <w:rsid w:val="00AC5FC9"/>
    <w:rsid w:val="00AC6002"/>
    <w:rsid w:val="00AC60DD"/>
    <w:rsid w:val="00AC6668"/>
    <w:rsid w:val="00AC6F7D"/>
    <w:rsid w:val="00AC720A"/>
    <w:rsid w:val="00AC76EF"/>
    <w:rsid w:val="00AC7CEF"/>
    <w:rsid w:val="00AD028F"/>
    <w:rsid w:val="00AD0648"/>
    <w:rsid w:val="00AD0687"/>
    <w:rsid w:val="00AD0863"/>
    <w:rsid w:val="00AD0894"/>
    <w:rsid w:val="00AD0EB6"/>
    <w:rsid w:val="00AD0F87"/>
    <w:rsid w:val="00AD108C"/>
    <w:rsid w:val="00AD150C"/>
    <w:rsid w:val="00AD174B"/>
    <w:rsid w:val="00AD17AD"/>
    <w:rsid w:val="00AD1C32"/>
    <w:rsid w:val="00AD1C4A"/>
    <w:rsid w:val="00AD1FDC"/>
    <w:rsid w:val="00AD1FDD"/>
    <w:rsid w:val="00AD2192"/>
    <w:rsid w:val="00AD239C"/>
    <w:rsid w:val="00AD23FD"/>
    <w:rsid w:val="00AD2B7C"/>
    <w:rsid w:val="00AD2B90"/>
    <w:rsid w:val="00AD2D47"/>
    <w:rsid w:val="00AD2E9F"/>
    <w:rsid w:val="00AD2FE3"/>
    <w:rsid w:val="00AD2FEC"/>
    <w:rsid w:val="00AD3270"/>
    <w:rsid w:val="00AD332B"/>
    <w:rsid w:val="00AD347A"/>
    <w:rsid w:val="00AD34DC"/>
    <w:rsid w:val="00AD4126"/>
    <w:rsid w:val="00AD4158"/>
    <w:rsid w:val="00AD42D0"/>
    <w:rsid w:val="00AD4406"/>
    <w:rsid w:val="00AD4848"/>
    <w:rsid w:val="00AD4C88"/>
    <w:rsid w:val="00AD4D10"/>
    <w:rsid w:val="00AD529E"/>
    <w:rsid w:val="00AD566E"/>
    <w:rsid w:val="00AD57C7"/>
    <w:rsid w:val="00AD58DA"/>
    <w:rsid w:val="00AD598F"/>
    <w:rsid w:val="00AD5CEA"/>
    <w:rsid w:val="00AD5E68"/>
    <w:rsid w:val="00AD5E8D"/>
    <w:rsid w:val="00AD60EA"/>
    <w:rsid w:val="00AD60F9"/>
    <w:rsid w:val="00AD64B1"/>
    <w:rsid w:val="00AD67D4"/>
    <w:rsid w:val="00AD6BEA"/>
    <w:rsid w:val="00AD6D73"/>
    <w:rsid w:val="00AD7639"/>
    <w:rsid w:val="00AD772D"/>
    <w:rsid w:val="00AD780A"/>
    <w:rsid w:val="00AD7A9B"/>
    <w:rsid w:val="00AD7E82"/>
    <w:rsid w:val="00AE0011"/>
    <w:rsid w:val="00AE02CF"/>
    <w:rsid w:val="00AE02D0"/>
    <w:rsid w:val="00AE0432"/>
    <w:rsid w:val="00AE0659"/>
    <w:rsid w:val="00AE073E"/>
    <w:rsid w:val="00AE0774"/>
    <w:rsid w:val="00AE07A4"/>
    <w:rsid w:val="00AE08EE"/>
    <w:rsid w:val="00AE09CE"/>
    <w:rsid w:val="00AE0C0F"/>
    <w:rsid w:val="00AE0D11"/>
    <w:rsid w:val="00AE0D35"/>
    <w:rsid w:val="00AE1107"/>
    <w:rsid w:val="00AE11C3"/>
    <w:rsid w:val="00AE155F"/>
    <w:rsid w:val="00AE1A26"/>
    <w:rsid w:val="00AE1A35"/>
    <w:rsid w:val="00AE1B5C"/>
    <w:rsid w:val="00AE1EAB"/>
    <w:rsid w:val="00AE2292"/>
    <w:rsid w:val="00AE2454"/>
    <w:rsid w:val="00AE247C"/>
    <w:rsid w:val="00AE2731"/>
    <w:rsid w:val="00AE28CE"/>
    <w:rsid w:val="00AE29A9"/>
    <w:rsid w:val="00AE2D2D"/>
    <w:rsid w:val="00AE334D"/>
    <w:rsid w:val="00AE3533"/>
    <w:rsid w:val="00AE3649"/>
    <w:rsid w:val="00AE3CA0"/>
    <w:rsid w:val="00AE3F65"/>
    <w:rsid w:val="00AE40D8"/>
    <w:rsid w:val="00AE425A"/>
    <w:rsid w:val="00AE431F"/>
    <w:rsid w:val="00AE4331"/>
    <w:rsid w:val="00AE44B4"/>
    <w:rsid w:val="00AE4A2F"/>
    <w:rsid w:val="00AE4D8E"/>
    <w:rsid w:val="00AE4FA5"/>
    <w:rsid w:val="00AE50CF"/>
    <w:rsid w:val="00AE5194"/>
    <w:rsid w:val="00AE51BC"/>
    <w:rsid w:val="00AE5858"/>
    <w:rsid w:val="00AE597F"/>
    <w:rsid w:val="00AE5AFD"/>
    <w:rsid w:val="00AE5B13"/>
    <w:rsid w:val="00AE5C18"/>
    <w:rsid w:val="00AE5D1D"/>
    <w:rsid w:val="00AE614D"/>
    <w:rsid w:val="00AE62FF"/>
    <w:rsid w:val="00AE69AB"/>
    <w:rsid w:val="00AE69CC"/>
    <w:rsid w:val="00AE69E0"/>
    <w:rsid w:val="00AE7133"/>
    <w:rsid w:val="00AE7391"/>
    <w:rsid w:val="00AE76CB"/>
    <w:rsid w:val="00AE7849"/>
    <w:rsid w:val="00AE7977"/>
    <w:rsid w:val="00AE7C30"/>
    <w:rsid w:val="00AE7DEC"/>
    <w:rsid w:val="00AF0273"/>
    <w:rsid w:val="00AF0294"/>
    <w:rsid w:val="00AF02C8"/>
    <w:rsid w:val="00AF0532"/>
    <w:rsid w:val="00AF0670"/>
    <w:rsid w:val="00AF076A"/>
    <w:rsid w:val="00AF0A26"/>
    <w:rsid w:val="00AF0E82"/>
    <w:rsid w:val="00AF10BE"/>
    <w:rsid w:val="00AF1719"/>
    <w:rsid w:val="00AF198A"/>
    <w:rsid w:val="00AF1AB0"/>
    <w:rsid w:val="00AF1F10"/>
    <w:rsid w:val="00AF2065"/>
    <w:rsid w:val="00AF214B"/>
    <w:rsid w:val="00AF2220"/>
    <w:rsid w:val="00AF23CE"/>
    <w:rsid w:val="00AF2961"/>
    <w:rsid w:val="00AF2B5A"/>
    <w:rsid w:val="00AF2D66"/>
    <w:rsid w:val="00AF2D95"/>
    <w:rsid w:val="00AF2DF2"/>
    <w:rsid w:val="00AF2F4A"/>
    <w:rsid w:val="00AF32D2"/>
    <w:rsid w:val="00AF32F4"/>
    <w:rsid w:val="00AF35C7"/>
    <w:rsid w:val="00AF3755"/>
    <w:rsid w:val="00AF39DE"/>
    <w:rsid w:val="00AF39FA"/>
    <w:rsid w:val="00AF3A1E"/>
    <w:rsid w:val="00AF3D39"/>
    <w:rsid w:val="00AF430D"/>
    <w:rsid w:val="00AF4695"/>
    <w:rsid w:val="00AF472A"/>
    <w:rsid w:val="00AF497B"/>
    <w:rsid w:val="00AF499C"/>
    <w:rsid w:val="00AF4A80"/>
    <w:rsid w:val="00AF4C04"/>
    <w:rsid w:val="00AF4E5B"/>
    <w:rsid w:val="00AF50F1"/>
    <w:rsid w:val="00AF597C"/>
    <w:rsid w:val="00AF5A80"/>
    <w:rsid w:val="00AF5B89"/>
    <w:rsid w:val="00AF5F45"/>
    <w:rsid w:val="00AF6071"/>
    <w:rsid w:val="00AF6587"/>
    <w:rsid w:val="00AF69A5"/>
    <w:rsid w:val="00AF6A4C"/>
    <w:rsid w:val="00AF6D4A"/>
    <w:rsid w:val="00AF6F2C"/>
    <w:rsid w:val="00AF70AC"/>
    <w:rsid w:val="00AF70C2"/>
    <w:rsid w:val="00AF778A"/>
    <w:rsid w:val="00AF7AAE"/>
    <w:rsid w:val="00AF7BB1"/>
    <w:rsid w:val="00AF7BF5"/>
    <w:rsid w:val="00AF7CCE"/>
    <w:rsid w:val="00B0010E"/>
    <w:rsid w:val="00B003C3"/>
    <w:rsid w:val="00B00664"/>
    <w:rsid w:val="00B007D7"/>
    <w:rsid w:val="00B00A14"/>
    <w:rsid w:val="00B00B7C"/>
    <w:rsid w:val="00B00BDD"/>
    <w:rsid w:val="00B0111E"/>
    <w:rsid w:val="00B011ED"/>
    <w:rsid w:val="00B0151D"/>
    <w:rsid w:val="00B018A5"/>
    <w:rsid w:val="00B01D77"/>
    <w:rsid w:val="00B01E2F"/>
    <w:rsid w:val="00B01E4C"/>
    <w:rsid w:val="00B02183"/>
    <w:rsid w:val="00B024D4"/>
    <w:rsid w:val="00B02601"/>
    <w:rsid w:val="00B027E9"/>
    <w:rsid w:val="00B029AB"/>
    <w:rsid w:val="00B02A5F"/>
    <w:rsid w:val="00B02AE9"/>
    <w:rsid w:val="00B02B69"/>
    <w:rsid w:val="00B0312F"/>
    <w:rsid w:val="00B034B1"/>
    <w:rsid w:val="00B034F0"/>
    <w:rsid w:val="00B035CE"/>
    <w:rsid w:val="00B035DE"/>
    <w:rsid w:val="00B03A56"/>
    <w:rsid w:val="00B04208"/>
    <w:rsid w:val="00B04246"/>
    <w:rsid w:val="00B042B6"/>
    <w:rsid w:val="00B04701"/>
    <w:rsid w:val="00B047C2"/>
    <w:rsid w:val="00B04A80"/>
    <w:rsid w:val="00B04CB1"/>
    <w:rsid w:val="00B04DE1"/>
    <w:rsid w:val="00B04EB1"/>
    <w:rsid w:val="00B050BF"/>
    <w:rsid w:val="00B05635"/>
    <w:rsid w:val="00B05BC2"/>
    <w:rsid w:val="00B05E95"/>
    <w:rsid w:val="00B05ECA"/>
    <w:rsid w:val="00B066F8"/>
    <w:rsid w:val="00B06E55"/>
    <w:rsid w:val="00B071A0"/>
    <w:rsid w:val="00B07330"/>
    <w:rsid w:val="00B074EC"/>
    <w:rsid w:val="00B07620"/>
    <w:rsid w:val="00B07822"/>
    <w:rsid w:val="00B079C1"/>
    <w:rsid w:val="00B079DA"/>
    <w:rsid w:val="00B1003C"/>
    <w:rsid w:val="00B101B3"/>
    <w:rsid w:val="00B1071E"/>
    <w:rsid w:val="00B107EE"/>
    <w:rsid w:val="00B1099A"/>
    <w:rsid w:val="00B10A84"/>
    <w:rsid w:val="00B10C84"/>
    <w:rsid w:val="00B10DAB"/>
    <w:rsid w:val="00B10FDE"/>
    <w:rsid w:val="00B11036"/>
    <w:rsid w:val="00B112B4"/>
    <w:rsid w:val="00B11670"/>
    <w:rsid w:val="00B11ACD"/>
    <w:rsid w:val="00B11BCE"/>
    <w:rsid w:val="00B11BE0"/>
    <w:rsid w:val="00B11FC9"/>
    <w:rsid w:val="00B120D6"/>
    <w:rsid w:val="00B12126"/>
    <w:rsid w:val="00B12210"/>
    <w:rsid w:val="00B1223B"/>
    <w:rsid w:val="00B12647"/>
    <w:rsid w:val="00B12C39"/>
    <w:rsid w:val="00B13004"/>
    <w:rsid w:val="00B1308E"/>
    <w:rsid w:val="00B1314F"/>
    <w:rsid w:val="00B13537"/>
    <w:rsid w:val="00B139D9"/>
    <w:rsid w:val="00B13BFB"/>
    <w:rsid w:val="00B140B5"/>
    <w:rsid w:val="00B1436E"/>
    <w:rsid w:val="00B143F1"/>
    <w:rsid w:val="00B14647"/>
    <w:rsid w:val="00B14657"/>
    <w:rsid w:val="00B150BB"/>
    <w:rsid w:val="00B151A7"/>
    <w:rsid w:val="00B151CF"/>
    <w:rsid w:val="00B153D6"/>
    <w:rsid w:val="00B1541E"/>
    <w:rsid w:val="00B15622"/>
    <w:rsid w:val="00B156EB"/>
    <w:rsid w:val="00B1579D"/>
    <w:rsid w:val="00B15E02"/>
    <w:rsid w:val="00B1607E"/>
    <w:rsid w:val="00B16128"/>
    <w:rsid w:val="00B1633E"/>
    <w:rsid w:val="00B16586"/>
    <w:rsid w:val="00B1682D"/>
    <w:rsid w:val="00B16852"/>
    <w:rsid w:val="00B173FB"/>
    <w:rsid w:val="00B17765"/>
    <w:rsid w:val="00B17AB6"/>
    <w:rsid w:val="00B17C84"/>
    <w:rsid w:val="00B17D6C"/>
    <w:rsid w:val="00B17E37"/>
    <w:rsid w:val="00B17E66"/>
    <w:rsid w:val="00B20008"/>
    <w:rsid w:val="00B203E1"/>
    <w:rsid w:val="00B203ED"/>
    <w:rsid w:val="00B204AF"/>
    <w:rsid w:val="00B20503"/>
    <w:rsid w:val="00B20569"/>
    <w:rsid w:val="00B2084E"/>
    <w:rsid w:val="00B20962"/>
    <w:rsid w:val="00B20BFB"/>
    <w:rsid w:val="00B20E17"/>
    <w:rsid w:val="00B2116B"/>
    <w:rsid w:val="00B2131C"/>
    <w:rsid w:val="00B214F7"/>
    <w:rsid w:val="00B2154C"/>
    <w:rsid w:val="00B2188A"/>
    <w:rsid w:val="00B21BD7"/>
    <w:rsid w:val="00B21DEA"/>
    <w:rsid w:val="00B21EF3"/>
    <w:rsid w:val="00B22214"/>
    <w:rsid w:val="00B2249C"/>
    <w:rsid w:val="00B224DD"/>
    <w:rsid w:val="00B2270C"/>
    <w:rsid w:val="00B22728"/>
    <w:rsid w:val="00B22A33"/>
    <w:rsid w:val="00B22EEF"/>
    <w:rsid w:val="00B22F24"/>
    <w:rsid w:val="00B23288"/>
    <w:rsid w:val="00B233D7"/>
    <w:rsid w:val="00B234EF"/>
    <w:rsid w:val="00B2364F"/>
    <w:rsid w:val="00B236F3"/>
    <w:rsid w:val="00B2377B"/>
    <w:rsid w:val="00B23791"/>
    <w:rsid w:val="00B23B71"/>
    <w:rsid w:val="00B23C7A"/>
    <w:rsid w:val="00B2427A"/>
    <w:rsid w:val="00B245FD"/>
    <w:rsid w:val="00B246F9"/>
    <w:rsid w:val="00B247AD"/>
    <w:rsid w:val="00B2480D"/>
    <w:rsid w:val="00B24860"/>
    <w:rsid w:val="00B24D4E"/>
    <w:rsid w:val="00B258D2"/>
    <w:rsid w:val="00B2595E"/>
    <w:rsid w:val="00B259ED"/>
    <w:rsid w:val="00B25A6E"/>
    <w:rsid w:val="00B25D05"/>
    <w:rsid w:val="00B25DB6"/>
    <w:rsid w:val="00B26321"/>
    <w:rsid w:val="00B26394"/>
    <w:rsid w:val="00B26622"/>
    <w:rsid w:val="00B26669"/>
    <w:rsid w:val="00B26A37"/>
    <w:rsid w:val="00B26CEA"/>
    <w:rsid w:val="00B26E09"/>
    <w:rsid w:val="00B26E84"/>
    <w:rsid w:val="00B2724D"/>
    <w:rsid w:val="00B27608"/>
    <w:rsid w:val="00B2762E"/>
    <w:rsid w:val="00B276B4"/>
    <w:rsid w:val="00B27CF5"/>
    <w:rsid w:val="00B3000C"/>
    <w:rsid w:val="00B3012B"/>
    <w:rsid w:val="00B302AD"/>
    <w:rsid w:val="00B303F6"/>
    <w:rsid w:val="00B307B7"/>
    <w:rsid w:val="00B308F3"/>
    <w:rsid w:val="00B30948"/>
    <w:rsid w:val="00B31007"/>
    <w:rsid w:val="00B312E8"/>
    <w:rsid w:val="00B3138C"/>
    <w:rsid w:val="00B31400"/>
    <w:rsid w:val="00B31809"/>
    <w:rsid w:val="00B32255"/>
    <w:rsid w:val="00B32311"/>
    <w:rsid w:val="00B32363"/>
    <w:rsid w:val="00B32DD0"/>
    <w:rsid w:val="00B32E6A"/>
    <w:rsid w:val="00B33623"/>
    <w:rsid w:val="00B336D6"/>
    <w:rsid w:val="00B34946"/>
    <w:rsid w:val="00B34B52"/>
    <w:rsid w:val="00B34D11"/>
    <w:rsid w:val="00B34D74"/>
    <w:rsid w:val="00B34DC6"/>
    <w:rsid w:val="00B3515B"/>
    <w:rsid w:val="00B3540C"/>
    <w:rsid w:val="00B35584"/>
    <w:rsid w:val="00B355A9"/>
    <w:rsid w:val="00B356ED"/>
    <w:rsid w:val="00B35825"/>
    <w:rsid w:val="00B35958"/>
    <w:rsid w:val="00B35D5B"/>
    <w:rsid w:val="00B36028"/>
    <w:rsid w:val="00B361FA"/>
    <w:rsid w:val="00B3620D"/>
    <w:rsid w:val="00B364F9"/>
    <w:rsid w:val="00B36AAA"/>
    <w:rsid w:val="00B36D22"/>
    <w:rsid w:val="00B36F0C"/>
    <w:rsid w:val="00B3736F"/>
    <w:rsid w:val="00B37721"/>
    <w:rsid w:val="00B37726"/>
    <w:rsid w:val="00B37E66"/>
    <w:rsid w:val="00B40064"/>
    <w:rsid w:val="00B4009B"/>
    <w:rsid w:val="00B403BA"/>
    <w:rsid w:val="00B40704"/>
    <w:rsid w:val="00B40964"/>
    <w:rsid w:val="00B40B1A"/>
    <w:rsid w:val="00B40CBC"/>
    <w:rsid w:val="00B41207"/>
    <w:rsid w:val="00B413D5"/>
    <w:rsid w:val="00B413F7"/>
    <w:rsid w:val="00B4186B"/>
    <w:rsid w:val="00B41BC2"/>
    <w:rsid w:val="00B41C32"/>
    <w:rsid w:val="00B421BA"/>
    <w:rsid w:val="00B42B4E"/>
    <w:rsid w:val="00B4327E"/>
    <w:rsid w:val="00B4346B"/>
    <w:rsid w:val="00B43551"/>
    <w:rsid w:val="00B4384E"/>
    <w:rsid w:val="00B438F2"/>
    <w:rsid w:val="00B43E77"/>
    <w:rsid w:val="00B44060"/>
    <w:rsid w:val="00B446B8"/>
    <w:rsid w:val="00B4490D"/>
    <w:rsid w:val="00B44A68"/>
    <w:rsid w:val="00B44B92"/>
    <w:rsid w:val="00B44C8F"/>
    <w:rsid w:val="00B44F52"/>
    <w:rsid w:val="00B45145"/>
    <w:rsid w:val="00B45976"/>
    <w:rsid w:val="00B45A14"/>
    <w:rsid w:val="00B45D5E"/>
    <w:rsid w:val="00B45F1F"/>
    <w:rsid w:val="00B46036"/>
    <w:rsid w:val="00B4628D"/>
    <w:rsid w:val="00B46842"/>
    <w:rsid w:val="00B4694C"/>
    <w:rsid w:val="00B46CBA"/>
    <w:rsid w:val="00B47256"/>
    <w:rsid w:val="00B475FB"/>
    <w:rsid w:val="00B4786F"/>
    <w:rsid w:val="00B479DB"/>
    <w:rsid w:val="00B47A63"/>
    <w:rsid w:val="00B47AAC"/>
    <w:rsid w:val="00B47DAE"/>
    <w:rsid w:val="00B506CD"/>
    <w:rsid w:val="00B507D3"/>
    <w:rsid w:val="00B50A44"/>
    <w:rsid w:val="00B5107A"/>
    <w:rsid w:val="00B5108A"/>
    <w:rsid w:val="00B510AE"/>
    <w:rsid w:val="00B52027"/>
    <w:rsid w:val="00B5235C"/>
    <w:rsid w:val="00B524BE"/>
    <w:rsid w:val="00B5267B"/>
    <w:rsid w:val="00B52721"/>
    <w:rsid w:val="00B53247"/>
    <w:rsid w:val="00B53432"/>
    <w:rsid w:val="00B53923"/>
    <w:rsid w:val="00B53BBC"/>
    <w:rsid w:val="00B53C68"/>
    <w:rsid w:val="00B53E27"/>
    <w:rsid w:val="00B54031"/>
    <w:rsid w:val="00B54379"/>
    <w:rsid w:val="00B545A1"/>
    <w:rsid w:val="00B54684"/>
    <w:rsid w:val="00B54CA9"/>
    <w:rsid w:val="00B54DC0"/>
    <w:rsid w:val="00B54FC4"/>
    <w:rsid w:val="00B55110"/>
    <w:rsid w:val="00B554A0"/>
    <w:rsid w:val="00B55524"/>
    <w:rsid w:val="00B5566E"/>
    <w:rsid w:val="00B558E9"/>
    <w:rsid w:val="00B55CBC"/>
    <w:rsid w:val="00B55DF2"/>
    <w:rsid w:val="00B562C5"/>
    <w:rsid w:val="00B56A2D"/>
    <w:rsid w:val="00B56EBF"/>
    <w:rsid w:val="00B575BF"/>
    <w:rsid w:val="00B5766E"/>
    <w:rsid w:val="00B577C9"/>
    <w:rsid w:val="00B578C3"/>
    <w:rsid w:val="00B57CEF"/>
    <w:rsid w:val="00B60026"/>
    <w:rsid w:val="00B60178"/>
    <w:rsid w:val="00B60225"/>
    <w:rsid w:val="00B60A83"/>
    <w:rsid w:val="00B60E8F"/>
    <w:rsid w:val="00B60EBC"/>
    <w:rsid w:val="00B612A5"/>
    <w:rsid w:val="00B612EA"/>
    <w:rsid w:val="00B61852"/>
    <w:rsid w:val="00B61B4F"/>
    <w:rsid w:val="00B61C66"/>
    <w:rsid w:val="00B61F92"/>
    <w:rsid w:val="00B621D3"/>
    <w:rsid w:val="00B62226"/>
    <w:rsid w:val="00B623D3"/>
    <w:rsid w:val="00B62408"/>
    <w:rsid w:val="00B62554"/>
    <w:rsid w:val="00B62604"/>
    <w:rsid w:val="00B62DF2"/>
    <w:rsid w:val="00B63493"/>
    <w:rsid w:val="00B63977"/>
    <w:rsid w:val="00B6397A"/>
    <w:rsid w:val="00B63C77"/>
    <w:rsid w:val="00B6406B"/>
    <w:rsid w:val="00B641DB"/>
    <w:rsid w:val="00B64282"/>
    <w:rsid w:val="00B64474"/>
    <w:rsid w:val="00B64654"/>
    <w:rsid w:val="00B64A9E"/>
    <w:rsid w:val="00B65493"/>
    <w:rsid w:val="00B65670"/>
    <w:rsid w:val="00B65AC0"/>
    <w:rsid w:val="00B65CB1"/>
    <w:rsid w:val="00B65FFF"/>
    <w:rsid w:val="00B66193"/>
    <w:rsid w:val="00B66243"/>
    <w:rsid w:val="00B662A7"/>
    <w:rsid w:val="00B6632B"/>
    <w:rsid w:val="00B665EF"/>
    <w:rsid w:val="00B66878"/>
    <w:rsid w:val="00B66A87"/>
    <w:rsid w:val="00B66BD1"/>
    <w:rsid w:val="00B66D08"/>
    <w:rsid w:val="00B66E37"/>
    <w:rsid w:val="00B66F8D"/>
    <w:rsid w:val="00B67002"/>
    <w:rsid w:val="00B67398"/>
    <w:rsid w:val="00B675AE"/>
    <w:rsid w:val="00B67767"/>
    <w:rsid w:val="00B67B70"/>
    <w:rsid w:val="00B67B9F"/>
    <w:rsid w:val="00B7012E"/>
    <w:rsid w:val="00B702E5"/>
    <w:rsid w:val="00B707E2"/>
    <w:rsid w:val="00B70899"/>
    <w:rsid w:val="00B709C3"/>
    <w:rsid w:val="00B70CBF"/>
    <w:rsid w:val="00B70E6D"/>
    <w:rsid w:val="00B712D0"/>
    <w:rsid w:val="00B71761"/>
    <w:rsid w:val="00B7197E"/>
    <w:rsid w:val="00B71991"/>
    <w:rsid w:val="00B71D03"/>
    <w:rsid w:val="00B71DD8"/>
    <w:rsid w:val="00B722C8"/>
    <w:rsid w:val="00B7232D"/>
    <w:rsid w:val="00B73055"/>
    <w:rsid w:val="00B7313E"/>
    <w:rsid w:val="00B73426"/>
    <w:rsid w:val="00B735E0"/>
    <w:rsid w:val="00B73950"/>
    <w:rsid w:val="00B743D0"/>
    <w:rsid w:val="00B7454C"/>
    <w:rsid w:val="00B74C2E"/>
    <w:rsid w:val="00B74F09"/>
    <w:rsid w:val="00B754D9"/>
    <w:rsid w:val="00B757E5"/>
    <w:rsid w:val="00B75A17"/>
    <w:rsid w:val="00B75C21"/>
    <w:rsid w:val="00B75FE3"/>
    <w:rsid w:val="00B761D7"/>
    <w:rsid w:val="00B76344"/>
    <w:rsid w:val="00B763A0"/>
    <w:rsid w:val="00B76469"/>
    <w:rsid w:val="00B764A0"/>
    <w:rsid w:val="00B767BF"/>
    <w:rsid w:val="00B76F4A"/>
    <w:rsid w:val="00B7767D"/>
    <w:rsid w:val="00B80135"/>
    <w:rsid w:val="00B80219"/>
    <w:rsid w:val="00B80850"/>
    <w:rsid w:val="00B80997"/>
    <w:rsid w:val="00B80DB4"/>
    <w:rsid w:val="00B81374"/>
    <w:rsid w:val="00B813DD"/>
    <w:rsid w:val="00B8167E"/>
    <w:rsid w:val="00B8182F"/>
    <w:rsid w:val="00B81CEA"/>
    <w:rsid w:val="00B81DCD"/>
    <w:rsid w:val="00B81F38"/>
    <w:rsid w:val="00B824A5"/>
    <w:rsid w:val="00B8259B"/>
    <w:rsid w:val="00B828FE"/>
    <w:rsid w:val="00B82C72"/>
    <w:rsid w:val="00B82D7B"/>
    <w:rsid w:val="00B832D9"/>
    <w:rsid w:val="00B83477"/>
    <w:rsid w:val="00B83710"/>
    <w:rsid w:val="00B83B62"/>
    <w:rsid w:val="00B84256"/>
    <w:rsid w:val="00B845CE"/>
    <w:rsid w:val="00B8461E"/>
    <w:rsid w:val="00B84669"/>
    <w:rsid w:val="00B846A8"/>
    <w:rsid w:val="00B84AE9"/>
    <w:rsid w:val="00B84FE2"/>
    <w:rsid w:val="00B8535F"/>
    <w:rsid w:val="00B853C8"/>
    <w:rsid w:val="00B85CAA"/>
    <w:rsid w:val="00B85D34"/>
    <w:rsid w:val="00B85F5A"/>
    <w:rsid w:val="00B8603A"/>
    <w:rsid w:val="00B86196"/>
    <w:rsid w:val="00B861DF"/>
    <w:rsid w:val="00B8641A"/>
    <w:rsid w:val="00B8644F"/>
    <w:rsid w:val="00B86606"/>
    <w:rsid w:val="00B8691A"/>
    <w:rsid w:val="00B86C4E"/>
    <w:rsid w:val="00B86FBD"/>
    <w:rsid w:val="00B87051"/>
    <w:rsid w:val="00B875B1"/>
    <w:rsid w:val="00B878CD"/>
    <w:rsid w:val="00B87F96"/>
    <w:rsid w:val="00B907FF"/>
    <w:rsid w:val="00B90A14"/>
    <w:rsid w:val="00B90C13"/>
    <w:rsid w:val="00B90E32"/>
    <w:rsid w:val="00B9107F"/>
    <w:rsid w:val="00B913E0"/>
    <w:rsid w:val="00B91745"/>
    <w:rsid w:val="00B91CB1"/>
    <w:rsid w:val="00B91D22"/>
    <w:rsid w:val="00B91FD1"/>
    <w:rsid w:val="00B9249B"/>
    <w:rsid w:val="00B926C1"/>
    <w:rsid w:val="00B926FE"/>
    <w:rsid w:val="00B92780"/>
    <w:rsid w:val="00B92E88"/>
    <w:rsid w:val="00B92EFE"/>
    <w:rsid w:val="00B93595"/>
    <w:rsid w:val="00B93971"/>
    <w:rsid w:val="00B93B82"/>
    <w:rsid w:val="00B93D67"/>
    <w:rsid w:val="00B9421E"/>
    <w:rsid w:val="00B94465"/>
    <w:rsid w:val="00B94878"/>
    <w:rsid w:val="00B94C40"/>
    <w:rsid w:val="00B95107"/>
    <w:rsid w:val="00B95109"/>
    <w:rsid w:val="00B9536C"/>
    <w:rsid w:val="00B954B7"/>
    <w:rsid w:val="00B9563A"/>
    <w:rsid w:val="00B95BE4"/>
    <w:rsid w:val="00B95C92"/>
    <w:rsid w:val="00B95E24"/>
    <w:rsid w:val="00B95F30"/>
    <w:rsid w:val="00B9602F"/>
    <w:rsid w:val="00B9646B"/>
    <w:rsid w:val="00B96B99"/>
    <w:rsid w:val="00B96BC9"/>
    <w:rsid w:val="00B96C3C"/>
    <w:rsid w:val="00B96CA0"/>
    <w:rsid w:val="00B96D57"/>
    <w:rsid w:val="00B96ECC"/>
    <w:rsid w:val="00B9730D"/>
    <w:rsid w:val="00B97399"/>
    <w:rsid w:val="00B97444"/>
    <w:rsid w:val="00B97520"/>
    <w:rsid w:val="00B977AE"/>
    <w:rsid w:val="00B9793C"/>
    <w:rsid w:val="00B97953"/>
    <w:rsid w:val="00B9795A"/>
    <w:rsid w:val="00B97ACF"/>
    <w:rsid w:val="00B97F26"/>
    <w:rsid w:val="00BA0117"/>
    <w:rsid w:val="00BA028B"/>
    <w:rsid w:val="00BA0654"/>
    <w:rsid w:val="00BA0A6C"/>
    <w:rsid w:val="00BA0B78"/>
    <w:rsid w:val="00BA0F64"/>
    <w:rsid w:val="00BA12ED"/>
    <w:rsid w:val="00BA1471"/>
    <w:rsid w:val="00BA17C9"/>
    <w:rsid w:val="00BA189B"/>
    <w:rsid w:val="00BA1A6B"/>
    <w:rsid w:val="00BA1E4C"/>
    <w:rsid w:val="00BA1EC3"/>
    <w:rsid w:val="00BA1FFB"/>
    <w:rsid w:val="00BA20DD"/>
    <w:rsid w:val="00BA25E2"/>
    <w:rsid w:val="00BA2848"/>
    <w:rsid w:val="00BA29B7"/>
    <w:rsid w:val="00BA2A99"/>
    <w:rsid w:val="00BA2B3F"/>
    <w:rsid w:val="00BA2D46"/>
    <w:rsid w:val="00BA2EEB"/>
    <w:rsid w:val="00BA2F66"/>
    <w:rsid w:val="00BA3EEB"/>
    <w:rsid w:val="00BA3F00"/>
    <w:rsid w:val="00BA4080"/>
    <w:rsid w:val="00BA40B8"/>
    <w:rsid w:val="00BA41F6"/>
    <w:rsid w:val="00BA489E"/>
    <w:rsid w:val="00BA4B0F"/>
    <w:rsid w:val="00BA4E45"/>
    <w:rsid w:val="00BA5041"/>
    <w:rsid w:val="00BA59B2"/>
    <w:rsid w:val="00BA59FB"/>
    <w:rsid w:val="00BA608B"/>
    <w:rsid w:val="00BA63FB"/>
    <w:rsid w:val="00BA647D"/>
    <w:rsid w:val="00BA64C5"/>
    <w:rsid w:val="00BA680C"/>
    <w:rsid w:val="00BA6E31"/>
    <w:rsid w:val="00BA6EC4"/>
    <w:rsid w:val="00BA6FFD"/>
    <w:rsid w:val="00BA72F3"/>
    <w:rsid w:val="00BA740F"/>
    <w:rsid w:val="00BA7D6F"/>
    <w:rsid w:val="00BB044D"/>
    <w:rsid w:val="00BB076F"/>
    <w:rsid w:val="00BB080A"/>
    <w:rsid w:val="00BB0D86"/>
    <w:rsid w:val="00BB12AB"/>
    <w:rsid w:val="00BB1372"/>
    <w:rsid w:val="00BB14A3"/>
    <w:rsid w:val="00BB14F8"/>
    <w:rsid w:val="00BB156C"/>
    <w:rsid w:val="00BB21F0"/>
    <w:rsid w:val="00BB2384"/>
    <w:rsid w:val="00BB2711"/>
    <w:rsid w:val="00BB2AA7"/>
    <w:rsid w:val="00BB2B05"/>
    <w:rsid w:val="00BB2EA8"/>
    <w:rsid w:val="00BB2EE1"/>
    <w:rsid w:val="00BB3430"/>
    <w:rsid w:val="00BB36A6"/>
    <w:rsid w:val="00BB377C"/>
    <w:rsid w:val="00BB3A6E"/>
    <w:rsid w:val="00BB3C61"/>
    <w:rsid w:val="00BB4798"/>
    <w:rsid w:val="00BB47DB"/>
    <w:rsid w:val="00BB4A97"/>
    <w:rsid w:val="00BB5074"/>
    <w:rsid w:val="00BB543E"/>
    <w:rsid w:val="00BB545A"/>
    <w:rsid w:val="00BB57AE"/>
    <w:rsid w:val="00BB58BF"/>
    <w:rsid w:val="00BB5CA3"/>
    <w:rsid w:val="00BB5DA8"/>
    <w:rsid w:val="00BB6326"/>
    <w:rsid w:val="00BB6553"/>
    <w:rsid w:val="00BB6BA2"/>
    <w:rsid w:val="00BB6BDD"/>
    <w:rsid w:val="00BB6BE6"/>
    <w:rsid w:val="00BB6EAA"/>
    <w:rsid w:val="00BB6FC7"/>
    <w:rsid w:val="00BB7247"/>
    <w:rsid w:val="00BB73CD"/>
    <w:rsid w:val="00BB7553"/>
    <w:rsid w:val="00BB7874"/>
    <w:rsid w:val="00BB7DEB"/>
    <w:rsid w:val="00BB7F81"/>
    <w:rsid w:val="00BB7F8C"/>
    <w:rsid w:val="00BC05FE"/>
    <w:rsid w:val="00BC09CF"/>
    <w:rsid w:val="00BC0B36"/>
    <w:rsid w:val="00BC15DE"/>
    <w:rsid w:val="00BC17C8"/>
    <w:rsid w:val="00BC1B56"/>
    <w:rsid w:val="00BC1B87"/>
    <w:rsid w:val="00BC1C17"/>
    <w:rsid w:val="00BC2219"/>
    <w:rsid w:val="00BC29AB"/>
    <w:rsid w:val="00BC2AFE"/>
    <w:rsid w:val="00BC2E4D"/>
    <w:rsid w:val="00BC2FB7"/>
    <w:rsid w:val="00BC322A"/>
    <w:rsid w:val="00BC3549"/>
    <w:rsid w:val="00BC369C"/>
    <w:rsid w:val="00BC36F9"/>
    <w:rsid w:val="00BC371C"/>
    <w:rsid w:val="00BC3766"/>
    <w:rsid w:val="00BC3B8A"/>
    <w:rsid w:val="00BC3EB4"/>
    <w:rsid w:val="00BC42CC"/>
    <w:rsid w:val="00BC443B"/>
    <w:rsid w:val="00BC478A"/>
    <w:rsid w:val="00BC47F3"/>
    <w:rsid w:val="00BC4816"/>
    <w:rsid w:val="00BC4972"/>
    <w:rsid w:val="00BC49B1"/>
    <w:rsid w:val="00BC4B61"/>
    <w:rsid w:val="00BC4D7C"/>
    <w:rsid w:val="00BC510D"/>
    <w:rsid w:val="00BC5861"/>
    <w:rsid w:val="00BC58EC"/>
    <w:rsid w:val="00BC59A4"/>
    <w:rsid w:val="00BC5B0F"/>
    <w:rsid w:val="00BC6068"/>
    <w:rsid w:val="00BC61D9"/>
    <w:rsid w:val="00BC6897"/>
    <w:rsid w:val="00BC6E2F"/>
    <w:rsid w:val="00BC7064"/>
    <w:rsid w:val="00BC70AA"/>
    <w:rsid w:val="00BC7305"/>
    <w:rsid w:val="00BC7775"/>
    <w:rsid w:val="00BC79C7"/>
    <w:rsid w:val="00BC7B9B"/>
    <w:rsid w:val="00BC7D44"/>
    <w:rsid w:val="00BD0232"/>
    <w:rsid w:val="00BD0693"/>
    <w:rsid w:val="00BD0808"/>
    <w:rsid w:val="00BD089B"/>
    <w:rsid w:val="00BD0AD3"/>
    <w:rsid w:val="00BD0D1B"/>
    <w:rsid w:val="00BD0DB6"/>
    <w:rsid w:val="00BD0E3E"/>
    <w:rsid w:val="00BD1206"/>
    <w:rsid w:val="00BD18D4"/>
    <w:rsid w:val="00BD18DB"/>
    <w:rsid w:val="00BD1D85"/>
    <w:rsid w:val="00BD1E3D"/>
    <w:rsid w:val="00BD2014"/>
    <w:rsid w:val="00BD24CE"/>
    <w:rsid w:val="00BD261F"/>
    <w:rsid w:val="00BD296C"/>
    <w:rsid w:val="00BD2AE7"/>
    <w:rsid w:val="00BD2B02"/>
    <w:rsid w:val="00BD2B9D"/>
    <w:rsid w:val="00BD2BC4"/>
    <w:rsid w:val="00BD2FE2"/>
    <w:rsid w:val="00BD31C1"/>
    <w:rsid w:val="00BD33D4"/>
    <w:rsid w:val="00BD348B"/>
    <w:rsid w:val="00BD3980"/>
    <w:rsid w:val="00BD3B9E"/>
    <w:rsid w:val="00BD3CF7"/>
    <w:rsid w:val="00BD3D81"/>
    <w:rsid w:val="00BD40B1"/>
    <w:rsid w:val="00BD43C8"/>
    <w:rsid w:val="00BD4997"/>
    <w:rsid w:val="00BD4E5E"/>
    <w:rsid w:val="00BD5084"/>
    <w:rsid w:val="00BD53DE"/>
    <w:rsid w:val="00BD5415"/>
    <w:rsid w:val="00BD5FDD"/>
    <w:rsid w:val="00BD6185"/>
    <w:rsid w:val="00BD650C"/>
    <w:rsid w:val="00BD6590"/>
    <w:rsid w:val="00BD674D"/>
    <w:rsid w:val="00BD6BA6"/>
    <w:rsid w:val="00BD6C5F"/>
    <w:rsid w:val="00BD704E"/>
    <w:rsid w:val="00BD7241"/>
    <w:rsid w:val="00BD726E"/>
    <w:rsid w:val="00BD7319"/>
    <w:rsid w:val="00BD736D"/>
    <w:rsid w:val="00BD788E"/>
    <w:rsid w:val="00BD7A86"/>
    <w:rsid w:val="00BD7C2F"/>
    <w:rsid w:val="00BD7E28"/>
    <w:rsid w:val="00BD7E34"/>
    <w:rsid w:val="00BE018E"/>
    <w:rsid w:val="00BE029E"/>
    <w:rsid w:val="00BE08F0"/>
    <w:rsid w:val="00BE0CEE"/>
    <w:rsid w:val="00BE0DBA"/>
    <w:rsid w:val="00BE0FEC"/>
    <w:rsid w:val="00BE0FFD"/>
    <w:rsid w:val="00BE104B"/>
    <w:rsid w:val="00BE2088"/>
    <w:rsid w:val="00BE21BD"/>
    <w:rsid w:val="00BE26B4"/>
    <w:rsid w:val="00BE2855"/>
    <w:rsid w:val="00BE290B"/>
    <w:rsid w:val="00BE2D19"/>
    <w:rsid w:val="00BE2EB2"/>
    <w:rsid w:val="00BE3016"/>
    <w:rsid w:val="00BE335D"/>
    <w:rsid w:val="00BE361C"/>
    <w:rsid w:val="00BE3712"/>
    <w:rsid w:val="00BE391F"/>
    <w:rsid w:val="00BE3D06"/>
    <w:rsid w:val="00BE3E9B"/>
    <w:rsid w:val="00BE42BA"/>
    <w:rsid w:val="00BE44D0"/>
    <w:rsid w:val="00BE46A9"/>
    <w:rsid w:val="00BE46FD"/>
    <w:rsid w:val="00BE47BF"/>
    <w:rsid w:val="00BE49B1"/>
    <w:rsid w:val="00BE4B8A"/>
    <w:rsid w:val="00BE4E7E"/>
    <w:rsid w:val="00BE4EEE"/>
    <w:rsid w:val="00BE51BC"/>
    <w:rsid w:val="00BE534B"/>
    <w:rsid w:val="00BE5374"/>
    <w:rsid w:val="00BE54CD"/>
    <w:rsid w:val="00BE5568"/>
    <w:rsid w:val="00BE580A"/>
    <w:rsid w:val="00BE5BC5"/>
    <w:rsid w:val="00BE627A"/>
    <w:rsid w:val="00BE6405"/>
    <w:rsid w:val="00BE66DF"/>
    <w:rsid w:val="00BE679E"/>
    <w:rsid w:val="00BE69DF"/>
    <w:rsid w:val="00BE6C31"/>
    <w:rsid w:val="00BE6CE8"/>
    <w:rsid w:val="00BE6F0D"/>
    <w:rsid w:val="00BE70C0"/>
    <w:rsid w:val="00BE70DC"/>
    <w:rsid w:val="00BE7544"/>
    <w:rsid w:val="00BE76F0"/>
    <w:rsid w:val="00BE7AA3"/>
    <w:rsid w:val="00BE7C00"/>
    <w:rsid w:val="00BE7CD4"/>
    <w:rsid w:val="00BE7E60"/>
    <w:rsid w:val="00BE7F44"/>
    <w:rsid w:val="00BF0252"/>
    <w:rsid w:val="00BF0755"/>
    <w:rsid w:val="00BF0C05"/>
    <w:rsid w:val="00BF0D46"/>
    <w:rsid w:val="00BF0FB4"/>
    <w:rsid w:val="00BF115B"/>
    <w:rsid w:val="00BF1779"/>
    <w:rsid w:val="00BF18E6"/>
    <w:rsid w:val="00BF1B61"/>
    <w:rsid w:val="00BF1C85"/>
    <w:rsid w:val="00BF1E39"/>
    <w:rsid w:val="00BF1EA6"/>
    <w:rsid w:val="00BF1FFC"/>
    <w:rsid w:val="00BF24BB"/>
    <w:rsid w:val="00BF2605"/>
    <w:rsid w:val="00BF286A"/>
    <w:rsid w:val="00BF29B0"/>
    <w:rsid w:val="00BF2B2C"/>
    <w:rsid w:val="00BF2B4F"/>
    <w:rsid w:val="00BF2DB9"/>
    <w:rsid w:val="00BF31F6"/>
    <w:rsid w:val="00BF337D"/>
    <w:rsid w:val="00BF3527"/>
    <w:rsid w:val="00BF353B"/>
    <w:rsid w:val="00BF3AE0"/>
    <w:rsid w:val="00BF3F1E"/>
    <w:rsid w:val="00BF3F99"/>
    <w:rsid w:val="00BF41AB"/>
    <w:rsid w:val="00BF42A8"/>
    <w:rsid w:val="00BF4511"/>
    <w:rsid w:val="00BF453B"/>
    <w:rsid w:val="00BF460C"/>
    <w:rsid w:val="00BF488D"/>
    <w:rsid w:val="00BF4CD7"/>
    <w:rsid w:val="00BF56D4"/>
    <w:rsid w:val="00BF5A79"/>
    <w:rsid w:val="00BF5FA4"/>
    <w:rsid w:val="00BF6088"/>
    <w:rsid w:val="00BF6120"/>
    <w:rsid w:val="00BF6305"/>
    <w:rsid w:val="00BF64FD"/>
    <w:rsid w:val="00BF6690"/>
    <w:rsid w:val="00BF6B91"/>
    <w:rsid w:val="00BF6E63"/>
    <w:rsid w:val="00BF6F21"/>
    <w:rsid w:val="00BF76E9"/>
    <w:rsid w:val="00BF77B3"/>
    <w:rsid w:val="00BF78E8"/>
    <w:rsid w:val="00BF7C54"/>
    <w:rsid w:val="00BF7D32"/>
    <w:rsid w:val="00C002B2"/>
    <w:rsid w:val="00C00309"/>
    <w:rsid w:val="00C00698"/>
    <w:rsid w:val="00C00A10"/>
    <w:rsid w:val="00C00C4F"/>
    <w:rsid w:val="00C00CB9"/>
    <w:rsid w:val="00C010B0"/>
    <w:rsid w:val="00C01705"/>
    <w:rsid w:val="00C01958"/>
    <w:rsid w:val="00C01A83"/>
    <w:rsid w:val="00C01C0A"/>
    <w:rsid w:val="00C01CCD"/>
    <w:rsid w:val="00C01D5F"/>
    <w:rsid w:val="00C01F7F"/>
    <w:rsid w:val="00C02205"/>
    <w:rsid w:val="00C02272"/>
    <w:rsid w:val="00C025C2"/>
    <w:rsid w:val="00C025DA"/>
    <w:rsid w:val="00C0294D"/>
    <w:rsid w:val="00C02E8C"/>
    <w:rsid w:val="00C02EAE"/>
    <w:rsid w:val="00C02F67"/>
    <w:rsid w:val="00C02F9F"/>
    <w:rsid w:val="00C03311"/>
    <w:rsid w:val="00C0345A"/>
    <w:rsid w:val="00C03511"/>
    <w:rsid w:val="00C03741"/>
    <w:rsid w:val="00C0374D"/>
    <w:rsid w:val="00C037BB"/>
    <w:rsid w:val="00C03B48"/>
    <w:rsid w:val="00C0439E"/>
    <w:rsid w:val="00C04510"/>
    <w:rsid w:val="00C04548"/>
    <w:rsid w:val="00C049AC"/>
    <w:rsid w:val="00C04AF4"/>
    <w:rsid w:val="00C04C3A"/>
    <w:rsid w:val="00C04E1E"/>
    <w:rsid w:val="00C05110"/>
    <w:rsid w:val="00C05700"/>
    <w:rsid w:val="00C05DB7"/>
    <w:rsid w:val="00C0600D"/>
    <w:rsid w:val="00C06326"/>
    <w:rsid w:val="00C06503"/>
    <w:rsid w:val="00C066D9"/>
    <w:rsid w:val="00C068A9"/>
    <w:rsid w:val="00C06968"/>
    <w:rsid w:val="00C069C0"/>
    <w:rsid w:val="00C069DC"/>
    <w:rsid w:val="00C06A5C"/>
    <w:rsid w:val="00C06B95"/>
    <w:rsid w:val="00C06D29"/>
    <w:rsid w:val="00C07084"/>
    <w:rsid w:val="00C07454"/>
    <w:rsid w:val="00C074CD"/>
    <w:rsid w:val="00C0762C"/>
    <w:rsid w:val="00C07F46"/>
    <w:rsid w:val="00C103C7"/>
    <w:rsid w:val="00C10464"/>
    <w:rsid w:val="00C10500"/>
    <w:rsid w:val="00C1066A"/>
    <w:rsid w:val="00C106C8"/>
    <w:rsid w:val="00C106DC"/>
    <w:rsid w:val="00C107C3"/>
    <w:rsid w:val="00C11170"/>
    <w:rsid w:val="00C113B5"/>
    <w:rsid w:val="00C11505"/>
    <w:rsid w:val="00C119E5"/>
    <w:rsid w:val="00C11BEF"/>
    <w:rsid w:val="00C12805"/>
    <w:rsid w:val="00C133BF"/>
    <w:rsid w:val="00C13520"/>
    <w:rsid w:val="00C13662"/>
    <w:rsid w:val="00C136A1"/>
    <w:rsid w:val="00C13729"/>
    <w:rsid w:val="00C1457B"/>
    <w:rsid w:val="00C14710"/>
    <w:rsid w:val="00C14899"/>
    <w:rsid w:val="00C149E1"/>
    <w:rsid w:val="00C14F9B"/>
    <w:rsid w:val="00C14FAB"/>
    <w:rsid w:val="00C15262"/>
    <w:rsid w:val="00C15687"/>
    <w:rsid w:val="00C15B85"/>
    <w:rsid w:val="00C15B89"/>
    <w:rsid w:val="00C15DDB"/>
    <w:rsid w:val="00C15F42"/>
    <w:rsid w:val="00C15FA2"/>
    <w:rsid w:val="00C15FE6"/>
    <w:rsid w:val="00C1608F"/>
    <w:rsid w:val="00C1610B"/>
    <w:rsid w:val="00C1611D"/>
    <w:rsid w:val="00C16350"/>
    <w:rsid w:val="00C16434"/>
    <w:rsid w:val="00C16530"/>
    <w:rsid w:val="00C167B6"/>
    <w:rsid w:val="00C167D3"/>
    <w:rsid w:val="00C168DA"/>
    <w:rsid w:val="00C16999"/>
    <w:rsid w:val="00C16C9A"/>
    <w:rsid w:val="00C16F73"/>
    <w:rsid w:val="00C1707E"/>
    <w:rsid w:val="00C1727B"/>
    <w:rsid w:val="00C17303"/>
    <w:rsid w:val="00C175E4"/>
    <w:rsid w:val="00C17A8C"/>
    <w:rsid w:val="00C17BF5"/>
    <w:rsid w:val="00C20A95"/>
    <w:rsid w:val="00C20AAF"/>
    <w:rsid w:val="00C20E38"/>
    <w:rsid w:val="00C20F6C"/>
    <w:rsid w:val="00C2119E"/>
    <w:rsid w:val="00C21208"/>
    <w:rsid w:val="00C21402"/>
    <w:rsid w:val="00C2146F"/>
    <w:rsid w:val="00C2194D"/>
    <w:rsid w:val="00C21B17"/>
    <w:rsid w:val="00C21C9E"/>
    <w:rsid w:val="00C21D29"/>
    <w:rsid w:val="00C21F55"/>
    <w:rsid w:val="00C223C7"/>
    <w:rsid w:val="00C22572"/>
    <w:rsid w:val="00C2274E"/>
    <w:rsid w:val="00C2281C"/>
    <w:rsid w:val="00C228CB"/>
    <w:rsid w:val="00C22B7B"/>
    <w:rsid w:val="00C22CC1"/>
    <w:rsid w:val="00C22CEA"/>
    <w:rsid w:val="00C22CFB"/>
    <w:rsid w:val="00C22E22"/>
    <w:rsid w:val="00C22FE3"/>
    <w:rsid w:val="00C232E0"/>
    <w:rsid w:val="00C2346D"/>
    <w:rsid w:val="00C234C9"/>
    <w:rsid w:val="00C235AA"/>
    <w:rsid w:val="00C23890"/>
    <w:rsid w:val="00C239FE"/>
    <w:rsid w:val="00C23BA2"/>
    <w:rsid w:val="00C23BDB"/>
    <w:rsid w:val="00C23C2F"/>
    <w:rsid w:val="00C23E5A"/>
    <w:rsid w:val="00C23FBD"/>
    <w:rsid w:val="00C243BF"/>
    <w:rsid w:val="00C2447B"/>
    <w:rsid w:val="00C2480E"/>
    <w:rsid w:val="00C24B5E"/>
    <w:rsid w:val="00C24B9E"/>
    <w:rsid w:val="00C24E2F"/>
    <w:rsid w:val="00C2515D"/>
    <w:rsid w:val="00C2534F"/>
    <w:rsid w:val="00C254B9"/>
    <w:rsid w:val="00C2558C"/>
    <w:rsid w:val="00C256EE"/>
    <w:rsid w:val="00C25DF9"/>
    <w:rsid w:val="00C2606F"/>
    <w:rsid w:val="00C2675C"/>
    <w:rsid w:val="00C267E4"/>
    <w:rsid w:val="00C26994"/>
    <w:rsid w:val="00C26CCB"/>
    <w:rsid w:val="00C26CCC"/>
    <w:rsid w:val="00C26D48"/>
    <w:rsid w:val="00C272FE"/>
    <w:rsid w:val="00C276CE"/>
    <w:rsid w:val="00C27759"/>
    <w:rsid w:val="00C27FD9"/>
    <w:rsid w:val="00C30058"/>
    <w:rsid w:val="00C301FF"/>
    <w:rsid w:val="00C30237"/>
    <w:rsid w:val="00C307C7"/>
    <w:rsid w:val="00C30A74"/>
    <w:rsid w:val="00C30C79"/>
    <w:rsid w:val="00C31253"/>
    <w:rsid w:val="00C315A8"/>
    <w:rsid w:val="00C3178F"/>
    <w:rsid w:val="00C317A2"/>
    <w:rsid w:val="00C3180C"/>
    <w:rsid w:val="00C31833"/>
    <w:rsid w:val="00C31B12"/>
    <w:rsid w:val="00C325A1"/>
    <w:rsid w:val="00C326BE"/>
    <w:rsid w:val="00C3286A"/>
    <w:rsid w:val="00C331F7"/>
    <w:rsid w:val="00C33784"/>
    <w:rsid w:val="00C33916"/>
    <w:rsid w:val="00C33CCD"/>
    <w:rsid w:val="00C341E4"/>
    <w:rsid w:val="00C34275"/>
    <w:rsid w:val="00C3431F"/>
    <w:rsid w:val="00C343FC"/>
    <w:rsid w:val="00C34B54"/>
    <w:rsid w:val="00C35149"/>
    <w:rsid w:val="00C35411"/>
    <w:rsid w:val="00C3553E"/>
    <w:rsid w:val="00C358F2"/>
    <w:rsid w:val="00C35A1A"/>
    <w:rsid w:val="00C35BBD"/>
    <w:rsid w:val="00C35D01"/>
    <w:rsid w:val="00C36152"/>
    <w:rsid w:val="00C36191"/>
    <w:rsid w:val="00C361DA"/>
    <w:rsid w:val="00C362B4"/>
    <w:rsid w:val="00C3651F"/>
    <w:rsid w:val="00C3655B"/>
    <w:rsid w:val="00C36633"/>
    <w:rsid w:val="00C366F4"/>
    <w:rsid w:val="00C368D7"/>
    <w:rsid w:val="00C36CDD"/>
    <w:rsid w:val="00C36E9D"/>
    <w:rsid w:val="00C37258"/>
    <w:rsid w:val="00C37652"/>
    <w:rsid w:val="00C377AE"/>
    <w:rsid w:val="00C377F8"/>
    <w:rsid w:val="00C37868"/>
    <w:rsid w:val="00C37AFD"/>
    <w:rsid w:val="00C37C86"/>
    <w:rsid w:val="00C37C99"/>
    <w:rsid w:val="00C37E74"/>
    <w:rsid w:val="00C37F3F"/>
    <w:rsid w:val="00C40394"/>
    <w:rsid w:val="00C40D08"/>
    <w:rsid w:val="00C40FFA"/>
    <w:rsid w:val="00C412B1"/>
    <w:rsid w:val="00C41413"/>
    <w:rsid w:val="00C4177E"/>
    <w:rsid w:val="00C41888"/>
    <w:rsid w:val="00C41922"/>
    <w:rsid w:val="00C42448"/>
    <w:rsid w:val="00C42E07"/>
    <w:rsid w:val="00C430DC"/>
    <w:rsid w:val="00C434D7"/>
    <w:rsid w:val="00C4365F"/>
    <w:rsid w:val="00C43B53"/>
    <w:rsid w:val="00C43C72"/>
    <w:rsid w:val="00C44308"/>
    <w:rsid w:val="00C4436C"/>
    <w:rsid w:val="00C4448E"/>
    <w:rsid w:val="00C44609"/>
    <w:rsid w:val="00C44720"/>
    <w:rsid w:val="00C4475F"/>
    <w:rsid w:val="00C44A60"/>
    <w:rsid w:val="00C44AEA"/>
    <w:rsid w:val="00C44AF0"/>
    <w:rsid w:val="00C4570A"/>
    <w:rsid w:val="00C4574F"/>
    <w:rsid w:val="00C4598E"/>
    <w:rsid w:val="00C460A6"/>
    <w:rsid w:val="00C461B2"/>
    <w:rsid w:val="00C46734"/>
    <w:rsid w:val="00C4679B"/>
    <w:rsid w:val="00C46C52"/>
    <w:rsid w:val="00C46FFC"/>
    <w:rsid w:val="00C47438"/>
    <w:rsid w:val="00C475EA"/>
    <w:rsid w:val="00C47602"/>
    <w:rsid w:val="00C4760C"/>
    <w:rsid w:val="00C4790B"/>
    <w:rsid w:val="00C47A8B"/>
    <w:rsid w:val="00C47C70"/>
    <w:rsid w:val="00C47C8E"/>
    <w:rsid w:val="00C47ED1"/>
    <w:rsid w:val="00C47FCA"/>
    <w:rsid w:val="00C50814"/>
    <w:rsid w:val="00C50ACA"/>
    <w:rsid w:val="00C50E8E"/>
    <w:rsid w:val="00C51410"/>
    <w:rsid w:val="00C51463"/>
    <w:rsid w:val="00C514EA"/>
    <w:rsid w:val="00C515BC"/>
    <w:rsid w:val="00C51933"/>
    <w:rsid w:val="00C51A25"/>
    <w:rsid w:val="00C51DEE"/>
    <w:rsid w:val="00C52284"/>
    <w:rsid w:val="00C525BA"/>
    <w:rsid w:val="00C527AE"/>
    <w:rsid w:val="00C52B93"/>
    <w:rsid w:val="00C52FD1"/>
    <w:rsid w:val="00C532F8"/>
    <w:rsid w:val="00C5359B"/>
    <w:rsid w:val="00C5364F"/>
    <w:rsid w:val="00C5384F"/>
    <w:rsid w:val="00C53AF7"/>
    <w:rsid w:val="00C53E9F"/>
    <w:rsid w:val="00C53FF1"/>
    <w:rsid w:val="00C54236"/>
    <w:rsid w:val="00C5462B"/>
    <w:rsid w:val="00C546E8"/>
    <w:rsid w:val="00C546F0"/>
    <w:rsid w:val="00C54749"/>
    <w:rsid w:val="00C54853"/>
    <w:rsid w:val="00C54A4E"/>
    <w:rsid w:val="00C55363"/>
    <w:rsid w:val="00C554B5"/>
    <w:rsid w:val="00C55581"/>
    <w:rsid w:val="00C558E6"/>
    <w:rsid w:val="00C55946"/>
    <w:rsid w:val="00C55A9C"/>
    <w:rsid w:val="00C5609A"/>
    <w:rsid w:val="00C56157"/>
    <w:rsid w:val="00C5668F"/>
    <w:rsid w:val="00C56C57"/>
    <w:rsid w:val="00C56EF2"/>
    <w:rsid w:val="00C56F49"/>
    <w:rsid w:val="00C570A6"/>
    <w:rsid w:val="00C5794D"/>
    <w:rsid w:val="00C579F3"/>
    <w:rsid w:val="00C600B3"/>
    <w:rsid w:val="00C6052A"/>
    <w:rsid w:val="00C60870"/>
    <w:rsid w:val="00C60C7D"/>
    <w:rsid w:val="00C60CC9"/>
    <w:rsid w:val="00C6139F"/>
    <w:rsid w:val="00C61464"/>
    <w:rsid w:val="00C614FC"/>
    <w:rsid w:val="00C61524"/>
    <w:rsid w:val="00C6160B"/>
    <w:rsid w:val="00C616CC"/>
    <w:rsid w:val="00C616D0"/>
    <w:rsid w:val="00C616F3"/>
    <w:rsid w:val="00C6183B"/>
    <w:rsid w:val="00C61BBC"/>
    <w:rsid w:val="00C61F5B"/>
    <w:rsid w:val="00C62549"/>
    <w:rsid w:val="00C6324B"/>
    <w:rsid w:val="00C635D4"/>
    <w:rsid w:val="00C63640"/>
    <w:rsid w:val="00C6366A"/>
    <w:rsid w:val="00C63D38"/>
    <w:rsid w:val="00C63FCB"/>
    <w:rsid w:val="00C64008"/>
    <w:rsid w:val="00C6436B"/>
    <w:rsid w:val="00C643FB"/>
    <w:rsid w:val="00C645C9"/>
    <w:rsid w:val="00C64964"/>
    <w:rsid w:val="00C649AB"/>
    <w:rsid w:val="00C64AA9"/>
    <w:rsid w:val="00C64F90"/>
    <w:rsid w:val="00C65B67"/>
    <w:rsid w:val="00C6609C"/>
    <w:rsid w:val="00C66B06"/>
    <w:rsid w:val="00C66FFA"/>
    <w:rsid w:val="00C6703C"/>
    <w:rsid w:val="00C67395"/>
    <w:rsid w:val="00C67C7B"/>
    <w:rsid w:val="00C67E8E"/>
    <w:rsid w:val="00C67EF0"/>
    <w:rsid w:val="00C7032B"/>
    <w:rsid w:val="00C703EB"/>
    <w:rsid w:val="00C70505"/>
    <w:rsid w:val="00C7069A"/>
    <w:rsid w:val="00C70D8D"/>
    <w:rsid w:val="00C70DC8"/>
    <w:rsid w:val="00C71065"/>
    <w:rsid w:val="00C7111F"/>
    <w:rsid w:val="00C713D5"/>
    <w:rsid w:val="00C71559"/>
    <w:rsid w:val="00C71AD6"/>
    <w:rsid w:val="00C71AE5"/>
    <w:rsid w:val="00C71C77"/>
    <w:rsid w:val="00C72177"/>
    <w:rsid w:val="00C72216"/>
    <w:rsid w:val="00C72224"/>
    <w:rsid w:val="00C7263F"/>
    <w:rsid w:val="00C72931"/>
    <w:rsid w:val="00C7314D"/>
    <w:rsid w:val="00C73153"/>
    <w:rsid w:val="00C7369E"/>
    <w:rsid w:val="00C736CF"/>
    <w:rsid w:val="00C7391B"/>
    <w:rsid w:val="00C7392C"/>
    <w:rsid w:val="00C73E34"/>
    <w:rsid w:val="00C73EF1"/>
    <w:rsid w:val="00C7425F"/>
    <w:rsid w:val="00C742ED"/>
    <w:rsid w:val="00C74B8C"/>
    <w:rsid w:val="00C74E47"/>
    <w:rsid w:val="00C74F1B"/>
    <w:rsid w:val="00C74F88"/>
    <w:rsid w:val="00C752F6"/>
    <w:rsid w:val="00C75363"/>
    <w:rsid w:val="00C75542"/>
    <w:rsid w:val="00C75842"/>
    <w:rsid w:val="00C760F7"/>
    <w:rsid w:val="00C761E7"/>
    <w:rsid w:val="00C76266"/>
    <w:rsid w:val="00C7644B"/>
    <w:rsid w:val="00C7669E"/>
    <w:rsid w:val="00C76725"/>
    <w:rsid w:val="00C77000"/>
    <w:rsid w:val="00C77006"/>
    <w:rsid w:val="00C771F8"/>
    <w:rsid w:val="00C77284"/>
    <w:rsid w:val="00C774A2"/>
    <w:rsid w:val="00C775E1"/>
    <w:rsid w:val="00C77A91"/>
    <w:rsid w:val="00C77FDF"/>
    <w:rsid w:val="00C804A1"/>
    <w:rsid w:val="00C80637"/>
    <w:rsid w:val="00C807DE"/>
    <w:rsid w:val="00C80971"/>
    <w:rsid w:val="00C80B31"/>
    <w:rsid w:val="00C80D55"/>
    <w:rsid w:val="00C80D88"/>
    <w:rsid w:val="00C80F32"/>
    <w:rsid w:val="00C80F3D"/>
    <w:rsid w:val="00C81048"/>
    <w:rsid w:val="00C81130"/>
    <w:rsid w:val="00C81137"/>
    <w:rsid w:val="00C814A1"/>
    <w:rsid w:val="00C817BE"/>
    <w:rsid w:val="00C818B5"/>
    <w:rsid w:val="00C81C96"/>
    <w:rsid w:val="00C821EA"/>
    <w:rsid w:val="00C82376"/>
    <w:rsid w:val="00C823CA"/>
    <w:rsid w:val="00C8268F"/>
    <w:rsid w:val="00C826CD"/>
    <w:rsid w:val="00C8270B"/>
    <w:rsid w:val="00C82A61"/>
    <w:rsid w:val="00C83068"/>
    <w:rsid w:val="00C830F6"/>
    <w:rsid w:val="00C83342"/>
    <w:rsid w:val="00C83535"/>
    <w:rsid w:val="00C83CBA"/>
    <w:rsid w:val="00C83D84"/>
    <w:rsid w:val="00C83E29"/>
    <w:rsid w:val="00C8439E"/>
    <w:rsid w:val="00C84460"/>
    <w:rsid w:val="00C844DE"/>
    <w:rsid w:val="00C8451C"/>
    <w:rsid w:val="00C84728"/>
    <w:rsid w:val="00C847EE"/>
    <w:rsid w:val="00C84E09"/>
    <w:rsid w:val="00C84E60"/>
    <w:rsid w:val="00C85045"/>
    <w:rsid w:val="00C854A0"/>
    <w:rsid w:val="00C85744"/>
    <w:rsid w:val="00C858FA"/>
    <w:rsid w:val="00C85AE0"/>
    <w:rsid w:val="00C85E15"/>
    <w:rsid w:val="00C85EE5"/>
    <w:rsid w:val="00C864C5"/>
    <w:rsid w:val="00C86663"/>
    <w:rsid w:val="00C86A42"/>
    <w:rsid w:val="00C86B30"/>
    <w:rsid w:val="00C86BDF"/>
    <w:rsid w:val="00C86D2F"/>
    <w:rsid w:val="00C86FDA"/>
    <w:rsid w:val="00C8714F"/>
    <w:rsid w:val="00C871EA"/>
    <w:rsid w:val="00C87436"/>
    <w:rsid w:val="00C87552"/>
    <w:rsid w:val="00C87A01"/>
    <w:rsid w:val="00C87B84"/>
    <w:rsid w:val="00C902CA"/>
    <w:rsid w:val="00C907D4"/>
    <w:rsid w:val="00C907DE"/>
    <w:rsid w:val="00C909BD"/>
    <w:rsid w:val="00C90BC3"/>
    <w:rsid w:val="00C90D0A"/>
    <w:rsid w:val="00C90F9B"/>
    <w:rsid w:val="00C91143"/>
    <w:rsid w:val="00C9136F"/>
    <w:rsid w:val="00C915F0"/>
    <w:rsid w:val="00C91651"/>
    <w:rsid w:val="00C91705"/>
    <w:rsid w:val="00C91720"/>
    <w:rsid w:val="00C917A4"/>
    <w:rsid w:val="00C9195B"/>
    <w:rsid w:val="00C91F35"/>
    <w:rsid w:val="00C91FB3"/>
    <w:rsid w:val="00C922A2"/>
    <w:rsid w:val="00C9233F"/>
    <w:rsid w:val="00C92476"/>
    <w:rsid w:val="00C929B8"/>
    <w:rsid w:val="00C931EF"/>
    <w:rsid w:val="00C9351C"/>
    <w:rsid w:val="00C935D5"/>
    <w:rsid w:val="00C93797"/>
    <w:rsid w:val="00C93F1E"/>
    <w:rsid w:val="00C9428C"/>
    <w:rsid w:val="00C94353"/>
    <w:rsid w:val="00C94B85"/>
    <w:rsid w:val="00C94E03"/>
    <w:rsid w:val="00C94F23"/>
    <w:rsid w:val="00C9503E"/>
    <w:rsid w:val="00C951FB"/>
    <w:rsid w:val="00C9555B"/>
    <w:rsid w:val="00C9563E"/>
    <w:rsid w:val="00C95729"/>
    <w:rsid w:val="00C958BE"/>
    <w:rsid w:val="00C958CF"/>
    <w:rsid w:val="00C95BEE"/>
    <w:rsid w:val="00C95BF2"/>
    <w:rsid w:val="00C95D4C"/>
    <w:rsid w:val="00C9613B"/>
    <w:rsid w:val="00C9616E"/>
    <w:rsid w:val="00C962E5"/>
    <w:rsid w:val="00C964A4"/>
    <w:rsid w:val="00C964DC"/>
    <w:rsid w:val="00C965EF"/>
    <w:rsid w:val="00C9664B"/>
    <w:rsid w:val="00C96816"/>
    <w:rsid w:val="00C96B27"/>
    <w:rsid w:val="00C96B7B"/>
    <w:rsid w:val="00C96D5A"/>
    <w:rsid w:val="00C96DC4"/>
    <w:rsid w:val="00C970B7"/>
    <w:rsid w:val="00C97268"/>
    <w:rsid w:val="00C97CEE"/>
    <w:rsid w:val="00C97D9C"/>
    <w:rsid w:val="00CA0373"/>
    <w:rsid w:val="00CA039C"/>
    <w:rsid w:val="00CA0442"/>
    <w:rsid w:val="00CA045F"/>
    <w:rsid w:val="00CA05AD"/>
    <w:rsid w:val="00CA0619"/>
    <w:rsid w:val="00CA0A6F"/>
    <w:rsid w:val="00CA0BD6"/>
    <w:rsid w:val="00CA0BEC"/>
    <w:rsid w:val="00CA122D"/>
    <w:rsid w:val="00CA130E"/>
    <w:rsid w:val="00CA1382"/>
    <w:rsid w:val="00CA14BB"/>
    <w:rsid w:val="00CA1737"/>
    <w:rsid w:val="00CA1E5B"/>
    <w:rsid w:val="00CA21E4"/>
    <w:rsid w:val="00CA2691"/>
    <w:rsid w:val="00CA26EA"/>
    <w:rsid w:val="00CA26F9"/>
    <w:rsid w:val="00CA2813"/>
    <w:rsid w:val="00CA285B"/>
    <w:rsid w:val="00CA28A6"/>
    <w:rsid w:val="00CA2941"/>
    <w:rsid w:val="00CA2957"/>
    <w:rsid w:val="00CA2D01"/>
    <w:rsid w:val="00CA2D83"/>
    <w:rsid w:val="00CA2F19"/>
    <w:rsid w:val="00CA2F88"/>
    <w:rsid w:val="00CA2FB2"/>
    <w:rsid w:val="00CA2FBD"/>
    <w:rsid w:val="00CA31AE"/>
    <w:rsid w:val="00CA37CC"/>
    <w:rsid w:val="00CA383C"/>
    <w:rsid w:val="00CA3D3A"/>
    <w:rsid w:val="00CA3EB4"/>
    <w:rsid w:val="00CA42D6"/>
    <w:rsid w:val="00CA47EA"/>
    <w:rsid w:val="00CA4C93"/>
    <w:rsid w:val="00CA4DD9"/>
    <w:rsid w:val="00CA4DFB"/>
    <w:rsid w:val="00CA5124"/>
    <w:rsid w:val="00CA526C"/>
    <w:rsid w:val="00CA528A"/>
    <w:rsid w:val="00CA5659"/>
    <w:rsid w:val="00CA56D9"/>
    <w:rsid w:val="00CA587B"/>
    <w:rsid w:val="00CA5A37"/>
    <w:rsid w:val="00CA5B57"/>
    <w:rsid w:val="00CA5B65"/>
    <w:rsid w:val="00CA5BC1"/>
    <w:rsid w:val="00CA5D70"/>
    <w:rsid w:val="00CA6053"/>
    <w:rsid w:val="00CA60FF"/>
    <w:rsid w:val="00CA63B1"/>
    <w:rsid w:val="00CA63D7"/>
    <w:rsid w:val="00CA653D"/>
    <w:rsid w:val="00CA669E"/>
    <w:rsid w:val="00CA66BD"/>
    <w:rsid w:val="00CA67C3"/>
    <w:rsid w:val="00CA67F8"/>
    <w:rsid w:val="00CA6AC3"/>
    <w:rsid w:val="00CA6EC2"/>
    <w:rsid w:val="00CA6F2F"/>
    <w:rsid w:val="00CA6FE0"/>
    <w:rsid w:val="00CA71F2"/>
    <w:rsid w:val="00CA7229"/>
    <w:rsid w:val="00CA7363"/>
    <w:rsid w:val="00CA7C31"/>
    <w:rsid w:val="00CA7E5A"/>
    <w:rsid w:val="00CA7EF0"/>
    <w:rsid w:val="00CB0180"/>
    <w:rsid w:val="00CB068B"/>
    <w:rsid w:val="00CB06A1"/>
    <w:rsid w:val="00CB06C8"/>
    <w:rsid w:val="00CB0DEF"/>
    <w:rsid w:val="00CB128D"/>
    <w:rsid w:val="00CB13FF"/>
    <w:rsid w:val="00CB15E9"/>
    <w:rsid w:val="00CB1ABC"/>
    <w:rsid w:val="00CB1CD4"/>
    <w:rsid w:val="00CB1D9B"/>
    <w:rsid w:val="00CB231F"/>
    <w:rsid w:val="00CB2618"/>
    <w:rsid w:val="00CB2659"/>
    <w:rsid w:val="00CB27F3"/>
    <w:rsid w:val="00CB284A"/>
    <w:rsid w:val="00CB28C7"/>
    <w:rsid w:val="00CB28E3"/>
    <w:rsid w:val="00CB2BD5"/>
    <w:rsid w:val="00CB2F3D"/>
    <w:rsid w:val="00CB34E0"/>
    <w:rsid w:val="00CB375E"/>
    <w:rsid w:val="00CB3C86"/>
    <w:rsid w:val="00CB3E11"/>
    <w:rsid w:val="00CB4048"/>
    <w:rsid w:val="00CB4182"/>
    <w:rsid w:val="00CB4387"/>
    <w:rsid w:val="00CB453B"/>
    <w:rsid w:val="00CB464D"/>
    <w:rsid w:val="00CB479E"/>
    <w:rsid w:val="00CB4C1A"/>
    <w:rsid w:val="00CB5032"/>
    <w:rsid w:val="00CB50D2"/>
    <w:rsid w:val="00CB50F3"/>
    <w:rsid w:val="00CB5149"/>
    <w:rsid w:val="00CB588D"/>
    <w:rsid w:val="00CB589C"/>
    <w:rsid w:val="00CB5C55"/>
    <w:rsid w:val="00CB6068"/>
    <w:rsid w:val="00CB63BA"/>
    <w:rsid w:val="00CB6414"/>
    <w:rsid w:val="00CB6621"/>
    <w:rsid w:val="00CB68C6"/>
    <w:rsid w:val="00CB69DA"/>
    <w:rsid w:val="00CB6BA1"/>
    <w:rsid w:val="00CB7372"/>
    <w:rsid w:val="00CB7535"/>
    <w:rsid w:val="00CB7724"/>
    <w:rsid w:val="00CB7C95"/>
    <w:rsid w:val="00CB7E6D"/>
    <w:rsid w:val="00CC003F"/>
    <w:rsid w:val="00CC03A9"/>
    <w:rsid w:val="00CC0DA4"/>
    <w:rsid w:val="00CC1568"/>
    <w:rsid w:val="00CC1C08"/>
    <w:rsid w:val="00CC1D1A"/>
    <w:rsid w:val="00CC1DEC"/>
    <w:rsid w:val="00CC1E19"/>
    <w:rsid w:val="00CC1EFE"/>
    <w:rsid w:val="00CC2499"/>
    <w:rsid w:val="00CC2526"/>
    <w:rsid w:val="00CC2855"/>
    <w:rsid w:val="00CC29FA"/>
    <w:rsid w:val="00CC2B47"/>
    <w:rsid w:val="00CC2E6B"/>
    <w:rsid w:val="00CC2F74"/>
    <w:rsid w:val="00CC3187"/>
    <w:rsid w:val="00CC368F"/>
    <w:rsid w:val="00CC3B72"/>
    <w:rsid w:val="00CC3B73"/>
    <w:rsid w:val="00CC3BF8"/>
    <w:rsid w:val="00CC3C66"/>
    <w:rsid w:val="00CC3ECD"/>
    <w:rsid w:val="00CC40C9"/>
    <w:rsid w:val="00CC4407"/>
    <w:rsid w:val="00CC4409"/>
    <w:rsid w:val="00CC4456"/>
    <w:rsid w:val="00CC46E2"/>
    <w:rsid w:val="00CC4B25"/>
    <w:rsid w:val="00CC4CB3"/>
    <w:rsid w:val="00CC517F"/>
    <w:rsid w:val="00CC52C3"/>
    <w:rsid w:val="00CC5637"/>
    <w:rsid w:val="00CC5D46"/>
    <w:rsid w:val="00CC6221"/>
    <w:rsid w:val="00CC6234"/>
    <w:rsid w:val="00CC6260"/>
    <w:rsid w:val="00CC6474"/>
    <w:rsid w:val="00CC6528"/>
    <w:rsid w:val="00CC6EE4"/>
    <w:rsid w:val="00CC7A58"/>
    <w:rsid w:val="00CC7A8E"/>
    <w:rsid w:val="00CC7A93"/>
    <w:rsid w:val="00CD009A"/>
    <w:rsid w:val="00CD00B4"/>
    <w:rsid w:val="00CD04D1"/>
    <w:rsid w:val="00CD06DD"/>
    <w:rsid w:val="00CD08C8"/>
    <w:rsid w:val="00CD0989"/>
    <w:rsid w:val="00CD0FE9"/>
    <w:rsid w:val="00CD130A"/>
    <w:rsid w:val="00CD1404"/>
    <w:rsid w:val="00CD157B"/>
    <w:rsid w:val="00CD162A"/>
    <w:rsid w:val="00CD1A07"/>
    <w:rsid w:val="00CD1C7C"/>
    <w:rsid w:val="00CD1D32"/>
    <w:rsid w:val="00CD1F11"/>
    <w:rsid w:val="00CD20C5"/>
    <w:rsid w:val="00CD22E8"/>
    <w:rsid w:val="00CD233E"/>
    <w:rsid w:val="00CD25DF"/>
    <w:rsid w:val="00CD2A57"/>
    <w:rsid w:val="00CD2B73"/>
    <w:rsid w:val="00CD2C04"/>
    <w:rsid w:val="00CD2F66"/>
    <w:rsid w:val="00CD330A"/>
    <w:rsid w:val="00CD3A46"/>
    <w:rsid w:val="00CD42F3"/>
    <w:rsid w:val="00CD4786"/>
    <w:rsid w:val="00CD4928"/>
    <w:rsid w:val="00CD4BB7"/>
    <w:rsid w:val="00CD4BFF"/>
    <w:rsid w:val="00CD4C17"/>
    <w:rsid w:val="00CD4C93"/>
    <w:rsid w:val="00CD4D2A"/>
    <w:rsid w:val="00CD4D75"/>
    <w:rsid w:val="00CD4E87"/>
    <w:rsid w:val="00CD5549"/>
    <w:rsid w:val="00CD5672"/>
    <w:rsid w:val="00CD5E2A"/>
    <w:rsid w:val="00CD603C"/>
    <w:rsid w:val="00CD681A"/>
    <w:rsid w:val="00CD69E2"/>
    <w:rsid w:val="00CD6A45"/>
    <w:rsid w:val="00CD6F55"/>
    <w:rsid w:val="00CD72DA"/>
    <w:rsid w:val="00CD792C"/>
    <w:rsid w:val="00CD7D37"/>
    <w:rsid w:val="00CE00DA"/>
    <w:rsid w:val="00CE067E"/>
    <w:rsid w:val="00CE0854"/>
    <w:rsid w:val="00CE0EDF"/>
    <w:rsid w:val="00CE11AB"/>
    <w:rsid w:val="00CE1218"/>
    <w:rsid w:val="00CE192B"/>
    <w:rsid w:val="00CE1F32"/>
    <w:rsid w:val="00CE28E3"/>
    <w:rsid w:val="00CE2957"/>
    <w:rsid w:val="00CE2D5C"/>
    <w:rsid w:val="00CE2DBB"/>
    <w:rsid w:val="00CE37F3"/>
    <w:rsid w:val="00CE3898"/>
    <w:rsid w:val="00CE3B31"/>
    <w:rsid w:val="00CE3C36"/>
    <w:rsid w:val="00CE3D4F"/>
    <w:rsid w:val="00CE45D6"/>
    <w:rsid w:val="00CE493C"/>
    <w:rsid w:val="00CE495E"/>
    <w:rsid w:val="00CE4BAE"/>
    <w:rsid w:val="00CE4E74"/>
    <w:rsid w:val="00CE500A"/>
    <w:rsid w:val="00CE53A0"/>
    <w:rsid w:val="00CE58DE"/>
    <w:rsid w:val="00CE5C8C"/>
    <w:rsid w:val="00CE6025"/>
    <w:rsid w:val="00CE61E4"/>
    <w:rsid w:val="00CE62C3"/>
    <w:rsid w:val="00CE638A"/>
    <w:rsid w:val="00CE6625"/>
    <w:rsid w:val="00CE672F"/>
    <w:rsid w:val="00CE6A56"/>
    <w:rsid w:val="00CE6B8E"/>
    <w:rsid w:val="00CE6FF5"/>
    <w:rsid w:val="00CE7403"/>
    <w:rsid w:val="00CE7885"/>
    <w:rsid w:val="00CE7C99"/>
    <w:rsid w:val="00CE7D4C"/>
    <w:rsid w:val="00CE7D8A"/>
    <w:rsid w:val="00CF008A"/>
    <w:rsid w:val="00CF01C5"/>
    <w:rsid w:val="00CF03E4"/>
    <w:rsid w:val="00CF0899"/>
    <w:rsid w:val="00CF0A8E"/>
    <w:rsid w:val="00CF0AB7"/>
    <w:rsid w:val="00CF0CBE"/>
    <w:rsid w:val="00CF0DB3"/>
    <w:rsid w:val="00CF0EA0"/>
    <w:rsid w:val="00CF1128"/>
    <w:rsid w:val="00CF1150"/>
    <w:rsid w:val="00CF15A5"/>
    <w:rsid w:val="00CF1756"/>
    <w:rsid w:val="00CF1775"/>
    <w:rsid w:val="00CF1A2D"/>
    <w:rsid w:val="00CF1F07"/>
    <w:rsid w:val="00CF20D1"/>
    <w:rsid w:val="00CF2100"/>
    <w:rsid w:val="00CF2336"/>
    <w:rsid w:val="00CF2347"/>
    <w:rsid w:val="00CF235F"/>
    <w:rsid w:val="00CF252D"/>
    <w:rsid w:val="00CF2819"/>
    <w:rsid w:val="00CF2913"/>
    <w:rsid w:val="00CF2B68"/>
    <w:rsid w:val="00CF2C13"/>
    <w:rsid w:val="00CF2DD2"/>
    <w:rsid w:val="00CF2E95"/>
    <w:rsid w:val="00CF2EE1"/>
    <w:rsid w:val="00CF3212"/>
    <w:rsid w:val="00CF321D"/>
    <w:rsid w:val="00CF3242"/>
    <w:rsid w:val="00CF3315"/>
    <w:rsid w:val="00CF3319"/>
    <w:rsid w:val="00CF3F7A"/>
    <w:rsid w:val="00CF407F"/>
    <w:rsid w:val="00CF4196"/>
    <w:rsid w:val="00CF439F"/>
    <w:rsid w:val="00CF4629"/>
    <w:rsid w:val="00CF4910"/>
    <w:rsid w:val="00CF4B3D"/>
    <w:rsid w:val="00CF4BCA"/>
    <w:rsid w:val="00CF51A3"/>
    <w:rsid w:val="00CF5341"/>
    <w:rsid w:val="00CF56BC"/>
    <w:rsid w:val="00CF57B0"/>
    <w:rsid w:val="00CF58BF"/>
    <w:rsid w:val="00CF59C1"/>
    <w:rsid w:val="00CF5A43"/>
    <w:rsid w:val="00CF62B4"/>
    <w:rsid w:val="00CF62FE"/>
    <w:rsid w:val="00CF6362"/>
    <w:rsid w:val="00CF680A"/>
    <w:rsid w:val="00CF695F"/>
    <w:rsid w:val="00CF6AD7"/>
    <w:rsid w:val="00CF6D3C"/>
    <w:rsid w:val="00CF6DFC"/>
    <w:rsid w:val="00CF7110"/>
    <w:rsid w:val="00CF7120"/>
    <w:rsid w:val="00CF724C"/>
    <w:rsid w:val="00CF7569"/>
    <w:rsid w:val="00CF77C9"/>
    <w:rsid w:val="00CF787B"/>
    <w:rsid w:val="00CF79B0"/>
    <w:rsid w:val="00CF79EC"/>
    <w:rsid w:val="00CF7D9F"/>
    <w:rsid w:val="00D00136"/>
    <w:rsid w:val="00D001B4"/>
    <w:rsid w:val="00D002B2"/>
    <w:rsid w:val="00D0037E"/>
    <w:rsid w:val="00D003B7"/>
    <w:rsid w:val="00D003C4"/>
    <w:rsid w:val="00D006B1"/>
    <w:rsid w:val="00D006E2"/>
    <w:rsid w:val="00D009CB"/>
    <w:rsid w:val="00D00BB5"/>
    <w:rsid w:val="00D00C7A"/>
    <w:rsid w:val="00D00CA3"/>
    <w:rsid w:val="00D00D1A"/>
    <w:rsid w:val="00D00E19"/>
    <w:rsid w:val="00D00E36"/>
    <w:rsid w:val="00D0125C"/>
    <w:rsid w:val="00D0146A"/>
    <w:rsid w:val="00D014CF"/>
    <w:rsid w:val="00D01566"/>
    <w:rsid w:val="00D01796"/>
    <w:rsid w:val="00D017E7"/>
    <w:rsid w:val="00D019C0"/>
    <w:rsid w:val="00D02B2C"/>
    <w:rsid w:val="00D02B71"/>
    <w:rsid w:val="00D02E96"/>
    <w:rsid w:val="00D02F4F"/>
    <w:rsid w:val="00D02F9B"/>
    <w:rsid w:val="00D03209"/>
    <w:rsid w:val="00D0352D"/>
    <w:rsid w:val="00D03F15"/>
    <w:rsid w:val="00D042EA"/>
    <w:rsid w:val="00D046CF"/>
    <w:rsid w:val="00D0474D"/>
    <w:rsid w:val="00D04881"/>
    <w:rsid w:val="00D04976"/>
    <w:rsid w:val="00D04A38"/>
    <w:rsid w:val="00D04CB3"/>
    <w:rsid w:val="00D04EC4"/>
    <w:rsid w:val="00D05284"/>
    <w:rsid w:val="00D0537A"/>
    <w:rsid w:val="00D05436"/>
    <w:rsid w:val="00D05797"/>
    <w:rsid w:val="00D05956"/>
    <w:rsid w:val="00D05D42"/>
    <w:rsid w:val="00D05F8F"/>
    <w:rsid w:val="00D06117"/>
    <w:rsid w:val="00D06511"/>
    <w:rsid w:val="00D0666F"/>
    <w:rsid w:val="00D068A6"/>
    <w:rsid w:val="00D06A34"/>
    <w:rsid w:val="00D06BDB"/>
    <w:rsid w:val="00D06C05"/>
    <w:rsid w:val="00D06FB6"/>
    <w:rsid w:val="00D076C2"/>
    <w:rsid w:val="00D078BB"/>
    <w:rsid w:val="00D0791D"/>
    <w:rsid w:val="00D07B4A"/>
    <w:rsid w:val="00D07B80"/>
    <w:rsid w:val="00D07C65"/>
    <w:rsid w:val="00D07D39"/>
    <w:rsid w:val="00D1004A"/>
    <w:rsid w:val="00D10058"/>
    <w:rsid w:val="00D104DE"/>
    <w:rsid w:val="00D10728"/>
    <w:rsid w:val="00D10750"/>
    <w:rsid w:val="00D10B32"/>
    <w:rsid w:val="00D10BA9"/>
    <w:rsid w:val="00D10C18"/>
    <w:rsid w:val="00D10D0E"/>
    <w:rsid w:val="00D1118B"/>
    <w:rsid w:val="00D11253"/>
    <w:rsid w:val="00D1163A"/>
    <w:rsid w:val="00D11741"/>
    <w:rsid w:val="00D11A93"/>
    <w:rsid w:val="00D11BD9"/>
    <w:rsid w:val="00D11D38"/>
    <w:rsid w:val="00D12DC3"/>
    <w:rsid w:val="00D1302E"/>
    <w:rsid w:val="00D131D3"/>
    <w:rsid w:val="00D131D5"/>
    <w:rsid w:val="00D13384"/>
    <w:rsid w:val="00D134F1"/>
    <w:rsid w:val="00D13544"/>
    <w:rsid w:val="00D13865"/>
    <w:rsid w:val="00D1391F"/>
    <w:rsid w:val="00D1393E"/>
    <w:rsid w:val="00D13BE0"/>
    <w:rsid w:val="00D13C2C"/>
    <w:rsid w:val="00D13DF8"/>
    <w:rsid w:val="00D13E96"/>
    <w:rsid w:val="00D1435A"/>
    <w:rsid w:val="00D1447B"/>
    <w:rsid w:val="00D14695"/>
    <w:rsid w:val="00D1498C"/>
    <w:rsid w:val="00D149E6"/>
    <w:rsid w:val="00D14D2C"/>
    <w:rsid w:val="00D14E59"/>
    <w:rsid w:val="00D152D9"/>
    <w:rsid w:val="00D1553D"/>
    <w:rsid w:val="00D15918"/>
    <w:rsid w:val="00D15F10"/>
    <w:rsid w:val="00D15F71"/>
    <w:rsid w:val="00D16131"/>
    <w:rsid w:val="00D167F6"/>
    <w:rsid w:val="00D16A56"/>
    <w:rsid w:val="00D16AA4"/>
    <w:rsid w:val="00D16B2E"/>
    <w:rsid w:val="00D16D8A"/>
    <w:rsid w:val="00D171BF"/>
    <w:rsid w:val="00D178BB"/>
    <w:rsid w:val="00D17975"/>
    <w:rsid w:val="00D17C26"/>
    <w:rsid w:val="00D17FC2"/>
    <w:rsid w:val="00D20031"/>
    <w:rsid w:val="00D2090C"/>
    <w:rsid w:val="00D2092B"/>
    <w:rsid w:val="00D20968"/>
    <w:rsid w:val="00D2098F"/>
    <w:rsid w:val="00D20B6D"/>
    <w:rsid w:val="00D20C9B"/>
    <w:rsid w:val="00D2121B"/>
    <w:rsid w:val="00D21923"/>
    <w:rsid w:val="00D21938"/>
    <w:rsid w:val="00D21982"/>
    <w:rsid w:val="00D21B4A"/>
    <w:rsid w:val="00D21EF9"/>
    <w:rsid w:val="00D22261"/>
    <w:rsid w:val="00D22662"/>
    <w:rsid w:val="00D22B4C"/>
    <w:rsid w:val="00D22CC4"/>
    <w:rsid w:val="00D22E04"/>
    <w:rsid w:val="00D22F02"/>
    <w:rsid w:val="00D23140"/>
    <w:rsid w:val="00D232B6"/>
    <w:rsid w:val="00D233F8"/>
    <w:rsid w:val="00D239F8"/>
    <w:rsid w:val="00D23C34"/>
    <w:rsid w:val="00D23F79"/>
    <w:rsid w:val="00D2487A"/>
    <w:rsid w:val="00D24945"/>
    <w:rsid w:val="00D24D14"/>
    <w:rsid w:val="00D24E0A"/>
    <w:rsid w:val="00D24E85"/>
    <w:rsid w:val="00D24F1A"/>
    <w:rsid w:val="00D257ED"/>
    <w:rsid w:val="00D25940"/>
    <w:rsid w:val="00D25C14"/>
    <w:rsid w:val="00D25CCC"/>
    <w:rsid w:val="00D26110"/>
    <w:rsid w:val="00D262D1"/>
    <w:rsid w:val="00D262D5"/>
    <w:rsid w:val="00D262F8"/>
    <w:rsid w:val="00D26455"/>
    <w:rsid w:val="00D26567"/>
    <w:rsid w:val="00D26710"/>
    <w:rsid w:val="00D26D18"/>
    <w:rsid w:val="00D26E91"/>
    <w:rsid w:val="00D274F4"/>
    <w:rsid w:val="00D275EE"/>
    <w:rsid w:val="00D278D9"/>
    <w:rsid w:val="00D27AEE"/>
    <w:rsid w:val="00D27B36"/>
    <w:rsid w:val="00D27B91"/>
    <w:rsid w:val="00D30146"/>
    <w:rsid w:val="00D304CD"/>
    <w:rsid w:val="00D306A4"/>
    <w:rsid w:val="00D308C4"/>
    <w:rsid w:val="00D30C3C"/>
    <w:rsid w:val="00D30F95"/>
    <w:rsid w:val="00D31303"/>
    <w:rsid w:val="00D313B3"/>
    <w:rsid w:val="00D313DC"/>
    <w:rsid w:val="00D3144F"/>
    <w:rsid w:val="00D3156E"/>
    <w:rsid w:val="00D3172A"/>
    <w:rsid w:val="00D32575"/>
    <w:rsid w:val="00D325B0"/>
    <w:rsid w:val="00D32729"/>
    <w:rsid w:val="00D32771"/>
    <w:rsid w:val="00D3292B"/>
    <w:rsid w:val="00D32C31"/>
    <w:rsid w:val="00D336BC"/>
    <w:rsid w:val="00D33B84"/>
    <w:rsid w:val="00D33D56"/>
    <w:rsid w:val="00D33DFA"/>
    <w:rsid w:val="00D33EAA"/>
    <w:rsid w:val="00D33EBC"/>
    <w:rsid w:val="00D33F02"/>
    <w:rsid w:val="00D341B4"/>
    <w:rsid w:val="00D342EA"/>
    <w:rsid w:val="00D342FE"/>
    <w:rsid w:val="00D34578"/>
    <w:rsid w:val="00D34683"/>
    <w:rsid w:val="00D34938"/>
    <w:rsid w:val="00D34A45"/>
    <w:rsid w:val="00D34B5C"/>
    <w:rsid w:val="00D34B8D"/>
    <w:rsid w:val="00D34F88"/>
    <w:rsid w:val="00D3525D"/>
    <w:rsid w:val="00D352E7"/>
    <w:rsid w:val="00D358F7"/>
    <w:rsid w:val="00D35B16"/>
    <w:rsid w:val="00D35E67"/>
    <w:rsid w:val="00D36376"/>
    <w:rsid w:val="00D366A4"/>
    <w:rsid w:val="00D368FF"/>
    <w:rsid w:val="00D36B8F"/>
    <w:rsid w:val="00D36E04"/>
    <w:rsid w:val="00D36E67"/>
    <w:rsid w:val="00D36EBD"/>
    <w:rsid w:val="00D37121"/>
    <w:rsid w:val="00D37B86"/>
    <w:rsid w:val="00D37E90"/>
    <w:rsid w:val="00D37EF5"/>
    <w:rsid w:val="00D37F90"/>
    <w:rsid w:val="00D402CC"/>
    <w:rsid w:val="00D405AD"/>
    <w:rsid w:val="00D406C4"/>
    <w:rsid w:val="00D409B4"/>
    <w:rsid w:val="00D40DAE"/>
    <w:rsid w:val="00D410A7"/>
    <w:rsid w:val="00D410BA"/>
    <w:rsid w:val="00D41227"/>
    <w:rsid w:val="00D419C9"/>
    <w:rsid w:val="00D41BFE"/>
    <w:rsid w:val="00D41CDB"/>
    <w:rsid w:val="00D41CDD"/>
    <w:rsid w:val="00D41E16"/>
    <w:rsid w:val="00D4208A"/>
    <w:rsid w:val="00D42384"/>
    <w:rsid w:val="00D4269C"/>
    <w:rsid w:val="00D42819"/>
    <w:rsid w:val="00D42844"/>
    <w:rsid w:val="00D428B9"/>
    <w:rsid w:val="00D4294C"/>
    <w:rsid w:val="00D4311C"/>
    <w:rsid w:val="00D43159"/>
    <w:rsid w:val="00D43246"/>
    <w:rsid w:val="00D43454"/>
    <w:rsid w:val="00D43645"/>
    <w:rsid w:val="00D4378A"/>
    <w:rsid w:val="00D438A2"/>
    <w:rsid w:val="00D43BA2"/>
    <w:rsid w:val="00D43EE1"/>
    <w:rsid w:val="00D444E7"/>
    <w:rsid w:val="00D4480C"/>
    <w:rsid w:val="00D44CEA"/>
    <w:rsid w:val="00D44DF9"/>
    <w:rsid w:val="00D44F0A"/>
    <w:rsid w:val="00D44FA5"/>
    <w:rsid w:val="00D452E7"/>
    <w:rsid w:val="00D45750"/>
    <w:rsid w:val="00D457EA"/>
    <w:rsid w:val="00D45A97"/>
    <w:rsid w:val="00D45BAE"/>
    <w:rsid w:val="00D45C42"/>
    <w:rsid w:val="00D45D42"/>
    <w:rsid w:val="00D45F5E"/>
    <w:rsid w:val="00D45FED"/>
    <w:rsid w:val="00D46126"/>
    <w:rsid w:val="00D46177"/>
    <w:rsid w:val="00D46221"/>
    <w:rsid w:val="00D4625C"/>
    <w:rsid w:val="00D46548"/>
    <w:rsid w:val="00D468A1"/>
    <w:rsid w:val="00D46B18"/>
    <w:rsid w:val="00D46EFF"/>
    <w:rsid w:val="00D475BD"/>
    <w:rsid w:val="00D477BF"/>
    <w:rsid w:val="00D47935"/>
    <w:rsid w:val="00D47B82"/>
    <w:rsid w:val="00D47C7F"/>
    <w:rsid w:val="00D47E85"/>
    <w:rsid w:val="00D47F3A"/>
    <w:rsid w:val="00D500BA"/>
    <w:rsid w:val="00D50C2F"/>
    <w:rsid w:val="00D50DA1"/>
    <w:rsid w:val="00D50E52"/>
    <w:rsid w:val="00D51340"/>
    <w:rsid w:val="00D5148F"/>
    <w:rsid w:val="00D5170F"/>
    <w:rsid w:val="00D51F95"/>
    <w:rsid w:val="00D520C8"/>
    <w:rsid w:val="00D523D8"/>
    <w:rsid w:val="00D524EA"/>
    <w:rsid w:val="00D52B57"/>
    <w:rsid w:val="00D52BC8"/>
    <w:rsid w:val="00D52CF1"/>
    <w:rsid w:val="00D52E54"/>
    <w:rsid w:val="00D52FF5"/>
    <w:rsid w:val="00D53137"/>
    <w:rsid w:val="00D5314B"/>
    <w:rsid w:val="00D531BF"/>
    <w:rsid w:val="00D537E7"/>
    <w:rsid w:val="00D53AB6"/>
    <w:rsid w:val="00D544AE"/>
    <w:rsid w:val="00D54602"/>
    <w:rsid w:val="00D54EAF"/>
    <w:rsid w:val="00D5503B"/>
    <w:rsid w:val="00D55515"/>
    <w:rsid w:val="00D557F4"/>
    <w:rsid w:val="00D55928"/>
    <w:rsid w:val="00D55AD7"/>
    <w:rsid w:val="00D55B16"/>
    <w:rsid w:val="00D55BD1"/>
    <w:rsid w:val="00D55E88"/>
    <w:rsid w:val="00D55EED"/>
    <w:rsid w:val="00D568F9"/>
    <w:rsid w:val="00D56CC9"/>
    <w:rsid w:val="00D56D38"/>
    <w:rsid w:val="00D56DFA"/>
    <w:rsid w:val="00D571DC"/>
    <w:rsid w:val="00D57DAC"/>
    <w:rsid w:val="00D57F66"/>
    <w:rsid w:val="00D601E8"/>
    <w:rsid w:val="00D607F4"/>
    <w:rsid w:val="00D60AF1"/>
    <w:rsid w:val="00D60DAE"/>
    <w:rsid w:val="00D60E22"/>
    <w:rsid w:val="00D610E9"/>
    <w:rsid w:val="00D61302"/>
    <w:rsid w:val="00D6150E"/>
    <w:rsid w:val="00D6188A"/>
    <w:rsid w:val="00D618FA"/>
    <w:rsid w:val="00D61B14"/>
    <w:rsid w:val="00D62169"/>
    <w:rsid w:val="00D6225D"/>
    <w:rsid w:val="00D62575"/>
    <w:rsid w:val="00D625C0"/>
    <w:rsid w:val="00D62656"/>
    <w:rsid w:val="00D6294C"/>
    <w:rsid w:val="00D62CF3"/>
    <w:rsid w:val="00D62E29"/>
    <w:rsid w:val="00D62F4D"/>
    <w:rsid w:val="00D631FE"/>
    <w:rsid w:val="00D63544"/>
    <w:rsid w:val="00D63748"/>
    <w:rsid w:val="00D63A4B"/>
    <w:rsid w:val="00D63B02"/>
    <w:rsid w:val="00D63CAC"/>
    <w:rsid w:val="00D63EBB"/>
    <w:rsid w:val="00D64075"/>
    <w:rsid w:val="00D6415A"/>
    <w:rsid w:val="00D6516C"/>
    <w:rsid w:val="00D652D9"/>
    <w:rsid w:val="00D657B6"/>
    <w:rsid w:val="00D6584A"/>
    <w:rsid w:val="00D65B2A"/>
    <w:rsid w:val="00D65C12"/>
    <w:rsid w:val="00D661E9"/>
    <w:rsid w:val="00D668DC"/>
    <w:rsid w:val="00D669D8"/>
    <w:rsid w:val="00D66B56"/>
    <w:rsid w:val="00D67295"/>
    <w:rsid w:val="00D672A7"/>
    <w:rsid w:val="00D6743E"/>
    <w:rsid w:val="00D678F9"/>
    <w:rsid w:val="00D679F7"/>
    <w:rsid w:val="00D7036C"/>
    <w:rsid w:val="00D703B4"/>
    <w:rsid w:val="00D70C1D"/>
    <w:rsid w:val="00D70DDA"/>
    <w:rsid w:val="00D7151D"/>
    <w:rsid w:val="00D7175E"/>
    <w:rsid w:val="00D7187B"/>
    <w:rsid w:val="00D71C01"/>
    <w:rsid w:val="00D71C2A"/>
    <w:rsid w:val="00D72020"/>
    <w:rsid w:val="00D72099"/>
    <w:rsid w:val="00D72A17"/>
    <w:rsid w:val="00D72C28"/>
    <w:rsid w:val="00D72DB8"/>
    <w:rsid w:val="00D72E49"/>
    <w:rsid w:val="00D7328B"/>
    <w:rsid w:val="00D73744"/>
    <w:rsid w:val="00D73752"/>
    <w:rsid w:val="00D73900"/>
    <w:rsid w:val="00D73AD9"/>
    <w:rsid w:val="00D73F72"/>
    <w:rsid w:val="00D743C3"/>
    <w:rsid w:val="00D74769"/>
    <w:rsid w:val="00D74785"/>
    <w:rsid w:val="00D74BDD"/>
    <w:rsid w:val="00D74CA3"/>
    <w:rsid w:val="00D74E74"/>
    <w:rsid w:val="00D74F78"/>
    <w:rsid w:val="00D7535E"/>
    <w:rsid w:val="00D75F6E"/>
    <w:rsid w:val="00D76415"/>
    <w:rsid w:val="00D76526"/>
    <w:rsid w:val="00D7667F"/>
    <w:rsid w:val="00D76B43"/>
    <w:rsid w:val="00D76CFE"/>
    <w:rsid w:val="00D76DCD"/>
    <w:rsid w:val="00D77006"/>
    <w:rsid w:val="00D77223"/>
    <w:rsid w:val="00D7799E"/>
    <w:rsid w:val="00D80362"/>
    <w:rsid w:val="00D8042C"/>
    <w:rsid w:val="00D80546"/>
    <w:rsid w:val="00D805FC"/>
    <w:rsid w:val="00D8090A"/>
    <w:rsid w:val="00D8096C"/>
    <w:rsid w:val="00D80C29"/>
    <w:rsid w:val="00D80EE2"/>
    <w:rsid w:val="00D81168"/>
    <w:rsid w:val="00D81606"/>
    <w:rsid w:val="00D818AA"/>
    <w:rsid w:val="00D82012"/>
    <w:rsid w:val="00D8273E"/>
    <w:rsid w:val="00D827FA"/>
    <w:rsid w:val="00D82961"/>
    <w:rsid w:val="00D82C56"/>
    <w:rsid w:val="00D8316D"/>
    <w:rsid w:val="00D83253"/>
    <w:rsid w:val="00D8325E"/>
    <w:rsid w:val="00D834C3"/>
    <w:rsid w:val="00D8351C"/>
    <w:rsid w:val="00D83709"/>
    <w:rsid w:val="00D83B22"/>
    <w:rsid w:val="00D83B51"/>
    <w:rsid w:val="00D83C2E"/>
    <w:rsid w:val="00D83E8F"/>
    <w:rsid w:val="00D84766"/>
    <w:rsid w:val="00D84D47"/>
    <w:rsid w:val="00D84DDD"/>
    <w:rsid w:val="00D84ECA"/>
    <w:rsid w:val="00D8525E"/>
    <w:rsid w:val="00D852CD"/>
    <w:rsid w:val="00D85412"/>
    <w:rsid w:val="00D85591"/>
    <w:rsid w:val="00D85705"/>
    <w:rsid w:val="00D8575E"/>
    <w:rsid w:val="00D85EA5"/>
    <w:rsid w:val="00D85EF6"/>
    <w:rsid w:val="00D86024"/>
    <w:rsid w:val="00D865D9"/>
    <w:rsid w:val="00D86605"/>
    <w:rsid w:val="00D86E22"/>
    <w:rsid w:val="00D87F14"/>
    <w:rsid w:val="00D900BE"/>
    <w:rsid w:val="00D90412"/>
    <w:rsid w:val="00D9041B"/>
    <w:rsid w:val="00D90715"/>
    <w:rsid w:val="00D90AD9"/>
    <w:rsid w:val="00D90B78"/>
    <w:rsid w:val="00D90DBB"/>
    <w:rsid w:val="00D9141D"/>
    <w:rsid w:val="00D91A80"/>
    <w:rsid w:val="00D91B24"/>
    <w:rsid w:val="00D91B3E"/>
    <w:rsid w:val="00D91C1C"/>
    <w:rsid w:val="00D91E88"/>
    <w:rsid w:val="00D91F4C"/>
    <w:rsid w:val="00D920E0"/>
    <w:rsid w:val="00D92150"/>
    <w:rsid w:val="00D92211"/>
    <w:rsid w:val="00D922CB"/>
    <w:rsid w:val="00D92AF5"/>
    <w:rsid w:val="00D92EC2"/>
    <w:rsid w:val="00D92F15"/>
    <w:rsid w:val="00D92F70"/>
    <w:rsid w:val="00D9328F"/>
    <w:rsid w:val="00D9354B"/>
    <w:rsid w:val="00D9387F"/>
    <w:rsid w:val="00D94303"/>
    <w:rsid w:val="00D943E9"/>
    <w:rsid w:val="00D94435"/>
    <w:rsid w:val="00D945F2"/>
    <w:rsid w:val="00D946C9"/>
    <w:rsid w:val="00D94BF8"/>
    <w:rsid w:val="00D94CAD"/>
    <w:rsid w:val="00D94CF3"/>
    <w:rsid w:val="00D9527F"/>
    <w:rsid w:val="00D95C24"/>
    <w:rsid w:val="00D95D25"/>
    <w:rsid w:val="00D95DA6"/>
    <w:rsid w:val="00D95F12"/>
    <w:rsid w:val="00D95FC9"/>
    <w:rsid w:val="00D9630A"/>
    <w:rsid w:val="00D96473"/>
    <w:rsid w:val="00D96771"/>
    <w:rsid w:val="00D967A8"/>
    <w:rsid w:val="00D96888"/>
    <w:rsid w:val="00D96BEE"/>
    <w:rsid w:val="00D971F3"/>
    <w:rsid w:val="00D97B8B"/>
    <w:rsid w:val="00D97DAD"/>
    <w:rsid w:val="00D97DCC"/>
    <w:rsid w:val="00D97F10"/>
    <w:rsid w:val="00DA018C"/>
    <w:rsid w:val="00DA0300"/>
    <w:rsid w:val="00DA0376"/>
    <w:rsid w:val="00DA058E"/>
    <w:rsid w:val="00DA085A"/>
    <w:rsid w:val="00DA0A0C"/>
    <w:rsid w:val="00DA0DD4"/>
    <w:rsid w:val="00DA0F24"/>
    <w:rsid w:val="00DA0F47"/>
    <w:rsid w:val="00DA0FC0"/>
    <w:rsid w:val="00DA1081"/>
    <w:rsid w:val="00DA10A5"/>
    <w:rsid w:val="00DA11F6"/>
    <w:rsid w:val="00DA13B2"/>
    <w:rsid w:val="00DA1753"/>
    <w:rsid w:val="00DA17B7"/>
    <w:rsid w:val="00DA1959"/>
    <w:rsid w:val="00DA1F03"/>
    <w:rsid w:val="00DA2027"/>
    <w:rsid w:val="00DA23C2"/>
    <w:rsid w:val="00DA26E2"/>
    <w:rsid w:val="00DA2709"/>
    <w:rsid w:val="00DA27D1"/>
    <w:rsid w:val="00DA29EF"/>
    <w:rsid w:val="00DA2D6A"/>
    <w:rsid w:val="00DA3257"/>
    <w:rsid w:val="00DA386C"/>
    <w:rsid w:val="00DA3A46"/>
    <w:rsid w:val="00DA3BF8"/>
    <w:rsid w:val="00DA3EA1"/>
    <w:rsid w:val="00DA46EA"/>
    <w:rsid w:val="00DA4A0E"/>
    <w:rsid w:val="00DA512C"/>
    <w:rsid w:val="00DA56A7"/>
    <w:rsid w:val="00DA5799"/>
    <w:rsid w:val="00DA5A63"/>
    <w:rsid w:val="00DA6202"/>
    <w:rsid w:val="00DA628D"/>
    <w:rsid w:val="00DA64C6"/>
    <w:rsid w:val="00DA6765"/>
    <w:rsid w:val="00DA689E"/>
    <w:rsid w:val="00DA6AD4"/>
    <w:rsid w:val="00DA72D5"/>
    <w:rsid w:val="00DA7801"/>
    <w:rsid w:val="00DA784E"/>
    <w:rsid w:val="00DA792D"/>
    <w:rsid w:val="00DA7948"/>
    <w:rsid w:val="00DA7A78"/>
    <w:rsid w:val="00DA7EDD"/>
    <w:rsid w:val="00DA7F90"/>
    <w:rsid w:val="00DB003C"/>
    <w:rsid w:val="00DB0371"/>
    <w:rsid w:val="00DB0377"/>
    <w:rsid w:val="00DB0656"/>
    <w:rsid w:val="00DB078C"/>
    <w:rsid w:val="00DB0832"/>
    <w:rsid w:val="00DB0DD4"/>
    <w:rsid w:val="00DB0FC8"/>
    <w:rsid w:val="00DB13A5"/>
    <w:rsid w:val="00DB157E"/>
    <w:rsid w:val="00DB15FF"/>
    <w:rsid w:val="00DB19D0"/>
    <w:rsid w:val="00DB1D83"/>
    <w:rsid w:val="00DB1E91"/>
    <w:rsid w:val="00DB1EF2"/>
    <w:rsid w:val="00DB24E1"/>
    <w:rsid w:val="00DB2B48"/>
    <w:rsid w:val="00DB2BFA"/>
    <w:rsid w:val="00DB31D3"/>
    <w:rsid w:val="00DB3205"/>
    <w:rsid w:val="00DB3469"/>
    <w:rsid w:val="00DB35A0"/>
    <w:rsid w:val="00DB3686"/>
    <w:rsid w:val="00DB3B6C"/>
    <w:rsid w:val="00DB3E55"/>
    <w:rsid w:val="00DB3F1F"/>
    <w:rsid w:val="00DB4108"/>
    <w:rsid w:val="00DB4410"/>
    <w:rsid w:val="00DB445D"/>
    <w:rsid w:val="00DB4A4B"/>
    <w:rsid w:val="00DB4B1F"/>
    <w:rsid w:val="00DB4C47"/>
    <w:rsid w:val="00DB5117"/>
    <w:rsid w:val="00DB54E7"/>
    <w:rsid w:val="00DB5C59"/>
    <w:rsid w:val="00DB5EC5"/>
    <w:rsid w:val="00DB6031"/>
    <w:rsid w:val="00DB634A"/>
    <w:rsid w:val="00DB6427"/>
    <w:rsid w:val="00DB664A"/>
    <w:rsid w:val="00DB67D6"/>
    <w:rsid w:val="00DB6924"/>
    <w:rsid w:val="00DB6ABC"/>
    <w:rsid w:val="00DB6B3F"/>
    <w:rsid w:val="00DB6E51"/>
    <w:rsid w:val="00DB7032"/>
    <w:rsid w:val="00DB7148"/>
    <w:rsid w:val="00DB7213"/>
    <w:rsid w:val="00DB7463"/>
    <w:rsid w:val="00DB75B3"/>
    <w:rsid w:val="00DB76E7"/>
    <w:rsid w:val="00DB7BDF"/>
    <w:rsid w:val="00DB7C64"/>
    <w:rsid w:val="00DB7DB6"/>
    <w:rsid w:val="00DB7E3C"/>
    <w:rsid w:val="00DC0781"/>
    <w:rsid w:val="00DC081D"/>
    <w:rsid w:val="00DC087A"/>
    <w:rsid w:val="00DC09BF"/>
    <w:rsid w:val="00DC0D07"/>
    <w:rsid w:val="00DC0E25"/>
    <w:rsid w:val="00DC0E37"/>
    <w:rsid w:val="00DC11AF"/>
    <w:rsid w:val="00DC11E0"/>
    <w:rsid w:val="00DC14AF"/>
    <w:rsid w:val="00DC16F5"/>
    <w:rsid w:val="00DC1720"/>
    <w:rsid w:val="00DC1721"/>
    <w:rsid w:val="00DC1935"/>
    <w:rsid w:val="00DC1961"/>
    <w:rsid w:val="00DC1B55"/>
    <w:rsid w:val="00DC1B68"/>
    <w:rsid w:val="00DC1C73"/>
    <w:rsid w:val="00DC2022"/>
    <w:rsid w:val="00DC21F7"/>
    <w:rsid w:val="00DC231D"/>
    <w:rsid w:val="00DC257C"/>
    <w:rsid w:val="00DC25C1"/>
    <w:rsid w:val="00DC2835"/>
    <w:rsid w:val="00DC2A19"/>
    <w:rsid w:val="00DC3356"/>
    <w:rsid w:val="00DC3458"/>
    <w:rsid w:val="00DC3633"/>
    <w:rsid w:val="00DC3858"/>
    <w:rsid w:val="00DC389A"/>
    <w:rsid w:val="00DC3D21"/>
    <w:rsid w:val="00DC3EC2"/>
    <w:rsid w:val="00DC3F8E"/>
    <w:rsid w:val="00DC4030"/>
    <w:rsid w:val="00DC4108"/>
    <w:rsid w:val="00DC41CD"/>
    <w:rsid w:val="00DC468F"/>
    <w:rsid w:val="00DC49FB"/>
    <w:rsid w:val="00DC4EC7"/>
    <w:rsid w:val="00DC4F0A"/>
    <w:rsid w:val="00DC4F64"/>
    <w:rsid w:val="00DC50C5"/>
    <w:rsid w:val="00DC5604"/>
    <w:rsid w:val="00DC5F39"/>
    <w:rsid w:val="00DC64A7"/>
    <w:rsid w:val="00DC6A86"/>
    <w:rsid w:val="00DC6B60"/>
    <w:rsid w:val="00DC7122"/>
    <w:rsid w:val="00DC716F"/>
    <w:rsid w:val="00DC7276"/>
    <w:rsid w:val="00DC744C"/>
    <w:rsid w:val="00DC7676"/>
    <w:rsid w:val="00DC7FBF"/>
    <w:rsid w:val="00DD0176"/>
    <w:rsid w:val="00DD057C"/>
    <w:rsid w:val="00DD0679"/>
    <w:rsid w:val="00DD0694"/>
    <w:rsid w:val="00DD0953"/>
    <w:rsid w:val="00DD0C1B"/>
    <w:rsid w:val="00DD0F72"/>
    <w:rsid w:val="00DD1199"/>
    <w:rsid w:val="00DD1443"/>
    <w:rsid w:val="00DD1449"/>
    <w:rsid w:val="00DD1491"/>
    <w:rsid w:val="00DD152E"/>
    <w:rsid w:val="00DD1682"/>
    <w:rsid w:val="00DD19F8"/>
    <w:rsid w:val="00DD1A95"/>
    <w:rsid w:val="00DD1E5B"/>
    <w:rsid w:val="00DD1ED0"/>
    <w:rsid w:val="00DD2A32"/>
    <w:rsid w:val="00DD2C81"/>
    <w:rsid w:val="00DD2E87"/>
    <w:rsid w:val="00DD2F8C"/>
    <w:rsid w:val="00DD367D"/>
    <w:rsid w:val="00DD3787"/>
    <w:rsid w:val="00DD3CDE"/>
    <w:rsid w:val="00DD3CE9"/>
    <w:rsid w:val="00DD4654"/>
    <w:rsid w:val="00DD4B35"/>
    <w:rsid w:val="00DD5146"/>
    <w:rsid w:val="00DD515A"/>
    <w:rsid w:val="00DD523D"/>
    <w:rsid w:val="00DD5713"/>
    <w:rsid w:val="00DD6143"/>
    <w:rsid w:val="00DD62CB"/>
    <w:rsid w:val="00DD63C1"/>
    <w:rsid w:val="00DD6B06"/>
    <w:rsid w:val="00DD7258"/>
    <w:rsid w:val="00DD76CD"/>
    <w:rsid w:val="00DD7A67"/>
    <w:rsid w:val="00DD7FFD"/>
    <w:rsid w:val="00DE016C"/>
    <w:rsid w:val="00DE0493"/>
    <w:rsid w:val="00DE04A1"/>
    <w:rsid w:val="00DE0584"/>
    <w:rsid w:val="00DE071C"/>
    <w:rsid w:val="00DE0B36"/>
    <w:rsid w:val="00DE1054"/>
    <w:rsid w:val="00DE1553"/>
    <w:rsid w:val="00DE165F"/>
    <w:rsid w:val="00DE1997"/>
    <w:rsid w:val="00DE1DE9"/>
    <w:rsid w:val="00DE1F62"/>
    <w:rsid w:val="00DE20FB"/>
    <w:rsid w:val="00DE2165"/>
    <w:rsid w:val="00DE2496"/>
    <w:rsid w:val="00DE287B"/>
    <w:rsid w:val="00DE2CB7"/>
    <w:rsid w:val="00DE2CE1"/>
    <w:rsid w:val="00DE2DF1"/>
    <w:rsid w:val="00DE332D"/>
    <w:rsid w:val="00DE33F5"/>
    <w:rsid w:val="00DE347A"/>
    <w:rsid w:val="00DE3716"/>
    <w:rsid w:val="00DE3826"/>
    <w:rsid w:val="00DE3939"/>
    <w:rsid w:val="00DE39D1"/>
    <w:rsid w:val="00DE3D60"/>
    <w:rsid w:val="00DE41FF"/>
    <w:rsid w:val="00DE4262"/>
    <w:rsid w:val="00DE4804"/>
    <w:rsid w:val="00DE4962"/>
    <w:rsid w:val="00DE4AF0"/>
    <w:rsid w:val="00DE4DA7"/>
    <w:rsid w:val="00DE4F20"/>
    <w:rsid w:val="00DE50DA"/>
    <w:rsid w:val="00DE5238"/>
    <w:rsid w:val="00DE52FD"/>
    <w:rsid w:val="00DE53C3"/>
    <w:rsid w:val="00DE5486"/>
    <w:rsid w:val="00DE5BB9"/>
    <w:rsid w:val="00DE5E3C"/>
    <w:rsid w:val="00DE660D"/>
    <w:rsid w:val="00DE6825"/>
    <w:rsid w:val="00DE6B49"/>
    <w:rsid w:val="00DE7099"/>
    <w:rsid w:val="00DE71E6"/>
    <w:rsid w:val="00DE72A3"/>
    <w:rsid w:val="00DE7383"/>
    <w:rsid w:val="00DE760F"/>
    <w:rsid w:val="00DE7D7E"/>
    <w:rsid w:val="00DE7DC3"/>
    <w:rsid w:val="00DF00E6"/>
    <w:rsid w:val="00DF059F"/>
    <w:rsid w:val="00DF0792"/>
    <w:rsid w:val="00DF0E28"/>
    <w:rsid w:val="00DF0FAA"/>
    <w:rsid w:val="00DF1564"/>
    <w:rsid w:val="00DF1949"/>
    <w:rsid w:val="00DF194B"/>
    <w:rsid w:val="00DF1BC4"/>
    <w:rsid w:val="00DF1BF0"/>
    <w:rsid w:val="00DF1E53"/>
    <w:rsid w:val="00DF21D7"/>
    <w:rsid w:val="00DF2393"/>
    <w:rsid w:val="00DF2420"/>
    <w:rsid w:val="00DF2452"/>
    <w:rsid w:val="00DF2477"/>
    <w:rsid w:val="00DF2480"/>
    <w:rsid w:val="00DF33B8"/>
    <w:rsid w:val="00DF341B"/>
    <w:rsid w:val="00DF342C"/>
    <w:rsid w:val="00DF39E9"/>
    <w:rsid w:val="00DF431B"/>
    <w:rsid w:val="00DF4423"/>
    <w:rsid w:val="00DF46ED"/>
    <w:rsid w:val="00DF4BC4"/>
    <w:rsid w:val="00DF51A8"/>
    <w:rsid w:val="00DF5522"/>
    <w:rsid w:val="00DF5634"/>
    <w:rsid w:val="00DF56DE"/>
    <w:rsid w:val="00DF58D3"/>
    <w:rsid w:val="00DF5BC7"/>
    <w:rsid w:val="00DF5BF0"/>
    <w:rsid w:val="00DF5DC3"/>
    <w:rsid w:val="00DF664C"/>
    <w:rsid w:val="00DF67FA"/>
    <w:rsid w:val="00DF6969"/>
    <w:rsid w:val="00DF7430"/>
    <w:rsid w:val="00DF74D9"/>
    <w:rsid w:val="00DF7649"/>
    <w:rsid w:val="00DF77F3"/>
    <w:rsid w:val="00DF7B8B"/>
    <w:rsid w:val="00DF7C81"/>
    <w:rsid w:val="00DF7DDE"/>
    <w:rsid w:val="00DF7FD7"/>
    <w:rsid w:val="00E00295"/>
    <w:rsid w:val="00E00E7F"/>
    <w:rsid w:val="00E00EBD"/>
    <w:rsid w:val="00E01597"/>
    <w:rsid w:val="00E0177F"/>
    <w:rsid w:val="00E01ABF"/>
    <w:rsid w:val="00E01DD5"/>
    <w:rsid w:val="00E026D0"/>
    <w:rsid w:val="00E0291C"/>
    <w:rsid w:val="00E02E1C"/>
    <w:rsid w:val="00E02E2D"/>
    <w:rsid w:val="00E03075"/>
    <w:rsid w:val="00E030C6"/>
    <w:rsid w:val="00E032F2"/>
    <w:rsid w:val="00E0360B"/>
    <w:rsid w:val="00E03A96"/>
    <w:rsid w:val="00E044C3"/>
    <w:rsid w:val="00E04C55"/>
    <w:rsid w:val="00E04D88"/>
    <w:rsid w:val="00E04FC4"/>
    <w:rsid w:val="00E0515B"/>
    <w:rsid w:val="00E05737"/>
    <w:rsid w:val="00E057FB"/>
    <w:rsid w:val="00E05980"/>
    <w:rsid w:val="00E0598E"/>
    <w:rsid w:val="00E05A60"/>
    <w:rsid w:val="00E05D56"/>
    <w:rsid w:val="00E0626B"/>
    <w:rsid w:val="00E06318"/>
    <w:rsid w:val="00E06BE7"/>
    <w:rsid w:val="00E06C3B"/>
    <w:rsid w:val="00E06E2B"/>
    <w:rsid w:val="00E079B8"/>
    <w:rsid w:val="00E07F7F"/>
    <w:rsid w:val="00E101F6"/>
    <w:rsid w:val="00E1039B"/>
    <w:rsid w:val="00E1052E"/>
    <w:rsid w:val="00E105A9"/>
    <w:rsid w:val="00E10695"/>
    <w:rsid w:val="00E106F1"/>
    <w:rsid w:val="00E10BE7"/>
    <w:rsid w:val="00E11159"/>
    <w:rsid w:val="00E11464"/>
    <w:rsid w:val="00E116C7"/>
    <w:rsid w:val="00E117E3"/>
    <w:rsid w:val="00E1195A"/>
    <w:rsid w:val="00E11BBE"/>
    <w:rsid w:val="00E11FCF"/>
    <w:rsid w:val="00E12280"/>
    <w:rsid w:val="00E123E4"/>
    <w:rsid w:val="00E12C05"/>
    <w:rsid w:val="00E12F4D"/>
    <w:rsid w:val="00E1333D"/>
    <w:rsid w:val="00E13D54"/>
    <w:rsid w:val="00E13DD4"/>
    <w:rsid w:val="00E13E5C"/>
    <w:rsid w:val="00E141B0"/>
    <w:rsid w:val="00E143D9"/>
    <w:rsid w:val="00E144F9"/>
    <w:rsid w:val="00E145D0"/>
    <w:rsid w:val="00E14887"/>
    <w:rsid w:val="00E149CC"/>
    <w:rsid w:val="00E149F5"/>
    <w:rsid w:val="00E14B4F"/>
    <w:rsid w:val="00E14EF3"/>
    <w:rsid w:val="00E1501F"/>
    <w:rsid w:val="00E1502B"/>
    <w:rsid w:val="00E15056"/>
    <w:rsid w:val="00E1541B"/>
    <w:rsid w:val="00E1550A"/>
    <w:rsid w:val="00E15A12"/>
    <w:rsid w:val="00E15B1B"/>
    <w:rsid w:val="00E15BBE"/>
    <w:rsid w:val="00E15DB1"/>
    <w:rsid w:val="00E16222"/>
    <w:rsid w:val="00E165E8"/>
    <w:rsid w:val="00E166BE"/>
    <w:rsid w:val="00E16C17"/>
    <w:rsid w:val="00E170C2"/>
    <w:rsid w:val="00E174BB"/>
    <w:rsid w:val="00E17552"/>
    <w:rsid w:val="00E175DB"/>
    <w:rsid w:val="00E17BFE"/>
    <w:rsid w:val="00E204E5"/>
    <w:rsid w:val="00E2062A"/>
    <w:rsid w:val="00E21497"/>
    <w:rsid w:val="00E216C1"/>
    <w:rsid w:val="00E21708"/>
    <w:rsid w:val="00E21B03"/>
    <w:rsid w:val="00E21E9D"/>
    <w:rsid w:val="00E21F86"/>
    <w:rsid w:val="00E220F8"/>
    <w:rsid w:val="00E2221E"/>
    <w:rsid w:val="00E22321"/>
    <w:rsid w:val="00E2243C"/>
    <w:rsid w:val="00E22445"/>
    <w:rsid w:val="00E2273B"/>
    <w:rsid w:val="00E22837"/>
    <w:rsid w:val="00E22B7A"/>
    <w:rsid w:val="00E22B9B"/>
    <w:rsid w:val="00E23419"/>
    <w:rsid w:val="00E234DC"/>
    <w:rsid w:val="00E23C23"/>
    <w:rsid w:val="00E23D0F"/>
    <w:rsid w:val="00E23DFE"/>
    <w:rsid w:val="00E23EE2"/>
    <w:rsid w:val="00E24593"/>
    <w:rsid w:val="00E24934"/>
    <w:rsid w:val="00E24C31"/>
    <w:rsid w:val="00E24CCA"/>
    <w:rsid w:val="00E2545A"/>
    <w:rsid w:val="00E2554B"/>
    <w:rsid w:val="00E25892"/>
    <w:rsid w:val="00E259AD"/>
    <w:rsid w:val="00E25A96"/>
    <w:rsid w:val="00E25E17"/>
    <w:rsid w:val="00E26029"/>
    <w:rsid w:val="00E26052"/>
    <w:rsid w:val="00E260A3"/>
    <w:rsid w:val="00E26122"/>
    <w:rsid w:val="00E261AD"/>
    <w:rsid w:val="00E263C0"/>
    <w:rsid w:val="00E264F8"/>
    <w:rsid w:val="00E265B8"/>
    <w:rsid w:val="00E26813"/>
    <w:rsid w:val="00E26D15"/>
    <w:rsid w:val="00E26F9F"/>
    <w:rsid w:val="00E26FCC"/>
    <w:rsid w:val="00E2700C"/>
    <w:rsid w:val="00E2719B"/>
    <w:rsid w:val="00E273EC"/>
    <w:rsid w:val="00E27564"/>
    <w:rsid w:val="00E277C0"/>
    <w:rsid w:val="00E277DE"/>
    <w:rsid w:val="00E277EC"/>
    <w:rsid w:val="00E279F4"/>
    <w:rsid w:val="00E27DDB"/>
    <w:rsid w:val="00E27DFC"/>
    <w:rsid w:val="00E30738"/>
    <w:rsid w:val="00E307B8"/>
    <w:rsid w:val="00E309B0"/>
    <w:rsid w:val="00E30B66"/>
    <w:rsid w:val="00E30E47"/>
    <w:rsid w:val="00E30F58"/>
    <w:rsid w:val="00E31143"/>
    <w:rsid w:val="00E3141A"/>
    <w:rsid w:val="00E31702"/>
    <w:rsid w:val="00E31975"/>
    <w:rsid w:val="00E31B75"/>
    <w:rsid w:val="00E32283"/>
    <w:rsid w:val="00E3242E"/>
    <w:rsid w:val="00E3242F"/>
    <w:rsid w:val="00E324BD"/>
    <w:rsid w:val="00E327EA"/>
    <w:rsid w:val="00E32816"/>
    <w:rsid w:val="00E32A58"/>
    <w:rsid w:val="00E32CF1"/>
    <w:rsid w:val="00E33094"/>
    <w:rsid w:val="00E330C9"/>
    <w:rsid w:val="00E3314D"/>
    <w:rsid w:val="00E3330E"/>
    <w:rsid w:val="00E3351F"/>
    <w:rsid w:val="00E337CB"/>
    <w:rsid w:val="00E338CB"/>
    <w:rsid w:val="00E33992"/>
    <w:rsid w:val="00E33B83"/>
    <w:rsid w:val="00E33EA2"/>
    <w:rsid w:val="00E33F67"/>
    <w:rsid w:val="00E33FCB"/>
    <w:rsid w:val="00E34258"/>
    <w:rsid w:val="00E3428C"/>
    <w:rsid w:val="00E34584"/>
    <w:rsid w:val="00E348F8"/>
    <w:rsid w:val="00E34AA4"/>
    <w:rsid w:val="00E34C28"/>
    <w:rsid w:val="00E355CD"/>
    <w:rsid w:val="00E35C49"/>
    <w:rsid w:val="00E360A8"/>
    <w:rsid w:val="00E366D0"/>
    <w:rsid w:val="00E36872"/>
    <w:rsid w:val="00E36B0C"/>
    <w:rsid w:val="00E36BD0"/>
    <w:rsid w:val="00E37146"/>
    <w:rsid w:val="00E371AA"/>
    <w:rsid w:val="00E374F4"/>
    <w:rsid w:val="00E375E1"/>
    <w:rsid w:val="00E37B12"/>
    <w:rsid w:val="00E402EB"/>
    <w:rsid w:val="00E40A02"/>
    <w:rsid w:val="00E40C2E"/>
    <w:rsid w:val="00E40DAE"/>
    <w:rsid w:val="00E40F54"/>
    <w:rsid w:val="00E40F62"/>
    <w:rsid w:val="00E40FBB"/>
    <w:rsid w:val="00E412DD"/>
    <w:rsid w:val="00E41342"/>
    <w:rsid w:val="00E414E2"/>
    <w:rsid w:val="00E41786"/>
    <w:rsid w:val="00E41B6A"/>
    <w:rsid w:val="00E41D31"/>
    <w:rsid w:val="00E41DD4"/>
    <w:rsid w:val="00E422C1"/>
    <w:rsid w:val="00E424FD"/>
    <w:rsid w:val="00E42ADE"/>
    <w:rsid w:val="00E42CE0"/>
    <w:rsid w:val="00E42F25"/>
    <w:rsid w:val="00E42F3A"/>
    <w:rsid w:val="00E43249"/>
    <w:rsid w:val="00E434F4"/>
    <w:rsid w:val="00E436A2"/>
    <w:rsid w:val="00E43708"/>
    <w:rsid w:val="00E43822"/>
    <w:rsid w:val="00E43B36"/>
    <w:rsid w:val="00E43C28"/>
    <w:rsid w:val="00E43E76"/>
    <w:rsid w:val="00E44020"/>
    <w:rsid w:val="00E44136"/>
    <w:rsid w:val="00E44203"/>
    <w:rsid w:val="00E44407"/>
    <w:rsid w:val="00E44484"/>
    <w:rsid w:val="00E444BF"/>
    <w:rsid w:val="00E4451E"/>
    <w:rsid w:val="00E4514A"/>
    <w:rsid w:val="00E458D8"/>
    <w:rsid w:val="00E45B3B"/>
    <w:rsid w:val="00E45D09"/>
    <w:rsid w:val="00E45E5C"/>
    <w:rsid w:val="00E46694"/>
    <w:rsid w:val="00E467FA"/>
    <w:rsid w:val="00E46990"/>
    <w:rsid w:val="00E46B1D"/>
    <w:rsid w:val="00E47558"/>
    <w:rsid w:val="00E47616"/>
    <w:rsid w:val="00E476CA"/>
    <w:rsid w:val="00E47B08"/>
    <w:rsid w:val="00E47B18"/>
    <w:rsid w:val="00E500E1"/>
    <w:rsid w:val="00E50133"/>
    <w:rsid w:val="00E50265"/>
    <w:rsid w:val="00E502C3"/>
    <w:rsid w:val="00E50588"/>
    <w:rsid w:val="00E50A82"/>
    <w:rsid w:val="00E50B42"/>
    <w:rsid w:val="00E50D8B"/>
    <w:rsid w:val="00E51006"/>
    <w:rsid w:val="00E513A6"/>
    <w:rsid w:val="00E51520"/>
    <w:rsid w:val="00E515B9"/>
    <w:rsid w:val="00E5187D"/>
    <w:rsid w:val="00E518A7"/>
    <w:rsid w:val="00E51A1A"/>
    <w:rsid w:val="00E51B17"/>
    <w:rsid w:val="00E51B69"/>
    <w:rsid w:val="00E51DD9"/>
    <w:rsid w:val="00E52395"/>
    <w:rsid w:val="00E52478"/>
    <w:rsid w:val="00E5278A"/>
    <w:rsid w:val="00E529F5"/>
    <w:rsid w:val="00E52B51"/>
    <w:rsid w:val="00E5356B"/>
    <w:rsid w:val="00E53669"/>
    <w:rsid w:val="00E53BA8"/>
    <w:rsid w:val="00E53E00"/>
    <w:rsid w:val="00E53E9A"/>
    <w:rsid w:val="00E5413B"/>
    <w:rsid w:val="00E54192"/>
    <w:rsid w:val="00E54221"/>
    <w:rsid w:val="00E542A3"/>
    <w:rsid w:val="00E5489D"/>
    <w:rsid w:val="00E54930"/>
    <w:rsid w:val="00E54C1A"/>
    <w:rsid w:val="00E5506D"/>
    <w:rsid w:val="00E5524A"/>
    <w:rsid w:val="00E557DE"/>
    <w:rsid w:val="00E55C68"/>
    <w:rsid w:val="00E55DAB"/>
    <w:rsid w:val="00E560C7"/>
    <w:rsid w:val="00E564F6"/>
    <w:rsid w:val="00E5650A"/>
    <w:rsid w:val="00E56674"/>
    <w:rsid w:val="00E56680"/>
    <w:rsid w:val="00E5684A"/>
    <w:rsid w:val="00E56943"/>
    <w:rsid w:val="00E56E00"/>
    <w:rsid w:val="00E56EF7"/>
    <w:rsid w:val="00E5707E"/>
    <w:rsid w:val="00E5732F"/>
    <w:rsid w:val="00E574EC"/>
    <w:rsid w:val="00E57536"/>
    <w:rsid w:val="00E57684"/>
    <w:rsid w:val="00E576EB"/>
    <w:rsid w:val="00E57748"/>
    <w:rsid w:val="00E57A41"/>
    <w:rsid w:val="00E57F9C"/>
    <w:rsid w:val="00E601F7"/>
    <w:rsid w:val="00E6074A"/>
    <w:rsid w:val="00E60A6F"/>
    <w:rsid w:val="00E60C88"/>
    <w:rsid w:val="00E6121C"/>
    <w:rsid w:val="00E612C7"/>
    <w:rsid w:val="00E615F9"/>
    <w:rsid w:val="00E61691"/>
    <w:rsid w:val="00E6193C"/>
    <w:rsid w:val="00E6194F"/>
    <w:rsid w:val="00E61C1C"/>
    <w:rsid w:val="00E62145"/>
    <w:rsid w:val="00E62221"/>
    <w:rsid w:val="00E6254E"/>
    <w:rsid w:val="00E629AC"/>
    <w:rsid w:val="00E62B20"/>
    <w:rsid w:val="00E62BC2"/>
    <w:rsid w:val="00E63126"/>
    <w:rsid w:val="00E63624"/>
    <w:rsid w:val="00E63B42"/>
    <w:rsid w:val="00E63DAA"/>
    <w:rsid w:val="00E63F68"/>
    <w:rsid w:val="00E64305"/>
    <w:rsid w:val="00E643AC"/>
    <w:rsid w:val="00E6486D"/>
    <w:rsid w:val="00E64B4F"/>
    <w:rsid w:val="00E64C20"/>
    <w:rsid w:val="00E650A5"/>
    <w:rsid w:val="00E65162"/>
    <w:rsid w:val="00E65297"/>
    <w:rsid w:val="00E65E1C"/>
    <w:rsid w:val="00E666BF"/>
    <w:rsid w:val="00E6689B"/>
    <w:rsid w:val="00E6745A"/>
    <w:rsid w:val="00E67587"/>
    <w:rsid w:val="00E676F1"/>
    <w:rsid w:val="00E67EC0"/>
    <w:rsid w:val="00E70405"/>
    <w:rsid w:val="00E7070D"/>
    <w:rsid w:val="00E70725"/>
    <w:rsid w:val="00E70A5B"/>
    <w:rsid w:val="00E71094"/>
    <w:rsid w:val="00E7135D"/>
    <w:rsid w:val="00E71414"/>
    <w:rsid w:val="00E716CB"/>
    <w:rsid w:val="00E716F3"/>
    <w:rsid w:val="00E7198D"/>
    <w:rsid w:val="00E71A3F"/>
    <w:rsid w:val="00E71CAA"/>
    <w:rsid w:val="00E7221D"/>
    <w:rsid w:val="00E7265A"/>
    <w:rsid w:val="00E72F0B"/>
    <w:rsid w:val="00E72FD0"/>
    <w:rsid w:val="00E7312D"/>
    <w:rsid w:val="00E7349E"/>
    <w:rsid w:val="00E735E0"/>
    <w:rsid w:val="00E73AEC"/>
    <w:rsid w:val="00E73DEB"/>
    <w:rsid w:val="00E740F7"/>
    <w:rsid w:val="00E748F7"/>
    <w:rsid w:val="00E74C47"/>
    <w:rsid w:val="00E74CFD"/>
    <w:rsid w:val="00E74ED5"/>
    <w:rsid w:val="00E751D3"/>
    <w:rsid w:val="00E752FC"/>
    <w:rsid w:val="00E756A3"/>
    <w:rsid w:val="00E756C3"/>
    <w:rsid w:val="00E75706"/>
    <w:rsid w:val="00E75899"/>
    <w:rsid w:val="00E7615F"/>
    <w:rsid w:val="00E761A5"/>
    <w:rsid w:val="00E765A6"/>
    <w:rsid w:val="00E766A8"/>
    <w:rsid w:val="00E76946"/>
    <w:rsid w:val="00E76AE0"/>
    <w:rsid w:val="00E76E8D"/>
    <w:rsid w:val="00E76EE7"/>
    <w:rsid w:val="00E76FB3"/>
    <w:rsid w:val="00E77228"/>
    <w:rsid w:val="00E7736B"/>
    <w:rsid w:val="00E7783D"/>
    <w:rsid w:val="00E7B45A"/>
    <w:rsid w:val="00E8040C"/>
    <w:rsid w:val="00E8069E"/>
    <w:rsid w:val="00E80928"/>
    <w:rsid w:val="00E80B9F"/>
    <w:rsid w:val="00E811A4"/>
    <w:rsid w:val="00E81223"/>
    <w:rsid w:val="00E812A0"/>
    <w:rsid w:val="00E812ED"/>
    <w:rsid w:val="00E8135F"/>
    <w:rsid w:val="00E81491"/>
    <w:rsid w:val="00E815EB"/>
    <w:rsid w:val="00E81630"/>
    <w:rsid w:val="00E8182E"/>
    <w:rsid w:val="00E81A87"/>
    <w:rsid w:val="00E81BCA"/>
    <w:rsid w:val="00E81E9A"/>
    <w:rsid w:val="00E81F5A"/>
    <w:rsid w:val="00E821A7"/>
    <w:rsid w:val="00E82700"/>
    <w:rsid w:val="00E829F0"/>
    <w:rsid w:val="00E83678"/>
    <w:rsid w:val="00E8378B"/>
    <w:rsid w:val="00E8389E"/>
    <w:rsid w:val="00E83948"/>
    <w:rsid w:val="00E83CF9"/>
    <w:rsid w:val="00E845C8"/>
    <w:rsid w:val="00E84619"/>
    <w:rsid w:val="00E84E04"/>
    <w:rsid w:val="00E84F13"/>
    <w:rsid w:val="00E85249"/>
    <w:rsid w:val="00E852D8"/>
    <w:rsid w:val="00E852E9"/>
    <w:rsid w:val="00E85304"/>
    <w:rsid w:val="00E853E8"/>
    <w:rsid w:val="00E85A19"/>
    <w:rsid w:val="00E85D5D"/>
    <w:rsid w:val="00E863EA"/>
    <w:rsid w:val="00E86543"/>
    <w:rsid w:val="00E866CE"/>
    <w:rsid w:val="00E87079"/>
    <w:rsid w:val="00E875FB"/>
    <w:rsid w:val="00E8761E"/>
    <w:rsid w:val="00E87789"/>
    <w:rsid w:val="00E87987"/>
    <w:rsid w:val="00E87B8F"/>
    <w:rsid w:val="00E87C49"/>
    <w:rsid w:val="00E87CFE"/>
    <w:rsid w:val="00E90303"/>
    <w:rsid w:val="00E905DD"/>
    <w:rsid w:val="00E909A7"/>
    <w:rsid w:val="00E90E07"/>
    <w:rsid w:val="00E91465"/>
    <w:rsid w:val="00E91C0B"/>
    <w:rsid w:val="00E91DE6"/>
    <w:rsid w:val="00E92114"/>
    <w:rsid w:val="00E92974"/>
    <w:rsid w:val="00E9299E"/>
    <w:rsid w:val="00E92AA3"/>
    <w:rsid w:val="00E92F98"/>
    <w:rsid w:val="00E9310F"/>
    <w:rsid w:val="00E9331D"/>
    <w:rsid w:val="00E93C53"/>
    <w:rsid w:val="00E93DA0"/>
    <w:rsid w:val="00E93EFD"/>
    <w:rsid w:val="00E93F28"/>
    <w:rsid w:val="00E9400C"/>
    <w:rsid w:val="00E9411D"/>
    <w:rsid w:val="00E94554"/>
    <w:rsid w:val="00E948B7"/>
    <w:rsid w:val="00E95266"/>
    <w:rsid w:val="00E95322"/>
    <w:rsid w:val="00E95490"/>
    <w:rsid w:val="00E957D3"/>
    <w:rsid w:val="00E958B3"/>
    <w:rsid w:val="00E95962"/>
    <w:rsid w:val="00E95D4A"/>
    <w:rsid w:val="00E95E34"/>
    <w:rsid w:val="00E960A3"/>
    <w:rsid w:val="00E96171"/>
    <w:rsid w:val="00E9651A"/>
    <w:rsid w:val="00E965AE"/>
    <w:rsid w:val="00E968C1"/>
    <w:rsid w:val="00E96AB6"/>
    <w:rsid w:val="00E96CD1"/>
    <w:rsid w:val="00E96D23"/>
    <w:rsid w:val="00E96E9C"/>
    <w:rsid w:val="00E971F6"/>
    <w:rsid w:val="00E97A2F"/>
    <w:rsid w:val="00EA0209"/>
    <w:rsid w:val="00EA03AC"/>
    <w:rsid w:val="00EA0906"/>
    <w:rsid w:val="00EA0A05"/>
    <w:rsid w:val="00EA0E54"/>
    <w:rsid w:val="00EA0F79"/>
    <w:rsid w:val="00EA11AE"/>
    <w:rsid w:val="00EA1769"/>
    <w:rsid w:val="00EA1799"/>
    <w:rsid w:val="00EA1889"/>
    <w:rsid w:val="00EA19CA"/>
    <w:rsid w:val="00EA1B21"/>
    <w:rsid w:val="00EA1B24"/>
    <w:rsid w:val="00EA1FA6"/>
    <w:rsid w:val="00EA210F"/>
    <w:rsid w:val="00EA217C"/>
    <w:rsid w:val="00EA23C0"/>
    <w:rsid w:val="00EA2461"/>
    <w:rsid w:val="00EA29E4"/>
    <w:rsid w:val="00EA2A00"/>
    <w:rsid w:val="00EA2A40"/>
    <w:rsid w:val="00EA2FFD"/>
    <w:rsid w:val="00EA3413"/>
    <w:rsid w:val="00EA3671"/>
    <w:rsid w:val="00EA3B05"/>
    <w:rsid w:val="00EA404C"/>
    <w:rsid w:val="00EA438C"/>
    <w:rsid w:val="00EA450D"/>
    <w:rsid w:val="00EA483E"/>
    <w:rsid w:val="00EA484F"/>
    <w:rsid w:val="00EA48DA"/>
    <w:rsid w:val="00EA490C"/>
    <w:rsid w:val="00EA4B74"/>
    <w:rsid w:val="00EA4F35"/>
    <w:rsid w:val="00EA4F7F"/>
    <w:rsid w:val="00EA517D"/>
    <w:rsid w:val="00EA54F4"/>
    <w:rsid w:val="00EA55BD"/>
    <w:rsid w:val="00EA5730"/>
    <w:rsid w:val="00EA573E"/>
    <w:rsid w:val="00EA5C45"/>
    <w:rsid w:val="00EA5D12"/>
    <w:rsid w:val="00EA61EC"/>
    <w:rsid w:val="00EA6560"/>
    <w:rsid w:val="00EA6617"/>
    <w:rsid w:val="00EA6B5B"/>
    <w:rsid w:val="00EA6DEE"/>
    <w:rsid w:val="00EA7009"/>
    <w:rsid w:val="00EA71A5"/>
    <w:rsid w:val="00EA727F"/>
    <w:rsid w:val="00EA7326"/>
    <w:rsid w:val="00EA73C9"/>
    <w:rsid w:val="00EA744E"/>
    <w:rsid w:val="00EA74B8"/>
    <w:rsid w:val="00EA7A6F"/>
    <w:rsid w:val="00EA7C6B"/>
    <w:rsid w:val="00EA7D61"/>
    <w:rsid w:val="00EA7F36"/>
    <w:rsid w:val="00EB0314"/>
    <w:rsid w:val="00EB05CF"/>
    <w:rsid w:val="00EB065A"/>
    <w:rsid w:val="00EB065D"/>
    <w:rsid w:val="00EB06EC"/>
    <w:rsid w:val="00EB0865"/>
    <w:rsid w:val="00EB0A21"/>
    <w:rsid w:val="00EB0ABA"/>
    <w:rsid w:val="00EB0DEA"/>
    <w:rsid w:val="00EB0E36"/>
    <w:rsid w:val="00EB0F21"/>
    <w:rsid w:val="00EB0F96"/>
    <w:rsid w:val="00EB19A3"/>
    <w:rsid w:val="00EB1F63"/>
    <w:rsid w:val="00EB20BA"/>
    <w:rsid w:val="00EB20FD"/>
    <w:rsid w:val="00EB220E"/>
    <w:rsid w:val="00EB2210"/>
    <w:rsid w:val="00EB260D"/>
    <w:rsid w:val="00EB26DE"/>
    <w:rsid w:val="00EB27BC"/>
    <w:rsid w:val="00EB29AA"/>
    <w:rsid w:val="00EB2B3C"/>
    <w:rsid w:val="00EB2D15"/>
    <w:rsid w:val="00EB321E"/>
    <w:rsid w:val="00EB3A39"/>
    <w:rsid w:val="00EB400F"/>
    <w:rsid w:val="00EB46B0"/>
    <w:rsid w:val="00EB473E"/>
    <w:rsid w:val="00EB507B"/>
    <w:rsid w:val="00EB589D"/>
    <w:rsid w:val="00EB5DA7"/>
    <w:rsid w:val="00EB6382"/>
    <w:rsid w:val="00EB652D"/>
    <w:rsid w:val="00EB66DE"/>
    <w:rsid w:val="00EB67E3"/>
    <w:rsid w:val="00EB67EC"/>
    <w:rsid w:val="00EB6985"/>
    <w:rsid w:val="00EB6A2A"/>
    <w:rsid w:val="00EB6A32"/>
    <w:rsid w:val="00EB6A62"/>
    <w:rsid w:val="00EB6CCF"/>
    <w:rsid w:val="00EB6DBC"/>
    <w:rsid w:val="00EB78AE"/>
    <w:rsid w:val="00EB7C2E"/>
    <w:rsid w:val="00EC0086"/>
    <w:rsid w:val="00EC0508"/>
    <w:rsid w:val="00EC0519"/>
    <w:rsid w:val="00EC05A4"/>
    <w:rsid w:val="00EC0611"/>
    <w:rsid w:val="00EC0638"/>
    <w:rsid w:val="00EC0D71"/>
    <w:rsid w:val="00EC0F72"/>
    <w:rsid w:val="00EC114F"/>
    <w:rsid w:val="00EC1388"/>
    <w:rsid w:val="00EC1B88"/>
    <w:rsid w:val="00EC1C83"/>
    <w:rsid w:val="00EC1DCA"/>
    <w:rsid w:val="00EC1F66"/>
    <w:rsid w:val="00EC215D"/>
    <w:rsid w:val="00EC2271"/>
    <w:rsid w:val="00EC2841"/>
    <w:rsid w:val="00EC28B6"/>
    <w:rsid w:val="00EC29E6"/>
    <w:rsid w:val="00EC3240"/>
    <w:rsid w:val="00EC33A0"/>
    <w:rsid w:val="00EC3583"/>
    <w:rsid w:val="00EC3613"/>
    <w:rsid w:val="00EC36BA"/>
    <w:rsid w:val="00EC36E3"/>
    <w:rsid w:val="00EC3848"/>
    <w:rsid w:val="00EC386B"/>
    <w:rsid w:val="00EC3CA5"/>
    <w:rsid w:val="00EC3D79"/>
    <w:rsid w:val="00EC41E5"/>
    <w:rsid w:val="00EC4597"/>
    <w:rsid w:val="00EC46EA"/>
    <w:rsid w:val="00EC476F"/>
    <w:rsid w:val="00EC4836"/>
    <w:rsid w:val="00EC4AE2"/>
    <w:rsid w:val="00EC4B97"/>
    <w:rsid w:val="00EC5088"/>
    <w:rsid w:val="00EC5096"/>
    <w:rsid w:val="00EC509F"/>
    <w:rsid w:val="00EC5802"/>
    <w:rsid w:val="00EC5E4F"/>
    <w:rsid w:val="00EC628E"/>
    <w:rsid w:val="00EC6489"/>
    <w:rsid w:val="00EC6F00"/>
    <w:rsid w:val="00EC70E3"/>
    <w:rsid w:val="00EC71B1"/>
    <w:rsid w:val="00EC725D"/>
    <w:rsid w:val="00EC7466"/>
    <w:rsid w:val="00EC748A"/>
    <w:rsid w:val="00EC7662"/>
    <w:rsid w:val="00EC78A6"/>
    <w:rsid w:val="00EC7D6E"/>
    <w:rsid w:val="00EC7E75"/>
    <w:rsid w:val="00ED0ABC"/>
    <w:rsid w:val="00ED0E73"/>
    <w:rsid w:val="00ED0ED8"/>
    <w:rsid w:val="00ED100F"/>
    <w:rsid w:val="00ED10D3"/>
    <w:rsid w:val="00ED11AF"/>
    <w:rsid w:val="00ED1B2D"/>
    <w:rsid w:val="00ED1B3B"/>
    <w:rsid w:val="00ED2093"/>
    <w:rsid w:val="00ED213B"/>
    <w:rsid w:val="00ED24E8"/>
    <w:rsid w:val="00ED26B5"/>
    <w:rsid w:val="00ED27FF"/>
    <w:rsid w:val="00ED2823"/>
    <w:rsid w:val="00ED2941"/>
    <w:rsid w:val="00ED2963"/>
    <w:rsid w:val="00ED29CA"/>
    <w:rsid w:val="00ED2E84"/>
    <w:rsid w:val="00ED2F22"/>
    <w:rsid w:val="00ED3113"/>
    <w:rsid w:val="00ED31ED"/>
    <w:rsid w:val="00ED321B"/>
    <w:rsid w:val="00ED3C14"/>
    <w:rsid w:val="00ED3EB9"/>
    <w:rsid w:val="00ED3FFE"/>
    <w:rsid w:val="00ED42BC"/>
    <w:rsid w:val="00ED47D9"/>
    <w:rsid w:val="00ED49A8"/>
    <w:rsid w:val="00ED51E4"/>
    <w:rsid w:val="00ED539E"/>
    <w:rsid w:val="00ED53F1"/>
    <w:rsid w:val="00ED5721"/>
    <w:rsid w:val="00ED57EC"/>
    <w:rsid w:val="00ED5C95"/>
    <w:rsid w:val="00ED5D5F"/>
    <w:rsid w:val="00ED5DED"/>
    <w:rsid w:val="00ED5E05"/>
    <w:rsid w:val="00ED5E38"/>
    <w:rsid w:val="00ED6420"/>
    <w:rsid w:val="00ED65A5"/>
    <w:rsid w:val="00ED69D7"/>
    <w:rsid w:val="00ED6AFD"/>
    <w:rsid w:val="00ED701E"/>
    <w:rsid w:val="00ED7293"/>
    <w:rsid w:val="00ED753C"/>
    <w:rsid w:val="00ED766A"/>
    <w:rsid w:val="00ED77A6"/>
    <w:rsid w:val="00ED77C2"/>
    <w:rsid w:val="00ED786C"/>
    <w:rsid w:val="00ED79BC"/>
    <w:rsid w:val="00ED7A12"/>
    <w:rsid w:val="00ED7CC6"/>
    <w:rsid w:val="00ED7FF1"/>
    <w:rsid w:val="00EE01D0"/>
    <w:rsid w:val="00EE0375"/>
    <w:rsid w:val="00EE0479"/>
    <w:rsid w:val="00EE0523"/>
    <w:rsid w:val="00EE058F"/>
    <w:rsid w:val="00EE0628"/>
    <w:rsid w:val="00EE0658"/>
    <w:rsid w:val="00EE08F5"/>
    <w:rsid w:val="00EE0A29"/>
    <w:rsid w:val="00EE0D7F"/>
    <w:rsid w:val="00EE11FA"/>
    <w:rsid w:val="00EE1280"/>
    <w:rsid w:val="00EE185A"/>
    <w:rsid w:val="00EE1D3D"/>
    <w:rsid w:val="00EE1E32"/>
    <w:rsid w:val="00EE2134"/>
    <w:rsid w:val="00EE2253"/>
    <w:rsid w:val="00EE27BA"/>
    <w:rsid w:val="00EE30F2"/>
    <w:rsid w:val="00EE3137"/>
    <w:rsid w:val="00EE33C7"/>
    <w:rsid w:val="00EE3452"/>
    <w:rsid w:val="00EE3753"/>
    <w:rsid w:val="00EE3860"/>
    <w:rsid w:val="00EE3F07"/>
    <w:rsid w:val="00EE4164"/>
    <w:rsid w:val="00EE423F"/>
    <w:rsid w:val="00EE4490"/>
    <w:rsid w:val="00EE4C1A"/>
    <w:rsid w:val="00EE4EEF"/>
    <w:rsid w:val="00EE5524"/>
    <w:rsid w:val="00EE564F"/>
    <w:rsid w:val="00EE5BCE"/>
    <w:rsid w:val="00EE5FF6"/>
    <w:rsid w:val="00EE60A2"/>
    <w:rsid w:val="00EE6357"/>
    <w:rsid w:val="00EE6728"/>
    <w:rsid w:val="00EE6832"/>
    <w:rsid w:val="00EE6C25"/>
    <w:rsid w:val="00EE6EB3"/>
    <w:rsid w:val="00EE74B4"/>
    <w:rsid w:val="00EE7552"/>
    <w:rsid w:val="00EE78AF"/>
    <w:rsid w:val="00EE7AB8"/>
    <w:rsid w:val="00EF00C8"/>
    <w:rsid w:val="00EF00E6"/>
    <w:rsid w:val="00EF0168"/>
    <w:rsid w:val="00EF0317"/>
    <w:rsid w:val="00EF057E"/>
    <w:rsid w:val="00EF0746"/>
    <w:rsid w:val="00EF0799"/>
    <w:rsid w:val="00EF0CA9"/>
    <w:rsid w:val="00EF1462"/>
    <w:rsid w:val="00EF16CC"/>
    <w:rsid w:val="00EF1755"/>
    <w:rsid w:val="00EF1777"/>
    <w:rsid w:val="00EF1803"/>
    <w:rsid w:val="00EF1A2C"/>
    <w:rsid w:val="00EF1C6A"/>
    <w:rsid w:val="00EF1D12"/>
    <w:rsid w:val="00EF200F"/>
    <w:rsid w:val="00EF228E"/>
    <w:rsid w:val="00EF257E"/>
    <w:rsid w:val="00EF265A"/>
    <w:rsid w:val="00EF2FF9"/>
    <w:rsid w:val="00EF3183"/>
    <w:rsid w:val="00EF3518"/>
    <w:rsid w:val="00EF352D"/>
    <w:rsid w:val="00EF368F"/>
    <w:rsid w:val="00EF3D58"/>
    <w:rsid w:val="00EF3DC1"/>
    <w:rsid w:val="00EF3E2B"/>
    <w:rsid w:val="00EF42CA"/>
    <w:rsid w:val="00EF433E"/>
    <w:rsid w:val="00EF4401"/>
    <w:rsid w:val="00EF44A9"/>
    <w:rsid w:val="00EF4C57"/>
    <w:rsid w:val="00EF5552"/>
    <w:rsid w:val="00EF5786"/>
    <w:rsid w:val="00EF57DC"/>
    <w:rsid w:val="00EF5ADF"/>
    <w:rsid w:val="00EF5B5D"/>
    <w:rsid w:val="00EF5BB9"/>
    <w:rsid w:val="00EF5CDE"/>
    <w:rsid w:val="00EF6029"/>
    <w:rsid w:val="00EF61AB"/>
    <w:rsid w:val="00EF630A"/>
    <w:rsid w:val="00EF68A9"/>
    <w:rsid w:val="00EF6BD3"/>
    <w:rsid w:val="00EF6D61"/>
    <w:rsid w:val="00EF6D76"/>
    <w:rsid w:val="00EF6E75"/>
    <w:rsid w:val="00EF7063"/>
    <w:rsid w:val="00EF7084"/>
    <w:rsid w:val="00EF74CA"/>
    <w:rsid w:val="00EF77F1"/>
    <w:rsid w:val="00EF7B17"/>
    <w:rsid w:val="00EF7CEC"/>
    <w:rsid w:val="00F002AE"/>
    <w:rsid w:val="00F00508"/>
    <w:rsid w:val="00F009D1"/>
    <w:rsid w:val="00F00ABC"/>
    <w:rsid w:val="00F00ACF"/>
    <w:rsid w:val="00F0129C"/>
    <w:rsid w:val="00F01551"/>
    <w:rsid w:val="00F01577"/>
    <w:rsid w:val="00F0199F"/>
    <w:rsid w:val="00F01D74"/>
    <w:rsid w:val="00F01FB6"/>
    <w:rsid w:val="00F023A2"/>
    <w:rsid w:val="00F0245B"/>
    <w:rsid w:val="00F0260E"/>
    <w:rsid w:val="00F0311F"/>
    <w:rsid w:val="00F03476"/>
    <w:rsid w:val="00F038CB"/>
    <w:rsid w:val="00F03B39"/>
    <w:rsid w:val="00F03DFD"/>
    <w:rsid w:val="00F03E49"/>
    <w:rsid w:val="00F03F46"/>
    <w:rsid w:val="00F04052"/>
    <w:rsid w:val="00F049CE"/>
    <w:rsid w:val="00F04A67"/>
    <w:rsid w:val="00F04FED"/>
    <w:rsid w:val="00F054A4"/>
    <w:rsid w:val="00F05684"/>
    <w:rsid w:val="00F056BE"/>
    <w:rsid w:val="00F0578E"/>
    <w:rsid w:val="00F057BC"/>
    <w:rsid w:val="00F05AD1"/>
    <w:rsid w:val="00F05B15"/>
    <w:rsid w:val="00F05B1C"/>
    <w:rsid w:val="00F05D1A"/>
    <w:rsid w:val="00F05E8E"/>
    <w:rsid w:val="00F060F9"/>
    <w:rsid w:val="00F0649D"/>
    <w:rsid w:val="00F06673"/>
    <w:rsid w:val="00F06961"/>
    <w:rsid w:val="00F069EE"/>
    <w:rsid w:val="00F06B83"/>
    <w:rsid w:val="00F06E03"/>
    <w:rsid w:val="00F06E49"/>
    <w:rsid w:val="00F07516"/>
    <w:rsid w:val="00F078A1"/>
    <w:rsid w:val="00F0794D"/>
    <w:rsid w:val="00F07987"/>
    <w:rsid w:val="00F07E0A"/>
    <w:rsid w:val="00F10215"/>
    <w:rsid w:val="00F10318"/>
    <w:rsid w:val="00F104B2"/>
    <w:rsid w:val="00F1066F"/>
    <w:rsid w:val="00F106AE"/>
    <w:rsid w:val="00F1105A"/>
    <w:rsid w:val="00F11065"/>
    <w:rsid w:val="00F11099"/>
    <w:rsid w:val="00F113D9"/>
    <w:rsid w:val="00F11685"/>
    <w:rsid w:val="00F117EB"/>
    <w:rsid w:val="00F118CB"/>
    <w:rsid w:val="00F11C08"/>
    <w:rsid w:val="00F11E76"/>
    <w:rsid w:val="00F1251B"/>
    <w:rsid w:val="00F1285E"/>
    <w:rsid w:val="00F12A84"/>
    <w:rsid w:val="00F12BD5"/>
    <w:rsid w:val="00F12EBB"/>
    <w:rsid w:val="00F131F3"/>
    <w:rsid w:val="00F1333E"/>
    <w:rsid w:val="00F133C9"/>
    <w:rsid w:val="00F13570"/>
    <w:rsid w:val="00F136FA"/>
    <w:rsid w:val="00F13EC9"/>
    <w:rsid w:val="00F1415F"/>
    <w:rsid w:val="00F14201"/>
    <w:rsid w:val="00F14251"/>
    <w:rsid w:val="00F14310"/>
    <w:rsid w:val="00F14880"/>
    <w:rsid w:val="00F14A05"/>
    <w:rsid w:val="00F14B49"/>
    <w:rsid w:val="00F14F50"/>
    <w:rsid w:val="00F1508C"/>
    <w:rsid w:val="00F1578E"/>
    <w:rsid w:val="00F15A99"/>
    <w:rsid w:val="00F15F47"/>
    <w:rsid w:val="00F15F62"/>
    <w:rsid w:val="00F1624B"/>
    <w:rsid w:val="00F163E0"/>
    <w:rsid w:val="00F16458"/>
    <w:rsid w:val="00F16592"/>
    <w:rsid w:val="00F16E61"/>
    <w:rsid w:val="00F1712A"/>
    <w:rsid w:val="00F17494"/>
    <w:rsid w:val="00F174F5"/>
    <w:rsid w:val="00F17D53"/>
    <w:rsid w:val="00F17EE8"/>
    <w:rsid w:val="00F20763"/>
    <w:rsid w:val="00F208C0"/>
    <w:rsid w:val="00F20C03"/>
    <w:rsid w:val="00F20D90"/>
    <w:rsid w:val="00F214FD"/>
    <w:rsid w:val="00F21AA7"/>
    <w:rsid w:val="00F22047"/>
    <w:rsid w:val="00F22540"/>
    <w:rsid w:val="00F22594"/>
    <w:rsid w:val="00F2264F"/>
    <w:rsid w:val="00F227BF"/>
    <w:rsid w:val="00F227C8"/>
    <w:rsid w:val="00F22A13"/>
    <w:rsid w:val="00F22E27"/>
    <w:rsid w:val="00F2302B"/>
    <w:rsid w:val="00F2320C"/>
    <w:rsid w:val="00F232CA"/>
    <w:rsid w:val="00F2363D"/>
    <w:rsid w:val="00F23BEA"/>
    <w:rsid w:val="00F23CB7"/>
    <w:rsid w:val="00F240D9"/>
    <w:rsid w:val="00F2426E"/>
    <w:rsid w:val="00F2451B"/>
    <w:rsid w:val="00F24597"/>
    <w:rsid w:val="00F247F2"/>
    <w:rsid w:val="00F24802"/>
    <w:rsid w:val="00F24A52"/>
    <w:rsid w:val="00F24B9C"/>
    <w:rsid w:val="00F24BB7"/>
    <w:rsid w:val="00F24C33"/>
    <w:rsid w:val="00F24C6C"/>
    <w:rsid w:val="00F24DDD"/>
    <w:rsid w:val="00F24E7C"/>
    <w:rsid w:val="00F24FC8"/>
    <w:rsid w:val="00F2514D"/>
    <w:rsid w:val="00F2517A"/>
    <w:rsid w:val="00F2536E"/>
    <w:rsid w:val="00F2551C"/>
    <w:rsid w:val="00F255FF"/>
    <w:rsid w:val="00F25693"/>
    <w:rsid w:val="00F257B5"/>
    <w:rsid w:val="00F258BE"/>
    <w:rsid w:val="00F25B3A"/>
    <w:rsid w:val="00F25B91"/>
    <w:rsid w:val="00F25D00"/>
    <w:rsid w:val="00F25E64"/>
    <w:rsid w:val="00F26014"/>
    <w:rsid w:val="00F260CC"/>
    <w:rsid w:val="00F2635C"/>
    <w:rsid w:val="00F26633"/>
    <w:rsid w:val="00F26E32"/>
    <w:rsid w:val="00F26E50"/>
    <w:rsid w:val="00F26FF8"/>
    <w:rsid w:val="00F27030"/>
    <w:rsid w:val="00F2720E"/>
    <w:rsid w:val="00F27225"/>
    <w:rsid w:val="00F27568"/>
    <w:rsid w:val="00F2768A"/>
    <w:rsid w:val="00F2776D"/>
    <w:rsid w:val="00F27CFA"/>
    <w:rsid w:val="00F27ECE"/>
    <w:rsid w:val="00F27F6C"/>
    <w:rsid w:val="00F3082F"/>
    <w:rsid w:val="00F30AFD"/>
    <w:rsid w:val="00F30B38"/>
    <w:rsid w:val="00F30C04"/>
    <w:rsid w:val="00F30C25"/>
    <w:rsid w:val="00F30C77"/>
    <w:rsid w:val="00F30D51"/>
    <w:rsid w:val="00F30F1A"/>
    <w:rsid w:val="00F30FB3"/>
    <w:rsid w:val="00F31269"/>
    <w:rsid w:val="00F317BF"/>
    <w:rsid w:val="00F31C66"/>
    <w:rsid w:val="00F31D04"/>
    <w:rsid w:val="00F31E22"/>
    <w:rsid w:val="00F31FAA"/>
    <w:rsid w:val="00F32168"/>
    <w:rsid w:val="00F32650"/>
    <w:rsid w:val="00F3270E"/>
    <w:rsid w:val="00F32E39"/>
    <w:rsid w:val="00F32EF6"/>
    <w:rsid w:val="00F33171"/>
    <w:rsid w:val="00F334F8"/>
    <w:rsid w:val="00F33B1C"/>
    <w:rsid w:val="00F33D96"/>
    <w:rsid w:val="00F33F5E"/>
    <w:rsid w:val="00F34208"/>
    <w:rsid w:val="00F342BA"/>
    <w:rsid w:val="00F34540"/>
    <w:rsid w:val="00F346E6"/>
    <w:rsid w:val="00F34A7A"/>
    <w:rsid w:val="00F34D45"/>
    <w:rsid w:val="00F34F05"/>
    <w:rsid w:val="00F35025"/>
    <w:rsid w:val="00F35291"/>
    <w:rsid w:val="00F352DF"/>
    <w:rsid w:val="00F35ADD"/>
    <w:rsid w:val="00F35D88"/>
    <w:rsid w:val="00F368AE"/>
    <w:rsid w:val="00F36EC7"/>
    <w:rsid w:val="00F36F92"/>
    <w:rsid w:val="00F36FE0"/>
    <w:rsid w:val="00F37023"/>
    <w:rsid w:val="00F37111"/>
    <w:rsid w:val="00F37581"/>
    <w:rsid w:val="00F375BB"/>
    <w:rsid w:val="00F3764C"/>
    <w:rsid w:val="00F37AEB"/>
    <w:rsid w:val="00F37E6A"/>
    <w:rsid w:val="00F37F06"/>
    <w:rsid w:val="00F37F61"/>
    <w:rsid w:val="00F4007B"/>
    <w:rsid w:val="00F40864"/>
    <w:rsid w:val="00F41052"/>
    <w:rsid w:val="00F4109F"/>
    <w:rsid w:val="00F419C9"/>
    <w:rsid w:val="00F41BEC"/>
    <w:rsid w:val="00F41C6B"/>
    <w:rsid w:val="00F41E0A"/>
    <w:rsid w:val="00F41F4B"/>
    <w:rsid w:val="00F427FC"/>
    <w:rsid w:val="00F42F8D"/>
    <w:rsid w:val="00F43857"/>
    <w:rsid w:val="00F43D35"/>
    <w:rsid w:val="00F43F70"/>
    <w:rsid w:val="00F4406E"/>
    <w:rsid w:val="00F44158"/>
    <w:rsid w:val="00F44186"/>
    <w:rsid w:val="00F44258"/>
    <w:rsid w:val="00F4429D"/>
    <w:rsid w:val="00F447F2"/>
    <w:rsid w:val="00F44895"/>
    <w:rsid w:val="00F44A60"/>
    <w:rsid w:val="00F4500A"/>
    <w:rsid w:val="00F45478"/>
    <w:rsid w:val="00F4548B"/>
    <w:rsid w:val="00F4568A"/>
    <w:rsid w:val="00F4594E"/>
    <w:rsid w:val="00F46246"/>
    <w:rsid w:val="00F463ED"/>
    <w:rsid w:val="00F463F7"/>
    <w:rsid w:val="00F4663A"/>
    <w:rsid w:val="00F469A9"/>
    <w:rsid w:val="00F46F8E"/>
    <w:rsid w:val="00F46F9E"/>
    <w:rsid w:val="00F46FEC"/>
    <w:rsid w:val="00F47385"/>
    <w:rsid w:val="00F47B2E"/>
    <w:rsid w:val="00F47C13"/>
    <w:rsid w:val="00F47E38"/>
    <w:rsid w:val="00F5020A"/>
    <w:rsid w:val="00F5056D"/>
    <w:rsid w:val="00F50585"/>
    <w:rsid w:val="00F506B9"/>
    <w:rsid w:val="00F5071A"/>
    <w:rsid w:val="00F50ACD"/>
    <w:rsid w:val="00F5124B"/>
    <w:rsid w:val="00F516E3"/>
    <w:rsid w:val="00F51916"/>
    <w:rsid w:val="00F519E0"/>
    <w:rsid w:val="00F51EFB"/>
    <w:rsid w:val="00F51F87"/>
    <w:rsid w:val="00F52020"/>
    <w:rsid w:val="00F52079"/>
    <w:rsid w:val="00F521D6"/>
    <w:rsid w:val="00F523F5"/>
    <w:rsid w:val="00F52896"/>
    <w:rsid w:val="00F528F9"/>
    <w:rsid w:val="00F52C91"/>
    <w:rsid w:val="00F52D80"/>
    <w:rsid w:val="00F5301F"/>
    <w:rsid w:val="00F531E9"/>
    <w:rsid w:val="00F53462"/>
    <w:rsid w:val="00F5348B"/>
    <w:rsid w:val="00F534D1"/>
    <w:rsid w:val="00F53605"/>
    <w:rsid w:val="00F53CB6"/>
    <w:rsid w:val="00F53E19"/>
    <w:rsid w:val="00F53EF8"/>
    <w:rsid w:val="00F540AF"/>
    <w:rsid w:val="00F54394"/>
    <w:rsid w:val="00F543E1"/>
    <w:rsid w:val="00F54832"/>
    <w:rsid w:val="00F549D8"/>
    <w:rsid w:val="00F54D9F"/>
    <w:rsid w:val="00F550A3"/>
    <w:rsid w:val="00F550FA"/>
    <w:rsid w:val="00F55109"/>
    <w:rsid w:val="00F5512E"/>
    <w:rsid w:val="00F5518B"/>
    <w:rsid w:val="00F55263"/>
    <w:rsid w:val="00F5559C"/>
    <w:rsid w:val="00F556A6"/>
    <w:rsid w:val="00F559A2"/>
    <w:rsid w:val="00F55BCF"/>
    <w:rsid w:val="00F5607F"/>
    <w:rsid w:val="00F56099"/>
    <w:rsid w:val="00F56148"/>
    <w:rsid w:val="00F56B20"/>
    <w:rsid w:val="00F56B94"/>
    <w:rsid w:val="00F570AF"/>
    <w:rsid w:val="00F57227"/>
    <w:rsid w:val="00F57358"/>
    <w:rsid w:val="00F57885"/>
    <w:rsid w:val="00F57B76"/>
    <w:rsid w:val="00F601B4"/>
    <w:rsid w:val="00F6032E"/>
    <w:rsid w:val="00F60832"/>
    <w:rsid w:val="00F6094C"/>
    <w:rsid w:val="00F60A3E"/>
    <w:rsid w:val="00F60A74"/>
    <w:rsid w:val="00F60B63"/>
    <w:rsid w:val="00F60BFF"/>
    <w:rsid w:val="00F60F2E"/>
    <w:rsid w:val="00F6121D"/>
    <w:rsid w:val="00F6123E"/>
    <w:rsid w:val="00F614B2"/>
    <w:rsid w:val="00F618D9"/>
    <w:rsid w:val="00F61A94"/>
    <w:rsid w:val="00F61C3A"/>
    <w:rsid w:val="00F61CA2"/>
    <w:rsid w:val="00F61DBF"/>
    <w:rsid w:val="00F61E20"/>
    <w:rsid w:val="00F61F80"/>
    <w:rsid w:val="00F62243"/>
    <w:rsid w:val="00F62557"/>
    <w:rsid w:val="00F6268C"/>
    <w:rsid w:val="00F626A8"/>
    <w:rsid w:val="00F626FF"/>
    <w:rsid w:val="00F628D1"/>
    <w:rsid w:val="00F629D7"/>
    <w:rsid w:val="00F63060"/>
    <w:rsid w:val="00F630FE"/>
    <w:rsid w:val="00F6372D"/>
    <w:rsid w:val="00F63CC0"/>
    <w:rsid w:val="00F63D26"/>
    <w:rsid w:val="00F63DC5"/>
    <w:rsid w:val="00F64141"/>
    <w:rsid w:val="00F6428C"/>
    <w:rsid w:val="00F64489"/>
    <w:rsid w:val="00F64868"/>
    <w:rsid w:val="00F64B3C"/>
    <w:rsid w:val="00F64C64"/>
    <w:rsid w:val="00F64CC5"/>
    <w:rsid w:val="00F653EB"/>
    <w:rsid w:val="00F6553B"/>
    <w:rsid w:val="00F66144"/>
    <w:rsid w:val="00F661C1"/>
    <w:rsid w:val="00F666EB"/>
    <w:rsid w:val="00F669A5"/>
    <w:rsid w:val="00F66DFA"/>
    <w:rsid w:val="00F6713F"/>
    <w:rsid w:val="00F6729F"/>
    <w:rsid w:val="00F6743C"/>
    <w:rsid w:val="00F67607"/>
    <w:rsid w:val="00F67B2E"/>
    <w:rsid w:val="00F7063C"/>
    <w:rsid w:val="00F70D14"/>
    <w:rsid w:val="00F70D42"/>
    <w:rsid w:val="00F70F5D"/>
    <w:rsid w:val="00F7129A"/>
    <w:rsid w:val="00F7158F"/>
    <w:rsid w:val="00F715B1"/>
    <w:rsid w:val="00F717C3"/>
    <w:rsid w:val="00F7191B"/>
    <w:rsid w:val="00F71D2B"/>
    <w:rsid w:val="00F71E41"/>
    <w:rsid w:val="00F72031"/>
    <w:rsid w:val="00F7251D"/>
    <w:rsid w:val="00F7285B"/>
    <w:rsid w:val="00F728EC"/>
    <w:rsid w:val="00F72B06"/>
    <w:rsid w:val="00F732D0"/>
    <w:rsid w:val="00F73360"/>
    <w:rsid w:val="00F738EE"/>
    <w:rsid w:val="00F74159"/>
    <w:rsid w:val="00F74834"/>
    <w:rsid w:val="00F74B51"/>
    <w:rsid w:val="00F74B83"/>
    <w:rsid w:val="00F753C2"/>
    <w:rsid w:val="00F759F0"/>
    <w:rsid w:val="00F75B5B"/>
    <w:rsid w:val="00F75D63"/>
    <w:rsid w:val="00F75E5D"/>
    <w:rsid w:val="00F7642B"/>
    <w:rsid w:val="00F7658F"/>
    <w:rsid w:val="00F7667C"/>
    <w:rsid w:val="00F768B1"/>
    <w:rsid w:val="00F76A02"/>
    <w:rsid w:val="00F76B60"/>
    <w:rsid w:val="00F76BC4"/>
    <w:rsid w:val="00F76C07"/>
    <w:rsid w:val="00F76D15"/>
    <w:rsid w:val="00F76D58"/>
    <w:rsid w:val="00F771F0"/>
    <w:rsid w:val="00F77A22"/>
    <w:rsid w:val="00F77D86"/>
    <w:rsid w:val="00F77DA6"/>
    <w:rsid w:val="00F77E71"/>
    <w:rsid w:val="00F802FD"/>
    <w:rsid w:val="00F807EC"/>
    <w:rsid w:val="00F80950"/>
    <w:rsid w:val="00F80D52"/>
    <w:rsid w:val="00F81185"/>
    <w:rsid w:val="00F81362"/>
    <w:rsid w:val="00F81442"/>
    <w:rsid w:val="00F8150A"/>
    <w:rsid w:val="00F815A8"/>
    <w:rsid w:val="00F8168C"/>
    <w:rsid w:val="00F81847"/>
    <w:rsid w:val="00F81D55"/>
    <w:rsid w:val="00F81DBE"/>
    <w:rsid w:val="00F81DDD"/>
    <w:rsid w:val="00F81EF0"/>
    <w:rsid w:val="00F81FD0"/>
    <w:rsid w:val="00F8215F"/>
    <w:rsid w:val="00F82368"/>
    <w:rsid w:val="00F8245C"/>
    <w:rsid w:val="00F82CB7"/>
    <w:rsid w:val="00F831AB"/>
    <w:rsid w:val="00F83466"/>
    <w:rsid w:val="00F83A04"/>
    <w:rsid w:val="00F83B15"/>
    <w:rsid w:val="00F844D6"/>
    <w:rsid w:val="00F84506"/>
    <w:rsid w:val="00F846BE"/>
    <w:rsid w:val="00F848A7"/>
    <w:rsid w:val="00F84A30"/>
    <w:rsid w:val="00F84CF4"/>
    <w:rsid w:val="00F84E32"/>
    <w:rsid w:val="00F84E4A"/>
    <w:rsid w:val="00F85479"/>
    <w:rsid w:val="00F85491"/>
    <w:rsid w:val="00F854EE"/>
    <w:rsid w:val="00F859E4"/>
    <w:rsid w:val="00F85E9E"/>
    <w:rsid w:val="00F85EF2"/>
    <w:rsid w:val="00F8607E"/>
    <w:rsid w:val="00F86124"/>
    <w:rsid w:val="00F86179"/>
    <w:rsid w:val="00F8638B"/>
    <w:rsid w:val="00F8655C"/>
    <w:rsid w:val="00F8698F"/>
    <w:rsid w:val="00F86A1A"/>
    <w:rsid w:val="00F86DA0"/>
    <w:rsid w:val="00F86F8C"/>
    <w:rsid w:val="00F87468"/>
    <w:rsid w:val="00F874E5"/>
    <w:rsid w:val="00F8755E"/>
    <w:rsid w:val="00F87578"/>
    <w:rsid w:val="00F8767F"/>
    <w:rsid w:val="00F87CD9"/>
    <w:rsid w:val="00F9062F"/>
    <w:rsid w:val="00F9098E"/>
    <w:rsid w:val="00F909AE"/>
    <w:rsid w:val="00F90A4F"/>
    <w:rsid w:val="00F90A56"/>
    <w:rsid w:val="00F90AFE"/>
    <w:rsid w:val="00F90C89"/>
    <w:rsid w:val="00F91037"/>
    <w:rsid w:val="00F9111B"/>
    <w:rsid w:val="00F91353"/>
    <w:rsid w:val="00F917EC"/>
    <w:rsid w:val="00F91BE0"/>
    <w:rsid w:val="00F91E9F"/>
    <w:rsid w:val="00F92011"/>
    <w:rsid w:val="00F9205F"/>
    <w:rsid w:val="00F92162"/>
    <w:rsid w:val="00F921F6"/>
    <w:rsid w:val="00F925AD"/>
    <w:rsid w:val="00F926AF"/>
    <w:rsid w:val="00F92767"/>
    <w:rsid w:val="00F92796"/>
    <w:rsid w:val="00F929E1"/>
    <w:rsid w:val="00F92AFD"/>
    <w:rsid w:val="00F933A7"/>
    <w:rsid w:val="00F933CC"/>
    <w:rsid w:val="00F9377F"/>
    <w:rsid w:val="00F937E6"/>
    <w:rsid w:val="00F93BE0"/>
    <w:rsid w:val="00F93CDA"/>
    <w:rsid w:val="00F93DD0"/>
    <w:rsid w:val="00F93F97"/>
    <w:rsid w:val="00F940A0"/>
    <w:rsid w:val="00F9419C"/>
    <w:rsid w:val="00F942DE"/>
    <w:rsid w:val="00F95183"/>
    <w:rsid w:val="00F95262"/>
    <w:rsid w:val="00F95358"/>
    <w:rsid w:val="00F956A2"/>
    <w:rsid w:val="00F95A5B"/>
    <w:rsid w:val="00F95C1D"/>
    <w:rsid w:val="00F95C9C"/>
    <w:rsid w:val="00F95D2E"/>
    <w:rsid w:val="00F9625E"/>
    <w:rsid w:val="00F96423"/>
    <w:rsid w:val="00F964C8"/>
    <w:rsid w:val="00F964FE"/>
    <w:rsid w:val="00F96823"/>
    <w:rsid w:val="00F9684A"/>
    <w:rsid w:val="00F9687F"/>
    <w:rsid w:val="00F96959"/>
    <w:rsid w:val="00F96BD6"/>
    <w:rsid w:val="00F96C0C"/>
    <w:rsid w:val="00F96CCC"/>
    <w:rsid w:val="00F96F96"/>
    <w:rsid w:val="00F9768C"/>
    <w:rsid w:val="00F9778E"/>
    <w:rsid w:val="00F978D1"/>
    <w:rsid w:val="00F979D0"/>
    <w:rsid w:val="00F97C2A"/>
    <w:rsid w:val="00FA05B4"/>
    <w:rsid w:val="00FA0825"/>
    <w:rsid w:val="00FA08AD"/>
    <w:rsid w:val="00FA0A1B"/>
    <w:rsid w:val="00FA0CE0"/>
    <w:rsid w:val="00FA0DC4"/>
    <w:rsid w:val="00FA1123"/>
    <w:rsid w:val="00FA12A1"/>
    <w:rsid w:val="00FA156C"/>
    <w:rsid w:val="00FA1A6E"/>
    <w:rsid w:val="00FA1F40"/>
    <w:rsid w:val="00FA2347"/>
    <w:rsid w:val="00FA23B7"/>
    <w:rsid w:val="00FA243D"/>
    <w:rsid w:val="00FA2B47"/>
    <w:rsid w:val="00FA2C7A"/>
    <w:rsid w:val="00FA2CA7"/>
    <w:rsid w:val="00FA2F27"/>
    <w:rsid w:val="00FA2FA9"/>
    <w:rsid w:val="00FA3167"/>
    <w:rsid w:val="00FA3616"/>
    <w:rsid w:val="00FA3814"/>
    <w:rsid w:val="00FA392B"/>
    <w:rsid w:val="00FA3F43"/>
    <w:rsid w:val="00FA411F"/>
    <w:rsid w:val="00FA4150"/>
    <w:rsid w:val="00FA41DF"/>
    <w:rsid w:val="00FA451B"/>
    <w:rsid w:val="00FA461C"/>
    <w:rsid w:val="00FA4A8D"/>
    <w:rsid w:val="00FA4C67"/>
    <w:rsid w:val="00FA4C83"/>
    <w:rsid w:val="00FA4CD6"/>
    <w:rsid w:val="00FA5050"/>
    <w:rsid w:val="00FA517D"/>
    <w:rsid w:val="00FA544F"/>
    <w:rsid w:val="00FA5641"/>
    <w:rsid w:val="00FA5687"/>
    <w:rsid w:val="00FA5766"/>
    <w:rsid w:val="00FA57B5"/>
    <w:rsid w:val="00FA595A"/>
    <w:rsid w:val="00FA5F96"/>
    <w:rsid w:val="00FA6384"/>
    <w:rsid w:val="00FA662C"/>
    <w:rsid w:val="00FA6726"/>
    <w:rsid w:val="00FA6819"/>
    <w:rsid w:val="00FA689E"/>
    <w:rsid w:val="00FA7532"/>
    <w:rsid w:val="00FA7662"/>
    <w:rsid w:val="00FA77D3"/>
    <w:rsid w:val="00FA7C16"/>
    <w:rsid w:val="00FA7D7D"/>
    <w:rsid w:val="00FB009D"/>
    <w:rsid w:val="00FB0350"/>
    <w:rsid w:val="00FB03F7"/>
    <w:rsid w:val="00FB0601"/>
    <w:rsid w:val="00FB0757"/>
    <w:rsid w:val="00FB0CB5"/>
    <w:rsid w:val="00FB0EA4"/>
    <w:rsid w:val="00FB117F"/>
    <w:rsid w:val="00FB11E8"/>
    <w:rsid w:val="00FB15DC"/>
    <w:rsid w:val="00FB1AC6"/>
    <w:rsid w:val="00FB1AF9"/>
    <w:rsid w:val="00FB1D6E"/>
    <w:rsid w:val="00FB1FDB"/>
    <w:rsid w:val="00FB2242"/>
    <w:rsid w:val="00FB230D"/>
    <w:rsid w:val="00FB233B"/>
    <w:rsid w:val="00FB233F"/>
    <w:rsid w:val="00FB2608"/>
    <w:rsid w:val="00FB2710"/>
    <w:rsid w:val="00FB27B6"/>
    <w:rsid w:val="00FB28E2"/>
    <w:rsid w:val="00FB291D"/>
    <w:rsid w:val="00FB298B"/>
    <w:rsid w:val="00FB2A46"/>
    <w:rsid w:val="00FB2D5A"/>
    <w:rsid w:val="00FB2F6F"/>
    <w:rsid w:val="00FB303B"/>
    <w:rsid w:val="00FB3668"/>
    <w:rsid w:val="00FB36F8"/>
    <w:rsid w:val="00FB3C86"/>
    <w:rsid w:val="00FB40D0"/>
    <w:rsid w:val="00FB4395"/>
    <w:rsid w:val="00FB448D"/>
    <w:rsid w:val="00FB460F"/>
    <w:rsid w:val="00FB47FB"/>
    <w:rsid w:val="00FB4B66"/>
    <w:rsid w:val="00FB4D6F"/>
    <w:rsid w:val="00FB5001"/>
    <w:rsid w:val="00FB5358"/>
    <w:rsid w:val="00FB5711"/>
    <w:rsid w:val="00FB57A5"/>
    <w:rsid w:val="00FB5866"/>
    <w:rsid w:val="00FB590C"/>
    <w:rsid w:val="00FB5950"/>
    <w:rsid w:val="00FB5B03"/>
    <w:rsid w:val="00FB5B22"/>
    <w:rsid w:val="00FB620D"/>
    <w:rsid w:val="00FB6858"/>
    <w:rsid w:val="00FB699C"/>
    <w:rsid w:val="00FB6B6F"/>
    <w:rsid w:val="00FB6BE3"/>
    <w:rsid w:val="00FB6BF3"/>
    <w:rsid w:val="00FB6F67"/>
    <w:rsid w:val="00FB70FB"/>
    <w:rsid w:val="00FB7164"/>
    <w:rsid w:val="00FB73CA"/>
    <w:rsid w:val="00FB7658"/>
    <w:rsid w:val="00FB77E2"/>
    <w:rsid w:val="00FB7CE4"/>
    <w:rsid w:val="00FB7F75"/>
    <w:rsid w:val="00FC0563"/>
    <w:rsid w:val="00FC07DD"/>
    <w:rsid w:val="00FC0AD7"/>
    <w:rsid w:val="00FC0C61"/>
    <w:rsid w:val="00FC0E00"/>
    <w:rsid w:val="00FC0EBF"/>
    <w:rsid w:val="00FC10DE"/>
    <w:rsid w:val="00FC156E"/>
    <w:rsid w:val="00FC1729"/>
    <w:rsid w:val="00FC17FE"/>
    <w:rsid w:val="00FC1B06"/>
    <w:rsid w:val="00FC1CD5"/>
    <w:rsid w:val="00FC1D00"/>
    <w:rsid w:val="00FC1EEA"/>
    <w:rsid w:val="00FC20C9"/>
    <w:rsid w:val="00FC24CB"/>
    <w:rsid w:val="00FC2D5F"/>
    <w:rsid w:val="00FC3272"/>
    <w:rsid w:val="00FC32C1"/>
    <w:rsid w:val="00FC33E5"/>
    <w:rsid w:val="00FC3CB8"/>
    <w:rsid w:val="00FC4395"/>
    <w:rsid w:val="00FC44AA"/>
    <w:rsid w:val="00FC4514"/>
    <w:rsid w:val="00FC4527"/>
    <w:rsid w:val="00FC4587"/>
    <w:rsid w:val="00FC4815"/>
    <w:rsid w:val="00FC488B"/>
    <w:rsid w:val="00FC4900"/>
    <w:rsid w:val="00FC4E11"/>
    <w:rsid w:val="00FC5188"/>
    <w:rsid w:val="00FC52EB"/>
    <w:rsid w:val="00FC538A"/>
    <w:rsid w:val="00FC557A"/>
    <w:rsid w:val="00FC55AB"/>
    <w:rsid w:val="00FC5603"/>
    <w:rsid w:val="00FC5732"/>
    <w:rsid w:val="00FC5816"/>
    <w:rsid w:val="00FC590B"/>
    <w:rsid w:val="00FC608B"/>
    <w:rsid w:val="00FC6329"/>
    <w:rsid w:val="00FC6474"/>
    <w:rsid w:val="00FC669D"/>
    <w:rsid w:val="00FC67BE"/>
    <w:rsid w:val="00FC68B9"/>
    <w:rsid w:val="00FC6EE2"/>
    <w:rsid w:val="00FC6FFF"/>
    <w:rsid w:val="00FC7007"/>
    <w:rsid w:val="00FC7316"/>
    <w:rsid w:val="00FC732D"/>
    <w:rsid w:val="00FC73B6"/>
    <w:rsid w:val="00FC750A"/>
    <w:rsid w:val="00FC7CE1"/>
    <w:rsid w:val="00FD0000"/>
    <w:rsid w:val="00FD050F"/>
    <w:rsid w:val="00FD0568"/>
    <w:rsid w:val="00FD0713"/>
    <w:rsid w:val="00FD07D1"/>
    <w:rsid w:val="00FD085B"/>
    <w:rsid w:val="00FD08EA"/>
    <w:rsid w:val="00FD09BD"/>
    <w:rsid w:val="00FD0B28"/>
    <w:rsid w:val="00FD1265"/>
    <w:rsid w:val="00FD1371"/>
    <w:rsid w:val="00FD1718"/>
    <w:rsid w:val="00FD17BA"/>
    <w:rsid w:val="00FD1D00"/>
    <w:rsid w:val="00FD1EF6"/>
    <w:rsid w:val="00FD2118"/>
    <w:rsid w:val="00FD2251"/>
    <w:rsid w:val="00FD26D1"/>
    <w:rsid w:val="00FD26DD"/>
    <w:rsid w:val="00FD280A"/>
    <w:rsid w:val="00FD2938"/>
    <w:rsid w:val="00FD2A21"/>
    <w:rsid w:val="00FD2ADA"/>
    <w:rsid w:val="00FD2C9D"/>
    <w:rsid w:val="00FD2ECA"/>
    <w:rsid w:val="00FD2F74"/>
    <w:rsid w:val="00FD3064"/>
    <w:rsid w:val="00FD328E"/>
    <w:rsid w:val="00FD333D"/>
    <w:rsid w:val="00FD3388"/>
    <w:rsid w:val="00FD3AF6"/>
    <w:rsid w:val="00FD3B3B"/>
    <w:rsid w:val="00FD3B94"/>
    <w:rsid w:val="00FD3CFC"/>
    <w:rsid w:val="00FD3FBE"/>
    <w:rsid w:val="00FD40DD"/>
    <w:rsid w:val="00FD40FD"/>
    <w:rsid w:val="00FD43B3"/>
    <w:rsid w:val="00FD462A"/>
    <w:rsid w:val="00FD46D8"/>
    <w:rsid w:val="00FD48D0"/>
    <w:rsid w:val="00FD48FA"/>
    <w:rsid w:val="00FD4907"/>
    <w:rsid w:val="00FD4A4E"/>
    <w:rsid w:val="00FD4C3E"/>
    <w:rsid w:val="00FD53C4"/>
    <w:rsid w:val="00FD58DB"/>
    <w:rsid w:val="00FD59A1"/>
    <w:rsid w:val="00FD5AD8"/>
    <w:rsid w:val="00FD5B7E"/>
    <w:rsid w:val="00FD5BAE"/>
    <w:rsid w:val="00FD6295"/>
    <w:rsid w:val="00FD649F"/>
    <w:rsid w:val="00FD64C8"/>
    <w:rsid w:val="00FD6617"/>
    <w:rsid w:val="00FD6986"/>
    <w:rsid w:val="00FD6A4A"/>
    <w:rsid w:val="00FD6F2B"/>
    <w:rsid w:val="00FD7041"/>
    <w:rsid w:val="00FD752F"/>
    <w:rsid w:val="00FD756D"/>
    <w:rsid w:val="00FD7A88"/>
    <w:rsid w:val="00FD7CA6"/>
    <w:rsid w:val="00FD7EB5"/>
    <w:rsid w:val="00FE0005"/>
    <w:rsid w:val="00FE00FF"/>
    <w:rsid w:val="00FE0BB5"/>
    <w:rsid w:val="00FE1118"/>
    <w:rsid w:val="00FE1593"/>
    <w:rsid w:val="00FE167E"/>
    <w:rsid w:val="00FE1B3D"/>
    <w:rsid w:val="00FE206D"/>
    <w:rsid w:val="00FE22A4"/>
    <w:rsid w:val="00FE2405"/>
    <w:rsid w:val="00FE26E3"/>
    <w:rsid w:val="00FE2A9C"/>
    <w:rsid w:val="00FE31F0"/>
    <w:rsid w:val="00FE32F1"/>
    <w:rsid w:val="00FE3339"/>
    <w:rsid w:val="00FE3438"/>
    <w:rsid w:val="00FE351C"/>
    <w:rsid w:val="00FE3694"/>
    <w:rsid w:val="00FE3A52"/>
    <w:rsid w:val="00FE3B29"/>
    <w:rsid w:val="00FE3CB2"/>
    <w:rsid w:val="00FE3E03"/>
    <w:rsid w:val="00FE409D"/>
    <w:rsid w:val="00FE40E5"/>
    <w:rsid w:val="00FE4126"/>
    <w:rsid w:val="00FE4739"/>
    <w:rsid w:val="00FE473A"/>
    <w:rsid w:val="00FE4812"/>
    <w:rsid w:val="00FE4966"/>
    <w:rsid w:val="00FE4B8C"/>
    <w:rsid w:val="00FE4DB2"/>
    <w:rsid w:val="00FE58AB"/>
    <w:rsid w:val="00FE5A70"/>
    <w:rsid w:val="00FE5E93"/>
    <w:rsid w:val="00FE5F1D"/>
    <w:rsid w:val="00FE6276"/>
    <w:rsid w:val="00FE627C"/>
    <w:rsid w:val="00FE674B"/>
    <w:rsid w:val="00FE6798"/>
    <w:rsid w:val="00FE681D"/>
    <w:rsid w:val="00FE69B8"/>
    <w:rsid w:val="00FE69B9"/>
    <w:rsid w:val="00FE6D08"/>
    <w:rsid w:val="00FE6DCC"/>
    <w:rsid w:val="00FE74DF"/>
    <w:rsid w:val="00FE753F"/>
    <w:rsid w:val="00FE758F"/>
    <w:rsid w:val="00FE769F"/>
    <w:rsid w:val="00FE7B18"/>
    <w:rsid w:val="00FE7BFC"/>
    <w:rsid w:val="00FE7FA8"/>
    <w:rsid w:val="00FE7FC0"/>
    <w:rsid w:val="00FF03BC"/>
    <w:rsid w:val="00FF0418"/>
    <w:rsid w:val="00FF0541"/>
    <w:rsid w:val="00FF0789"/>
    <w:rsid w:val="00FF09D0"/>
    <w:rsid w:val="00FF0A64"/>
    <w:rsid w:val="00FF0B7D"/>
    <w:rsid w:val="00FF0C1B"/>
    <w:rsid w:val="00FF0CB1"/>
    <w:rsid w:val="00FF0DBD"/>
    <w:rsid w:val="00FF1001"/>
    <w:rsid w:val="00FF12A9"/>
    <w:rsid w:val="00FF18CA"/>
    <w:rsid w:val="00FF1B7D"/>
    <w:rsid w:val="00FF1FD5"/>
    <w:rsid w:val="00FF202C"/>
    <w:rsid w:val="00FF2100"/>
    <w:rsid w:val="00FF2133"/>
    <w:rsid w:val="00FF21F0"/>
    <w:rsid w:val="00FF238E"/>
    <w:rsid w:val="00FF2410"/>
    <w:rsid w:val="00FF2669"/>
    <w:rsid w:val="00FF2D10"/>
    <w:rsid w:val="00FF32C1"/>
    <w:rsid w:val="00FF331D"/>
    <w:rsid w:val="00FF334F"/>
    <w:rsid w:val="00FF34E7"/>
    <w:rsid w:val="00FF3945"/>
    <w:rsid w:val="00FF3A07"/>
    <w:rsid w:val="00FF3B3A"/>
    <w:rsid w:val="00FF3BCD"/>
    <w:rsid w:val="00FF3CD7"/>
    <w:rsid w:val="00FF3FEA"/>
    <w:rsid w:val="00FF4062"/>
    <w:rsid w:val="00FF4548"/>
    <w:rsid w:val="00FF4583"/>
    <w:rsid w:val="00FF4613"/>
    <w:rsid w:val="00FF4A67"/>
    <w:rsid w:val="00FF4C68"/>
    <w:rsid w:val="00FF4E71"/>
    <w:rsid w:val="00FF5120"/>
    <w:rsid w:val="00FF5304"/>
    <w:rsid w:val="00FF5586"/>
    <w:rsid w:val="00FF5794"/>
    <w:rsid w:val="00FF5D76"/>
    <w:rsid w:val="00FF5F9D"/>
    <w:rsid w:val="00FF60E7"/>
    <w:rsid w:val="00FF69BC"/>
    <w:rsid w:val="00FF72FA"/>
    <w:rsid w:val="00FF794F"/>
    <w:rsid w:val="01527D49"/>
    <w:rsid w:val="01969DD1"/>
    <w:rsid w:val="01B9BC01"/>
    <w:rsid w:val="020DE46B"/>
    <w:rsid w:val="027DE65C"/>
    <w:rsid w:val="0358D732"/>
    <w:rsid w:val="037F6860"/>
    <w:rsid w:val="03C8AB84"/>
    <w:rsid w:val="03D5A0B2"/>
    <w:rsid w:val="03E350DD"/>
    <w:rsid w:val="04658B19"/>
    <w:rsid w:val="0486F990"/>
    <w:rsid w:val="0552E62C"/>
    <w:rsid w:val="05C141F1"/>
    <w:rsid w:val="05E4AB0F"/>
    <w:rsid w:val="05EFC71D"/>
    <w:rsid w:val="064C2587"/>
    <w:rsid w:val="06923E5D"/>
    <w:rsid w:val="075CB44E"/>
    <w:rsid w:val="07C43ACC"/>
    <w:rsid w:val="07CD9AE9"/>
    <w:rsid w:val="08139103"/>
    <w:rsid w:val="08639551"/>
    <w:rsid w:val="08726305"/>
    <w:rsid w:val="09257A0B"/>
    <w:rsid w:val="0974DDBD"/>
    <w:rsid w:val="099D2E64"/>
    <w:rsid w:val="09C23F19"/>
    <w:rsid w:val="0A5A071D"/>
    <w:rsid w:val="0AC7C7B4"/>
    <w:rsid w:val="0ADA01BE"/>
    <w:rsid w:val="0B6256DC"/>
    <w:rsid w:val="0B7EE553"/>
    <w:rsid w:val="0C973955"/>
    <w:rsid w:val="0D52BA13"/>
    <w:rsid w:val="0D670612"/>
    <w:rsid w:val="0D6BAB97"/>
    <w:rsid w:val="0D7E0DD9"/>
    <w:rsid w:val="0E579584"/>
    <w:rsid w:val="0F924FDA"/>
    <w:rsid w:val="0FA822AD"/>
    <w:rsid w:val="0FBA450E"/>
    <w:rsid w:val="0FE1DC16"/>
    <w:rsid w:val="10144C00"/>
    <w:rsid w:val="1075208F"/>
    <w:rsid w:val="1110397F"/>
    <w:rsid w:val="12BEDCD5"/>
    <w:rsid w:val="12BF360B"/>
    <w:rsid w:val="13EBB8D2"/>
    <w:rsid w:val="14009260"/>
    <w:rsid w:val="1429A92E"/>
    <w:rsid w:val="14CDD8CA"/>
    <w:rsid w:val="14E44CFA"/>
    <w:rsid w:val="152FD557"/>
    <w:rsid w:val="158218DA"/>
    <w:rsid w:val="15C15FA4"/>
    <w:rsid w:val="15FB8349"/>
    <w:rsid w:val="16250888"/>
    <w:rsid w:val="164E8315"/>
    <w:rsid w:val="165B9C4B"/>
    <w:rsid w:val="16900EB2"/>
    <w:rsid w:val="16A6D812"/>
    <w:rsid w:val="16CD6C25"/>
    <w:rsid w:val="176F51AD"/>
    <w:rsid w:val="17EBE55E"/>
    <w:rsid w:val="188A83E0"/>
    <w:rsid w:val="188FEDA6"/>
    <w:rsid w:val="18FAB321"/>
    <w:rsid w:val="193E49CB"/>
    <w:rsid w:val="196B0D33"/>
    <w:rsid w:val="198A06DF"/>
    <w:rsid w:val="19FB6832"/>
    <w:rsid w:val="1A3744BA"/>
    <w:rsid w:val="1A5D9C3C"/>
    <w:rsid w:val="1A6F0BC0"/>
    <w:rsid w:val="1AA47D42"/>
    <w:rsid w:val="1B4E9405"/>
    <w:rsid w:val="1BB81B8D"/>
    <w:rsid w:val="1C5D4D6E"/>
    <w:rsid w:val="1D524552"/>
    <w:rsid w:val="1D5ED47A"/>
    <w:rsid w:val="1D78D3AB"/>
    <w:rsid w:val="1DA929AE"/>
    <w:rsid w:val="1DC4AAE7"/>
    <w:rsid w:val="1DD014F6"/>
    <w:rsid w:val="1DE5D89B"/>
    <w:rsid w:val="1E4388AB"/>
    <w:rsid w:val="1E5403B2"/>
    <w:rsid w:val="1E70FA1E"/>
    <w:rsid w:val="1EF5A5E9"/>
    <w:rsid w:val="1F19E927"/>
    <w:rsid w:val="1FAA67A4"/>
    <w:rsid w:val="2032F1F0"/>
    <w:rsid w:val="2068826F"/>
    <w:rsid w:val="20A51FD3"/>
    <w:rsid w:val="212BE47A"/>
    <w:rsid w:val="213FB1DF"/>
    <w:rsid w:val="219807A6"/>
    <w:rsid w:val="21ACDB56"/>
    <w:rsid w:val="2238F161"/>
    <w:rsid w:val="224F79AD"/>
    <w:rsid w:val="22D846F4"/>
    <w:rsid w:val="2331F4DE"/>
    <w:rsid w:val="23660B94"/>
    <w:rsid w:val="23F4BE33"/>
    <w:rsid w:val="23F5E1A0"/>
    <w:rsid w:val="242FA6C1"/>
    <w:rsid w:val="243D47FC"/>
    <w:rsid w:val="243E20C7"/>
    <w:rsid w:val="246DA0E7"/>
    <w:rsid w:val="247B9F48"/>
    <w:rsid w:val="24BF349C"/>
    <w:rsid w:val="24FC1D3B"/>
    <w:rsid w:val="252BA9D8"/>
    <w:rsid w:val="256B12AE"/>
    <w:rsid w:val="259022DD"/>
    <w:rsid w:val="25D22462"/>
    <w:rsid w:val="25EED342"/>
    <w:rsid w:val="2636ED02"/>
    <w:rsid w:val="272F72C2"/>
    <w:rsid w:val="274CAD66"/>
    <w:rsid w:val="274D3571"/>
    <w:rsid w:val="27CB0745"/>
    <w:rsid w:val="27D80CE9"/>
    <w:rsid w:val="2830CC65"/>
    <w:rsid w:val="28574A15"/>
    <w:rsid w:val="285BAAA2"/>
    <w:rsid w:val="285FAAC4"/>
    <w:rsid w:val="286244F6"/>
    <w:rsid w:val="28BD80BE"/>
    <w:rsid w:val="28E0FF7B"/>
    <w:rsid w:val="2955044D"/>
    <w:rsid w:val="2959A117"/>
    <w:rsid w:val="29619766"/>
    <w:rsid w:val="29D51E80"/>
    <w:rsid w:val="2A0C29EF"/>
    <w:rsid w:val="2A128A4C"/>
    <w:rsid w:val="2A5684ED"/>
    <w:rsid w:val="2A662EE1"/>
    <w:rsid w:val="2ADF4B3F"/>
    <w:rsid w:val="2B06D904"/>
    <w:rsid w:val="2B1E01C8"/>
    <w:rsid w:val="2B25E363"/>
    <w:rsid w:val="2B3F5B7D"/>
    <w:rsid w:val="2BF10639"/>
    <w:rsid w:val="2C351573"/>
    <w:rsid w:val="2C5C36F4"/>
    <w:rsid w:val="2C6954A7"/>
    <w:rsid w:val="2C6B420D"/>
    <w:rsid w:val="2CC133F8"/>
    <w:rsid w:val="2CE09DDC"/>
    <w:rsid w:val="2D07D660"/>
    <w:rsid w:val="2D3CC0C1"/>
    <w:rsid w:val="2D4432D3"/>
    <w:rsid w:val="2D7A7147"/>
    <w:rsid w:val="2D7FEA3C"/>
    <w:rsid w:val="2DD34E95"/>
    <w:rsid w:val="2E1A2E25"/>
    <w:rsid w:val="2E35690B"/>
    <w:rsid w:val="2E567189"/>
    <w:rsid w:val="2E6B11B3"/>
    <w:rsid w:val="2EA29FD0"/>
    <w:rsid w:val="2ED8BACE"/>
    <w:rsid w:val="2EF393F6"/>
    <w:rsid w:val="2F33B828"/>
    <w:rsid w:val="300E786D"/>
    <w:rsid w:val="301091AB"/>
    <w:rsid w:val="304ADA50"/>
    <w:rsid w:val="30574067"/>
    <w:rsid w:val="309DFF89"/>
    <w:rsid w:val="30C221D7"/>
    <w:rsid w:val="30EED8DC"/>
    <w:rsid w:val="311BDDD8"/>
    <w:rsid w:val="31245CB4"/>
    <w:rsid w:val="314B7A24"/>
    <w:rsid w:val="31C008BA"/>
    <w:rsid w:val="3210FBE3"/>
    <w:rsid w:val="328F89F6"/>
    <w:rsid w:val="32A15A22"/>
    <w:rsid w:val="32E9B744"/>
    <w:rsid w:val="331EAA99"/>
    <w:rsid w:val="334C7428"/>
    <w:rsid w:val="343664E8"/>
    <w:rsid w:val="349F926E"/>
    <w:rsid w:val="34F1EAB3"/>
    <w:rsid w:val="34F59E0D"/>
    <w:rsid w:val="34F67968"/>
    <w:rsid w:val="35392C7D"/>
    <w:rsid w:val="3561AF6E"/>
    <w:rsid w:val="3607CD85"/>
    <w:rsid w:val="3612398D"/>
    <w:rsid w:val="36A83508"/>
    <w:rsid w:val="36AA41C2"/>
    <w:rsid w:val="36BD4D25"/>
    <w:rsid w:val="36BED7EA"/>
    <w:rsid w:val="36C488F0"/>
    <w:rsid w:val="371B30A2"/>
    <w:rsid w:val="3757AF57"/>
    <w:rsid w:val="37601D3F"/>
    <w:rsid w:val="3797FDB7"/>
    <w:rsid w:val="37B183A9"/>
    <w:rsid w:val="38353691"/>
    <w:rsid w:val="3839084D"/>
    <w:rsid w:val="38606F98"/>
    <w:rsid w:val="38F808B4"/>
    <w:rsid w:val="3919369F"/>
    <w:rsid w:val="39366616"/>
    <w:rsid w:val="3949FF2C"/>
    <w:rsid w:val="39B22629"/>
    <w:rsid w:val="39E6136C"/>
    <w:rsid w:val="3A1D201C"/>
    <w:rsid w:val="3A43FD8E"/>
    <w:rsid w:val="3A972640"/>
    <w:rsid w:val="3AD7EFA4"/>
    <w:rsid w:val="3B100AAD"/>
    <w:rsid w:val="3B11B81A"/>
    <w:rsid w:val="3B39778C"/>
    <w:rsid w:val="3BAAF1C7"/>
    <w:rsid w:val="3BC25196"/>
    <w:rsid w:val="3BCEFC43"/>
    <w:rsid w:val="3BDFF71D"/>
    <w:rsid w:val="3BFF26EA"/>
    <w:rsid w:val="3C261556"/>
    <w:rsid w:val="3CFC49A8"/>
    <w:rsid w:val="3D62A64F"/>
    <w:rsid w:val="3D7D7251"/>
    <w:rsid w:val="3D8D732D"/>
    <w:rsid w:val="3DF5FA2D"/>
    <w:rsid w:val="3E99CEF6"/>
    <w:rsid w:val="3E9F49F4"/>
    <w:rsid w:val="3EA99ED2"/>
    <w:rsid w:val="3EF14361"/>
    <w:rsid w:val="3F07C601"/>
    <w:rsid w:val="3F3DCD6A"/>
    <w:rsid w:val="3FCA661C"/>
    <w:rsid w:val="40A16CF3"/>
    <w:rsid w:val="4128652C"/>
    <w:rsid w:val="4185243B"/>
    <w:rsid w:val="41BA4A90"/>
    <w:rsid w:val="421EB24E"/>
    <w:rsid w:val="42568501"/>
    <w:rsid w:val="429AF213"/>
    <w:rsid w:val="42F0B732"/>
    <w:rsid w:val="4314EF56"/>
    <w:rsid w:val="431C0700"/>
    <w:rsid w:val="436E6BDB"/>
    <w:rsid w:val="43F1B2FF"/>
    <w:rsid w:val="43F30F47"/>
    <w:rsid w:val="440C75BF"/>
    <w:rsid w:val="4421BDC5"/>
    <w:rsid w:val="4429305D"/>
    <w:rsid w:val="44BE1C6A"/>
    <w:rsid w:val="44E6FDB5"/>
    <w:rsid w:val="44EBE023"/>
    <w:rsid w:val="44FED81B"/>
    <w:rsid w:val="453CA167"/>
    <w:rsid w:val="454D24BA"/>
    <w:rsid w:val="459B6D6D"/>
    <w:rsid w:val="45A97331"/>
    <w:rsid w:val="45BE0B2B"/>
    <w:rsid w:val="462AF886"/>
    <w:rsid w:val="465D235E"/>
    <w:rsid w:val="46BDED00"/>
    <w:rsid w:val="46C38A5A"/>
    <w:rsid w:val="47239E55"/>
    <w:rsid w:val="477D3ED3"/>
    <w:rsid w:val="479C6CDB"/>
    <w:rsid w:val="47AEDC84"/>
    <w:rsid w:val="480F3ED9"/>
    <w:rsid w:val="4835F9C2"/>
    <w:rsid w:val="4869BC26"/>
    <w:rsid w:val="48BD3EAF"/>
    <w:rsid w:val="49040BAE"/>
    <w:rsid w:val="495AB5E4"/>
    <w:rsid w:val="4994963E"/>
    <w:rsid w:val="49A2120A"/>
    <w:rsid w:val="49A8A04E"/>
    <w:rsid w:val="4A499D9B"/>
    <w:rsid w:val="4AA0A68D"/>
    <w:rsid w:val="4AF38A06"/>
    <w:rsid w:val="4BACEA37"/>
    <w:rsid w:val="4BCC2E72"/>
    <w:rsid w:val="4BCF05BC"/>
    <w:rsid w:val="4BD29B7C"/>
    <w:rsid w:val="4BF92DDE"/>
    <w:rsid w:val="4C87B6EF"/>
    <w:rsid w:val="4CA1B61B"/>
    <w:rsid w:val="4D3DE95D"/>
    <w:rsid w:val="4D68AA13"/>
    <w:rsid w:val="4D89B0FE"/>
    <w:rsid w:val="4D9CFFCC"/>
    <w:rsid w:val="4DB54133"/>
    <w:rsid w:val="4DCB3039"/>
    <w:rsid w:val="4DD3FE4E"/>
    <w:rsid w:val="4DD98CA7"/>
    <w:rsid w:val="4DEC4CC6"/>
    <w:rsid w:val="4DF782AF"/>
    <w:rsid w:val="4E6578DC"/>
    <w:rsid w:val="4F9F2509"/>
    <w:rsid w:val="4FB8AA1C"/>
    <w:rsid w:val="4FD59AFC"/>
    <w:rsid w:val="4FF886EF"/>
    <w:rsid w:val="5073E7FE"/>
    <w:rsid w:val="51796868"/>
    <w:rsid w:val="51B98E42"/>
    <w:rsid w:val="51C62CCE"/>
    <w:rsid w:val="51F3FB1A"/>
    <w:rsid w:val="520B2F37"/>
    <w:rsid w:val="5232D020"/>
    <w:rsid w:val="5268D580"/>
    <w:rsid w:val="529496D8"/>
    <w:rsid w:val="52BBC903"/>
    <w:rsid w:val="533301EA"/>
    <w:rsid w:val="5335ACB9"/>
    <w:rsid w:val="5399BB40"/>
    <w:rsid w:val="5421732E"/>
    <w:rsid w:val="54A476D4"/>
    <w:rsid w:val="54F48DE2"/>
    <w:rsid w:val="55547894"/>
    <w:rsid w:val="555ABCD8"/>
    <w:rsid w:val="555E9796"/>
    <w:rsid w:val="5581A620"/>
    <w:rsid w:val="55DCF12C"/>
    <w:rsid w:val="56E807D8"/>
    <w:rsid w:val="56E858BC"/>
    <w:rsid w:val="57142ED6"/>
    <w:rsid w:val="575C4AE9"/>
    <w:rsid w:val="5796E477"/>
    <w:rsid w:val="5821DAF3"/>
    <w:rsid w:val="58C41043"/>
    <w:rsid w:val="5907DA1B"/>
    <w:rsid w:val="5A0099B5"/>
    <w:rsid w:val="5A07CFF9"/>
    <w:rsid w:val="5A53EA48"/>
    <w:rsid w:val="5ACB938A"/>
    <w:rsid w:val="5B0FBDC4"/>
    <w:rsid w:val="5B14785F"/>
    <w:rsid w:val="5B7C8144"/>
    <w:rsid w:val="5BF9A4C0"/>
    <w:rsid w:val="5C18D30E"/>
    <w:rsid w:val="5C1964C5"/>
    <w:rsid w:val="5C35C2DE"/>
    <w:rsid w:val="5CD5AD70"/>
    <w:rsid w:val="5D1FED24"/>
    <w:rsid w:val="5D323A5D"/>
    <w:rsid w:val="5D68F6BD"/>
    <w:rsid w:val="5D7CED26"/>
    <w:rsid w:val="5E455563"/>
    <w:rsid w:val="5E5FF50C"/>
    <w:rsid w:val="5E693D46"/>
    <w:rsid w:val="5E891915"/>
    <w:rsid w:val="5F297AD5"/>
    <w:rsid w:val="5F658D64"/>
    <w:rsid w:val="5F827F36"/>
    <w:rsid w:val="603EFDD7"/>
    <w:rsid w:val="6098CCAC"/>
    <w:rsid w:val="61AFA3BA"/>
    <w:rsid w:val="626E9900"/>
    <w:rsid w:val="6275698F"/>
    <w:rsid w:val="62ADC1F1"/>
    <w:rsid w:val="62C44157"/>
    <w:rsid w:val="62FC1189"/>
    <w:rsid w:val="631BFAAC"/>
    <w:rsid w:val="6356B9CF"/>
    <w:rsid w:val="63ABAA6A"/>
    <w:rsid w:val="63FBCDFB"/>
    <w:rsid w:val="6476C6C4"/>
    <w:rsid w:val="64BE68F5"/>
    <w:rsid w:val="64C0B768"/>
    <w:rsid w:val="64C5E783"/>
    <w:rsid w:val="64D988A1"/>
    <w:rsid w:val="651D90CB"/>
    <w:rsid w:val="65FD9596"/>
    <w:rsid w:val="663F2F7E"/>
    <w:rsid w:val="6683BDFF"/>
    <w:rsid w:val="668A45C2"/>
    <w:rsid w:val="66AFC7B2"/>
    <w:rsid w:val="66F63181"/>
    <w:rsid w:val="672218A6"/>
    <w:rsid w:val="678163E1"/>
    <w:rsid w:val="67C38F15"/>
    <w:rsid w:val="68B573C4"/>
    <w:rsid w:val="6907ADC1"/>
    <w:rsid w:val="6928348E"/>
    <w:rsid w:val="695664B2"/>
    <w:rsid w:val="696545D8"/>
    <w:rsid w:val="69CE7489"/>
    <w:rsid w:val="69E13C76"/>
    <w:rsid w:val="69EE508C"/>
    <w:rsid w:val="6A01A2E9"/>
    <w:rsid w:val="6A98323A"/>
    <w:rsid w:val="6AA6DF24"/>
    <w:rsid w:val="6ACFC233"/>
    <w:rsid w:val="6B028D43"/>
    <w:rsid w:val="6B563008"/>
    <w:rsid w:val="6BCB6064"/>
    <w:rsid w:val="6C0F2A52"/>
    <w:rsid w:val="6C15BC54"/>
    <w:rsid w:val="6C589B49"/>
    <w:rsid w:val="6C9446B8"/>
    <w:rsid w:val="6CB14E4A"/>
    <w:rsid w:val="6CE6403A"/>
    <w:rsid w:val="6D8597E4"/>
    <w:rsid w:val="6D8BF230"/>
    <w:rsid w:val="6E282FEA"/>
    <w:rsid w:val="6E58EB50"/>
    <w:rsid w:val="6E7109C3"/>
    <w:rsid w:val="6E98ECBB"/>
    <w:rsid w:val="6ECB6260"/>
    <w:rsid w:val="6EFCF802"/>
    <w:rsid w:val="6F02F6CB"/>
    <w:rsid w:val="700411DE"/>
    <w:rsid w:val="704B5579"/>
    <w:rsid w:val="707169F9"/>
    <w:rsid w:val="7133A09B"/>
    <w:rsid w:val="714EEF56"/>
    <w:rsid w:val="717EE757"/>
    <w:rsid w:val="72094D81"/>
    <w:rsid w:val="72548C01"/>
    <w:rsid w:val="72B25BDB"/>
    <w:rsid w:val="72FB65E0"/>
    <w:rsid w:val="73F519C8"/>
    <w:rsid w:val="73F994E8"/>
    <w:rsid w:val="74AD1611"/>
    <w:rsid w:val="751244A0"/>
    <w:rsid w:val="753B065A"/>
    <w:rsid w:val="753F5FCB"/>
    <w:rsid w:val="7540D47C"/>
    <w:rsid w:val="758E9E70"/>
    <w:rsid w:val="75D0C138"/>
    <w:rsid w:val="760B4B33"/>
    <w:rsid w:val="7611D407"/>
    <w:rsid w:val="761C0EA9"/>
    <w:rsid w:val="76536FE2"/>
    <w:rsid w:val="76AC42C3"/>
    <w:rsid w:val="76FC9002"/>
    <w:rsid w:val="772C7378"/>
    <w:rsid w:val="773C72EF"/>
    <w:rsid w:val="776FC143"/>
    <w:rsid w:val="778B2EB8"/>
    <w:rsid w:val="779CE4E3"/>
    <w:rsid w:val="77B1E87A"/>
    <w:rsid w:val="77B69371"/>
    <w:rsid w:val="77C6323C"/>
    <w:rsid w:val="77CEDF91"/>
    <w:rsid w:val="77D37FFA"/>
    <w:rsid w:val="77E21DDE"/>
    <w:rsid w:val="77F4DE2F"/>
    <w:rsid w:val="788CF127"/>
    <w:rsid w:val="789883AB"/>
    <w:rsid w:val="78C5958F"/>
    <w:rsid w:val="78F6B4BB"/>
    <w:rsid w:val="790E1A5B"/>
    <w:rsid w:val="79231C7F"/>
    <w:rsid w:val="79276871"/>
    <w:rsid w:val="792C91C7"/>
    <w:rsid w:val="79582E83"/>
    <w:rsid w:val="7958EDF0"/>
    <w:rsid w:val="798E2AAB"/>
    <w:rsid w:val="79C0110D"/>
    <w:rsid w:val="79D2295B"/>
    <w:rsid w:val="79EE0FEA"/>
    <w:rsid w:val="7A3A36ED"/>
    <w:rsid w:val="7AEFDA56"/>
    <w:rsid w:val="7B4E5D3D"/>
    <w:rsid w:val="7B636D6A"/>
    <w:rsid w:val="7BB74974"/>
    <w:rsid w:val="7BD3D959"/>
    <w:rsid w:val="7C1AB541"/>
    <w:rsid w:val="7C1FF13C"/>
    <w:rsid w:val="7D211ED9"/>
    <w:rsid w:val="7D273E18"/>
    <w:rsid w:val="7D292D1B"/>
    <w:rsid w:val="7D9A8C5E"/>
    <w:rsid w:val="7E2A8174"/>
    <w:rsid w:val="7E50DA86"/>
    <w:rsid w:val="7E58D071"/>
    <w:rsid w:val="7E5F57B2"/>
    <w:rsid w:val="7E644958"/>
    <w:rsid w:val="7E7E20CF"/>
    <w:rsid w:val="7E7EC3AC"/>
    <w:rsid w:val="7EA3F0B9"/>
    <w:rsid w:val="7F27D7D0"/>
    <w:rsid w:val="7F464473"/>
    <w:rsid w:val="7F7378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138"/>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C01A83"/>
    <w:pPr>
      <w:keepNext/>
      <w:spacing w:before="360" w:after="120" w:line="240" w:lineRule="auto"/>
      <w:ind w:left="1021" w:hanging="1021"/>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mbria" w:hAnsi="Cambria"/>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C01A83"/>
    <w:rPr>
      <w:rFonts w:ascii="Arial Narrow" w:eastAsia="Times New Roman" w:hAnsi="Arial Narrow" w:cs="Times New Roman"/>
      <w:b/>
      <w:bCs/>
      <w:sz w:val="20"/>
      <w:szCs w:val="20"/>
    </w:rPr>
  </w:style>
  <w:style w:type="table" w:styleId="TableGrid">
    <w:name w:val="Table Grid"/>
    <w:aliases w:val="Summary box,Table Gridbeth,RTI AMCP Table,new style,ASD Table,CMA Table Template,Conclusion box,Table Grid nm,HealthConsult,PBAC table,HTAtableplain,MSD Table Grid,Dossier table,Summary Table,PHE Table Grid,Lash Style Table,Section 3- footnot"/>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Styl moj,Akapit z listą1,Figure_name"/>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Cambria" w:hAnsi="Cambria"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Cambria" w:hAnsi="Cambria"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Cambria" w:hAnsi="Cambria" w:hint="default"/>
        <w:i/>
        <w:iCs/>
        <w:sz w:val="20"/>
        <w:szCs w:val="20"/>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3E4144"/>
    <w:pPr>
      <w:keepLines/>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3E4144"/>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1"/>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semiHidden/>
    <w:unhideWhenUsed/>
    <w:rsid w:val="00D13865"/>
    <w:rPr>
      <w:color w:val="605E5C"/>
      <w:shd w:val="clear" w:color="auto" w:fill="E1DFDD"/>
    </w:rPr>
  </w:style>
  <w:style w:type="character" w:styleId="Mention">
    <w:name w:val="Mention"/>
    <w:basedOn w:val="DefaultParagraphFont"/>
    <w:uiPriority w:val="99"/>
    <w:unhideWhenUsed/>
    <w:rsid w:val="0090250C"/>
    <w:rPr>
      <w:color w:val="2B579A"/>
      <w:shd w:val="clear" w:color="auto" w:fill="E1DFDD"/>
    </w:rPr>
  </w:style>
  <w:style w:type="paragraph" w:styleId="BodyText">
    <w:name w:val="Body Text"/>
    <w:basedOn w:val="Normal"/>
    <w:link w:val="BodyTextChar"/>
    <w:rsid w:val="00BF42A8"/>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BF42A8"/>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32298813">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s://www.mbsonline.gov.au/internet/mbsonline/publishing.nsf/Content/Hom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athology.alfred.org.au/handbook/index?testid=114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sac.gov.au/internet/msac/publishing.nsf/Content/Home-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ue.pathology.health.nsw.gov.au/test/bd91ef22-c061-4407-9816-06f5f2bacf35/testInformation?searchValue=FGF23&amp;searchType=startsWith&amp;page=1&amp;pageSize=10&amp;testingLocation=f5e85357-1d87-4484-852b-0bbad3657f1b&amp;testingLaborato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lassic.clinicaltrials.gov/ct2/show/NCT02526160" TargetMode="External"/><Relationship Id="rId23" Type="http://schemas.openxmlformats.org/officeDocument/2006/relationships/fontTable" Target="fontTable.xml"/><Relationship Id="rId10" Type="http://schemas.openxmlformats.org/officeDocument/2006/relationships/hyperlink" Target="https://www.rch.org.au/specimen-collection/Fibroblast_Growth_Factor_23_%28FGF-23%2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bs.gov.au/pbs/industry/listing/elements/pbac-meetings/psd" TargetMode="External"/><Relationship Id="rId14" Type="http://schemas.openxmlformats.org/officeDocument/2006/relationships/hyperlink" Target="https://clinicaltrials.gov/study/NCT02915705?a=7"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EC862-DE60-4118-9756-B20D3C7F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9080</Words>
  <Characters>51762</Characters>
  <Application>Microsoft Office Word</Application>
  <DocSecurity>2</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2024-10-04T00:38:00Z</dcterms:created>
  <dcterms:modified xsi:type="dcterms:W3CDTF">2024-10-04T00:38:00Z</dcterms:modified>
</cp:coreProperties>
</file>