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73381" w14:textId="77777777" w:rsidR="00E44B80" w:rsidRPr="00F637B3" w:rsidRDefault="00E44B80" w:rsidP="00E44B80">
      <w:pPr>
        <w:jc w:val="center"/>
        <w:rPr>
          <w:b/>
          <w:szCs w:val="20"/>
        </w:rPr>
      </w:pPr>
      <w:r w:rsidRPr="00F637B3">
        <w:rPr>
          <w:b/>
          <w:noProof/>
          <w:szCs w:val="20"/>
          <w:lang w:eastAsia="en-AU"/>
        </w:rPr>
        <w:drawing>
          <wp:inline distT="0" distB="0" distL="0" distR="0" wp14:anchorId="4270F32C" wp14:editId="022DB72E">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73FE25D" w14:textId="77777777" w:rsidR="008B2610" w:rsidRPr="006F20CF" w:rsidRDefault="008B2610" w:rsidP="00F971CC">
      <w:pPr>
        <w:pStyle w:val="Title"/>
        <w:spacing w:before="2600"/>
      </w:pPr>
      <w:r w:rsidRPr="001906CD">
        <w:t>Application Form</w:t>
      </w:r>
    </w:p>
    <w:p w14:paraId="58DBBF0F"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14:paraId="013D81E9"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2FAD8ADB" w14:textId="77777777"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14:paraId="2FB4CAC7"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45D403C1"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71A0E1EF"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440875AD" w14:textId="77777777" w:rsidR="008B2610" w:rsidRPr="00181B4B" w:rsidRDefault="009F5758" w:rsidP="003F7CB9">
      <w:pPr>
        <w:spacing w:before="0" w:after="0"/>
        <w:rPr>
          <w:lang w:val="fr-FR"/>
        </w:rPr>
      </w:pPr>
      <w:r w:rsidRPr="00181B4B">
        <w:rPr>
          <w:lang w:val="fr-FR"/>
        </w:rPr>
        <w:t>Phone:  +61 2 6289 7550</w:t>
      </w:r>
    </w:p>
    <w:p w14:paraId="13973E66" w14:textId="77777777" w:rsidR="009F5758" w:rsidRPr="00181B4B" w:rsidRDefault="009F5758" w:rsidP="003F7CB9">
      <w:pPr>
        <w:spacing w:before="0" w:after="0"/>
        <w:rPr>
          <w:lang w:val="fr-FR"/>
        </w:rPr>
      </w:pPr>
      <w:r w:rsidRPr="00181B4B">
        <w:rPr>
          <w:lang w:val="fr-FR"/>
        </w:rPr>
        <w:t>Fax:  +61 2 6289 5540</w:t>
      </w:r>
    </w:p>
    <w:p w14:paraId="2C418CA6" w14:textId="77777777" w:rsidR="009F5758" w:rsidRPr="00181B4B" w:rsidRDefault="009F5758" w:rsidP="003F7CB9">
      <w:pPr>
        <w:spacing w:before="0" w:after="0"/>
        <w:rPr>
          <w:lang w:val="fr-FR"/>
        </w:rPr>
      </w:pPr>
      <w:r w:rsidRPr="00181B4B">
        <w:rPr>
          <w:lang w:val="fr-FR"/>
        </w:rPr>
        <w:t xml:space="preserve">Email:  </w:t>
      </w:r>
      <w:hyperlink r:id="rId9" w:tooltip="click here to email the Department of Health HTA Team" w:history="1">
        <w:r w:rsidRPr="00181B4B">
          <w:rPr>
            <w:rStyle w:val="Hyperlink"/>
            <w:szCs w:val="20"/>
            <w:lang w:val="fr-FR"/>
          </w:rPr>
          <w:t>hta@health.gov.au</w:t>
        </w:r>
      </w:hyperlink>
    </w:p>
    <w:p w14:paraId="69BD7B9E" w14:textId="77777777" w:rsidR="009F5758" w:rsidRPr="00181B4B" w:rsidRDefault="009F5758" w:rsidP="003F7CB9">
      <w:pPr>
        <w:spacing w:before="0" w:after="0"/>
        <w:rPr>
          <w:lang w:val="fr-FR"/>
        </w:rPr>
      </w:pPr>
      <w:r w:rsidRPr="00181B4B">
        <w:rPr>
          <w:lang w:val="fr-FR"/>
        </w:rPr>
        <w:t xml:space="preserve">Website:  </w:t>
      </w:r>
      <w:hyperlink r:id="rId10" w:tooltip="click here to visit the Medical Services Advisory Committee website" w:history="1">
        <w:r w:rsidR="008E6227" w:rsidRPr="00181B4B">
          <w:rPr>
            <w:rStyle w:val="Hyperlink"/>
            <w:lang w:val="fr-FR"/>
          </w:rPr>
          <w:t>www.msac.gov.au</w:t>
        </w:r>
      </w:hyperlink>
      <w:r w:rsidR="008E6227" w:rsidRPr="00181B4B">
        <w:rPr>
          <w:lang w:val="fr-FR"/>
        </w:rPr>
        <w:t xml:space="preserve"> </w:t>
      </w:r>
      <w:r w:rsidR="001A02E3" w:rsidRPr="00181B4B">
        <w:rPr>
          <w:lang w:val="fr-FR"/>
        </w:rPr>
        <w:t xml:space="preserve"> </w:t>
      </w:r>
    </w:p>
    <w:p w14:paraId="253C48E6" w14:textId="77777777" w:rsidR="00E04FB3" w:rsidRPr="00C776B1" w:rsidRDefault="00D73646" w:rsidP="00415C74">
      <w:pPr>
        <w:pStyle w:val="Heading1"/>
      </w:pPr>
      <w:bookmarkStart w:id="0" w:name="_Toc443555803"/>
      <w:r w:rsidRPr="00181B4B">
        <w:rPr>
          <w:rStyle w:val="IntenseReference"/>
          <w:lang w:val="fr-FR"/>
        </w:rPr>
        <w:br w:type="page"/>
      </w:r>
      <w:bookmarkEnd w:id="0"/>
      <w:r w:rsidR="00494011">
        <w:lastRenderedPageBreak/>
        <w:t>PART 1</w:t>
      </w:r>
      <w:r w:rsidR="00F93784">
        <w:t xml:space="preserve"> – </w:t>
      </w:r>
      <w:r w:rsidR="00E04FB3" w:rsidRPr="00C776B1">
        <w:t>APPLICANT DETAILS</w:t>
      </w:r>
    </w:p>
    <w:p w14:paraId="14C553A2"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71262A8A"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0B069D">
        <w:t>Edwards Lifesciences Pty Ltd</w:t>
      </w:r>
    </w:p>
    <w:p w14:paraId="603AF547"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p>
    <w:p w14:paraId="50E09C74"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F807F9">
        <w:t>77 098 873</w:t>
      </w:r>
    </w:p>
    <w:p w14:paraId="53DEEB0D"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F807F9">
        <w:t>Edwards Lifesciences Pty Ltd</w:t>
      </w:r>
    </w:p>
    <w:p w14:paraId="29EC348E" w14:textId="77777777" w:rsidR="00C171FB" w:rsidRPr="00C171FB" w:rsidRDefault="00C171FB" w:rsidP="00C171FB"/>
    <w:p w14:paraId="1DDDB3D1" w14:textId="617E47B9" w:rsidR="00C171FB" w:rsidRPr="00032587" w:rsidRDefault="00C171FB" w:rsidP="00F91FBC">
      <w:pPr>
        <w:rPr>
          <w:highlight w:val="black"/>
        </w:rPr>
      </w:pPr>
      <w:r>
        <w:rPr>
          <w:b/>
        </w:rPr>
        <w:t xml:space="preserve">Primary contact name: </w:t>
      </w:r>
    </w:p>
    <w:p w14:paraId="38CD6617" w14:textId="376258BC" w:rsidR="00C171FB" w:rsidRPr="00596AA3" w:rsidRDefault="00657764" w:rsidP="00C171FB">
      <w:pPr>
        <w:pBdr>
          <w:top w:val="single" w:sz="4" w:space="1" w:color="auto"/>
          <w:left w:val="single" w:sz="4" w:space="4" w:color="auto"/>
          <w:bottom w:val="single" w:sz="4" w:space="1" w:color="auto"/>
          <w:right w:val="single" w:sz="4" w:space="4" w:color="auto"/>
        </w:pBdr>
      </w:pPr>
      <w:r w:rsidRPr="00596AA3">
        <w:t>RE</w:t>
      </w:r>
      <w:r>
        <w:t>DACTED</w:t>
      </w:r>
    </w:p>
    <w:p w14:paraId="3AD25BD8" w14:textId="77777777" w:rsidR="00C171FB" w:rsidRPr="00181B4B" w:rsidRDefault="00C171FB" w:rsidP="00C171FB">
      <w:pPr>
        <w:rPr>
          <w:b/>
          <w:lang w:val="fr-FR"/>
        </w:rPr>
      </w:pPr>
    </w:p>
    <w:p w14:paraId="331A3EFE" w14:textId="67F3B4CB" w:rsidR="00C171FB" w:rsidRPr="00032587" w:rsidRDefault="00C171FB" w:rsidP="00C171FB">
      <w:pPr>
        <w:rPr>
          <w:b/>
          <w:highlight w:val="black"/>
        </w:rPr>
      </w:pPr>
      <w:r>
        <w:rPr>
          <w:b/>
        </w:rPr>
        <w:t>Alternative contact name:</w:t>
      </w:r>
    </w:p>
    <w:p w14:paraId="10EF61BB" w14:textId="4DF6A975" w:rsidR="00C171FB" w:rsidRPr="00596AA3" w:rsidRDefault="00657764" w:rsidP="00C171FB">
      <w:pPr>
        <w:pBdr>
          <w:top w:val="single" w:sz="4" w:space="1" w:color="auto"/>
          <w:left w:val="single" w:sz="4" w:space="4" w:color="auto"/>
          <w:bottom w:val="single" w:sz="4" w:space="1" w:color="auto"/>
          <w:right w:val="single" w:sz="4" w:space="4" w:color="auto"/>
        </w:pBdr>
      </w:pPr>
      <w:r>
        <w:t>REDACTED</w:t>
      </w:r>
      <w:r w:rsidR="00C171FB" w:rsidRPr="00596AA3">
        <w:tab/>
      </w:r>
    </w:p>
    <w:p w14:paraId="1B68FA87" w14:textId="77777777" w:rsidR="00C171FB" w:rsidRPr="00C171FB" w:rsidRDefault="00C171FB" w:rsidP="00C171FB"/>
    <w:p w14:paraId="255FDDD1" w14:textId="77777777" w:rsidR="00534C5F" w:rsidRPr="00154B00" w:rsidRDefault="00494011" w:rsidP="004A0BF4">
      <w:pPr>
        <w:pStyle w:val="Heading2"/>
      </w:pPr>
      <w:r>
        <w:t xml:space="preserve">(a) </w:t>
      </w:r>
      <w:r w:rsidR="00534C5F">
        <w:t>Are you a lobbyist acting on behalf of an Applicant?</w:t>
      </w:r>
    </w:p>
    <w:p w14:paraId="69CD6D6B" w14:textId="25CC8759" w:rsidR="00A6491A" w:rsidRDefault="00CF7FF1" w:rsidP="00A6491A">
      <w:pPr>
        <w:spacing w:before="0" w:after="0"/>
        <w:ind w:left="426"/>
        <w:rPr>
          <w:szCs w:val="20"/>
        </w:rPr>
      </w:pPr>
      <w:r>
        <w:rPr>
          <w:szCs w:val="20"/>
        </w:rPr>
        <w:fldChar w:fldCharType="begin">
          <w:ffData>
            <w:name w:val="Check1"/>
            <w:enabled/>
            <w:calcOnExit w:val="0"/>
            <w:checkBox>
              <w:sizeAuto/>
              <w:default w:val="0"/>
            </w:checkBox>
          </w:ffData>
        </w:fldChar>
      </w:r>
      <w:r>
        <w:rPr>
          <w:szCs w:val="20"/>
        </w:rPr>
        <w:instrText xml:space="preserve"> </w:instrText>
      </w:r>
      <w:bookmarkStart w:id="1" w:name="Check1"/>
      <w:r>
        <w:rPr>
          <w:szCs w:val="20"/>
        </w:rPr>
        <w:instrText xml:space="preserve">FORMCHECKBOX </w:instrText>
      </w:r>
      <w:r w:rsidR="00A44473">
        <w:rPr>
          <w:szCs w:val="20"/>
        </w:rPr>
      </w:r>
      <w:r w:rsidR="00A44473">
        <w:rPr>
          <w:szCs w:val="20"/>
        </w:rPr>
        <w:fldChar w:fldCharType="separate"/>
      </w:r>
      <w:r>
        <w:rPr>
          <w:szCs w:val="20"/>
        </w:rPr>
        <w:fldChar w:fldCharType="end"/>
      </w:r>
      <w:bookmarkEnd w:id="1"/>
      <w:r w:rsidR="00A6491A">
        <w:rPr>
          <w:szCs w:val="20"/>
        </w:rPr>
        <w:t xml:space="preserve"> Yes</w:t>
      </w:r>
    </w:p>
    <w:p w14:paraId="08EBA18D" w14:textId="1B583C55" w:rsidR="00A6491A" w:rsidRPr="00753C44" w:rsidRDefault="00CF7FF1"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A6491A">
        <w:rPr>
          <w:szCs w:val="20"/>
        </w:rPr>
        <w:t xml:space="preserve"> No</w:t>
      </w:r>
      <w:r w:rsidR="00A6491A" w:rsidRPr="00753C44">
        <w:rPr>
          <w:szCs w:val="20"/>
        </w:rPr>
        <w:t xml:space="preserve">  </w:t>
      </w:r>
    </w:p>
    <w:p w14:paraId="52A1657B"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14BEEF8F" w14:textId="0805C937" w:rsidR="00A6491A" w:rsidRDefault="00CF7FF1" w:rsidP="00A6491A">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A6491A">
        <w:rPr>
          <w:szCs w:val="20"/>
        </w:rPr>
        <w:t xml:space="preserve"> Yes</w:t>
      </w:r>
    </w:p>
    <w:p w14:paraId="7BF90C8C" w14:textId="230F4F50" w:rsidR="00A6491A" w:rsidRPr="00753C44" w:rsidRDefault="00CF7FF1"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A6491A">
        <w:rPr>
          <w:szCs w:val="20"/>
        </w:rPr>
        <w:t xml:space="preserve"> No</w:t>
      </w:r>
      <w:r w:rsidR="00A6491A" w:rsidRPr="00753C44">
        <w:rPr>
          <w:szCs w:val="20"/>
        </w:rPr>
        <w:t xml:space="preserve">  </w:t>
      </w:r>
    </w:p>
    <w:p w14:paraId="1C6361A1" w14:textId="77777777" w:rsidR="00E04FB3" w:rsidRDefault="00E04FB3" w:rsidP="005C333E">
      <w:pPr>
        <w:spacing w:before="0" w:after="0"/>
        <w:ind w:left="426"/>
        <w:rPr>
          <w:b/>
          <w:szCs w:val="20"/>
        </w:rPr>
      </w:pPr>
      <w:r w:rsidRPr="00154B00">
        <w:rPr>
          <w:b/>
          <w:szCs w:val="20"/>
        </w:rPr>
        <w:br w:type="page"/>
      </w:r>
    </w:p>
    <w:p w14:paraId="2BA52040"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535A9B80" w14:textId="30665481" w:rsidR="009056C5" w:rsidRPr="009056C5" w:rsidRDefault="000B3CD0" w:rsidP="00657764">
      <w:pPr>
        <w:pStyle w:val="Heading2"/>
        <w:ind w:left="357" w:hanging="357"/>
        <w:contextualSpacing w:val="0"/>
      </w:pPr>
      <w:r w:rsidRPr="00154B00">
        <w:t>Application title</w:t>
      </w:r>
      <w:r w:rsidR="00A8732C">
        <w:t xml:space="preserve"> </w:t>
      </w:r>
      <w:r w:rsidR="00657764">
        <w:br/>
      </w:r>
      <w:r w:rsidR="00302473" w:rsidRPr="00657764">
        <w:rPr>
          <w:b w:val="0"/>
        </w:rPr>
        <w:t xml:space="preserve">Transcatheter </w:t>
      </w:r>
      <w:r w:rsidR="00443895" w:rsidRPr="00657764">
        <w:rPr>
          <w:b w:val="0"/>
        </w:rPr>
        <w:t>a</w:t>
      </w:r>
      <w:r w:rsidR="00302473" w:rsidRPr="00657764">
        <w:rPr>
          <w:b w:val="0"/>
        </w:rPr>
        <w:t xml:space="preserve">ortic </w:t>
      </w:r>
      <w:r w:rsidR="00443895" w:rsidRPr="00657764">
        <w:rPr>
          <w:b w:val="0"/>
        </w:rPr>
        <w:t>v</w:t>
      </w:r>
      <w:r w:rsidR="00302473" w:rsidRPr="00657764">
        <w:rPr>
          <w:b w:val="0"/>
        </w:rPr>
        <w:t xml:space="preserve">alve </w:t>
      </w:r>
      <w:r w:rsidR="00443895" w:rsidRPr="00657764">
        <w:rPr>
          <w:b w:val="0"/>
        </w:rPr>
        <w:t>i</w:t>
      </w:r>
      <w:r w:rsidR="00302473" w:rsidRPr="00657764">
        <w:rPr>
          <w:b w:val="0"/>
        </w:rPr>
        <w:t>mplantation</w:t>
      </w:r>
      <w:r w:rsidR="00252351" w:rsidRPr="00657764">
        <w:rPr>
          <w:b w:val="0"/>
        </w:rPr>
        <w:t xml:space="preserve"> (TAVI)</w:t>
      </w:r>
      <w:r w:rsidR="00302473" w:rsidRPr="00657764">
        <w:rPr>
          <w:b w:val="0"/>
        </w:rPr>
        <w:t xml:space="preserve"> via </w:t>
      </w:r>
      <w:r w:rsidR="00443895" w:rsidRPr="00657764">
        <w:rPr>
          <w:b w:val="0"/>
        </w:rPr>
        <w:t>t</w:t>
      </w:r>
      <w:r w:rsidR="00302473" w:rsidRPr="00657764">
        <w:rPr>
          <w:b w:val="0"/>
        </w:rPr>
        <w:t xml:space="preserve">ransfemoral </w:t>
      </w:r>
      <w:r w:rsidR="00443895" w:rsidRPr="00657764">
        <w:rPr>
          <w:b w:val="0"/>
        </w:rPr>
        <w:t>d</w:t>
      </w:r>
      <w:r w:rsidR="00302473" w:rsidRPr="00657764">
        <w:rPr>
          <w:b w:val="0"/>
        </w:rPr>
        <w:t xml:space="preserve">elivery </w:t>
      </w:r>
      <w:r w:rsidR="00613AAE" w:rsidRPr="00657764">
        <w:rPr>
          <w:b w:val="0"/>
        </w:rPr>
        <w:t xml:space="preserve">using the </w:t>
      </w:r>
      <w:r w:rsidR="007F4E5E" w:rsidRPr="00657764">
        <w:rPr>
          <w:b w:val="0"/>
        </w:rPr>
        <w:t xml:space="preserve">SAPIEN 3 </w:t>
      </w:r>
      <w:r w:rsidR="00613AAE" w:rsidRPr="00657764">
        <w:rPr>
          <w:b w:val="0"/>
        </w:rPr>
        <w:t xml:space="preserve">balloon-expandable </w:t>
      </w:r>
      <w:r w:rsidR="00A33DAC" w:rsidRPr="00657764">
        <w:rPr>
          <w:b w:val="0"/>
        </w:rPr>
        <w:t xml:space="preserve">valve (BEV) </w:t>
      </w:r>
      <w:r w:rsidR="00613AAE" w:rsidRPr="00657764">
        <w:rPr>
          <w:b w:val="0"/>
        </w:rPr>
        <w:t xml:space="preserve">system </w:t>
      </w:r>
      <w:r w:rsidR="00302473" w:rsidRPr="00657764">
        <w:rPr>
          <w:b w:val="0"/>
        </w:rPr>
        <w:t xml:space="preserve">for </w:t>
      </w:r>
      <w:r w:rsidR="00443895" w:rsidRPr="00657764">
        <w:rPr>
          <w:b w:val="0"/>
        </w:rPr>
        <w:t>p</w:t>
      </w:r>
      <w:r w:rsidR="00302473" w:rsidRPr="00657764">
        <w:rPr>
          <w:b w:val="0"/>
        </w:rPr>
        <w:t xml:space="preserve">atients at </w:t>
      </w:r>
      <w:r w:rsidR="00443895" w:rsidRPr="00657764">
        <w:rPr>
          <w:b w:val="0"/>
        </w:rPr>
        <w:t>i</w:t>
      </w:r>
      <w:r w:rsidR="00302473" w:rsidRPr="00657764">
        <w:rPr>
          <w:b w:val="0"/>
        </w:rPr>
        <w:t xml:space="preserve">ntermediate </w:t>
      </w:r>
      <w:r w:rsidR="00443895" w:rsidRPr="00657764">
        <w:rPr>
          <w:b w:val="0"/>
        </w:rPr>
        <w:t>r</w:t>
      </w:r>
      <w:r w:rsidR="00302473" w:rsidRPr="00657764">
        <w:rPr>
          <w:b w:val="0"/>
        </w:rPr>
        <w:t xml:space="preserve">isk for </w:t>
      </w:r>
      <w:r w:rsidR="00443895" w:rsidRPr="00657764">
        <w:rPr>
          <w:b w:val="0"/>
        </w:rPr>
        <w:t>s</w:t>
      </w:r>
      <w:r w:rsidR="00302473" w:rsidRPr="00657764">
        <w:rPr>
          <w:b w:val="0"/>
        </w:rPr>
        <w:t>urgery</w:t>
      </w:r>
      <w:r w:rsidR="00443895" w:rsidRPr="00657764">
        <w:rPr>
          <w:b w:val="0"/>
        </w:rPr>
        <w:t>.</w:t>
      </w:r>
    </w:p>
    <w:p w14:paraId="560C71DD" w14:textId="77777777" w:rsidR="009B4E1E" w:rsidRDefault="009B4E1E" w:rsidP="00657764">
      <w:pPr>
        <w:pStyle w:val="Heading2"/>
        <w:ind w:left="357" w:hanging="357"/>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11C46F41" w14:textId="791CAEA8" w:rsidR="002255DA" w:rsidRDefault="00252351" w:rsidP="00252351">
      <w:pPr>
        <w:ind w:left="360"/>
      </w:pPr>
      <w:r w:rsidRPr="00252351">
        <w:t xml:space="preserve">Severe </w:t>
      </w:r>
      <w:r w:rsidR="00443895">
        <w:t>a</w:t>
      </w:r>
      <w:r w:rsidRPr="00252351">
        <w:t xml:space="preserve">ortic </w:t>
      </w:r>
      <w:r w:rsidR="00443895">
        <w:t>s</w:t>
      </w:r>
      <w:r w:rsidRPr="00252351">
        <w:t xml:space="preserve">tenosis (AS) </w:t>
      </w:r>
      <w:r w:rsidR="00443895">
        <w:t>is characterised by</w:t>
      </w:r>
      <w:r w:rsidRPr="00252351">
        <w:t xml:space="preserve"> narrowing of the aortic valve </w:t>
      </w:r>
      <w:r w:rsidR="00443895">
        <w:t xml:space="preserve">leading to </w:t>
      </w:r>
      <w:r w:rsidRPr="00252351">
        <w:t>restrict</w:t>
      </w:r>
      <w:r w:rsidR="00443895">
        <w:t>ion of</w:t>
      </w:r>
      <w:r w:rsidRPr="00252351">
        <w:t xml:space="preserve"> </w:t>
      </w:r>
      <w:r w:rsidR="00443895">
        <w:t>blood</w:t>
      </w:r>
      <w:r w:rsidRPr="00252351">
        <w:t xml:space="preserve"> flow.</w:t>
      </w:r>
      <w:r>
        <w:t xml:space="preserve"> A</w:t>
      </w:r>
      <w:r w:rsidR="00443895">
        <w:t>S</w:t>
      </w:r>
      <w:r>
        <w:t xml:space="preserve"> is often caused by a build-up of calcium on the valve leaflets, causing them to become stiff and reducing their ability to open and close efficiently.</w:t>
      </w:r>
      <w:r w:rsidRPr="00252351">
        <w:t xml:space="preserve"> </w:t>
      </w:r>
      <w:r w:rsidR="00443895">
        <w:t>It</w:t>
      </w:r>
      <w:r w:rsidR="00443895" w:rsidRPr="00252351">
        <w:t xml:space="preserve"> </w:t>
      </w:r>
      <w:r w:rsidRPr="00252351">
        <w:t xml:space="preserve">is associated with high pressure inside the left ventricle and </w:t>
      </w:r>
      <w:r>
        <w:t xml:space="preserve">as a result of the excessive workload, </w:t>
      </w:r>
      <w:r w:rsidRPr="00252351">
        <w:t>the</w:t>
      </w:r>
      <w:r w:rsidR="00443895">
        <w:t xml:space="preserve"> </w:t>
      </w:r>
      <w:r w:rsidRPr="00252351">
        <w:t>left ventricle hypertrophies</w:t>
      </w:r>
      <w:r w:rsidR="00443895">
        <w:t xml:space="preserve">, which further leads to inefficiency in blood circulation. </w:t>
      </w:r>
      <w:r w:rsidR="00557DD8">
        <w:t>S</w:t>
      </w:r>
      <w:r w:rsidR="00443895">
        <w:t xml:space="preserve">ymptoms </w:t>
      </w:r>
      <w:r w:rsidR="00557DD8">
        <w:t>include</w:t>
      </w:r>
      <w:r w:rsidR="00443895">
        <w:t xml:space="preserve"> angina, dyspnoea and syncope.</w:t>
      </w:r>
      <w:r w:rsidRPr="00252351">
        <w:t xml:space="preserve"> Left untreated</w:t>
      </w:r>
      <w:r>
        <w:t xml:space="preserve">, heart failure </w:t>
      </w:r>
      <w:r w:rsidR="006D6692" w:rsidRPr="006D6692">
        <w:t>develops,</w:t>
      </w:r>
      <w:r>
        <w:t xml:space="preserve"> and </w:t>
      </w:r>
      <w:r w:rsidR="00443895">
        <w:t xml:space="preserve">the risk of </w:t>
      </w:r>
      <w:r>
        <w:t xml:space="preserve">death is </w:t>
      </w:r>
      <w:r w:rsidR="00443895">
        <w:t>increased</w:t>
      </w:r>
      <w:r>
        <w:t>.</w:t>
      </w:r>
      <w:r w:rsidR="00FD2E15">
        <w:t xml:space="preserve"> </w:t>
      </w:r>
    </w:p>
    <w:p w14:paraId="3679087F" w14:textId="2F8405A6" w:rsidR="00252351" w:rsidRPr="00252351" w:rsidRDefault="00FD2E15" w:rsidP="00252351">
      <w:pPr>
        <w:ind w:left="360"/>
      </w:pPr>
      <w:r>
        <w:t xml:space="preserve">This application is relevant to patients with severe, symptomatic AS classified as being at </w:t>
      </w:r>
      <w:r w:rsidRPr="004E02F1">
        <w:rPr>
          <w:i/>
        </w:rPr>
        <w:t>intermediate risk</w:t>
      </w:r>
      <w:r>
        <w:t xml:space="preserve"> of surgery. </w:t>
      </w:r>
      <w:r w:rsidRPr="00FD2E15">
        <w:t xml:space="preserve">Intermediate risk is </w:t>
      </w:r>
      <w:r w:rsidR="00E107DC">
        <w:t xml:space="preserve">historically </w:t>
      </w:r>
      <w:r w:rsidRPr="00FD2E15">
        <w:t>defined by</w:t>
      </w:r>
      <w:r w:rsidR="002255DA">
        <w:t xml:space="preserve"> a</w:t>
      </w:r>
      <w:r w:rsidRPr="00FD2E15">
        <w:t xml:space="preserve"> predicted </w:t>
      </w:r>
      <w:r w:rsidR="002255DA">
        <w:t xml:space="preserve">30-day </w:t>
      </w:r>
      <w:r w:rsidRPr="00FD2E15">
        <w:t xml:space="preserve">risk of surgical mortality of 4-8%, based on the Society of Thoracic Surgeons </w:t>
      </w:r>
      <w:r w:rsidR="00CE0BFF">
        <w:t xml:space="preserve">Predicted Risk of Mortality </w:t>
      </w:r>
      <w:r w:rsidRPr="00FD2E15">
        <w:t>(STS</w:t>
      </w:r>
      <w:r w:rsidR="00CE0BFF">
        <w:t>-PROM</w:t>
      </w:r>
      <w:r w:rsidRPr="00FD2E15">
        <w:t>) score.</w:t>
      </w:r>
    </w:p>
    <w:p w14:paraId="5C47C87A"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48E2D014" w14:textId="0FBE0626" w:rsidR="00252351" w:rsidRPr="00252351" w:rsidRDefault="00252351" w:rsidP="007D0F69">
      <w:pPr>
        <w:ind w:left="360"/>
      </w:pPr>
      <w:r>
        <w:t>T</w:t>
      </w:r>
      <w:r w:rsidR="005600E9">
        <w:t xml:space="preserve">AVI </w:t>
      </w:r>
      <w:r w:rsidR="00572EAC">
        <w:t xml:space="preserve">involving the SAPIEN 3 </w:t>
      </w:r>
      <w:r w:rsidR="007D0F69">
        <w:t xml:space="preserve">BEV </w:t>
      </w:r>
      <w:r w:rsidR="005600E9">
        <w:t>i</w:t>
      </w:r>
      <w:r w:rsidR="00443895">
        <w:t>nvolves</w:t>
      </w:r>
      <w:r w:rsidR="005600E9">
        <w:t xml:space="preserve"> </w:t>
      </w:r>
      <w:r w:rsidR="00307CBF">
        <w:t xml:space="preserve">minimally invasive </w:t>
      </w:r>
      <w:r w:rsidR="00443895">
        <w:t xml:space="preserve">transfemoral </w:t>
      </w:r>
      <w:r w:rsidR="00307CBF">
        <w:t xml:space="preserve">insertion </w:t>
      </w:r>
      <w:r w:rsidR="005600E9">
        <w:t>of a prosthetic heart valve that is positioned within the native aortic annulus</w:t>
      </w:r>
      <w:r w:rsidR="009261FB">
        <w:t xml:space="preserve"> </w:t>
      </w:r>
      <w:r w:rsidR="009261FB" w:rsidRPr="00613AAE">
        <w:t>using the SAPIEN 3 system</w:t>
      </w:r>
      <w:r w:rsidR="005600E9">
        <w:t xml:space="preserve">. Once in situ, the valve is expanded while the heart is rapidly paced. The procedure is performed </w:t>
      </w:r>
      <w:r w:rsidR="00F06BFB">
        <w:t xml:space="preserve">using </w:t>
      </w:r>
      <w:r w:rsidR="005600E9">
        <w:t>fluoroscopic and trans</w:t>
      </w:r>
      <w:r w:rsidR="0056140B">
        <w:t>oe</w:t>
      </w:r>
      <w:r w:rsidR="005600E9">
        <w:t>s</w:t>
      </w:r>
      <w:r w:rsidR="0056140B">
        <w:t>o</w:t>
      </w:r>
      <w:r w:rsidR="005600E9">
        <w:t xml:space="preserve">phageal guidance and under general </w:t>
      </w:r>
      <w:r w:rsidR="00F91FBC">
        <w:t>or</w:t>
      </w:r>
      <w:r w:rsidR="00307CBF">
        <w:t xml:space="preserve"> local anaesthe</w:t>
      </w:r>
      <w:r w:rsidR="00F06BFB">
        <w:t>sia</w:t>
      </w:r>
      <w:r w:rsidR="00F91FBC">
        <w:t>.</w:t>
      </w:r>
    </w:p>
    <w:p w14:paraId="40556E5A" w14:textId="77777777" w:rsidR="00D11EB1" w:rsidRPr="0011036E" w:rsidRDefault="00252351"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2877396E" w14:textId="77777777" w:rsidR="00753C44" w:rsidRDefault="007E23A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6B6390">
        <w:rPr>
          <w:szCs w:val="20"/>
        </w:rPr>
        <w:t xml:space="preserve"> Yes</w:t>
      </w:r>
    </w:p>
    <w:p w14:paraId="00E2F66C"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44473">
        <w:rPr>
          <w:szCs w:val="20"/>
        </w:rPr>
      </w:r>
      <w:r w:rsidR="00A44473">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1E144F53"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0C33DE93" w14:textId="4227900D" w:rsidR="00753C44" w:rsidRDefault="002255DA" w:rsidP="00A6491A">
      <w:pPr>
        <w:spacing w:before="0" w:after="0"/>
        <w:ind w:left="284"/>
        <w:rPr>
          <w:szCs w:val="20"/>
        </w:rPr>
      </w:pPr>
      <w:r>
        <w:rPr>
          <w:szCs w:val="20"/>
        </w:rPr>
        <w:fldChar w:fldCharType="begin">
          <w:ffData>
            <w:name w:val="Check2"/>
            <w:enabled/>
            <w:calcOnExit w:val="0"/>
            <w:checkBox>
              <w:sizeAuto/>
              <w:default w:val="0"/>
            </w:checkBox>
          </w:ffData>
        </w:fldChar>
      </w:r>
      <w:r>
        <w:rPr>
          <w:szCs w:val="20"/>
        </w:rPr>
        <w:instrText xml:space="preserve"> </w:instrText>
      </w:r>
      <w:bookmarkStart w:id="2" w:name="Check2"/>
      <w:r>
        <w:rPr>
          <w:szCs w:val="20"/>
        </w:rPr>
        <w:instrText xml:space="preserve">FORMCHECKBOX </w:instrText>
      </w:r>
      <w:r w:rsidR="00A44473">
        <w:rPr>
          <w:szCs w:val="20"/>
        </w:rPr>
      </w:r>
      <w:r w:rsidR="00A44473">
        <w:rPr>
          <w:szCs w:val="20"/>
        </w:rPr>
        <w:fldChar w:fldCharType="separate"/>
      </w:r>
      <w:r>
        <w:rPr>
          <w:szCs w:val="20"/>
        </w:rPr>
        <w:fldChar w:fldCharType="end"/>
      </w:r>
      <w:bookmarkEnd w:id="2"/>
      <w:r w:rsidR="006B6390">
        <w:rPr>
          <w:szCs w:val="20"/>
        </w:rPr>
        <w:t xml:space="preserve"> </w:t>
      </w:r>
      <w:r w:rsidR="00753C44" w:rsidRPr="00154B00">
        <w:rPr>
          <w:szCs w:val="20"/>
        </w:rPr>
        <w:t>Amendment to existing MBS item</w:t>
      </w:r>
      <w:r w:rsidR="00753C44">
        <w:rPr>
          <w:szCs w:val="20"/>
        </w:rPr>
        <w:t>(s)</w:t>
      </w:r>
    </w:p>
    <w:p w14:paraId="3CEE6DF4" w14:textId="3486C307" w:rsidR="00753C44" w:rsidRDefault="002255D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21FD02D8" w14:textId="77777777" w:rsidR="00ED061E" w:rsidRDefault="00ED061E" w:rsidP="00A6491A">
      <w:pPr>
        <w:spacing w:before="0" w:after="0"/>
        <w:ind w:left="284"/>
        <w:rPr>
          <w:szCs w:val="20"/>
        </w:rPr>
      </w:pPr>
    </w:p>
    <w:p w14:paraId="277E0351"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2851F03A" w14:textId="3C55C66F" w:rsidR="003D795C" w:rsidRPr="00CB12EC" w:rsidRDefault="00572EAC" w:rsidP="00A6491A">
      <w:pPr>
        <w:ind w:left="284"/>
      </w:pPr>
      <w:r>
        <w:t>Not applicable.</w:t>
      </w:r>
    </w:p>
    <w:p w14:paraId="6A79BB95" w14:textId="3B2D9F4B" w:rsidR="006C0843"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6044D763" w14:textId="1EAA7F2F" w:rsidR="00572EAC" w:rsidRPr="003962BC" w:rsidRDefault="00572EAC" w:rsidP="003962BC">
      <w:pPr>
        <w:ind w:firstLine="284"/>
      </w:pPr>
      <w:r>
        <w:t>Not applicable.</w:t>
      </w:r>
    </w:p>
    <w:p w14:paraId="5B1E2D2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44473">
        <w:rPr>
          <w:b/>
          <w:szCs w:val="20"/>
        </w:rPr>
      </w:r>
      <w:r w:rsidR="00A4447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2FB70BD5" w14:textId="211D4346" w:rsidR="002A270B" w:rsidRPr="004A263B" w:rsidRDefault="00572EAC"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Auto/>
              <w:default w:val="0"/>
            </w:checkBox>
          </w:ffData>
        </w:fldChar>
      </w:r>
      <w:r>
        <w:rPr>
          <w:b/>
          <w:szCs w:val="20"/>
        </w:rPr>
        <w:instrText xml:space="preserve"> FORMCHECKBOX </w:instrText>
      </w:r>
      <w:r w:rsidR="00A44473">
        <w:rPr>
          <w:b/>
          <w:szCs w:val="20"/>
        </w:rPr>
      </w:r>
      <w:r w:rsidR="00A44473">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patient population under the existing item(s)</w:t>
      </w:r>
    </w:p>
    <w:p w14:paraId="1C4DBBF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44473">
        <w:rPr>
          <w:b/>
          <w:szCs w:val="20"/>
        </w:rPr>
      </w:r>
      <w:r w:rsidR="00A4447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6D31383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44473">
        <w:rPr>
          <w:b/>
          <w:szCs w:val="20"/>
        </w:rPr>
      </w:r>
      <w:r w:rsidR="00A4447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144774D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44473">
        <w:rPr>
          <w:b/>
          <w:szCs w:val="20"/>
        </w:rPr>
      </w:r>
      <w:r w:rsidR="00A44473">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145B5A7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44473">
        <w:rPr>
          <w:b/>
          <w:szCs w:val="20"/>
        </w:rPr>
      </w:r>
      <w:r w:rsidR="00A44473">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0FAA5DB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44473">
        <w:rPr>
          <w:b/>
          <w:szCs w:val="20"/>
        </w:rPr>
      </w:r>
      <w:r w:rsidR="00A4447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15D9670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44473">
        <w:rPr>
          <w:b/>
          <w:szCs w:val="20"/>
        </w:rPr>
      </w:r>
      <w:r w:rsidR="00A4447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505270ED" w14:textId="2ED63BCA" w:rsidR="002A270B" w:rsidRPr="003962BC"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44473">
        <w:rPr>
          <w:b/>
          <w:szCs w:val="20"/>
        </w:rPr>
      </w:r>
      <w:r w:rsidR="00A44473">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6BC07F4F" w14:textId="77777777" w:rsidR="00572EAC" w:rsidRDefault="00572EAC" w:rsidP="003962BC">
      <w:pPr>
        <w:pStyle w:val="ListParagraph"/>
        <w:ind w:left="851"/>
        <w:rPr>
          <w:rStyle w:val="Strong"/>
        </w:rPr>
      </w:pPr>
    </w:p>
    <w:p w14:paraId="2875F0CA"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4FA347E1"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lastRenderedPageBreak/>
        <w:fldChar w:fldCharType="begin">
          <w:ffData>
            <w:name w:val="Check2"/>
            <w:enabled/>
            <w:calcOnExit w:val="0"/>
            <w:checkBox>
              <w:sizeAuto/>
              <w:default w:val="0"/>
            </w:checkBox>
          </w:ffData>
        </w:fldChar>
      </w:r>
      <w:r w:rsidRPr="00AA2CFE">
        <w:rPr>
          <w:b/>
          <w:szCs w:val="20"/>
        </w:rPr>
        <w:instrText xml:space="preserve"> FORMCHECKBOX </w:instrText>
      </w:r>
      <w:r w:rsidR="00A44473">
        <w:rPr>
          <w:b/>
          <w:szCs w:val="20"/>
        </w:rPr>
      </w:r>
      <w:r w:rsidR="00A44473">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46095C0E" w14:textId="256AE9AE" w:rsidR="006B6390" w:rsidRPr="00AA2CFE" w:rsidRDefault="00572EAC"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A44473">
        <w:rPr>
          <w:b/>
          <w:szCs w:val="20"/>
        </w:rPr>
      </w:r>
      <w:r w:rsidR="00A44473">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701D4C57"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44473">
        <w:rPr>
          <w:b/>
          <w:szCs w:val="20"/>
        </w:rPr>
      </w:r>
      <w:r w:rsidR="00A44473">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2F069BD8" w14:textId="3C6E39D6" w:rsidR="006B6390"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44473">
        <w:rPr>
          <w:b/>
          <w:szCs w:val="20"/>
        </w:rPr>
      </w:r>
      <w:r w:rsidR="00A44473">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2AEE1500" w14:textId="77777777" w:rsidR="00572EAC" w:rsidRDefault="00572EAC" w:rsidP="00572EAC">
      <w:pPr>
        <w:pStyle w:val="ListParagraph"/>
        <w:spacing w:before="0" w:after="0"/>
        <w:ind w:left="1004"/>
        <w:rPr>
          <w:szCs w:val="20"/>
        </w:rPr>
      </w:pPr>
    </w:p>
    <w:p w14:paraId="2DF994A9" w14:textId="0C856BEF" w:rsidR="00572EAC" w:rsidRPr="00572EAC" w:rsidRDefault="00572EAC" w:rsidP="003962BC">
      <w:pPr>
        <w:pStyle w:val="ListParagraph"/>
        <w:spacing w:before="0" w:after="0"/>
        <w:ind w:left="284"/>
        <w:rPr>
          <w:szCs w:val="20"/>
        </w:rPr>
      </w:pPr>
      <w:r w:rsidRPr="00572EAC">
        <w:rPr>
          <w:szCs w:val="20"/>
        </w:rPr>
        <w:t xml:space="preserve">NB: There is </w:t>
      </w:r>
      <w:r w:rsidR="003962BC">
        <w:rPr>
          <w:szCs w:val="20"/>
        </w:rPr>
        <w:t xml:space="preserve">an </w:t>
      </w:r>
      <w:r w:rsidRPr="00572EAC">
        <w:rPr>
          <w:szCs w:val="20"/>
        </w:rPr>
        <w:t xml:space="preserve">existing MBS item number (38495) </w:t>
      </w:r>
      <w:r w:rsidR="007F4E5E">
        <w:rPr>
          <w:szCs w:val="20"/>
        </w:rPr>
        <w:t>for</w:t>
      </w:r>
      <w:r w:rsidRPr="00572EAC">
        <w:rPr>
          <w:szCs w:val="20"/>
        </w:rPr>
        <w:t xml:space="preserve"> TAVI</w:t>
      </w:r>
      <w:r w:rsidR="007F4E5E">
        <w:rPr>
          <w:szCs w:val="20"/>
        </w:rPr>
        <w:t>s</w:t>
      </w:r>
      <w:r>
        <w:rPr>
          <w:szCs w:val="20"/>
        </w:rPr>
        <w:t xml:space="preserve">: </w:t>
      </w:r>
      <w:r w:rsidRPr="00572EAC">
        <w:rPr>
          <w:szCs w:val="20"/>
        </w:rPr>
        <w:t>“TAVI, for the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 However, as per note TN.8.135, the item is currently restricted to patients who have been “assessed as having an unacceptably high risk for surgical aortic valve replacement”. The current proposal seeks a new MBS item for th</w:t>
      </w:r>
      <w:r>
        <w:rPr>
          <w:szCs w:val="20"/>
        </w:rPr>
        <w:t>e</w:t>
      </w:r>
      <w:r w:rsidRPr="00572EAC">
        <w:rPr>
          <w:szCs w:val="20"/>
        </w:rPr>
        <w:t xml:space="preserve"> </w:t>
      </w:r>
      <w:r w:rsidRPr="003962BC">
        <w:rPr>
          <w:i/>
          <w:szCs w:val="20"/>
        </w:rPr>
        <w:t xml:space="preserve">TAVI </w:t>
      </w:r>
      <w:r w:rsidRPr="00572EAC">
        <w:rPr>
          <w:i/>
          <w:szCs w:val="20"/>
        </w:rPr>
        <w:t xml:space="preserve">with the SAPIEN 3 </w:t>
      </w:r>
      <w:r w:rsidR="007F4E5E" w:rsidRPr="00AF1F77">
        <w:rPr>
          <w:i/>
          <w:szCs w:val="20"/>
        </w:rPr>
        <w:t>BEV</w:t>
      </w:r>
      <w:r w:rsidR="007F4E5E" w:rsidRPr="00572EAC">
        <w:rPr>
          <w:szCs w:val="20"/>
        </w:rPr>
        <w:t xml:space="preserve"> </w:t>
      </w:r>
      <w:r w:rsidR="007F4E5E" w:rsidRPr="003962BC">
        <w:rPr>
          <w:szCs w:val="20"/>
        </w:rPr>
        <w:t>system</w:t>
      </w:r>
      <w:r w:rsidRPr="00572EAC">
        <w:rPr>
          <w:i/>
          <w:szCs w:val="20"/>
        </w:rPr>
        <w:t xml:space="preserve">, </w:t>
      </w:r>
      <w:r w:rsidRPr="00572EAC">
        <w:rPr>
          <w:szCs w:val="20"/>
        </w:rPr>
        <w:t xml:space="preserve">and for patients at </w:t>
      </w:r>
      <w:r w:rsidRPr="00572EAC">
        <w:rPr>
          <w:i/>
          <w:szCs w:val="20"/>
        </w:rPr>
        <w:t>intermediate</w:t>
      </w:r>
      <w:r w:rsidRPr="00572EAC">
        <w:rPr>
          <w:szCs w:val="20"/>
        </w:rPr>
        <w:t xml:space="preserve"> risk for surgery.</w:t>
      </w:r>
    </w:p>
    <w:p w14:paraId="6BAD9CFB" w14:textId="77777777" w:rsidR="00572EAC" w:rsidRPr="00AA2CFE" w:rsidRDefault="00572EAC" w:rsidP="003962BC">
      <w:pPr>
        <w:pStyle w:val="ListParagraph"/>
        <w:spacing w:before="0" w:after="0"/>
        <w:ind w:left="851"/>
        <w:rPr>
          <w:rStyle w:val="Strong"/>
          <w:b w:val="0"/>
        </w:rPr>
      </w:pPr>
    </w:p>
    <w:p w14:paraId="2B957939"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20584BB0"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sidRPr="000A5B32">
        <w:rPr>
          <w:szCs w:val="20"/>
        </w:rPr>
        <w:t xml:space="preserve"> Yes</w:t>
      </w:r>
    </w:p>
    <w:p w14:paraId="765C5974" w14:textId="77777777" w:rsidR="00626365" w:rsidRDefault="00ED061E"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0A5B32" w:rsidRPr="000A5B32">
        <w:rPr>
          <w:szCs w:val="20"/>
        </w:rPr>
        <w:t xml:space="preserve"> No</w:t>
      </w:r>
    </w:p>
    <w:p w14:paraId="7A1A65D2"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61C11ABB"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00082E24" w14:textId="77777777" w:rsidR="00405516" w:rsidRDefault="00405516" w:rsidP="00181B4B">
      <w:pPr>
        <w:pStyle w:val="Heading2"/>
        <w:numPr>
          <w:ilvl w:val="0"/>
          <w:numId w:val="0"/>
        </w:numPr>
        <w:ind w:left="360"/>
      </w:pPr>
    </w:p>
    <w:p w14:paraId="40F86A16" w14:textId="4E6B28C7" w:rsidR="000B3CD0" w:rsidRDefault="000B3CD0" w:rsidP="00730C04">
      <w:pPr>
        <w:pStyle w:val="Heading2"/>
      </w:pPr>
      <w:r w:rsidRPr="00154B00">
        <w:t>What is the type of service:</w:t>
      </w:r>
    </w:p>
    <w:p w14:paraId="150A96E6" w14:textId="77777777" w:rsidR="00A6594E" w:rsidRDefault="00ED061E"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A44473">
        <w:rPr>
          <w:b/>
          <w:szCs w:val="20"/>
        </w:rPr>
      </w:r>
      <w:r w:rsidR="00A44473">
        <w:rPr>
          <w:b/>
          <w:szCs w:val="20"/>
        </w:rPr>
        <w:fldChar w:fldCharType="separate"/>
      </w:r>
      <w:r>
        <w:rPr>
          <w:b/>
          <w:szCs w:val="20"/>
        </w:rPr>
        <w:fldChar w:fldCharType="end"/>
      </w:r>
      <w:r w:rsidR="00A6594E" w:rsidRPr="0027105F">
        <w:rPr>
          <w:b/>
          <w:szCs w:val="20"/>
        </w:rPr>
        <w:t xml:space="preserve"> </w:t>
      </w:r>
      <w:r w:rsidR="00A6594E">
        <w:t>Therapeutic medical service</w:t>
      </w:r>
    </w:p>
    <w:p w14:paraId="524BC547"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44473">
        <w:rPr>
          <w:b/>
          <w:szCs w:val="20"/>
        </w:rPr>
      </w:r>
      <w:r w:rsidR="00A44473">
        <w:rPr>
          <w:b/>
          <w:szCs w:val="20"/>
        </w:rPr>
        <w:fldChar w:fldCharType="separate"/>
      </w:r>
      <w:r w:rsidRPr="0027105F">
        <w:rPr>
          <w:b/>
          <w:szCs w:val="20"/>
        </w:rPr>
        <w:fldChar w:fldCharType="end"/>
      </w:r>
      <w:r w:rsidRPr="0027105F">
        <w:rPr>
          <w:b/>
          <w:szCs w:val="20"/>
        </w:rPr>
        <w:t xml:space="preserve"> </w:t>
      </w:r>
      <w:r>
        <w:t>Investigative medical service</w:t>
      </w:r>
    </w:p>
    <w:p w14:paraId="3FDC18D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44473">
        <w:rPr>
          <w:b/>
          <w:szCs w:val="20"/>
        </w:rPr>
      </w:r>
      <w:r w:rsidR="00A44473">
        <w:rPr>
          <w:b/>
          <w:szCs w:val="20"/>
        </w:rPr>
        <w:fldChar w:fldCharType="separate"/>
      </w:r>
      <w:r w:rsidRPr="0027105F">
        <w:rPr>
          <w:b/>
          <w:szCs w:val="20"/>
        </w:rPr>
        <w:fldChar w:fldCharType="end"/>
      </w:r>
      <w:r w:rsidRPr="0027105F">
        <w:rPr>
          <w:b/>
          <w:szCs w:val="20"/>
        </w:rPr>
        <w:t xml:space="preserve"> </w:t>
      </w:r>
      <w:r>
        <w:t>Single consultation medical service</w:t>
      </w:r>
    </w:p>
    <w:p w14:paraId="79B11CE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44473">
        <w:rPr>
          <w:b/>
          <w:szCs w:val="20"/>
        </w:rPr>
      </w:r>
      <w:r w:rsidR="00A44473">
        <w:rPr>
          <w:b/>
          <w:szCs w:val="20"/>
        </w:rPr>
        <w:fldChar w:fldCharType="separate"/>
      </w:r>
      <w:r w:rsidRPr="0027105F">
        <w:rPr>
          <w:b/>
          <w:szCs w:val="20"/>
        </w:rPr>
        <w:fldChar w:fldCharType="end"/>
      </w:r>
      <w:r w:rsidRPr="0027105F">
        <w:rPr>
          <w:b/>
          <w:szCs w:val="20"/>
        </w:rPr>
        <w:t xml:space="preserve"> </w:t>
      </w:r>
      <w:r>
        <w:t>Global consultation medical service</w:t>
      </w:r>
    </w:p>
    <w:p w14:paraId="1AAFE53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44473">
        <w:rPr>
          <w:b/>
          <w:szCs w:val="20"/>
        </w:rPr>
      </w:r>
      <w:r w:rsidR="00A44473">
        <w:rPr>
          <w:b/>
          <w:szCs w:val="20"/>
        </w:rPr>
        <w:fldChar w:fldCharType="separate"/>
      </w:r>
      <w:r w:rsidRPr="0027105F">
        <w:rPr>
          <w:b/>
          <w:szCs w:val="20"/>
        </w:rPr>
        <w:fldChar w:fldCharType="end"/>
      </w:r>
      <w:r w:rsidRPr="0027105F">
        <w:rPr>
          <w:b/>
          <w:szCs w:val="20"/>
        </w:rPr>
        <w:t xml:space="preserve"> </w:t>
      </w:r>
      <w:r>
        <w:t>Allied health service</w:t>
      </w:r>
    </w:p>
    <w:p w14:paraId="68F8B06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44473">
        <w:rPr>
          <w:b/>
          <w:szCs w:val="20"/>
        </w:rPr>
      </w:r>
      <w:r w:rsidR="00A44473">
        <w:rPr>
          <w:b/>
          <w:szCs w:val="20"/>
        </w:rPr>
        <w:fldChar w:fldCharType="separate"/>
      </w:r>
      <w:r w:rsidRPr="0027105F">
        <w:rPr>
          <w:b/>
          <w:szCs w:val="20"/>
        </w:rPr>
        <w:fldChar w:fldCharType="end"/>
      </w:r>
      <w:r w:rsidRPr="0027105F">
        <w:rPr>
          <w:b/>
          <w:szCs w:val="20"/>
        </w:rPr>
        <w:t xml:space="preserve"> </w:t>
      </w:r>
      <w:r>
        <w:t>Co-dependent technology</w:t>
      </w:r>
    </w:p>
    <w:p w14:paraId="2794B903"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44473">
        <w:rPr>
          <w:b/>
          <w:szCs w:val="20"/>
        </w:rPr>
      </w:r>
      <w:r w:rsidR="00A44473">
        <w:rPr>
          <w:b/>
          <w:szCs w:val="20"/>
        </w:rPr>
        <w:fldChar w:fldCharType="separate"/>
      </w:r>
      <w:r w:rsidRPr="0027105F">
        <w:rPr>
          <w:b/>
          <w:szCs w:val="20"/>
        </w:rPr>
        <w:fldChar w:fldCharType="end"/>
      </w:r>
      <w:r w:rsidRPr="0027105F">
        <w:rPr>
          <w:b/>
          <w:szCs w:val="20"/>
        </w:rPr>
        <w:t xml:space="preserve"> </w:t>
      </w:r>
      <w:r>
        <w:t>Hybrid health technology</w:t>
      </w:r>
    </w:p>
    <w:p w14:paraId="0F8A6E27"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4CB07B46"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44473">
        <w:rPr>
          <w:b/>
          <w:szCs w:val="20"/>
        </w:rPr>
      </w:r>
      <w:r w:rsidR="00A44473">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2976139C"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44473">
        <w:rPr>
          <w:b/>
          <w:szCs w:val="20"/>
        </w:rPr>
      </w:r>
      <w:r w:rsidR="00A44473">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31DAFFB8"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44473">
        <w:rPr>
          <w:b/>
          <w:szCs w:val="20"/>
        </w:rPr>
      </w:r>
      <w:r w:rsidR="00A44473">
        <w:rPr>
          <w:b/>
          <w:szCs w:val="20"/>
        </w:rPr>
        <w:fldChar w:fldCharType="separate"/>
      </w:r>
      <w:r w:rsidRPr="00AF4466">
        <w:rPr>
          <w:b/>
          <w:szCs w:val="20"/>
        </w:rPr>
        <w:fldChar w:fldCharType="end"/>
      </w:r>
      <w:r w:rsidRPr="00AF4466">
        <w:rPr>
          <w:b/>
          <w:szCs w:val="20"/>
        </w:rPr>
        <w:t xml:space="preserve"> </w:t>
      </w:r>
      <w:r>
        <w:t>Provides information about prognosis</w:t>
      </w:r>
    </w:p>
    <w:p w14:paraId="39910A97"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44473">
        <w:rPr>
          <w:b/>
          <w:szCs w:val="20"/>
        </w:rPr>
      </w:r>
      <w:r w:rsidR="00A44473">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0C50070B"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44473">
        <w:rPr>
          <w:b/>
          <w:szCs w:val="20"/>
        </w:rPr>
      </w:r>
      <w:r w:rsidR="00A44473">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752AEFB5"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0B3AF43C"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44473">
        <w:rPr>
          <w:b/>
          <w:szCs w:val="20"/>
        </w:rPr>
      </w:r>
      <w:r w:rsidR="00A44473">
        <w:rPr>
          <w:b/>
          <w:szCs w:val="20"/>
        </w:rPr>
        <w:fldChar w:fldCharType="separate"/>
      </w:r>
      <w:r w:rsidRPr="0027105F">
        <w:rPr>
          <w:b/>
          <w:szCs w:val="20"/>
        </w:rPr>
        <w:fldChar w:fldCharType="end"/>
      </w:r>
      <w:r w:rsidRPr="0027105F">
        <w:rPr>
          <w:b/>
          <w:szCs w:val="20"/>
        </w:rPr>
        <w:t xml:space="preserve"> </w:t>
      </w:r>
      <w:r>
        <w:t>Pharmaceutical / Biological</w:t>
      </w:r>
    </w:p>
    <w:p w14:paraId="6FB8507A" w14:textId="77777777" w:rsidR="00FE16C1" w:rsidRDefault="00ED061E"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A44473">
        <w:rPr>
          <w:b/>
          <w:szCs w:val="20"/>
        </w:rPr>
      </w:r>
      <w:r w:rsidR="00A44473">
        <w:rPr>
          <w:b/>
          <w:szCs w:val="20"/>
        </w:rPr>
        <w:fldChar w:fldCharType="separate"/>
      </w:r>
      <w:r>
        <w:rPr>
          <w:b/>
          <w:szCs w:val="20"/>
        </w:rPr>
        <w:fldChar w:fldCharType="end"/>
      </w:r>
      <w:r w:rsidR="00FE16C1" w:rsidRPr="0027105F">
        <w:rPr>
          <w:b/>
          <w:szCs w:val="20"/>
        </w:rPr>
        <w:t xml:space="preserve"> </w:t>
      </w:r>
      <w:r w:rsidR="00FE16C1">
        <w:t>Prosthesis or device</w:t>
      </w:r>
    </w:p>
    <w:p w14:paraId="0CF43862"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44473">
        <w:rPr>
          <w:b/>
          <w:szCs w:val="20"/>
        </w:rPr>
      </w:r>
      <w:r w:rsidR="00A44473">
        <w:rPr>
          <w:b/>
          <w:szCs w:val="20"/>
        </w:rPr>
        <w:fldChar w:fldCharType="separate"/>
      </w:r>
      <w:r w:rsidRPr="0027105F">
        <w:rPr>
          <w:b/>
          <w:szCs w:val="20"/>
        </w:rPr>
        <w:fldChar w:fldCharType="end"/>
      </w:r>
      <w:r w:rsidRPr="0027105F">
        <w:rPr>
          <w:b/>
          <w:szCs w:val="20"/>
        </w:rPr>
        <w:t xml:space="preserve"> </w:t>
      </w:r>
      <w:r>
        <w:t>No</w:t>
      </w:r>
    </w:p>
    <w:p w14:paraId="1023B5FC" w14:textId="77777777" w:rsidR="000E5439"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450948BB" w14:textId="77777777" w:rsidR="00ED061E" w:rsidRPr="00ED061E" w:rsidRDefault="00ED061E" w:rsidP="00ED061E">
      <w:pPr>
        <w:ind w:left="284"/>
      </w:pPr>
      <w:r>
        <w:t>Not applicable</w:t>
      </w:r>
    </w:p>
    <w:p w14:paraId="10381304"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sidRPr="000A5B32">
        <w:rPr>
          <w:szCs w:val="20"/>
        </w:rPr>
        <w:t xml:space="preserve"> Yes</w:t>
      </w:r>
    </w:p>
    <w:p w14:paraId="523E3534"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Pr>
          <w:szCs w:val="20"/>
        </w:rPr>
        <w:t xml:space="preserve"> No  </w:t>
      </w:r>
    </w:p>
    <w:p w14:paraId="378BE0EF" w14:textId="77777777" w:rsidR="00EC127A"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0C4110E3" w14:textId="77777777" w:rsidR="00ED061E" w:rsidRPr="00ED061E" w:rsidRDefault="00ED061E" w:rsidP="00ED061E">
      <w:pPr>
        <w:ind w:left="284"/>
      </w:pPr>
      <w:r>
        <w:t>Not applicable</w:t>
      </w:r>
    </w:p>
    <w:p w14:paraId="016FC348" w14:textId="77777777" w:rsidR="00411735"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37A341C0" w14:textId="77777777" w:rsidR="00ED061E" w:rsidRPr="00ED061E" w:rsidRDefault="00ED061E" w:rsidP="00ED061E">
      <w:pPr>
        <w:ind w:left="284"/>
      </w:pPr>
      <w:r>
        <w:lastRenderedPageBreak/>
        <w:t>Not applicable</w:t>
      </w:r>
    </w:p>
    <w:p w14:paraId="0D1E3D1E"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5C1B6916"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sidR="001E6919">
        <w:rPr>
          <w:szCs w:val="20"/>
        </w:rPr>
        <w:t xml:space="preserve"> No</w:t>
      </w:r>
    </w:p>
    <w:p w14:paraId="3ABADD3E"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2DC65995" w14:textId="77777777" w:rsidR="00ED061E" w:rsidRPr="00ED061E" w:rsidRDefault="00ED061E" w:rsidP="00ED061E">
      <w:pPr>
        <w:ind w:left="284"/>
      </w:pPr>
      <w:r>
        <w:t>Not Applicable</w:t>
      </w:r>
    </w:p>
    <w:p w14:paraId="597250E3" w14:textId="58434BA6" w:rsidR="00B75965" w:rsidRDefault="00405516" w:rsidP="00530204">
      <w:pPr>
        <w:pStyle w:val="Heading2"/>
      </w:pPr>
      <w:r w:rsidDel="00405516">
        <w:t xml:space="preserve"> </w:t>
      </w:r>
      <w:r w:rsidR="00530204">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1195E936" w14:textId="77777777" w:rsidR="001E6958" w:rsidRDefault="00ED061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1E6958" w:rsidRPr="000A5B32">
        <w:rPr>
          <w:szCs w:val="20"/>
        </w:rPr>
        <w:t xml:space="preserve"> Yes</w:t>
      </w:r>
    </w:p>
    <w:p w14:paraId="3F2080CD" w14:textId="77777777" w:rsidR="001E6958"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Pr>
          <w:szCs w:val="20"/>
        </w:rPr>
        <w:t xml:space="preserve"> No  </w:t>
      </w:r>
    </w:p>
    <w:p w14:paraId="024C8557"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4CA40949" w14:textId="77777777" w:rsidR="001E6958" w:rsidRDefault="001E6958" w:rsidP="00A6491A">
      <w:pPr>
        <w:spacing w:before="0" w:after="0"/>
        <w:ind w:left="284"/>
      </w:pPr>
      <w:r>
        <w:t xml:space="preserve">Billing code(s): </w:t>
      </w:r>
      <w:r w:rsidR="003127C4">
        <w:t>EL063</w:t>
      </w:r>
    </w:p>
    <w:p w14:paraId="4C051594" w14:textId="03CC529F" w:rsidR="001E6958" w:rsidRDefault="001E6958" w:rsidP="00A6491A">
      <w:pPr>
        <w:spacing w:before="0" w:after="0"/>
        <w:ind w:left="284"/>
      </w:pPr>
      <w:r>
        <w:t>Trade name of prosthes</w:t>
      </w:r>
      <w:r w:rsidR="00577EF8">
        <w:t>i</w:t>
      </w:r>
      <w:r>
        <w:t xml:space="preserve">s: </w:t>
      </w:r>
      <w:r w:rsidR="003127C4">
        <w:t>Edwards SAPIEN 3 Transcatheter Heart Valve</w:t>
      </w:r>
      <w:r w:rsidR="00577EF8">
        <w:t>.</w:t>
      </w:r>
    </w:p>
    <w:p w14:paraId="7A19BA5C" w14:textId="345893E4" w:rsidR="001E6958" w:rsidRDefault="001E6958" w:rsidP="00A6491A">
      <w:pPr>
        <w:spacing w:before="0" w:after="0"/>
        <w:ind w:left="284"/>
      </w:pPr>
      <w:r>
        <w:t>Clinical name of prosthes</w:t>
      </w:r>
      <w:r w:rsidR="00577EF8">
        <w:t>i</w:t>
      </w:r>
      <w:r>
        <w:t xml:space="preserve">s: </w:t>
      </w:r>
      <w:r w:rsidR="003127C4">
        <w:t>Transcatheter, balloon expanded aortic heart valve with Commander Delivery System</w:t>
      </w:r>
      <w:r w:rsidR="00577EF8">
        <w:t>.</w:t>
      </w:r>
    </w:p>
    <w:p w14:paraId="0F4965BD" w14:textId="452E5018" w:rsidR="001E6958" w:rsidRPr="001E6958" w:rsidRDefault="001E6958" w:rsidP="00A6491A">
      <w:pPr>
        <w:spacing w:before="0" w:after="0"/>
        <w:ind w:left="284"/>
      </w:pPr>
      <w:r>
        <w:t xml:space="preserve">Other device components delivered as part of the service: </w:t>
      </w:r>
      <w:r w:rsidR="003127C4">
        <w:t xml:space="preserve">The </w:t>
      </w:r>
      <w:r w:rsidR="00577EF8">
        <w:t>p</w:t>
      </w:r>
      <w:r w:rsidR="003127C4">
        <w:t xml:space="preserve">rostheses </w:t>
      </w:r>
      <w:r w:rsidR="00577EF8">
        <w:t>l</w:t>
      </w:r>
      <w:r w:rsidR="003127C4">
        <w:t xml:space="preserve">isting </w:t>
      </w:r>
      <w:r w:rsidR="00325F61">
        <w:t>includes the valve and delivery system.</w:t>
      </w:r>
    </w:p>
    <w:p w14:paraId="0DD0BE8F" w14:textId="77777777" w:rsidR="009939DC" w:rsidRDefault="009939DC" w:rsidP="009939DC"/>
    <w:p w14:paraId="1C2B1E96"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3D412188" w14:textId="77777777" w:rsidR="003127C4" w:rsidRPr="003127C4" w:rsidRDefault="003127C4" w:rsidP="003127C4">
      <w:pPr>
        <w:ind w:left="284"/>
      </w:pPr>
      <w:r>
        <w:t>Not Applicable</w:t>
      </w:r>
    </w:p>
    <w:p w14:paraId="06B02B5D"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sidRPr="000A5B32">
        <w:rPr>
          <w:szCs w:val="20"/>
        </w:rPr>
        <w:t xml:space="preserve"> Yes</w:t>
      </w:r>
    </w:p>
    <w:p w14:paraId="2F7C30CE"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Pr>
          <w:szCs w:val="20"/>
        </w:rPr>
        <w:t xml:space="preserve"> No  </w:t>
      </w:r>
    </w:p>
    <w:p w14:paraId="4A691425"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3C36A9F5" w14:textId="11D282DD" w:rsidR="009939DC" w:rsidRDefault="009261FB"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9939DC" w:rsidRPr="000A5B32">
        <w:rPr>
          <w:szCs w:val="20"/>
        </w:rPr>
        <w:t xml:space="preserve"> Yes</w:t>
      </w:r>
    </w:p>
    <w:p w14:paraId="751DEF29" w14:textId="4ED9037C" w:rsidR="00577EF8" w:rsidRDefault="009261FB" w:rsidP="003F4F1C">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9939DC">
        <w:rPr>
          <w:szCs w:val="20"/>
        </w:rPr>
        <w:t xml:space="preserve"> No  </w:t>
      </w:r>
    </w:p>
    <w:p w14:paraId="26DB6FD0" w14:textId="2C7A8074" w:rsidR="00577EF8" w:rsidRPr="001E6958" w:rsidRDefault="00F121AE" w:rsidP="00A6491A">
      <w:pPr>
        <w:spacing w:before="0" w:after="0"/>
        <w:ind w:left="284"/>
        <w:rPr>
          <w:szCs w:val="20"/>
        </w:rPr>
      </w:pPr>
      <w:r>
        <w:rPr>
          <w:szCs w:val="20"/>
        </w:rPr>
        <w:t xml:space="preserve">NB: </w:t>
      </w:r>
      <w:r w:rsidR="00577EF8">
        <w:rPr>
          <w:szCs w:val="20"/>
        </w:rPr>
        <w:t xml:space="preserve">Other TAVI devices (St Jude Medical and Medtronic) do not involve </w:t>
      </w:r>
      <w:r w:rsidR="00577EF8" w:rsidRPr="00577EF8">
        <w:rPr>
          <w:szCs w:val="20"/>
        </w:rPr>
        <w:t>balloon-expandable valve</w:t>
      </w:r>
      <w:r w:rsidR="00577EF8">
        <w:rPr>
          <w:szCs w:val="20"/>
        </w:rPr>
        <w:t>s. Rather, they involve self-expanding valves</w:t>
      </w:r>
      <w:r w:rsidR="003F5A77">
        <w:rPr>
          <w:szCs w:val="20"/>
        </w:rPr>
        <w:t xml:space="preserve">, which are currently </w:t>
      </w:r>
      <w:r w:rsidR="003F5A77" w:rsidRPr="004E02F1">
        <w:rPr>
          <w:i/>
          <w:szCs w:val="20"/>
        </w:rPr>
        <w:t>not</w:t>
      </w:r>
      <w:r w:rsidR="003F5A77">
        <w:rPr>
          <w:szCs w:val="20"/>
        </w:rPr>
        <w:t xml:space="preserve"> TGA-approved for intermediate risk patients</w:t>
      </w:r>
      <w:r w:rsidR="00577EF8">
        <w:rPr>
          <w:szCs w:val="20"/>
        </w:rPr>
        <w:t>.</w:t>
      </w:r>
    </w:p>
    <w:p w14:paraId="0CEB576D"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22CFE6D2" w14:textId="77777777" w:rsidR="0080580D" w:rsidRPr="009939DC" w:rsidRDefault="0080580D" w:rsidP="00A6491A">
      <w:pPr>
        <w:ind w:left="284"/>
      </w:pPr>
    </w:p>
    <w:p w14:paraId="1CD6D1AB"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3FDDE870" w14:textId="7B96DD1D" w:rsidR="00CF7FF1" w:rsidRDefault="009939DC" w:rsidP="00A6491A">
      <w:pPr>
        <w:spacing w:before="0" w:after="0"/>
        <w:ind w:left="284"/>
      </w:pPr>
      <w:r>
        <w:t xml:space="preserve">Single use consumables: </w:t>
      </w:r>
      <w:r w:rsidR="00577EF8">
        <w:t>a</w:t>
      </w:r>
      <w:r w:rsidR="00CF7FF1">
        <w:t xml:space="preserve">ngioplasty kit which includes drapes, manifolds and extensions tubing.  </w:t>
      </w:r>
    </w:p>
    <w:p w14:paraId="2B03FD0D" w14:textId="144591C4" w:rsidR="00D524AD" w:rsidRDefault="00D524AD" w:rsidP="00A6491A">
      <w:pPr>
        <w:spacing w:before="0" w:after="0"/>
        <w:ind w:left="284"/>
      </w:pPr>
      <w:r>
        <w:t>Small and large bore vascular access s</w:t>
      </w:r>
      <w:r w:rsidR="00CF7FF1">
        <w:t>heaths</w:t>
      </w:r>
    </w:p>
    <w:p w14:paraId="28477F03" w14:textId="3D564F77" w:rsidR="00325F61" w:rsidRDefault="00325F61" w:rsidP="00A6491A">
      <w:pPr>
        <w:spacing w:before="0" w:after="0"/>
        <w:ind w:left="284"/>
      </w:pPr>
      <w:r>
        <w:t>Lock syringes</w:t>
      </w:r>
    </w:p>
    <w:p w14:paraId="33335C60" w14:textId="1259E093" w:rsidR="00325F61" w:rsidRDefault="00325F61" w:rsidP="00A6491A">
      <w:pPr>
        <w:spacing w:before="0" w:after="0"/>
        <w:ind w:left="284"/>
      </w:pPr>
      <w:r>
        <w:t xml:space="preserve">3 way taps </w:t>
      </w:r>
      <w:r w:rsidR="00E77D7E">
        <w:t>x</w:t>
      </w:r>
      <w:r>
        <w:t xml:space="preserve"> 2</w:t>
      </w:r>
    </w:p>
    <w:p w14:paraId="72359D3E" w14:textId="3CD1C1D8" w:rsidR="00325F61" w:rsidRDefault="00325F61" w:rsidP="00A6491A">
      <w:pPr>
        <w:spacing w:before="0" w:after="0"/>
        <w:ind w:left="284"/>
      </w:pPr>
      <w:r>
        <w:t xml:space="preserve">3 </w:t>
      </w:r>
      <w:r w:rsidR="00E77D7E">
        <w:t>x</w:t>
      </w:r>
      <w:r>
        <w:t xml:space="preserve"> bowls</w:t>
      </w:r>
    </w:p>
    <w:p w14:paraId="1B44AFCE" w14:textId="3B7BEAD6" w:rsidR="00325F61" w:rsidRDefault="00325F61" w:rsidP="00A6491A">
      <w:pPr>
        <w:spacing w:before="0" w:after="0"/>
        <w:ind w:left="284"/>
      </w:pPr>
      <w:r>
        <w:t xml:space="preserve">2 </w:t>
      </w:r>
      <w:r w:rsidR="00E77D7E">
        <w:t>x</w:t>
      </w:r>
      <w:r>
        <w:t xml:space="preserve"> </w:t>
      </w:r>
      <w:r w:rsidR="007F4E5E">
        <w:t>g</w:t>
      </w:r>
      <w:r>
        <w:t>alley pot</w:t>
      </w:r>
      <w:r w:rsidR="007F4E5E">
        <w:t>s</w:t>
      </w:r>
    </w:p>
    <w:p w14:paraId="30B7E6D8" w14:textId="49828D77" w:rsidR="00325F61" w:rsidRDefault="00325F61" w:rsidP="00A6491A">
      <w:pPr>
        <w:spacing w:before="0" w:after="0"/>
        <w:ind w:left="284"/>
      </w:pPr>
      <w:r>
        <w:t>Temporary pacing wire</w:t>
      </w:r>
    </w:p>
    <w:p w14:paraId="3079DE7B" w14:textId="05818989" w:rsidR="00325F61" w:rsidRDefault="00325F61" w:rsidP="00A6491A">
      <w:pPr>
        <w:spacing w:before="0" w:after="0"/>
        <w:ind w:left="284"/>
      </w:pPr>
      <w:r>
        <w:t>Variety of pre-shaped catheters</w:t>
      </w:r>
    </w:p>
    <w:p w14:paraId="558602CB" w14:textId="145B8C73" w:rsidR="00325F61" w:rsidRDefault="00325F61" w:rsidP="00A6491A">
      <w:pPr>
        <w:spacing w:before="0" w:after="0"/>
        <w:ind w:left="284"/>
      </w:pPr>
      <w:r>
        <w:t xml:space="preserve">Variety of </w:t>
      </w:r>
      <w:r w:rsidR="00D524AD">
        <w:t xml:space="preserve">standard or speciality </w:t>
      </w:r>
      <w:r>
        <w:t>wires</w:t>
      </w:r>
      <w:r w:rsidR="00D524AD">
        <w:t xml:space="preserve"> </w:t>
      </w:r>
    </w:p>
    <w:p w14:paraId="588C0EE3" w14:textId="3993422B" w:rsidR="00F301F1" w:rsidRPr="00855944" w:rsidRDefault="009939DC" w:rsidP="00A6491A">
      <w:pPr>
        <w:spacing w:before="0" w:after="0"/>
        <w:ind w:left="284"/>
      </w:pPr>
      <w:r>
        <w:t>Multi-use consumables:</w:t>
      </w:r>
      <w:r w:rsidR="00CF7FF1">
        <w:t xml:space="preserve"> </w:t>
      </w:r>
      <w:r w:rsidR="007F4E5E">
        <w:t>t</w:t>
      </w:r>
      <w:r w:rsidR="00325F61">
        <w:t>emporary pacing cable</w:t>
      </w:r>
      <w:r w:rsidR="007F4E5E">
        <w:t>, t</w:t>
      </w:r>
      <w:r w:rsidR="00325F61">
        <w:t>emporary pacing box</w:t>
      </w:r>
      <w:r w:rsidR="007F4E5E">
        <w:t xml:space="preserve"> and t</w:t>
      </w:r>
      <w:r w:rsidR="00325F61">
        <w:t>ransthoracic or transoesophageal probe</w:t>
      </w:r>
      <w:r w:rsidR="00F301F1" w:rsidRPr="00855944">
        <w:br w:type="page"/>
      </w:r>
    </w:p>
    <w:p w14:paraId="1023ED1D"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4D4C326C"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7F373E9C" w14:textId="7E653AD0"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FD2E15">
        <w:t>t</w:t>
      </w:r>
      <w:r w:rsidR="0079108A">
        <w:t xml:space="preserve">ransfemoral </w:t>
      </w:r>
      <w:r w:rsidR="00FD2E15">
        <w:t>-</w:t>
      </w:r>
      <w:r w:rsidR="0079108A">
        <w:t xml:space="preserve"> </w:t>
      </w:r>
      <w:r w:rsidR="005411E8">
        <w:t>a</w:t>
      </w:r>
      <w:r w:rsidR="0079108A">
        <w:t>ortic transcatheter heart valve bioprosthesis, stent-like framework</w:t>
      </w:r>
      <w:r w:rsidR="00557DD8">
        <w:t>.</w:t>
      </w:r>
    </w:p>
    <w:p w14:paraId="0569DDA9" w14:textId="25744FDA" w:rsidR="00A26343" w:rsidRPr="00A26343" w:rsidRDefault="00A26343" w:rsidP="00A6491A">
      <w:pPr>
        <w:spacing w:before="0" w:after="0"/>
        <w:ind w:left="284"/>
        <w:rPr>
          <w:szCs w:val="20"/>
        </w:rPr>
      </w:pPr>
      <w:r w:rsidRPr="00A26343">
        <w:rPr>
          <w:szCs w:val="20"/>
        </w:rPr>
        <w:t>Manufacturer’s name</w:t>
      </w:r>
      <w:r>
        <w:rPr>
          <w:szCs w:val="20"/>
        </w:rPr>
        <w:t xml:space="preserve">: </w:t>
      </w:r>
      <w:r w:rsidR="0079108A">
        <w:t>Edwards Lifesciences LLC</w:t>
      </w:r>
      <w:r w:rsidR="00557DD8">
        <w:t>.</w:t>
      </w:r>
    </w:p>
    <w:p w14:paraId="496960F4" w14:textId="204C2D58" w:rsidR="00A26343" w:rsidRPr="00A26343" w:rsidRDefault="00A26343" w:rsidP="00A6491A">
      <w:pPr>
        <w:spacing w:before="0" w:after="0"/>
        <w:ind w:left="284"/>
        <w:rPr>
          <w:szCs w:val="20"/>
        </w:rPr>
      </w:pPr>
      <w:r w:rsidRPr="00A26343">
        <w:rPr>
          <w:szCs w:val="20"/>
        </w:rPr>
        <w:t>Sponsor’s name</w:t>
      </w:r>
      <w:r>
        <w:rPr>
          <w:szCs w:val="20"/>
        </w:rPr>
        <w:t xml:space="preserve">: </w:t>
      </w:r>
      <w:r w:rsidR="0079108A">
        <w:t>Edwards Lifesciences Pty Ltd</w:t>
      </w:r>
      <w:r w:rsidR="00557DD8">
        <w:t>.</w:t>
      </w:r>
    </w:p>
    <w:p w14:paraId="6AB95232"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62933508" w14:textId="03811CDA" w:rsidR="00615F42" w:rsidRPr="00615F42" w:rsidRDefault="0079108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44667130"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sidRPr="000A5B32">
        <w:rPr>
          <w:szCs w:val="20"/>
        </w:rPr>
        <w:t xml:space="preserve"> </w:t>
      </w:r>
      <w:r w:rsidRPr="00615F42">
        <w:rPr>
          <w:szCs w:val="20"/>
        </w:rPr>
        <w:t>AIMD</w:t>
      </w:r>
    </w:p>
    <w:p w14:paraId="29110CE4"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sidRPr="000A5B32">
        <w:rPr>
          <w:szCs w:val="20"/>
        </w:rPr>
        <w:t xml:space="preserve"> </w:t>
      </w:r>
      <w:r w:rsidRPr="00615F42">
        <w:rPr>
          <w:szCs w:val="20"/>
        </w:rPr>
        <w:t>N/A</w:t>
      </w:r>
    </w:p>
    <w:p w14:paraId="0E284120"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3957283D"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5FAF8E2A" w14:textId="0A71FCAA" w:rsidR="003421AE" w:rsidRPr="00615F42" w:rsidRDefault="0079108A"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615F42">
        <w:rPr>
          <w:szCs w:val="20"/>
        </w:rPr>
        <w:t xml:space="preserve"> No</w:t>
      </w:r>
    </w:p>
    <w:p w14:paraId="6CEDD193"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7A8DD8F4" w14:textId="66D5C5A9" w:rsidR="0043654D" w:rsidRDefault="00CF7FF1"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43654D">
        <w:rPr>
          <w:szCs w:val="20"/>
        </w:rPr>
        <w:t xml:space="preserve"> Yes (if yes, please provide details below)</w:t>
      </w:r>
    </w:p>
    <w:p w14:paraId="2EC8FFDA"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Pr>
          <w:szCs w:val="20"/>
        </w:rPr>
        <w:t xml:space="preserve"> No</w:t>
      </w:r>
    </w:p>
    <w:p w14:paraId="700C27BB" w14:textId="77777777" w:rsidR="0043654D" w:rsidRPr="00615F42" w:rsidRDefault="0043654D" w:rsidP="0043654D">
      <w:pPr>
        <w:spacing w:before="0" w:after="0"/>
        <w:ind w:left="284"/>
        <w:rPr>
          <w:b/>
          <w:szCs w:val="20"/>
        </w:rPr>
      </w:pPr>
    </w:p>
    <w:p w14:paraId="1D5D3376" w14:textId="357AF684" w:rsidR="0043654D" w:rsidRDefault="0043654D" w:rsidP="0043654D">
      <w:pPr>
        <w:spacing w:before="0" w:after="0"/>
        <w:ind w:left="284"/>
        <w:rPr>
          <w:szCs w:val="20"/>
        </w:rPr>
      </w:pPr>
      <w:r w:rsidRPr="0043654D">
        <w:rPr>
          <w:szCs w:val="20"/>
        </w:rPr>
        <w:t>ARTG listing, registration or inclusion number:</w:t>
      </w:r>
      <w:r>
        <w:rPr>
          <w:szCs w:val="20"/>
        </w:rPr>
        <w:t xml:space="preserve"> </w:t>
      </w:r>
      <w:r w:rsidR="00E955AF">
        <w:rPr>
          <w:szCs w:val="20"/>
        </w:rPr>
        <w:t>284496</w:t>
      </w:r>
    </w:p>
    <w:p w14:paraId="14D488D4" w14:textId="77777777" w:rsidR="0084693D" w:rsidRPr="0043654D" w:rsidRDefault="0084693D" w:rsidP="0043654D">
      <w:pPr>
        <w:spacing w:before="0" w:after="0"/>
        <w:ind w:left="284"/>
        <w:rPr>
          <w:szCs w:val="20"/>
        </w:rPr>
      </w:pPr>
    </w:p>
    <w:p w14:paraId="67BFD234" w14:textId="243A6929" w:rsidR="00B9731F" w:rsidRDefault="0043654D" w:rsidP="00B9731F">
      <w:pPr>
        <w:spacing w:before="0" w:after="0"/>
        <w:ind w:left="284"/>
        <w:rPr>
          <w:szCs w:val="20"/>
        </w:rPr>
      </w:pPr>
      <w:r w:rsidRPr="0043654D">
        <w:rPr>
          <w:szCs w:val="20"/>
        </w:rPr>
        <w:t>TGA approved indication(s), if applicable:</w:t>
      </w:r>
      <w:r>
        <w:rPr>
          <w:szCs w:val="20"/>
        </w:rPr>
        <w:t xml:space="preserve">  </w:t>
      </w:r>
      <w:r w:rsidR="00FD2E15">
        <w:rPr>
          <w:szCs w:val="20"/>
        </w:rPr>
        <w:t>“</w:t>
      </w:r>
      <w:r w:rsidR="00286A8F" w:rsidRPr="00286A8F">
        <w:rPr>
          <w:szCs w:val="20"/>
        </w:rPr>
        <w:t>The Edwards SAPIEN 3 valve, Edwards delivery system</w:t>
      </w:r>
      <w:r w:rsidR="003E43CC">
        <w:rPr>
          <w:szCs w:val="20"/>
        </w:rPr>
        <w:t>,</w:t>
      </w:r>
      <w:r w:rsidR="00286A8F" w:rsidRPr="00286A8F">
        <w:rPr>
          <w:szCs w:val="20"/>
        </w:rPr>
        <w:t xml:space="preserve"> and accessories are indicated for</w:t>
      </w:r>
      <w:r w:rsidR="0084693D">
        <w:rPr>
          <w:szCs w:val="20"/>
        </w:rPr>
        <w:t xml:space="preserve"> </w:t>
      </w:r>
      <w:r w:rsidR="00286A8F" w:rsidRPr="00286A8F">
        <w:rPr>
          <w:szCs w:val="20"/>
        </w:rPr>
        <w:t>use in patients with severe, symptomatic, calcific aortic valve stenosis who are judged</w:t>
      </w:r>
      <w:r w:rsidR="00B9731F" w:rsidRPr="00B9731F">
        <w:rPr>
          <w:szCs w:val="20"/>
        </w:rPr>
        <w:t xml:space="preserve"> by a Heart Team to</w:t>
      </w:r>
      <w:r w:rsidR="0084693D">
        <w:rPr>
          <w:szCs w:val="20"/>
        </w:rPr>
        <w:t xml:space="preserve"> </w:t>
      </w:r>
      <w:r w:rsidR="00B9731F" w:rsidRPr="00B9731F">
        <w:rPr>
          <w:szCs w:val="20"/>
        </w:rPr>
        <w:t>be at intermediate or greater risk for open surgical therapy (i.e., predicted risk of surgical mortality; greater</w:t>
      </w:r>
      <w:r w:rsidR="0084693D">
        <w:rPr>
          <w:szCs w:val="20"/>
        </w:rPr>
        <w:t xml:space="preserve"> </w:t>
      </w:r>
      <w:r w:rsidR="00B9731F" w:rsidRPr="00B9731F">
        <w:rPr>
          <w:szCs w:val="20"/>
        </w:rPr>
        <w:t>than or equal to 3% at 30 days, based on the Society of Thoracic Surgeons (STS) risk score and other</w:t>
      </w:r>
      <w:r w:rsidR="0084693D">
        <w:rPr>
          <w:szCs w:val="20"/>
        </w:rPr>
        <w:t xml:space="preserve"> </w:t>
      </w:r>
      <w:r w:rsidR="00B9731F" w:rsidRPr="00B9731F">
        <w:rPr>
          <w:szCs w:val="20"/>
        </w:rPr>
        <w:t>clinical comorbidities unmeasured by the STS risk calculator).</w:t>
      </w:r>
      <w:r w:rsidR="00FD2E15">
        <w:rPr>
          <w:szCs w:val="20"/>
        </w:rPr>
        <w:t>”</w:t>
      </w:r>
    </w:p>
    <w:p w14:paraId="3F8BDCB4" w14:textId="77777777" w:rsidR="007F4E5E" w:rsidRDefault="007F4E5E" w:rsidP="00B9731F">
      <w:pPr>
        <w:spacing w:before="0" w:after="0"/>
        <w:ind w:left="284"/>
        <w:rPr>
          <w:szCs w:val="20"/>
        </w:rPr>
      </w:pPr>
    </w:p>
    <w:p w14:paraId="5F1CE32E" w14:textId="6277D5A7" w:rsidR="007F4E5E" w:rsidRDefault="007F4E5E" w:rsidP="009E2E46">
      <w:pPr>
        <w:spacing w:before="0" w:after="0"/>
        <w:ind w:left="284"/>
        <w:rPr>
          <w:szCs w:val="20"/>
        </w:rPr>
      </w:pPr>
      <w:r w:rsidRPr="009D7137">
        <w:rPr>
          <w:szCs w:val="20"/>
        </w:rPr>
        <w:t xml:space="preserve">NB: Older-generation TAVI </w:t>
      </w:r>
      <w:r w:rsidRPr="009D7137">
        <w:rPr>
          <w:i/>
          <w:szCs w:val="20"/>
        </w:rPr>
        <w:t xml:space="preserve">SAPIEN XT </w:t>
      </w:r>
      <w:r w:rsidRPr="009D7137">
        <w:rPr>
          <w:szCs w:val="20"/>
        </w:rPr>
        <w:t>BEVs (ARTG IDs 250696 and 250697) are also listed on the ARTG, but Edwards Lifesciences Corporation no longer ma</w:t>
      </w:r>
      <w:r w:rsidR="00742738" w:rsidRPr="009D7137">
        <w:rPr>
          <w:szCs w:val="20"/>
        </w:rPr>
        <w:t>rket</w:t>
      </w:r>
      <w:r w:rsidR="0084693D" w:rsidRPr="009D7137">
        <w:rPr>
          <w:szCs w:val="20"/>
        </w:rPr>
        <w:t>s</w:t>
      </w:r>
      <w:r w:rsidR="00C34B07" w:rsidRPr="009D7137">
        <w:rPr>
          <w:szCs w:val="20"/>
        </w:rPr>
        <w:t xml:space="preserve"> </w:t>
      </w:r>
      <w:r w:rsidRPr="009D7137">
        <w:rPr>
          <w:szCs w:val="20"/>
        </w:rPr>
        <w:t>these</w:t>
      </w:r>
      <w:r w:rsidR="0084693D" w:rsidRPr="009D7137">
        <w:rPr>
          <w:szCs w:val="20"/>
        </w:rPr>
        <w:t xml:space="preserve"> in Australia</w:t>
      </w:r>
      <w:r w:rsidRPr="009D7137">
        <w:rPr>
          <w:szCs w:val="20"/>
        </w:rPr>
        <w:t xml:space="preserve">, and they are </w:t>
      </w:r>
      <w:r w:rsidRPr="009D7137">
        <w:rPr>
          <w:i/>
          <w:szCs w:val="20"/>
        </w:rPr>
        <w:t>not</w:t>
      </w:r>
      <w:r w:rsidRPr="009D7137">
        <w:rPr>
          <w:szCs w:val="20"/>
        </w:rPr>
        <w:t xml:space="preserve"> part of the present application. Compared to the SAPIEN XT BEVs, the SAPIEN 3 BEV system has a better profile and more precise handling and positioning, which reduces the risk of post-procedural paravalvular aortic leak.</w:t>
      </w:r>
    </w:p>
    <w:p w14:paraId="3158277F" w14:textId="77777777" w:rsidR="00530FE5" w:rsidRDefault="00530FE5" w:rsidP="00B9731F">
      <w:pPr>
        <w:spacing w:before="0" w:after="0"/>
        <w:ind w:left="284"/>
        <w:rPr>
          <w:szCs w:val="20"/>
        </w:rPr>
      </w:pPr>
    </w:p>
    <w:p w14:paraId="63F08AB4" w14:textId="367143A4"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rsidR="00730247">
        <w:rPr>
          <w:szCs w:val="20"/>
        </w:rPr>
        <w:t>As above</w:t>
      </w:r>
      <w:r w:rsidR="0084693D">
        <w:rPr>
          <w:szCs w:val="20"/>
        </w:rPr>
        <w:t>.</w:t>
      </w:r>
    </w:p>
    <w:p w14:paraId="1E06135A"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18D6C63D" w14:textId="52C109D8" w:rsidR="00B9731F" w:rsidRDefault="00B9731F" w:rsidP="0047581D">
      <w:pPr>
        <w:spacing w:before="0" w:after="0"/>
        <w:ind w:left="284"/>
        <w:rPr>
          <w:szCs w:val="20"/>
        </w:rPr>
      </w:pPr>
      <w:r>
        <w:rPr>
          <w:szCs w:val="20"/>
        </w:rPr>
        <w:t>Not applicable</w:t>
      </w:r>
    </w:p>
    <w:p w14:paraId="6A21361D" w14:textId="2FC44D50"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Pr>
          <w:szCs w:val="20"/>
        </w:rPr>
        <w:t xml:space="preserve"> Yes (please provide details below)</w:t>
      </w:r>
    </w:p>
    <w:p w14:paraId="1725EF3F" w14:textId="7413C15B"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Pr>
          <w:szCs w:val="20"/>
        </w:rPr>
        <w:t xml:space="preserve"> No</w:t>
      </w:r>
    </w:p>
    <w:p w14:paraId="34EDB6F9" w14:textId="1E912C20" w:rsidR="00730247" w:rsidRDefault="00730247" w:rsidP="00D45CF4">
      <w:pPr>
        <w:spacing w:before="0" w:after="0"/>
        <w:ind w:left="284"/>
        <w:rPr>
          <w:szCs w:val="20"/>
        </w:rPr>
      </w:pPr>
    </w:p>
    <w:p w14:paraId="0A7BB4B5" w14:textId="77777777" w:rsidR="003F4F1C" w:rsidRDefault="000A110D" w:rsidP="003F4F1C">
      <w:pPr>
        <w:pStyle w:val="Heading2"/>
        <w:spacing w:before="0"/>
        <w:ind w:left="357" w:hanging="357"/>
        <w:contextualSpacing w:val="0"/>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r w:rsidR="00B9731F">
        <w:t xml:space="preserve"> </w:t>
      </w:r>
    </w:p>
    <w:p w14:paraId="57AC7261" w14:textId="6930A6CB" w:rsidR="00730247" w:rsidRPr="003F4F1C" w:rsidRDefault="00730247" w:rsidP="003F4F1C">
      <w:pPr>
        <w:pStyle w:val="Heading2"/>
        <w:numPr>
          <w:ilvl w:val="0"/>
          <w:numId w:val="0"/>
        </w:numPr>
        <w:spacing w:before="0" w:after="0"/>
        <w:ind w:firstLine="284"/>
        <w:rPr>
          <w:b w:val="0"/>
        </w:rPr>
      </w:pPr>
      <w:r w:rsidRPr="003F4F1C">
        <w:rPr>
          <w:b w:val="0"/>
        </w:rPr>
        <w:t>Not applicable</w:t>
      </w:r>
    </w:p>
    <w:p w14:paraId="2B85A582" w14:textId="77777777" w:rsidR="000A110D" w:rsidRDefault="000A110D" w:rsidP="00D45CF4">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Pr>
          <w:szCs w:val="20"/>
        </w:rPr>
        <w:t xml:space="preserve"> Yes (please provide details below)</w:t>
      </w:r>
    </w:p>
    <w:p w14:paraId="3F0D6A02" w14:textId="323CC4DE" w:rsidR="00F83A9D" w:rsidRPr="00154B00" w:rsidRDefault="0084693D" w:rsidP="00440774">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0A110D">
        <w:rPr>
          <w:szCs w:val="20"/>
        </w:rPr>
        <w:t xml:space="preserve"> No</w:t>
      </w:r>
      <w:r w:rsidR="00530FE5">
        <w:rPr>
          <w:szCs w:val="20"/>
        </w:rPr>
        <w:t xml:space="preserve"> </w:t>
      </w:r>
    </w:p>
    <w:p w14:paraId="00A8B0BD" w14:textId="77777777" w:rsidR="00DD308E" w:rsidRDefault="00DD308E" w:rsidP="00440774">
      <w:pPr>
        <w:spacing w:before="0" w:after="0"/>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6290E640"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6BDE09CD" w14:textId="17A32625"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p w14:paraId="68FB159B" w14:textId="5501276A" w:rsidR="00262865" w:rsidRPr="00225768" w:rsidRDefault="00262865" w:rsidP="00225768"/>
    <w:tbl>
      <w:tblPr>
        <w:tblStyle w:val="TableGrid"/>
        <w:tblW w:w="5029" w:type="pct"/>
        <w:tblLayout w:type="fixed"/>
        <w:tblLook w:val="04A0" w:firstRow="1" w:lastRow="0" w:firstColumn="1" w:lastColumn="0" w:noHBand="0" w:noVBand="1"/>
        <w:tblCaption w:val="Summary of Evidence - Published"/>
      </w:tblPr>
      <w:tblGrid>
        <w:gridCol w:w="474"/>
        <w:gridCol w:w="1790"/>
        <w:gridCol w:w="3260"/>
        <w:gridCol w:w="5244"/>
        <w:gridCol w:w="2130"/>
        <w:gridCol w:w="1131"/>
      </w:tblGrid>
      <w:tr w:rsidR="00B71323" w14:paraId="6B9992A1" w14:textId="77777777" w:rsidTr="00B71323">
        <w:trPr>
          <w:cantSplit/>
          <w:tblHeader/>
        </w:trPr>
        <w:tc>
          <w:tcPr>
            <w:tcW w:w="169" w:type="pct"/>
          </w:tcPr>
          <w:p w14:paraId="402B0000" w14:textId="77777777" w:rsidR="00DD308E" w:rsidRDefault="00DD308E" w:rsidP="00855944">
            <w:pPr>
              <w:pStyle w:val="TableHEADER"/>
            </w:pPr>
          </w:p>
        </w:tc>
        <w:tc>
          <w:tcPr>
            <w:tcW w:w="638" w:type="pct"/>
          </w:tcPr>
          <w:p w14:paraId="4CABC3A9" w14:textId="77777777" w:rsidR="00DD308E" w:rsidRDefault="00DD308E" w:rsidP="00855944">
            <w:pPr>
              <w:pStyle w:val="TableHEADER"/>
            </w:pPr>
            <w:r>
              <w:t>Type of study design*</w:t>
            </w:r>
          </w:p>
        </w:tc>
        <w:tc>
          <w:tcPr>
            <w:tcW w:w="1162" w:type="pct"/>
          </w:tcPr>
          <w:p w14:paraId="747E050E" w14:textId="77777777" w:rsidR="00DD308E" w:rsidRDefault="00DD308E" w:rsidP="00855944">
            <w:pPr>
              <w:pStyle w:val="TableHEADER"/>
            </w:pPr>
            <w:r>
              <w:t>Title of journal article  or research project (including any trial identifier or study lead if relevant)</w:t>
            </w:r>
          </w:p>
        </w:tc>
        <w:tc>
          <w:tcPr>
            <w:tcW w:w="1869" w:type="pct"/>
          </w:tcPr>
          <w:p w14:paraId="2194E20C" w14:textId="77777777" w:rsidR="00DD308E" w:rsidRDefault="00DD308E" w:rsidP="00855944">
            <w:pPr>
              <w:pStyle w:val="TableHEADER"/>
            </w:pPr>
            <w:r>
              <w:t>Short description of research  (max 50 words)**</w:t>
            </w:r>
          </w:p>
        </w:tc>
        <w:tc>
          <w:tcPr>
            <w:tcW w:w="759" w:type="pct"/>
          </w:tcPr>
          <w:p w14:paraId="67B0B8DA" w14:textId="77777777" w:rsidR="00DD308E" w:rsidRDefault="00DD308E" w:rsidP="00855944">
            <w:pPr>
              <w:pStyle w:val="TableHEADER"/>
            </w:pPr>
            <w:r w:rsidRPr="00E82F54">
              <w:t xml:space="preserve">Website link to </w:t>
            </w:r>
            <w:r>
              <w:t>journal article or research (if available)</w:t>
            </w:r>
          </w:p>
        </w:tc>
        <w:tc>
          <w:tcPr>
            <w:tcW w:w="403" w:type="pct"/>
          </w:tcPr>
          <w:p w14:paraId="01B082E1" w14:textId="77777777" w:rsidR="00DD308E" w:rsidRDefault="00DD308E" w:rsidP="00855944">
            <w:pPr>
              <w:pStyle w:val="TableHEADER"/>
            </w:pPr>
            <w:r w:rsidRPr="00E82F54">
              <w:t>Date</w:t>
            </w:r>
            <w:r>
              <w:t xml:space="preserve"> of publication</w:t>
            </w:r>
            <w:r w:rsidRPr="00E82F54">
              <w:t>*</w:t>
            </w:r>
            <w:r>
              <w:t>**</w:t>
            </w:r>
          </w:p>
        </w:tc>
      </w:tr>
      <w:tr w:rsidR="00B71323" w14:paraId="6C836569" w14:textId="77777777" w:rsidTr="00B71323">
        <w:trPr>
          <w:cantSplit/>
        </w:trPr>
        <w:tc>
          <w:tcPr>
            <w:tcW w:w="169" w:type="pct"/>
          </w:tcPr>
          <w:p w14:paraId="7D9B20B9" w14:textId="77777777" w:rsidR="00DD308E" w:rsidRPr="003A2D29" w:rsidRDefault="00DD308E" w:rsidP="00DD308E">
            <w:pPr>
              <w:rPr>
                <w:rFonts w:cstheme="minorHAnsi"/>
                <w:szCs w:val="20"/>
              </w:rPr>
            </w:pPr>
            <w:r w:rsidRPr="003A2D29">
              <w:rPr>
                <w:rFonts w:cstheme="minorHAnsi"/>
                <w:szCs w:val="20"/>
              </w:rPr>
              <w:t>1.</w:t>
            </w:r>
          </w:p>
        </w:tc>
        <w:tc>
          <w:tcPr>
            <w:tcW w:w="638" w:type="pct"/>
          </w:tcPr>
          <w:p w14:paraId="43436240" w14:textId="254008B1" w:rsidR="00DD308E" w:rsidRPr="00F07BA2" w:rsidRDefault="003A2D29" w:rsidP="00E107DC">
            <w:pPr>
              <w:rPr>
                <w:rFonts w:cstheme="minorHAnsi"/>
                <w:bCs/>
                <w:szCs w:val="20"/>
              </w:rPr>
            </w:pPr>
            <w:r w:rsidRPr="003A2D29">
              <w:rPr>
                <w:rFonts w:cstheme="minorHAnsi"/>
                <w:bCs/>
                <w:szCs w:val="20"/>
              </w:rPr>
              <w:t>Single-arm clinical trial</w:t>
            </w:r>
            <w:r w:rsidR="005A6B62" w:rsidRPr="00F07BA2">
              <w:rPr>
                <w:rFonts w:cstheme="minorHAnsi"/>
                <w:bCs/>
                <w:szCs w:val="20"/>
              </w:rPr>
              <w:t xml:space="preserve">, with </w:t>
            </w:r>
            <w:r w:rsidR="00350D9A" w:rsidRPr="00F07BA2">
              <w:rPr>
                <w:rFonts w:cstheme="minorHAnsi"/>
                <w:bCs/>
                <w:szCs w:val="20"/>
              </w:rPr>
              <w:t xml:space="preserve">comparative analyses based on </w:t>
            </w:r>
            <w:r w:rsidR="005A6B62" w:rsidRPr="00F07BA2">
              <w:rPr>
                <w:rFonts w:cstheme="minorHAnsi"/>
                <w:bCs/>
                <w:szCs w:val="20"/>
              </w:rPr>
              <w:t>p</w:t>
            </w:r>
            <w:r w:rsidR="00730247" w:rsidRPr="00F07BA2">
              <w:rPr>
                <w:rFonts w:cstheme="minorHAnsi"/>
                <w:bCs/>
                <w:szCs w:val="20"/>
              </w:rPr>
              <w:t xml:space="preserve">ropensity </w:t>
            </w:r>
            <w:r w:rsidR="005A6B62" w:rsidRPr="00F07BA2">
              <w:rPr>
                <w:rFonts w:cstheme="minorHAnsi"/>
                <w:bCs/>
                <w:szCs w:val="20"/>
              </w:rPr>
              <w:t>s</w:t>
            </w:r>
            <w:r w:rsidR="00730247" w:rsidRPr="00F07BA2">
              <w:rPr>
                <w:rFonts w:cstheme="minorHAnsi"/>
                <w:bCs/>
                <w:szCs w:val="20"/>
              </w:rPr>
              <w:t>core</w:t>
            </w:r>
            <w:r w:rsidR="00350D9A" w:rsidRPr="00F07BA2">
              <w:rPr>
                <w:rFonts w:cstheme="minorHAnsi"/>
                <w:bCs/>
                <w:szCs w:val="20"/>
              </w:rPr>
              <w:t xml:space="preserve"> </w:t>
            </w:r>
            <w:r w:rsidR="00E107DC">
              <w:rPr>
                <w:rFonts w:cstheme="minorHAnsi"/>
                <w:bCs/>
                <w:szCs w:val="20"/>
              </w:rPr>
              <w:t>analysis</w:t>
            </w:r>
          </w:p>
        </w:tc>
        <w:tc>
          <w:tcPr>
            <w:tcW w:w="1162" w:type="pct"/>
          </w:tcPr>
          <w:p w14:paraId="0B1D13A2" w14:textId="434EDBD9" w:rsidR="00DD308E" w:rsidRPr="003A2D29" w:rsidRDefault="00730247" w:rsidP="00DD308E">
            <w:pPr>
              <w:rPr>
                <w:rFonts w:cstheme="minorHAnsi"/>
                <w:bCs/>
                <w:szCs w:val="20"/>
              </w:rPr>
            </w:pPr>
            <w:r w:rsidRPr="00F07BA2">
              <w:rPr>
                <w:rFonts w:cstheme="minorHAnsi"/>
                <w:bCs/>
                <w:szCs w:val="20"/>
              </w:rPr>
              <w:t>Thourani VH</w:t>
            </w:r>
            <w:r w:rsidR="003A2D29">
              <w:rPr>
                <w:rFonts w:cstheme="minorHAnsi"/>
                <w:bCs/>
                <w:szCs w:val="20"/>
              </w:rPr>
              <w:t>,</w:t>
            </w:r>
            <w:r w:rsidRPr="003A2D29">
              <w:rPr>
                <w:rFonts w:cstheme="minorHAnsi"/>
                <w:bCs/>
                <w:szCs w:val="20"/>
              </w:rPr>
              <w:t xml:space="preserve"> et al</w:t>
            </w:r>
            <w:r w:rsidR="005A6B62" w:rsidRPr="003A2D29">
              <w:rPr>
                <w:rFonts w:cstheme="minorHAnsi"/>
                <w:bCs/>
                <w:szCs w:val="20"/>
              </w:rPr>
              <w:t>.</w:t>
            </w:r>
            <w:r w:rsidRPr="003A2D29">
              <w:rPr>
                <w:rFonts w:cstheme="minorHAnsi"/>
                <w:bCs/>
                <w:szCs w:val="20"/>
              </w:rPr>
              <w:t xml:space="preserve"> </w:t>
            </w:r>
            <w:r w:rsidRPr="00EC28C7">
              <w:rPr>
                <w:rFonts w:cstheme="minorHAnsi"/>
                <w:bCs/>
                <w:szCs w:val="20"/>
              </w:rPr>
              <w:t xml:space="preserve">‘Transcatheter aortic valve replacement versus surgical valve replacement in intermediate-risk patients: propensity score analysis’ </w:t>
            </w:r>
            <w:r w:rsidR="00CF54E5" w:rsidRPr="003A2D29">
              <w:rPr>
                <w:rFonts w:cstheme="minorHAnsi"/>
                <w:bCs/>
                <w:szCs w:val="20"/>
              </w:rPr>
              <w:t>Lancet</w:t>
            </w:r>
            <w:r w:rsidR="003A2D29">
              <w:rPr>
                <w:rFonts w:cstheme="minorHAnsi"/>
                <w:bCs/>
                <w:szCs w:val="20"/>
              </w:rPr>
              <w:t>.</w:t>
            </w:r>
            <w:r w:rsidR="00CF54E5" w:rsidRPr="003A2D29">
              <w:rPr>
                <w:rFonts w:cstheme="minorHAnsi"/>
                <w:bCs/>
                <w:szCs w:val="20"/>
              </w:rPr>
              <w:t xml:space="preserve"> 2016</w:t>
            </w:r>
            <w:r w:rsidR="003A2D29" w:rsidRPr="003A2D29">
              <w:rPr>
                <w:rFonts w:cstheme="minorHAnsi"/>
                <w:bCs/>
                <w:szCs w:val="20"/>
              </w:rPr>
              <w:t>;</w:t>
            </w:r>
            <w:r w:rsidR="00CF54E5" w:rsidRPr="003A2D29">
              <w:rPr>
                <w:rFonts w:cstheme="minorHAnsi"/>
                <w:bCs/>
                <w:szCs w:val="20"/>
              </w:rPr>
              <w:t xml:space="preserve"> 387 (10034): p.2218-25</w:t>
            </w:r>
          </w:p>
        </w:tc>
        <w:tc>
          <w:tcPr>
            <w:tcW w:w="1869" w:type="pct"/>
          </w:tcPr>
          <w:p w14:paraId="7586F448" w14:textId="61E932B0" w:rsidR="00DD308E" w:rsidRPr="00F07BA2" w:rsidRDefault="003A2D29" w:rsidP="00551125">
            <w:pPr>
              <w:rPr>
                <w:rFonts w:cstheme="minorHAnsi"/>
                <w:bCs/>
                <w:szCs w:val="20"/>
              </w:rPr>
            </w:pPr>
            <w:r>
              <w:rPr>
                <w:rFonts w:cstheme="minorHAnsi"/>
                <w:bCs/>
                <w:szCs w:val="20"/>
              </w:rPr>
              <w:t>Single-arm clinical trial</w:t>
            </w:r>
            <w:r w:rsidR="00551125" w:rsidRPr="003A2D29">
              <w:rPr>
                <w:rFonts w:cstheme="minorHAnsi"/>
                <w:bCs/>
                <w:szCs w:val="20"/>
              </w:rPr>
              <w:t xml:space="preserve"> </w:t>
            </w:r>
            <w:r w:rsidR="00F07BA2">
              <w:rPr>
                <w:rFonts w:cstheme="minorHAnsi"/>
                <w:bCs/>
                <w:szCs w:val="20"/>
              </w:rPr>
              <w:t xml:space="preserve">(PARTNER S3i) </w:t>
            </w:r>
            <w:r w:rsidR="00551125" w:rsidRPr="003A2D29">
              <w:rPr>
                <w:rFonts w:cstheme="minorHAnsi"/>
                <w:bCs/>
                <w:szCs w:val="20"/>
              </w:rPr>
              <w:t xml:space="preserve">of </w:t>
            </w:r>
            <w:r w:rsidR="00EF5FC0" w:rsidRPr="003A2D29">
              <w:rPr>
                <w:rFonts w:cstheme="minorHAnsi"/>
                <w:bCs/>
                <w:szCs w:val="20"/>
              </w:rPr>
              <w:t>107</w:t>
            </w:r>
            <w:r w:rsidR="00F52BD8" w:rsidRPr="003A2D29">
              <w:rPr>
                <w:rFonts w:cstheme="minorHAnsi"/>
                <w:bCs/>
                <w:szCs w:val="20"/>
              </w:rPr>
              <w:t>8</w:t>
            </w:r>
            <w:r w:rsidR="00EF5FC0" w:rsidRPr="003A2D29">
              <w:rPr>
                <w:rFonts w:cstheme="minorHAnsi"/>
                <w:bCs/>
                <w:szCs w:val="20"/>
              </w:rPr>
              <w:t xml:space="preserve"> intermediate risk patients with severe AS who underwent </w:t>
            </w:r>
            <w:r w:rsidR="00551125" w:rsidRPr="003A2D29">
              <w:rPr>
                <w:rFonts w:cstheme="minorHAnsi"/>
                <w:bCs/>
                <w:szCs w:val="20"/>
              </w:rPr>
              <w:t>TAV</w:t>
            </w:r>
            <w:r>
              <w:rPr>
                <w:rFonts w:cstheme="minorHAnsi"/>
                <w:bCs/>
                <w:szCs w:val="20"/>
              </w:rPr>
              <w:t>I</w:t>
            </w:r>
            <w:r w:rsidR="00551125" w:rsidRPr="003A2D29">
              <w:rPr>
                <w:rFonts w:cstheme="minorHAnsi"/>
                <w:bCs/>
                <w:szCs w:val="20"/>
              </w:rPr>
              <w:t xml:space="preserve"> </w:t>
            </w:r>
            <w:r w:rsidR="00EF5FC0" w:rsidRPr="003A2D29">
              <w:rPr>
                <w:rFonts w:cstheme="minorHAnsi"/>
                <w:bCs/>
                <w:szCs w:val="20"/>
              </w:rPr>
              <w:t xml:space="preserve">with the SAPIEN 3 </w:t>
            </w:r>
            <w:r w:rsidRPr="003A2D29">
              <w:rPr>
                <w:rFonts w:cstheme="minorHAnsi"/>
                <w:bCs/>
                <w:szCs w:val="20"/>
              </w:rPr>
              <w:t>BEV</w:t>
            </w:r>
            <w:r w:rsidR="00EF5FC0" w:rsidRPr="003A2D29">
              <w:rPr>
                <w:rFonts w:cstheme="minorHAnsi"/>
                <w:bCs/>
                <w:szCs w:val="20"/>
              </w:rPr>
              <w:t>, with</w:t>
            </w:r>
            <w:r w:rsidR="00551125" w:rsidRPr="003A2D29">
              <w:rPr>
                <w:rFonts w:cstheme="minorHAnsi"/>
                <w:bCs/>
                <w:szCs w:val="20"/>
              </w:rPr>
              <w:t xml:space="preserve"> compar</w:t>
            </w:r>
            <w:r w:rsidR="00EF5FC0" w:rsidRPr="003A2D29">
              <w:rPr>
                <w:rFonts w:cstheme="minorHAnsi"/>
                <w:bCs/>
                <w:szCs w:val="20"/>
              </w:rPr>
              <w:t>ison against</w:t>
            </w:r>
            <w:r w:rsidR="00551125" w:rsidRPr="003A2D29">
              <w:rPr>
                <w:rFonts w:cstheme="minorHAnsi"/>
                <w:bCs/>
                <w:szCs w:val="20"/>
              </w:rPr>
              <w:t xml:space="preserve"> </w:t>
            </w:r>
            <w:r w:rsidR="00EF5FC0" w:rsidRPr="003A2D29">
              <w:rPr>
                <w:rFonts w:cstheme="minorHAnsi"/>
                <w:bCs/>
                <w:szCs w:val="20"/>
              </w:rPr>
              <w:t>a</w:t>
            </w:r>
            <w:r w:rsidR="00551125" w:rsidRPr="003A2D29">
              <w:rPr>
                <w:rFonts w:cstheme="minorHAnsi"/>
                <w:bCs/>
                <w:szCs w:val="20"/>
              </w:rPr>
              <w:t xml:space="preserve"> </w:t>
            </w:r>
            <w:r w:rsidR="00EF5FC0" w:rsidRPr="003A2D29">
              <w:rPr>
                <w:rFonts w:cstheme="minorHAnsi"/>
                <w:bCs/>
                <w:szCs w:val="20"/>
              </w:rPr>
              <w:t xml:space="preserve">cohort of </w:t>
            </w:r>
            <w:r w:rsidR="00F52BD8" w:rsidRPr="003A2D29">
              <w:rPr>
                <w:rFonts w:cstheme="minorHAnsi"/>
                <w:bCs/>
                <w:szCs w:val="20"/>
              </w:rPr>
              <w:t>1021</w:t>
            </w:r>
            <w:r w:rsidR="00EF5FC0" w:rsidRPr="003A2D29">
              <w:rPr>
                <w:rFonts w:cstheme="minorHAnsi"/>
                <w:bCs/>
                <w:szCs w:val="20"/>
              </w:rPr>
              <w:t xml:space="preserve"> patients</w:t>
            </w:r>
            <w:r w:rsidR="00551125" w:rsidRPr="003A2D29">
              <w:rPr>
                <w:rFonts w:cstheme="minorHAnsi"/>
                <w:bCs/>
                <w:szCs w:val="20"/>
              </w:rPr>
              <w:t xml:space="preserve"> </w:t>
            </w:r>
            <w:r w:rsidR="00EF5FC0" w:rsidRPr="003A2D29">
              <w:rPr>
                <w:rFonts w:cstheme="minorHAnsi"/>
                <w:bCs/>
                <w:szCs w:val="20"/>
              </w:rPr>
              <w:t xml:space="preserve">who underwent </w:t>
            </w:r>
            <w:r w:rsidR="00974D2F" w:rsidRPr="003A2D29">
              <w:rPr>
                <w:rFonts w:cstheme="minorHAnsi"/>
                <w:bCs/>
                <w:szCs w:val="20"/>
              </w:rPr>
              <w:t>surgical aortic valve replacement (</w:t>
            </w:r>
            <w:r w:rsidR="00551125" w:rsidRPr="003A2D29">
              <w:rPr>
                <w:rFonts w:cstheme="minorHAnsi"/>
                <w:bCs/>
                <w:szCs w:val="20"/>
              </w:rPr>
              <w:t>SAVR</w:t>
            </w:r>
            <w:r w:rsidR="00974D2F" w:rsidRPr="003A2D29">
              <w:rPr>
                <w:rFonts w:cstheme="minorHAnsi"/>
                <w:bCs/>
                <w:szCs w:val="20"/>
              </w:rPr>
              <w:t>)</w:t>
            </w:r>
            <w:r w:rsidR="00EF5FC0" w:rsidRPr="003A2D29">
              <w:rPr>
                <w:rFonts w:cstheme="minorHAnsi"/>
                <w:bCs/>
                <w:szCs w:val="20"/>
              </w:rPr>
              <w:t xml:space="preserve"> in the</w:t>
            </w:r>
            <w:r w:rsidR="00350D9A" w:rsidRPr="003A2D29">
              <w:rPr>
                <w:rFonts w:cstheme="minorHAnsi"/>
                <w:bCs/>
                <w:szCs w:val="20"/>
              </w:rPr>
              <w:t xml:space="preserve"> </w:t>
            </w:r>
            <w:r w:rsidR="00EF5FC0" w:rsidRPr="00F07BA2">
              <w:rPr>
                <w:rFonts w:cstheme="minorHAnsi"/>
                <w:bCs/>
                <w:szCs w:val="20"/>
              </w:rPr>
              <w:t>PARTNER 2A</w:t>
            </w:r>
            <w:r w:rsidRPr="00675D1B">
              <w:rPr>
                <w:rFonts w:cstheme="minorHAnsi"/>
                <w:bCs/>
                <w:szCs w:val="20"/>
              </w:rPr>
              <w:t xml:space="preserve"> </w:t>
            </w:r>
            <w:r w:rsidR="00F07BA2">
              <w:rPr>
                <w:rFonts w:cstheme="minorHAnsi"/>
                <w:bCs/>
                <w:szCs w:val="20"/>
              </w:rPr>
              <w:t xml:space="preserve">randomised </w:t>
            </w:r>
            <w:r w:rsidRPr="00675D1B">
              <w:rPr>
                <w:rFonts w:cstheme="minorHAnsi"/>
                <w:bCs/>
                <w:szCs w:val="20"/>
              </w:rPr>
              <w:t>clinical trial</w:t>
            </w:r>
            <w:r w:rsidR="00F07BA2">
              <w:rPr>
                <w:rFonts w:cstheme="minorHAnsi"/>
                <w:bCs/>
                <w:szCs w:val="20"/>
              </w:rPr>
              <w:t xml:space="preserve"> (of TAVI SAPIEN XT BEV with SAVR)</w:t>
            </w:r>
            <w:r w:rsidR="00551125" w:rsidRPr="003A2D29">
              <w:rPr>
                <w:rFonts w:cstheme="minorHAnsi"/>
                <w:bCs/>
                <w:szCs w:val="20"/>
              </w:rPr>
              <w:t>. Comparisons were made using propensity score analysis</w:t>
            </w:r>
            <w:r w:rsidR="00551125" w:rsidRPr="00F07BA2">
              <w:rPr>
                <w:rFonts w:cstheme="minorHAnsi"/>
                <w:bCs/>
                <w:szCs w:val="20"/>
              </w:rPr>
              <w:t xml:space="preserve">. </w:t>
            </w:r>
            <w:r w:rsidR="00F07BA2">
              <w:rPr>
                <w:rFonts w:cstheme="minorHAnsi"/>
                <w:bCs/>
                <w:szCs w:val="20"/>
              </w:rPr>
              <w:t xml:space="preserve">SAPIEN 3 </w:t>
            </w:r>
            <w:r w:rsidR="00551125" w:rsidRPr="00F07BA2">
              <w:rPr>
                <w:rFonts w:cstheme="minorHAnsi"/>
                <w:bCs/>
                <w:szCs w:val="20"/>
              </w:rPr>
              <w:t>TAV</w:t>
            </w:r>
            <w:r w:rsidR="00F07BA2">
              <w:rPr>
                <w:rFonts w:cstheme="minorHAnsi"/>
                <w:bCs/>
                <w:szCs w:val="20"/>
              </w:rPr>
              <w:t>I</w:t>
            </w:r>
            <w:r w:rsidR="00350D9A" w:rsidRPr="00F07BA2">
              <w:rPr>
                <w:rFonts w:cstheme="minorHAnsi"/>
                <w:bCs/>
                <w:szCs w:val="20"/>
              </w:rPr>
              <w:t xml:space="preserve"> BEV</w:t>
            </w:r>
            <w:r w:rsidR="00551125" w:rsidRPr="00F07BA2">
              <w:rPr>
                <w:rFonts w:cstheme="minorHAnsi"/>
                <w:bCs/>
                <w:szCs w:val="20"/>
              </w:rPr>
              <w:t xml:space="preserve"> was superior to SAVR with respect to the primary composite endpoint of mortality, strokes, and moderate or severe aortic regurgitation</w:t>
            </w:r>
            <w:r w:rsidR="00350D9A" w:rsidRPr="00F07BA2">
              <w:rPr>
                <w:rFonts w:cstheme="minorHAnsi"/>
                <w:bCs/>
                <w:szCs w:val="20"/>
              </w:rPr>
              <w:t>(-9.2%, 95%CI [-13.0;-5.4], p&lt;0.0001)</w:t>
            </w:r>
            <w:r w:rsidR="00551125" w:rsidRPr="00F07BA2">
              <w:rPr>
                <w:rFonts w:cstheme="minorHAnsi"/>
                <w:bCs/>
                <w:szCs w:val="20"/>
              </w:rPr>
              <w:t xml:space="preserve">. </w:t>
            </w:r>
          </w:p>
        </w:tc>
        <w:tc>
          <w:tcPr>
            <w:tcW w:w="759" w:type="pct"/>
          </w:tcPr>
          <w:p w14:paraId="55566478" w14:textId="2F311523" w:rsidR="00DD308E" w:rsidRPr="00F07BA2" w:rsidRDefault="00CF54E5" w:rsidP="00DD308E">
            <w:pPr>
              <w:rPr>
                <w:rFonts w:cstheme="minorHAnsi"/>
                <w:bCs/>
                <w:szCs w:val="20"/>
              </w:rPr>
            </w:pPr>
            <w:r w:rsidRPr="00F07BA2">
              <w:rPr>
                <w:rFonts w:cstheme="minorHAnsi"/>
                <w:bCs/>
                <w:szCs w:val="20"/>
              </w:rPr>
              <w:t>https://www.ncbi.nlm.nih.gov/pubmed/27053442</w:t>
            </w:r>
          </w:p>
        </w:tc>
        <w:tc>
          <w:tcPr>
            <w:tcW w:w="403" w:type="pct"/>
          </w:tcPr>
          <w:p w14:paraId="6E59223D" w14:textId="0D7019C0" w:rsidR="00DD308E" w:rsidRPr="00F07BA2" w:rsidRDefault="00CF54E5" w:rsidP="00DD308E">
            <w:pPr>
              <w:rPr>
                <w:rFonts w:cstheme="minorHAnsi"/>
                <w:bCs/>
                <w:szCs w:val="20"/>
              </w:rPr>
            </w:pPr>
            <w:r w:rsidRPr="00F07BA2">
              <w:rPr>
                <w:rFonts w:cstheme="minorHAnsi"/>
                <w:bCs/>
                <w:szCs w:val="20"/>
              </w:rPr>
              <w:t>May 2016</w:t>
            </w:r>
          </w:p>
        </w:tc>
      </w:tr>
      <w:tr w:rsidR="003A2D29" w14:paraId="7054CA1F" w14:textId="77777777" w:rsidTr="00B71323">
        <w:trPr>
          <w:cantSplit/>
        </w:trPr>
        <w:tc>
          <w:tcPr>
            <w:tcW w:w="169" w:type="pct"/>
          </w:tcPr>
          <w:p w14:paraId="50D4C565" w14:textId="6DCD82AA" w:rsidR="003A2D29" w:rsidRPr="003A2D29" w:rsidRDefault="003A2D29" w:rsidP="003A2D29">
            <w:pPr>
              <w:rPr>
                <w:rFonts w:cstheme="minorHAnsi"/>
                <w:szCs w:val="20"/>
              </w:rPr>
            </w:pPr>
            <w:r>
              <w:rPr>
                <w:rFonts w:cstheme="minorHAnsi"/>
                <w:szCs w:val="20"/>
              </w:rPr>
              <w:t>2.</w:t>
            </w:r>
          </w:p>
        </w:tc>
        <w:tc>
          <w:tcPr>
            <w:tcW w:w="638" w:type="pct"/>
          </w:tcPr>
          <w:p w14:paraId="0DA596FA" w14:textId="1A33D34E" w:rsidR="003A2D29" w:rsidRPr="003A2D29" w:rsidRDefault="003A2D29" w:rsidP="003A2D29">
            <w:pPr>
              <w:rPr>
                <w:rFonts w:cstheme="minorHAnsi"/>
                <w:bCs/>
                <w:szCs w:val="20"/>
              </w:rPr>
            </w:pPr>
            <w:r w:rsidRPr="003A2D29">
              <w:rPr>
                <w:rFonts w:cstheme="minorHAnsi"/>
                <w:bCs/>
                <w:szCs w:val="20"/>
              </w:rPr>
              <w:t>Single-arm clinical trial, with comparative analyses based on propensity score matching</w:t>
            </w:r>
          </w:p>
        </w:tc>
        <w:tc>
          <w:tcPr>
            <w:tcW w:w="1162" w:type="pct"/>
          </w:tcPr>
          <w:p w14:paraId="249D9BC9" w14:textId="7922B38B" w:rsidR="003A2D29" w:rsidRPr="003A2D29" w:rsidRDefault="003A2D29" w:rsidP="003A2D29">
            <w:pPr>
              <w:rPr>
                <w:rFonts w:cstheme="minorHAnsi"/>
                <w:bCs/>
                <w:szCs w:val="20"/>
              </w:rPr>
            </w:pPr>
            <w:r w:rsidRPr="003962BC">
              <w:rPr>
                <w:rFonts w:cstheme="minorHAnsi"/>
                <w:szCs w:val="20"/>
              </w:rPr>
              <w:t>Baron SJ, et al. ’</w:t>
            </w:r>
            <w:r w:rsidRPr="00F21444">
              <w:rPr>
                <w:rFonts w:cstheme="minorHAnsi"/>
                <w:szCs w:val="20"/>
                <w:lang w:val="en-US"/>
              </w:rPr>
              <w:t xml:space="preserve">Effect of SAPIEN 3 Transcatheter Valve Implantation on Health Status in Patients With Severe Aortic Stenosis at Intermediate Surgical </w:t>
            </w:r>
            <w:r w:rsidRPr="00D45CF4">
              <w:rPr>
                <w:rFonts w:cstheme="minorHAnsi"/>
                <w:szCs w:val="20"/>
                <w:lang w:val="en-US"/>
              </w:rPr>
              <w:t xml:space="preserve">Risk: Results From the PARTNER S3i Trial.’ </w:t>
            </w:r>
            <w:r w:rsidRPr="00440774">
              <w:rPr>
                <w:rFonts w:cstheme="minorHAnsi"/>
                <w:szCs w:val="20"/>
                <w:lang w:val="en-US"/>
              </w:rPr>
              <w:t>JACC Cardiovasc Interv. 2018;</w:t>
            </w:r>
            <w:r w:rsidRPr="00F21444">
              <w:rPr>
                <w:rFonts w:cstheme="minorHAnsi"/>
                <w:szCs w:val="20"/>
                <w:lang w:val="en-US"/>
              </w:rPr>
              <w:t xml:space="preserve"> </w:t>
            </w:r>
            <w:r w:rsidRPr="003962BC">
              <w:rPr>
                <w:rFonts w:cstheme="minorHAnsi"/>
                <w:bCs/>
                <w:szCs w:val="20"/>
                <w:lang w:val="en-US"/>
              </w:rPr>
              <w:t>11</w:t>
            </w:r>
            <w:r w:rsidRPr="003A2D29">
              <w:rPr>
                <w:rFonts w:cstheme="minorHAnsi"/>
                <w:szCs w:val="20"/>
                <w:lang w:val="en-US"/>
              </w:rPr>
              <w:t>(12): 1188-1198.</w:t>
            </w:r>
          </w:p>
        </w:tc>
        <w:tc>
          <w:tcPr>
            <w:tcW w:w="1869" w:type="pct"/>
          </w:tcPr>
          <w:p w14:paraId="4D6E32E1" w14:textId="10507D12" w:rsidR="003A2D29" w:rsidRPr="003962BC" w:rsidRDefault="00F07BA2" w:rsidP="003A2D29">
            <w:pPr>
              <w:rPr>
                <w:rFonts w:cstheme="minorHAnsi"/>
                <w:szCs w:val="20"/>
                <w:lang w:val="en-US"/>
              </w:rPr>
            </w:pPr>
            <w:r w:rsidRPr="00F07BA2">
              <w:rPr>
                <w:rFonts w:cstheme="minorHAnsi"/>
                <w:szCs w:val="20"/>
                <w:lang w:val="en-US"/>
              </w:rPr>
              <w:t>S</w:t>
            </w:r>
            <w:r>
              <w:rPr>
                <w:rFonts w:cstheme="minorHAnsi"/>
                <w:szCs w:val="20"/>
                <w:lang w:val="en-US"/>
              </w:rPr>
              <w:t xml:space="preserve">ub-study of </w:t>
            </w:r>
            <w:r w:rsidRPr="00F07BA2">
              <w:rPr>
                <w:rFonts w:cstheme="minorHAnsi"/>
                <w:szCs w:val="20"/>
                <w:lang w:val="en-US"/>
              </w:rPr>
              <w:t>PARTNER S3i</w:t>
            </w:r>
            <w:r>
              <w:rPr>
                <w:rFonts w:cstheme="minorHAnsi"/>
                <w:szCs w:val="20"/>
                <w:lang w:val="en-US"/>
              </w:rPr>
              <w:t>.</w:t>
            </w:r>
            <w:r w:rsidRPr="00F07BA2">
              <w:rPr>
                <w:rFonts w:cstheme="minorHAnsi"/>
                <w:szCs w:val="20"/>
                <w:lang w:val="en-US"/>
              </w:rPr>
              <w:t xml:space="preserve"> 10</w:t>
            </w:r>
            <w:r>
              <w:rPr>
                <w:rFonts w:cstheme="minorHAnsi"/>
                <w:szCs w:val="20"/>
                <w:lang w:val="en-US"/>
              </w:rPr>
              <w:t>6</w:t>
            </w:r>
            <w:r w:rsidRPr="00F07BA2">
              <w:rPr>
                <w:rFonts w:cstheme="minorHAnsi"/>
                <w:szCs w:val="20"/>
                <w:lang w:val="en-US"/>
              </w:rPr>
              <w:t xml:space="preserve">8 intermediate risk patients with severe AS who underwent TAVI with the SAPIEN 3 BEV, </w:t>
            </w:r>
            <w:r>
              <w:rPr>
                <w:rFonts w:cstheme="minorHAnsi"/>
                <w:szCs w:val="20"/>
                <w:lang w:val="en-US"/>
              </w:rPr>
              <w:t>were</w:t>
            </w:r>
            <w:r w:rsidRPr="00F07BA2">
              <w:rPr>
                <w:rFonts w:cstheme="minorHAnsi"/>
                <w:szCs w:val="20"/>
                <w:lang w:val="en-US"/>
              </w:rPr>
              <w:t xml:space="preserve"> compar</w:t>
            </w:r>
            <w:r>
              <w:rPr>
                <w:rFonts w:cstheme="minorHAnsi"/>
                <w:szCs w:val="20"/>
                <w:lang w:val="en-US"/>
              </w:rPr>
              <w:t>ed</w:t>
            </w:r>
            <w:r w:rsidRPr="00F07BA2">
              <w:rPr>
                <w:rFonts w:cstheme="minorHAnsi"/>
                <w:szCs w:val="20"/>
                <w:lang w:val="en-US"/>
              </w:rPr>
              <w:t xml:space="preserve"> against a cohort of </w:t>
            </w:r>
            <w:r>
              <w:rPr>
                <w:rFonts w:cstheme="minorHAnsi"/>
                <w:szCs w:val="20"/>
                <w:lang w:val="en-US"/>
              </w:rPr>
              <w:t>936</w:t>
            </w:r>
            <w:r w:rsidRPr="00F07BA2">
              <w:rPr>
                <w:rFonts w:cstheme="minorHAnsi"/>
                <w:szCs w:val="20"/>
                <w:lang w:val="en-US"/>
              </w:rPr>
              <w:t xml:space="preserve"> patients who underwent SAVR in PARTNER 2A</w:t>
            </w:r>
            <w:r>
              <w:rPr>
                <w:rFonts w:cstheme="minorHAnsi"/>
                <w:szCs w:val="20"/>
                <w:lang w:val="en-US"/>
              </w:rPr>
              <w:t xml:space="preserve">. </w:t>
            </w:r>
            <w:r w:rsidRPr="00F07BA2">
              <w:rPr>
                <w:rFonts w:cstheme="minorHAnsi"/>
                <w:szCs w:val="20"/>
                <w:lang w:val="en-US"/>
              </w:rPr>
              <w:t xml:space="preserve">Comparisons were made using propensity score analysis. </w:t>
            </w:r>
            <w:r w:rsidR="003A2D29" w:rsidRPr="00F21444">
              <w:rPr>
                <w:rFonts w:cstheme="minorHAnsi"/>
                <w:szCs w:val="20"/>
                <w:lang w:val="en-US"/>
              </w:rPr>
              <w:t>Quality of life (QoL) was assessed using the Kansas City Cardiomyopathy Questionnaire (KCCQ) instrument. SAPIEN 3 TAV</w:t>
            </w:r>
            <w:r w:rsidR="003A2D29">
              <w:rPr>
                <w:rFonts w:cstheme="minorHAnsi"/>
                <w:szCs w:val="20"/>
                <w:lang w:val="en-US"/>
              </w:rPr>
              <w:t>I</w:t>
            </w:r>
            <w:r w:rsidR="003A2D29" w:rsidRPr="00F21444">
              <w:rPr>
                <w:rFonts w:cstheme="minorHAnsi"/>
                <w:szCs w:val="20"/>
                <w:lang w:val="en-US"/>
              </w:rPr>
              <w:t xml:space="preserve"> BEV was associated with improved KCCQ score at one month (diff=15.6, p&lt;0.001) and one year (2.0, p&lt;0.05) versus SAVR.</w:t>
            </w:r>
          </w:p>
        </w:tc>
        <w:tc>
          <w:tcPr>
            <w:tcW w:w="759" w:type="pct"/>
          </w:tcPr>
          <w:p w14:paraId="17A2B8CF" w14:textId="37FFFDF9" w:rsidR="003A2D29" w:rsidRPr="003A2D29" w:rsidRDefault="00A44473" w:rsidP="003F4F1C">
            <w:pPr>
              <w:rPr>
                <w:rFonts w:cstheme="minorHAnsi"/>
                <w:bCs/>
                <w:szCs w:val="20"/>
              </w:rPr>
            </w:pPr>
            <w:hyperlink r:id="rId17" w:history="1">
              <w:r w:rsidR="003A2D29" w:rsidRPr="00F21444">
                <w:rPr>
                  <w:rFonts w:cstheme="minorHAnsi"/>
                  <w:szCs w:val="20"/>
                  <w:lang w:val="en-US"/>
                </w:rPr>
                <w:t>www.ncbi.nlm.nih.gov/pubmed/29860075</w:t>
              </w:r>
            </w:hyperlink>
          </w:p>
        </w:tc>
        <w:tc>
          <w:tcPr>
            <w:tcW w:w="403" w:type="pct"/>
          </w:tcPr>
          <w:p w14:paraId="58989339" w14:textId="287D3AA0" w:rsidR="003A2D29" w:rsidRPr="003A2D29" w:rsidRDefault="003A2D29" w:rsidP="003A2D29">
            <w:pPr>
              <w:rPr>
                <w:rFonts w:cstheme="minorHAnsi"/>
                <w:bCs/>
                <w:szCs w:val="20"/>
              </w:rPr>
            </w:pPr>
            <w:r w:rsidRPr="00F21444">
              <w:rPr>
                <w:rFonts w:cstheme="minorHAnsi"/>
                <w:bCs/>
                <w:szCs w:val="20"/>
              </w:rPr>
              <w:t>June 2018</w:t>
            </w:r>
          </w:p>
        </w:tc>
      </w:tr>
      <w:tr w:rsidR="003A2D29" w14:paraId="6518F2D0" w14:textId="77777777" w:rsidTr="00B71323">
        <w:trPr>
          <w:cantSplit/>
        </w:trPr>
        <w:tc>
          <w:tcPr>
            <w:tcW w:w="169" w:type="pct"/>
          </w:tcPr>
          <w:p w14:paraId="310DE43D" w14:textId="01F03AD0" w:rsidR="003A2D29" w:rsidRPr="003A2D29" w:rsidRDefault="00F07BA2" w:rsidP="003A2D29">
            <w:pPr>
              <w:rPr>
                <w:rFonts w:cstheme="minorHAnsi"/>
                <w:szCs w:val="20"/>
              </w:rPr>
            </w:pPr>
            <w:r>
              <w:rPr>
                <w:rFonts w:cstheme="minorHAnsi"/>
                <w:szCs w:val="20"/>
              </w:rPr>
              <w:lastRenderedPageBreak/>
              <w:t>3</w:t>
            </w:r>
            <w:r w:rsidR="003A2D29" w:rsidRPr="003A2D29">
              <w:rPr>
                <w:rFonts w:cstheme="minorHAnsi"/>
                <w:szCs w:val="20"/>
              </w:rPr>
              <w:t>.</w:t>
            </w:r>
          </w:p>
        </w:tc>
        <w:tc>
          <w:tcPr>
            <w:tcW w:w="638" w:type="pct"/>
          </w:tcPr>
          <w:p w14:paraId="7CF9BE4A" w14:textId="636DD81B" w:rsidR="003A2D29" w:rsidRPr="003A2D29" w:rsidRDefault="003A2D29" w:rsidP="003A2D29">
            <w:pPr>
              <w:rPr>
                <w:rFonts w:cstheme="minorHAnsi"/>
                <w:bCs/>
                <w:szCs w:val="20"/>
              </w:rPr>
            </w:pPr>
            <w:r w:rsidRPr="003A2D29">
              <w:rPr>
                <w:rFonts w:cstheme="minorHAnsi"/>
                <w:bCs/>
                <w:szCs w:val="20"/>
              </w:rPr>
              <w:t>Cohort study</w:t>
            </w:r>
          </w:p>
        </w:tc>
        <w:tc>
          <w:tcPr>
            <w:tcW w:w="1162" w:type="pct"/>
          </w:tcPr>
          <w:p w14:paraId="14061DB0" w14:textId="1202564A" w:rsidR="003A2D29" w:rsidRPr="00F07BA2" w:rsidRDefault="003A2D29" w:rsidP="003A2D29">
            <w:pPr>
              <w:rPr>
                <w:rFonts w:cstheme="minorHAnsi"/>
                <w:bCs/>
                <w:szCs w:val="20"/>
              </w:rPr>
            </w:pPr>
            <w:r w:rsidRPr="00F07BA2">
              <w:rPr>
                <w:rFonts w:cstheme="minorHAnsi"/>
                <w:bCs/>
                <w:szCs w:val="20"/>
              </w:rPr>
              <w:t>Kodali S</w:t>
            </w:r>
            <w:r w:rsidR="00F07BA2" w:rsidRPr="00F07BA2">
              <w:rPr>
                <w:rFonts w:cstheme="minorHAnsi"/>
                <w:bCs/>
                <w:szCs w:val="20"/>
              </w:rPr>
              <w:t>,</w:t>
            </w:r>
            <w:r w:rsidRPr="00F07BA2">
              <w:rPr>
                <w:rFonts w:cstheme="minorHAnsi"/>
                <w:bCs/>
                <w:szCs w:val="20"/>
              </w:rPr>
              <w:t xml:space="preserve"> et al</w:t>
            </w:r>
            <w:r w:rsidR="00F07BA2" w:rsidRPr="00F07BA2">
              <w:rPr>
                <w:rFonts w:cstheme="minorHAnsi"/>
                <w:bCs/>
                <w:szCs w:val="20"/>
              </w:rPr>
              <w:t>.</w:t>
            </w:r>
            <w:r w:rsidRPr="00F07BA2">
              <w:rPr>
                <w:rFonts w:cstheme="minorHAnsi"/>
                <w:bCs/>
                <w:szCs w:val="20"/>
              </w:rPr>
              <w:t xml:space="preserve"> </w:t>
            </w:r>
            <w:r w:rsidRPr="00EC28C7">
              <w:rPr>
                <w:rFonts w:cstheme="minorHAnsi"/>
                <w:bCs/>
                <w:szCs w:val="20"/>
              </w:rPr>
              <w:t>‘Early clinical and echocardiographic outcomes after SAPIEN 3 transcatheter aortic valve replacement in inoperable, high-risk and intermediate-risk patients with aortic stenosis</w:t>
            </w:r>
            <w:r w:rsidR="00F07BA2">
              <w:rPr>
                <w:rFonts w:cstheme="minorHAnsi"/>
                <w:bCs/>
                <w:szCs w:val="20"/>
              </w:rPr>
              <w:t>.</w:t>
            </w:r>
            <w:r w:rsidRPr="00EC28C7">
              <w:rPr>
                <w:rFonts w:cstheme="minorHAnsi"/>
                <w:bCs/>
                <w:szCs w:val="20"/>
              </w:rPr>
              <w:t xml:space="preserve">’ </w:t>
            </w:r>
            <w:r w:rsidRPr="00F07BA2">
              <w:rPr>
                <w:rFonts w:cstheme="minorHAnsi"/>
                <w:bCs/>
                <w:szCs w:val="20"/>
              </w:rPr>
              <w:t>Eur Heart J</w:t>
            </w:r>
            <w:r w:rsidR="00F07BA2">
              <w:rPr>
                <w:rFonts w:cstheme="minorHAnsi"/>
                <w:bCs/>
                <w:szCs w:val="20"/>
              </w:rPr>
              <w:t>.</w:t>
            </w:r>
            <w:r w:rsidRPr="00F07BA2">
              <w:rPr>
                <w:rFonts w:cstheme="minorHAnsi"/>
                <w:bCs/>
                <w:szCs w:val="20"/>
              </w:rPr>
              <w:t xml:space="preserve"> 2016</w:t>
            </w:r>
            <w:r w:rsidR="00F07BA2">
              <w:rPr>
                <w:rFonts w:cstheme="minorHAnsi"/>
                <w:bCs/>
                <w:szCs w:val="20"/>
              </w:rPr>
              <w:t xml:space="preserve">; </w:t>
            </w:r>
            <w:r w:rsidR="00F07BA2" w:rsidRPr="00F07BA2">
              <w:rPr>
                <w:rFonts w:cstheme="minorHAnsi"/>
                <w:bCs/>
                <w:szCs w:val="20"/>
              </w:rPr>
              <w:t>37</w:t>
            </w:r>
            <w:r w:rsidR="00F07BA2">
              <w:rPr>
                <w:rFonts w:cstheme="minorHAnsi"/>
                <w:bCs/>
                <w:szCs w:val="20"/>
              </w:rPr>
              <w:t>:</w:t>
            </w:r>
            <w:r w:rsidR="00F07BA2" w:rsidRPr="00F07BA2">
              <w:rPr>
                <w:rFonts w:cstheme="minorHAnsi"/>
                <w:bCs/>
                <w:szCs w:val="20"/>
              </w:rPr>
              <w:t xml:space="preserve"> 2252–2262</w:t>
            </w:r>
            <w:r w:rsidR="00F07BA2">
              <w:rPr>
                <w:rFonts w:cstheme="minorHAnsi"/>
                <w:bCs/>
                <w:szCs w:val="20"/>
              </w:rPr>
              <w:t>.</w:t>
            </w:r>
          </w:p>
        </w:tc>
        <w:tc>
          <w:tcPr>
            <w:tcW w:w="1869" w:type="pct"/>
          </w:tcPr>
          <w:p w14:paraId="49ADA5B4" w14:textId="05F46334" w:rsidR="003A2D29" w:rsidRPr="00F07BA2" w:rsidRDefault="003A2D29" w:rsidP="00F07BA2">
            <w:pPr>
              <w:rPr>
                <w:rFonts w:cstheme="minorHAnsi"/>
                <w:bCs/>
                <w:szCs w:val="20"/>
              </w:rPr>
            </w:pPr>
            <w:r w:rsidRPr="00F07BA2">
              <w:rPr>
                <w:rFonts w:cstheme="minorHAnsi"/>
                <w:bCs/>
                <w:szCs w:val="20"/>
              </w:rPr>
              <w:t xml:space="preserve">Patients with severe, symptomatic AS (high risk or inoperable N=583, intermediate risk N=1078) </w:t>
            </w:r>
            <w:r w:rsidR="00F07BA2">
              <w:rPr>
                <w:rFonts w:cstheme="minorHAnsi"/>
                <w:bCs/>
                <w:szCs w:val="20"/>
              </w:rPr>
              <w:t>underwent</w:t>
            </w:r>
            <w:r w:rsidRPr="00F07BA2">
              <w:rPr>
                <w:rFonts w:cstheme="minorHAnsi"/>
                <w:bCs/>
                <w:szCs w:val="20"/>
              </w:rPr>
              <w:t xml:space="preserve"> </w:t>
            </w:r>
            <w:r w:rsidR="00F07BA2">
              <w:rPr>
                <w:rFonts w:cstheme="minorHAnsi"/>
                <w:bCs/>
                <w:szCs w:val="20"/>
              </w:rPr>
              <w:t xml:space="preserve">TAVI with the </w:t>
            </w:r>
            <w:r w:rsidRPr="00F07BA2">
              <w:rPr>
                <w:rFonts w:cstheme="minorHAnsi"/>
                <w:bCs/>
                <w:szCs w:val="20"/>
              </w:rPr>
              <w:t>SAPIEN 3</w:t>
            </w:r>
            <w:r>
              <w:rPr>
                <w:rFonts w:cstheme="minorHAnsi"/>
                <w:bCs/>
                <w:szCs w:val="20"/>
              </w:rPr>
              <w:t xml:space="preserve"> BEV</w:t>
            </w:r>
            <w:r w:rsidRPr="003A2D29">
              <w:rPr>
                <w:rFonts w:cstheme="minorHAnsi"/>
                <w:bCs/>
                <w:szCs w:val="20"/>
              </w:rPr>
              <w:t xml:space="preserve">. </w:t>
            </w:r>
            <w:r w:rsidR="00F07BA2">
              <w:rPr>
                <w:rFonts w:cstheme="minorHAnsi"/>
                <w:bCs/>
                <w:szCs w:val="20"/>
              </w:rPr>
              <w:t xml:space="preserve">The transfemoral route was used in </w:t>
            </w:r>
            <w:r w:rsidR="00F07BA2" w:rsidRPr="00F07BA2">
              <w:rPr>
                <w:rFonts w:cstheme="minorHAnsi"/>
                <w:bCs/>
                <w:szCs w:val="20"/>
              </w:rPr>
              <w:t xml:space="preserve">86.9% </w:t>
            </w:r>
            <w:r w:rsidR="00F07BA2">
              <w:rPr>
                <w:rFonts w:cstheme="minorHAnsi"/>
                <w:bCs/>
                <w:szCs w:val="20"/>
              </w:rPr>
              <w:t xml:space="preserve">of patients, </w:t>
            </w:r>
            <w:r w:rsidR="00F07BA2" w:rsidRPr="00F07BA2">
              <w:rPr>
                <w:rFonts w:cstheme="minorHAnsi"/>
                <w:bCs/>
                <w:szCs w:val="20"/>
              </w:rPr>
              <w:t xml:space="preserve">and </w:t>
            </w:r>
            <w:r w:rsidR="00F07BA2">
              <w:rPr>
                <w:rFonts w:cstheme="minorHAnsi"/>
                <w:bCs/>
                <w:szCs w:val="20"/>
              </w:rPr>
              <w:t xml:space="preserve">the </w:t>
            </w:r>
            <w:r w:rsidR="00F07BA2" w:rsidRPr="00F07BA2">
              <w:rPr>
                <w:rFonts w:cstheme="minorHAnsi"/>
                <w:bCs/>
                <w:szCs w:val="20"/>
              </w:rPr>
              <w:t>transapical or transaorti</w:t>
            </w:r>
            <w:r w:rsidR="00F07BA2">
              <w:rPr>
                <w:rFonts w:cstheme="minorHAnsi"/>
                <w:bCs/>
                <w:szCs w:val="20"/>
              </w:rPr>
              <w:t>c route in</w:t>
            </w:r>
            <w:r w:rsidR="00F07BA2" w:rsidRPr="00F07BA2">
              <w:rPr>
                <w:rFonts w:cstheme="minorHAnsi"/>
                <w:bCs/>
                <w:szCs w:val="20"/>
              </w:rPr>
              <w:t xml:space="preserve"> 13.1%</w:t>
            </w:r>
            <w:r w:rsidR="00F07BA2">
              <w:rPr>
                <w:rFonts w:cstheme="minorHAnsi"/>
                <w:bCs/>
                <w:szCs w:val="20"/>
              </w:rPr>
              <w:t>.</w:t>
            </w:r>
            <w:r w:rsidR="00F07BA2" w:rsidRPr="00F07BA2">
              <w:rPr>
                <w:rFonts w:cstheme="minorHAnsi"/>
                <w:bCs/>
                <w:szCs w:val="20"/>
              </w:rPr>
              <w:t xml:space="preserve"> </w:t>
            </w:r>
            <w:r w:rsidRPr="003A2D29">
              <w:rPr>
                <w:rFonts w:cstheme="minorHAnsi"/>
                <w:bCs/>
                <w:szCs w:val="20"/>
              </w:rPr>
              <w:t>Among intermediate risk patients, 30-day all-cause mortality was 1.1%. Frequency of other outcomes were as follows:  major/disabling stroke 1.0%, major bleeding 10.6%, major vascular complic</w:t>
            </w:r>
            <w:r w:rsidRPr="00F07BA2">
              <w:rPr>
                <w:rFonts w:cstheme="minorHAnsi"/>
                <w:bCs/>
                <w:szCs w:val="20"/>
              </w:rPr>
              <w:t>ations 6.1%, and permanent pacemaker 10.1%.</w:t>
            </w:r>
          </w:p>
        </w:tc>
        <w:tc>
          <w:tcPr>
            <w:tcW w:w="759" w:type="pct"/>
          </w:tcPr>
          <w:p w14:paraId="25BAD025" w14:textId="6DF4FB7A" w:rsidR="003A2D29" w:rsidRPr="00F07BA2" w:rsidRDefault="003A2D29" w:rsidP="003A2D29">
            <w:pPr>
              <w:rPr>
                <w:rFonts w:cstheme="minorHAnsi"/>
                <w:bCs/>
                <w:szCs w:val="20"/>
              </w:rPr>
            </w:pPr>
            <w:r w:rsidRPr="00F07BA2">
              <w:rPr>
                <w:rFonts w:cstheme="minorHAnsi"/>
                <w:bCs/>
                <w:szCs w:val="20"/>
              </w:rPr>
              <w:t>https://www.ncbi.nlm.nih.gov/pubmed/27190101</w:t>
            </w:r>
          </w:p>
        </w:tc>
        <w:tc>
          <w:tcPr>
            <w:tcW w:w="403" w:type="pct"/>
          </w:tcPr>
          <w:p w14:paraId="0ACFE88C" w14:textId="25898A1D" w:rsidR="003A2D29" w:rsidRPr="00F07BA2" w:rsidRDefault="003A2D29" w:rsidP="003A2D29">
            <w:pPr>
              <w:rPr>
                <w:rFonts w:cstheme="minorHAnsi"/>
                <w:bCs/>
                <w:szCs w:val="20"/>
              </w:rPr>
            </w:pPr>
            <w:r w:rsidRPr="00F07BA2">
              <w:rPr>
                <w:rFonts w:cstheme="minorHAnsi"/>
                <w:bCs/>
                <w:szCs w:val="20"/>
              </w:rPr>
              <w:t>July 2016</w:t>
            </w:r>
          </w:p>
        </w:tc>
      </w:tr>
      <w:tr w:rsidR="003A2D29" w14:paraId="7FC71785" w14:textId="77777777" w:rsidTr="00B71323">
        <w:trPr>
          <w:cantSplit/>
        </w:trPr>
        <w:tc>
          <w:tcPr>
            <w:tcW w:w="169" w:type="pct"/>
          </w:tcPr>
          <w:p w14:paraId="2AE08850" w14:textId="26FB7D3E" w:rsidR="003A2D29" w:rsidRPr="003A2D29" w:rsidRDefault="003A2D29" w:rsidP="003A2D29">
            <w:pPr>
              <w:rPr>
                <w:rFonts w:cstheme="minorHAnsi"/>
                <w:szCs w:val="20"/>
              </w:rPr>
            </w:pPr>
            <w:r w:rsidRPr="003A2D29">
              <w:rPr>
                <w:rFonts w:cstheme="minorHAnsi"/>
                <w:szCs w:val="20"/>
              </w:rPr>
              <w:t>4.</w:t>
            </w:r>
          </w:p>
        </w:tc>
        <w:tc>
          <w:tcPr>
            <w:tcW w:w="638" w:type="pct"/>
          </w:tcPr>
          <w:p w14:paraId="02DA1EC4" w14:textId="25DBF6C7" w:rsidR="003A2D29" w:rsidRPr="003A2D29" w:rsidRDefault="003A2D29" w:rsidP="003A2D29">
            <w:pPr>
              <w:rPr>
                <w:rFonts w:cstheme="minorHAnsi"/>
                <w:bCs/>
                <w:szCs w:val="20"/>
              </w:rPr>
            </w:pPr>
            <w:r w:rsidRPr="003A2D29">
              <w:rPr>
                <w:rFonts w:cstheme="minorHAnsi"/>
                <w:bCs/>
                <w:szCs w:val="20"/>
              </w:rPr>
              <w:t>Cohort study</w:t>
            </w:r>
          </w:p>
        </w:tc>
        <w:tc>
          <w:tcPr>
            <w:tcW w:w="1162" w:type="pct"/>
          </w:tcPr>
          <w:p w14:paraId="04DAE414" w14:textId="5D093F3A" w:rsidR="003A2D29" w:rsidRPr="003A2D29" w:rsidRDefault="003A2D29" w:rsidP="003A2D29">
            <w:pPr>
              <w:rPr>
                <w:rFonts w:cstheme="minorHAnsi"/>
                <w:bCs/>
                <w:szCs w:val="20"/>
              </w:rPr>
            </w:pPr>
            <w:r w:rsidRPr="003A2D29">
              <w:rPr>
                <w:rFonts w:cstheme="minorHAnsi"/>
                <w:bCs/>
                <w:szCs w:val="20"/>
              </w:rPr>
              <w:t>Tham JLM</w:t>
            </w:r>
            <w:r w:rsidR="00F07BA2">
              <w:rPr>
                <w:rFonts w:cstheme="minorHAnsi"/>
                <w:bCs/>
                <w:szCs w:val="20"/>
              </w:rPr>
              <w:t>,</w:t>
            </w:r>
            <w:r w:rsidRPr="003A2D29">
              <w:rPr>
                <w:rFonts w:cstheme="minorHAnsi"/>
                <w:bCs/>
                <w:szCs w:val="20"/>
              </w:rPr>
              <w:t xml:space="preserve"> et al. </w:t>
            </w:r>
            <w:r w:rsidR="00F07BA2">
              <w:rPr>
                <w:rFonts w:cstheme="minorHAnsi"/>
                <w:bCs/>
                <w:szCs w:val="20"/>
              </w:rPr>
              <w:t>‘</w:t>
            </w:r>
            <w:r w:rsidRPr="003A2D29">
              <w:rPr>
                <w:rFonts w:cstheme="minorHAnsi"/>
                <w:bCs/>
                <w:szCs w:val="20"/>
              </w:rPr>
              <w:t>Clinical outcomes of self-expand</w:t>
            </w:r>
            <w:r w:rsidR="00833B90">
              <w:rPr>
                <w:rFonts w:cstheme="minorHAnsi"/>
                <w:bCs/>
                <w:szCs w:val="20"/>
              </w:rPr>
              <w:t>ing</w:t>
            </w:r>
            <w:r w:rsidRPr="003A2D29">
              <w:rPr>
                <w:rFonts w:cstheme="minorHAnsi"/>
                <w:bCs/>
                <w:szCs w:val="20"/>
              </w:rPr>
              <w:t xml:space="preserve"> vs. balloon-expandable TAVI for severe aortic stenosis.</w:t>
            </w:r>
            <w:r w:rsidR="00F07BA2">
              <w:rPr>
                <w:rFonts w:cstheme="minorHAnsi"/>
                <w:bCs/>
                <w:szCs w:val="20"/>
              </w:rPr>
              <w:t>’</w:t>
            </w:r>
            <w:r w:rsidRPr="003A2D29">
              <w:rPr>
                <w:rFonts w:cstheme="minorHAnsi"/>
                <w:bCs/>
                <w:szCs w:val="20"/>
              </w:rPr>
              <w:t xml:space="preserve"> Acta Cardiol. 2019 1:1-8. </w:t>
            </w:r>
          </w:p>
        </w:tc>
        <w:tc>
          <w:tcPr>
            <w:tcW w:w="1869" w:type="pct"/>
          </w:tcPr>
          <w:p w14:paraId="5C6C8073" w14:textId="46CB8AE8" w:rsidR="003A2D29" w:rsidRPr="003A2D29" w:rsidRDefault="003A2D29" w:rsidP="003A2D29">
            <w:pPr>
              <w:autoSpaceDE w:val="0"/>
              <w:autoSpaceDN w:val="0"/>
              <w:adjustRightInd w:val="0"/>
              <w:spacing w:before="0" w:after="0"/>
              <w:rPr>
                <w:rFonts w:cstheme="minorHAnsi"/>
                <w:bCs/>
                <w:szCs w:val="20"/>
              </w:rPr>
            </w:pPr>
            <w:r w:rsidRPr="003962BC">
              <w:rPr>
                <w:rFonts w:cstheme="minorHAnsi"/>
                <w:bCs/>
                <w:szCs w:val="20"/>
              </w:rPr>
              <w:t>151 patients undergoing TAVI, comprising 46.3% with self-expand</w:t>
            </w:r>
            <w:r w:rsidR="00833B90">
              <w:rPr>
                <w:rFonts w:cstheme="minorHAnsi"/>
                <w:bCs/>
                <w:szCs w:val="20"/>
              </w:rPr>
              <w:t>ing</w:t>
            </w:r>
            <w:r w:rsidRPr="003962BC">
              <w:rPr>
                <w:rFonts w:cstheme="minorHAnsi"/>
                <w:bCs/>
                <w:szCs w:val="20"/>
              </w:rPr>
              <w:t xml:space="preserve"> valves and 53.6% with balloon-expandable valves (SAPIEN 3 and older generation SAPIEN XT). This real-world retrospective analysis demonstrated higher rates of moderate or greater paravalvular regurgitation</w:t>
            </w:r>
            <w:r w:rsidRPr="003962BC" w:rsidDel="00F72FD1">
              <w:rPr>
                <w:rFonts w:cstheme="minorHAnsi"/>
                <w:bCs/>
                <w:szCs w:val="20"/>
              </w:rPr>
              <w:t xml:space="preserve"> </w:t>
            </w:r>
            <w:r w:rsidRPr="003962BC">
              <w:rPr>
                <w:rFonts w:cstheme="minorHAnsi"/>
                <w:bCs/>
                <w:szCs w:val="20"/>
              </w:rPr>
              <w:t>(6.7 vs. 0.0%; p=0.02), stroke (12.4 vs. 1.4%; p=0 .04) and pacemaker insertion (36.4 vs. 9.5%; p=0.001) with self-expanding compared to balloon-expandable valves</w:t>
            </w:r>
            <w:r w:rsidRPr="003962BC" w:rsidDel="00350D9A">
              <w:rPr>
                <w:rFonts w:cstheme="minorHAnsi"/>
                <w:bCs/>
                <w:szCs w:val="20"/>
              </w:rPr>
              <w:t xml:space="preserve"> </w:t>
            </w:r>
            <w:r w:rsidRPr="003962BC">
              <w:rPr>
                <w:rFonts w:cstheme="minorHAnsi"/>
                <w:bCs/>
                <w:szCs w:val="20"/>
              </w:rPr>
              <w:t>at 30 day post-TAVI.</w:t>
            </w:r>
          </w:p>
        </w:tc>
        <w:tc>
          <w:tcPr>
            <w:tcW w:w="759" w:type="pct"/>
          </w:tcPr>
          <w:p w14:paraId="49889A8D" w14:textId="351F35E7" w:rsidR="003A2D29" w:rsidRPr="00F07BA2" w:rsidRDefault="003A2D29" w:rsidP="003A2D29">
            <w:pPr>
              <w:rPr>
                <w:rFonts w:cstheme="minorHAnsi"/>
                <w:b/>
                <w:szCs w:val="20"/>
              </w:rPr>
            </w:pPr>
            <w:r w:rsidRPr="003A2D29">
              <w:rPr>
                <w:rFonts w:cstheme="minorHAnsi"/>
                <w:bCs/>
                <w:szCs w:val="20"/>
              </w:rPr>
              <w:t>https://doi.org/10.1080/00015385.2019.1572959</w:t>
            </w:r>
          </w:p>
        </w:tc>
        <w:tc>
          <w:tcPr>
            <w:tcW w:w="403" w:type="pct"/>
          </w:tcPr>
          <w:p w14:paraId="189DFB87" w14:textId="06E3B871" w:rsidR="003A2D29" w:rsidRPr="00F07BA2" w:rsidRDefault="003A2D29" w:rsidP="003A2D29">
            <w:pPr>
              <w:rPr>
                <w:rFonts w:cstheme="minorHAnsi"/>
                <w:szCs w:val="20"/>
              </w:rPr>
            </w:pPr>
            <w:r w:rsidRPr="00F07BA2">
              <w:rPr>
                <w:rFonts w:cstheme="minorHAnsi"/>
                <w:szCs w:val="20"/>
              </w:rPr>
              <w:t>January 2019</w:t>
            </w:r>
          </w:p>
        </w:tc>
      </w:tr>
      <w:tr w:rsidR="003A2D29" w14:paraId="4CE72D23" w14:textId="77777777" w:rsidTr="00B71323">
        <w:trPr>
          <w:cantSplit/>
        </w:trPr>
        <w:tc>
          <w:tcPr>
            <w:tcW w:w="169" w:type="pct"/>
          </w:tcPr>
          <w:p w14:paraId="7ED452C4" w14:textId="3CDE4FDF" w:rsidR="003A2D29" w:rsidRPr="003A2D29" w:rsidRDefault="003A2D29" w:rsidP="003A2D29">
            <w:pPr>
              <w:rPr>
                <w:rFonts w:cstheme="minorHAnsi"/>
                <w:szCs w:val="20"/>
              </w:rPr>
            </w:pPr>
            <w:r w:rsidRPr="003A2D29">
              <w:rPr>
                <w:rFonts w:cstheme="minorHAnsi"/>
                <w:szCs w:val="20"/>
              </w:rPr>
              <w:t>5.</w:t>
            </w:r>
          </w:p>
        </w:tc>
        <w:tc>
          <w:tcPr>
            <w:tcW w:w="638" w:type="pct"/>
          </w:tcPr>
          <w:p w14:paraId="32783086" w14:textId="24D4766F" w:rsidR="003A2D29" w:rsidRPr="00F07BA2" w:rsidRDefault="003A2D29" w:rsidP="003A2D29">
            <w:pPr>
              <w:rPr>
                <w:rFonts w:cstheme="minorHAnsi"/>
                <w:bCs/>
                <w:szCs w:val="20"/>
              </w:rPr>
            </w:pPr>
            <w:r w:rsidRPr="003A2D29">
              <w:rPr>
                <w:rFonts w:cstheme="minorHAnsi"/>
                <w:bCs/>
                <w:szCs w:val="20"/>
              </w:rPr>
              <w:t>Cost-effectiveness analysis</w:t>
            </w:r>
          </w:p>
        </w:tc>
        <w:tc>
          <w:tcPr>
            <w:tcW w:w="1162" w:type="pct"/>
          </w:tcPr>
          <w:p w14:paraId="47EA6051" w14:textId="12368F91" w:rsidR="003A2D29" w:rsidRPr="00F07BA2" w:rsidRDefault="003A2D29" w:rsidP="003A2D29">
            <w:pPr>
              <w:rPr>
                <w:rFonts w:cstheme="minorHAnsi"/>
                <w:bCs/>
                <w:szCs w:val="20"/>
              </w:rPr>
            </w:pPr>
            <w:r w:rsidRPr="00F07BA2">
              <w:rPr>
                <w:rFonts w:cstheme="minorHAnsi"/>
                <w:bCs/>
                <w:szCs w:val="20"/>
              </w:rPr>
              <w:t>Zhou J</w:t>
            </w:r>
            <w:r w:rsidR="00C221F9">
              <w:rPr>
                <w:rFonts w:cstheme="minorHAnsi"/>
                <w:bCs/>
                <w:szCs w:val="20"/>
              </w:rPr>
              <w:t>,</w:t>
            </w:r>
            <w:r w:rsidRPr="00F07BA2">
              <w:rPr>
                <w:rFonts w:cstheme="minorHAnsi"/>
                <w:bCs/>
                <w:szCs w:val="20"/>
              </w:rPr>
              <w:t xml:space="preserve"> et al.</w:t>
            </w:r>
            <w:r w:rsidR="00C221F9">
              <w:rPr>
                <w:rFonts w:cstheme="minorHAnsi"/>
                <w:bCs/>
                <w:szCs w:val="20"/>
              </w:rPr>
              <w:t xml:space="preserve"> ‘</w:t>
            </w:r>
            <w:r w:rsidRPr="00F07BA2">
              <w:rPr>
                <w:rFonts w:cstheme="minorHAnsi"/>
                <w:bCs/>
                <w:szCs w:val="20"/>
              </w:rPr>
              <w:t>Cost-effectiveness of transcatheter aortic valve implantation compared to surgical aortic valve replacement in the intermediate surgical risk population.</w:t>
            </w:r>
            <w:r w:rsidR="00C221F9">
              <w:rPr>
                <w:rFonts w:cstheme="minorHAnsi"/>
                <w:bCs/>
                <w:szCs w:val="20"/>
              </w:rPr>
              <w:t>’</w:t>
            </w:r>
            <w:r w:rsidRPr="00F07BA2">
              <w:rPr>
                <w:rFonts w:cstheme="minorHAnsi"/>
                <w:bCs/>
                <w:szCs w:val="20"/>
              </w:rPr>
              <w:t xml:space="preserve"> Int J Cardiol. 2019. pii: S0167-5273(19)30985-4. </w:t>
            </w:r>
          </w:p>
        </w:tc>
        <w:tc>
          <w:tcPr>
            <w:tcW w:w="1869" w:type="pct"/>
          </w:tcPr>
          <w:p w14:paraId="7E179803" w14:textId="27B4AC9D" w:rsidR="003A2D29" w:rsidRPr="00F07BA2" w:rsidRDefault="003A2D29" w:rsidP="003A2D29">
            <w:pPr>
              <w:rPr>
                <w:rFonts w:cstheme="minorHAnsi"/>
                <w:szCs w:val="20"/>
              </w:rPr>
            </w:pPr>
            <w:r w:rsidRPr="00F07BA2">
              <w:rPr>
                <w:rFonts w:cstheme="minorHAnsi"/>
                <w:bCs/>
                <w:szCs w:val="20"/>
              </w:rPr>
              <w:t>Costs and outcomes of TAVI BEV and SAVR in intermediate risk patients were compared using a Markov model. Efficacy and cost inputs were derived from the PARTNER S3i study and published sources. TAVI was dominant over SAVR: costs were $10,000 less, with 0.33 more life years and 0.31 more QALYs lived.</w:t>
            </w:r>
          </w:p>
          <w:p w14:paraId="057DE2E3" w14:textId="6210F4E8" w:rsidR="003A2D29" w:rsidRPr="00F07BA2" w:rsidRDefault="003A2D29" w:rsidP="003A2D29">
            <w:pPr>
              <w:autoSpaceDE w:val="0"/>
              <w:autoSpaceDN w:val="0"/>
              <w:adjustRightInd w:val="0"/>
              <w:spacing w:before="0" w:after="0"/>
              <w:rPr>
                <w:rFonts w:cstheme="minorHAnsi"/>
                <w:bCs/>
                <w:szCs w:val="20"/>
              </w:rPr>
            </w:pPr>
          </w:p>
        </w:tc>
        <w:tc>
          <w:tcPr>
            <w:tcW w:w="759" w:type="pct"/>
          </w:tcPr>
          <w:p w14:paraId="4975E1AD" w14:textId="2247D6CD" w:rsidR="003A2D29" w:rsidRPr="00F07BA2" w:rsidRDefault="003A2D29" w:rsidP="003A2D29">
            <w:pPr>
              <w:rPr>
                <w:rFonts w:cstheme="minorHAnsi"/>
                <w:szCs w:val="20"/>
              </w:rPr>
            </w:pPr>
            <w:r w:rsidRPr="00F07BA2">
              <w:rPr>
                <w:rFonts w:cstheme="minorHAnsi"/>
                <w:szCs w:val="20"/>
              </w:rPr>
              <w:t>https://www.ncbi.nlm.nih.gov/pubmed/31255453</w:t>
            </w:r>
          </w:p>
        </w:tc>
        <w:tc>
          <w:tcPr>
            <w:tcW w:w="403" w:type="pct"/>
          </w:tcPr>
          <w:p w14:paraId="4A5F8110" w14:textId="74C1D957" w:rsidR="003A2D29" w:rsidRPr="00F07BA2" w:rsidRDefault="003A2D29" w:rsidP="003A2D29">
            <w:pPr>
              <w:rPr>
                <w:rFonts w:cstheme="minorHAnsi"/>
                <w:szCs w:val="20"/>
              </w:rPr>
            </w:pPr>
            <w:r w:rsidRPr="00F07BA2">
              <w:rPr>
                <w:rFonts w:cstheme="minorHAnsi"/>
                <w:szCs w:val="20"/>
              </w:rPr>
              <w:t>June 2019</w:t>
            </w:r>
          </w:p>
        </w:tc>
      </w:tr>
      <w:tr w:rsidR="00E107DC" w14:paraId="0329E18D" w14:textId="77777777" w:rsidTr="00B71323">
        <w:trPr>
          <w:cantSplit/>
        </w:trPr>
        <w:tc>
          <w:tcPr>
            <w:tcW w:w="169" w:type="pct"/>
          </w:tcPr>
          <w:p w14:paraId="58A8697F" w14:textId="73B98463" w:rsidR="00E107DC" w:rsidRPr="003A2D29" w:rsidRDefault="00E107DC" w:rsidP="00E107DC">
            <w:pPr>
              <w:rPr>
                <w:rFonts w:cstheme="minorHAnsi"/>
                <w:szCs w:val="20"/>
              </w:rPr>
            </w:pPr>
            <w:r>
              <w:rPr>
                <w:rFonts w:cstheme="minorHAnsi"/>
                <w:szCs w:val="20"/>
              </w:rPr>
              <w:lastRenderedPageBreak/>
              <w:t>6.</w:t>
            </w:r>
          </w:p>
        </w:tc>
        <w:tc>
          <w:tcPr>
            <w:tcW w:w="638" w:type="pct"/>
          </w:tcPr>
          <w:p w14:paraId="4FE41AFB" w14:textId="221F18F2" w:rsidR="00E107DC" w:rsidRPr="003A2D29" w:rsidRDefault="00E107DC" w:rsidP="00E107DC">
            <w:pPr>
              <w:rPr>
                <w:rFonts w:cstheme="minorHAnsi"/>
                <w:bCs/>
                <w:szCs w:val="20"/>
              </w:rPr>
            </w:pPr>
            <w:r w:rsidRPr="00225768">
              <w:rPr>
                <w:szCs w:val="20"/>
              </w:rPr>
              <w:t>Cost</w:t>
            </w:r>
            <w:r>
              <w:rPr>
                <w:szCs w:val="20"/>
              </w:rPr>
              <w:t>-</w:t>
            </w:r>
            <w:r w:rsidRPr="00225768">
              <w:rPr>
                <w:szCs w:val="20"/>
              </w:rPr>
              <w:t>effectiveness analysis</w:t>
            </w:r>
          </w:p>
        </w:tc>
        <w:tc>
          <w:tcPr>
            <w:tcW w:w="1162" w:type="pct"/>
          </w:tcPr>
          <w:p w14:paraId="7CEBF3F5" w14:textId="28DD2343" w:rsidR="00E107DC" w:rsidRPr="00F07BA2" w:rsidRDefault="00E107DC" w:rsidP="00E107DC">
            <w:pPr>
              <w:rPr>
                <w:rFonts w:cstheme="minorHAnsi"/>
                <w:bCs/>
                <w:szCs w:val="20"/>
              </w:rPr>
            </w:pPr>
            <w:r>
              <w:rPr>
                <w:rFonts w:ascii="Segoe UI" w:hAnsi="Segoe UI" w:cs="Segoe UI"/>
                <w:sz w:val="18"/>
                <w:szCs w:val="18"/>
                <w:lang w:val="en-US"/>
              </w:rPr>
              <w:t>Baron S.J</w:t>
            </w:r>
            <w:r w:rsidRPr="00A42488">
              <w:rPr>
                <w:rFonts w:ascii="Segoe UI" w:hAnsi="Segoe UI" w:cs="Segoe UI"/>
                <w:sz w:val="18"/>
                <w:szCs w:val="18"/>
                <w:lang w:val="en-US"/>
              </w:rPr>
              <w:t xml:space="preserve">. </w:t>
            </w:r>
            <w:r>
              <w:rPr>
                <w:rFonts w:ascii="Segoe UI" w:hAnsi="Segoe UI" w:cs="Segoe UI"/>
                <w:sz w:val="18"/>
                <w:szCs w:val="18"/>
                <w:lang w:val="en-US"/>
              </w:rPr>
              <w:t>‘</w:t>
            </w:r>
            <w:r w:rsidRPr="00A42488">
              <w:rPr>
                <w:rFonts w:ascii="Segoe UI" w:hAnsi="Segoe UI" w:cs="Segoe UI"/>
                <w:sz w:val="18"/>
                <w:szCs w:val="18"/>
                <w:lang w:val="en-US"/>
              </w:rPr>
              <w:t>Cost-effectiveness of transcatheter vs. surgical aorti</w:t>
            </w:r>
            <w:r>
              <w:rPr>
                <w:rFonts w:ascii="Segoe UI" w:hAnsi="Segoe UI" w:cs="Segoe UI"/>
                <w:sz w:val="18"/>
                <w:szCs w:val="18"/>
                <w:lang w:val="en-US"/>
              </w:rPr>
              <w:t>c</w:t>
            </w:r>
            <w:r w:rsidRPr="00A42488">
              <w:rPr>
                <w:rFonts w:ascii="Segoe UI" w:hAnsi="Segoe UI" w:cs="Segoe UI"/>
                <w:sz w:val="18"/>
                <w:szCs w:val="18"/>
                <w:lang w:val="en-US"/>
              </w:rPr>
              <w:t xml:space="preserve"> valve replacement in intermediate risk patients. Results from the PARTNER 2A and SAPIEN 3 intermediate risk trials.</w:t>
            </w:r>
            <w:r>
              <w:rPr>
                <w:rFonts w:ascii="Segoe UI" w:hAnsi="Segoe UI" w:cs="Segoe UI"/>
                <w:sz w:val="18"/>
                <w:szCs w:val="18"/>
                <w:lang w:val="en-US"/>
              </w:rPr>
              <w:t>’</w:t>
            </w:r>
          </w:p>
        </w:tc>
        <w:tc>
          <w:tcPr>
            <w:tcW w:w="1869" w:type="pct"/>
          </w:tcPr>
          <w:p w14:paraId="02FB09F9" w14:textId="686398FB" w:rsidR="00E107DC" w:rsidRPr="00F07BA2" w:rsidRDefault="00E107DC" w:rsidP="00E107DC">
            <w:pPr>
              <w:rPr>
                <w:rFonts w:cstheme="minorHAnsi"/>
                <w:bCs/>
                <w:szCs w:val="20"/>
              </w:rPr>
            </w:pPr>
            <w:r>
              <w:t xml:space="preserve">Decision analysis comparing costs and outcomes among intermediate risk patients undergoing TAVI and SAVR. Data inputs from published studies. </w:t>
            </w:r>
            <w:r w:rsidRPr="00BC4DE3">
              <w:rPr>
                <w:szCs w:val="20"/>
              </w:rPr>
              <w:t xml:space="preserve">  </w:t>
            </w:r>
          </w:p>
        </w:tc>
        <w:tc>
          <w:tcPr>
            <w:tcW w:w="759" w:type="pct"/>
          </w:tcPr>
          <w:p w14:paraId="73BA549E" w14:textId="6A5E4703" w:rsidR="00E107DC" w:rsidRPr="00F07BA2" w:rsidRDefault="003F4F1C" w:rsidP="003F4F1C">
            <w:pPr>
              <w:rPr>
                <w:rFonts w:cstheme="minorHAnsi"/>
                <w:szCs w:val="20"/>
              </w:rPr>
            </w:pPr>
            <w:r w:rsidRPr="003F4F1C">
              <w:t>www.ncbi.nlm.nih.gov/pubmed/30586747</w:t>
            </w:r>
          </w:p>
        </w:tc>
        <w:tc>
          <w:tcPr>
            <w:tcW w:w="403" w:type="pct"/>
          </w:tcPr>
          <w:p w14:paraId="4E4D3653" w14:textId="368388B5" w:rsidR="00E107DC" w:rsidRPr="00F07BA2" w:rsidRDefault="00E107DC" w:rsidP="00E107DC">
            <w:pPr>
              <w:rPr>
                <w:rFonts w:cstheme="minorHAnsi"/>
                <w:szCs w:val="20"/>
              </w:rPr>
            </w:pPr>
            <w:r>
              <w:rPr>
                <w:szCs w:val="20"/>
              </w:rPr>
              <w:t>February</w:t>
            </w:r>
            <w:r w:rsidRPr="00225768">
              <w:rPr>
                <w:szCs w:val="20"/>
              </w:rPr>
              <w:t xml:space="preserve"> 201</w:t>
            </w:r>
            <w:r>
              <w:rPr>
                <w:szCs w:val="20"/>
              </w:rPr>
              <w:t>9</w:t>
            </w:r>
          </w:p>
        </w:tc>
      </w:tr>
    </w:tbl>
    <w:p w14:paraId="31994DF1"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614FE333"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087486A2" w14:textId="77777777" w:rsidR="00E107DC" w:rsidRDefault="00DD308E" w:rsidP="00181B4B">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404552A2" w14:textId="5F8B6CA3" w:rsidR="00DD308E" w:rsidRDefault="00DD308E" w:rsidP="00181B4B">
      <w:pPr>
        <w:spacing w:after="0"/>
        <w:ind w:left="426"/>
        <w:rPr>
          <w:i/>
          <w:szCs w:val="20"/>
        </w:rPr>
      </w:pPr>
    </w:p>
    <w:p w14:paraId="4C3BBB65" w14:textId="77777777" w:rsidR="004C49EF" w:rsidRDefault="004C49EF" w:rsidP="00530204">
      <w:pPr>
        <w:pStyle w:val="Heading2"/>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5F613003" w14:textId="19C91377" w:rsidR="004C49EF" w:rsidRPr="00E107DC" w:rsidRDefault="00E107DC" w:rsidP="004C49EF">
      <w:pPr>
        <w:spacing w:after="0"/>
        <w:ind w:left="426"/>
        <w:rPr>
          <w:iCs/>
          <w:szCs w:val="20"/>
        </w:rPr>
      </w:pPr>
      <w:r w:rsidRPr="00E107DC">
        <w:rPr>
          <w:iCs/>
          <w:szCs w:val="20"/>
        </w:rPr>
        <w:t>Not applicable</w:t>
      </w:r>
    </w:p>
    <w:p w14:paraId="2E7BC087"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5C95C1EC"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783D747D"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227621ED" w14:textId="3C4E41D1" w:rsidR="00DA1FCB" w:rsidRPr="00A727B6" w:rsidRDefault="00DA1FCB" w:rsidP="00A33DAC">
      <w:pPr>
        <w:ind w:left="426"/>
      </w:pPr>
      <w:r>
        <w:t>Cardiac Society of Australi</w:t>
      </w:r>
      <w:r w:rsidR="00A33DAC">
        <w:t>a</w:t>
      </w:r>
      <w:r>
        <w:t xml:space="preserve"> and New Zealand (CSANZ)</w:t>
      </w:r>
    </w:p>
    <w:p w14:paraId="7F45B0B6"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2F9930DA" w14:textId="055625E4" w:rsidR="00EA173C" w:rsidRDefault="00DA1FCB" w:rsidP="00A727B6">
      <w:pPr>
        <w:ind w:left="426"/>
      </w:pPr>
      <w:r w:rsidRPr="00DA1FCB">
        <w:t>Australian and New Zealand Society of Cardiac and Thoracic Surgeons</w:t>
      </w:r>
    </w:p>
    <w:p w14:paraId="49D0BEC7" w14:textId="6C373640" w:rsidR="00001DAD" w:rsidRPr="00A727B6" w:rsidRDefault="00001DAD" w:rsidP="00001DAD">
      <w:pPr>
        <w:ind w:left="426"/>
      </w:pPr>
      <w:r>
        <w:t>Cardiac Society of Australi</w:t>
      </w:r>
      <w:r w:rsidR="00325F61">
        <w:t>a</w:t>
      </w:r>
      <w:r>
        <w:t xml:space="preserve"> and New Zealand (CSANZ)</w:t>
      </w:r>
    </w:p>
    <w:p w14:paraId="54F843EA" w14:textId="77777777" w:rsidR="0049398A" w:rsidRDefault="0049398A" w:rsidP="00A727B6">
      <w:pPr>
        <w:ind w:left="426"/>
      </w:pPr>
    </w:p>
    <w:p w14:paraId="22F3E30E" w14:textId="558EEBB5" w:rsidR="00E82F54" w:rsidRDefault="00E82F54" w:rsidP="00530204">
      <w:pPr>
        <w:pStyle w:val="Heading2"/>
      </w:pPr>
      <w:r w:rsidRPr="008310E2">
        <w:t>List the relevant consumer organisations relevant to the proposed medical service</w:t>
      </w:r>
      <w:r w:rsidR="00C12C5C" w:rsidRPr="008310E2">
        <w:t xml:space="preserve"> (please attach a letter of support for each consumer organisation nominated)</w:t>
      </w:r>
      <w:r w:rsidR="00197D29" w:rsidRPr="008310E2">
        <w:t>:</w:t>
      </w:r>
    </w:p>
    <w:p w14:paraId="66F56F5E" w14:textId="08397B0C" w:rsidR="00001DAD" w:rsidRPr="00001DAD" w:rsidRDefault="00001DAD" w:rsidP="00157381">
      <w:pPr>
        <w:ind w:left="360"/>
      </w:pPr>
      <w:r w:rsidRPr="009D7137">
        <w:t>Consumer Health Forum</w:t>
      </w:r>
    </w:p>
    <w:p w14:paraId="7FFB502D"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43113869" w14:textId="77777777" w:rsidR="00225768" w:rsidRDefault="00225768" w:rsidP="00EE6450">
      <w:pPr>
        <w:ind w:left="426"/>
      </w:pPr>
    </w:p>
    <w:p w14:paraId="17EC1D07" w14:textId="77777777" w:rsidR="00E82F54" w:rsidRPr="008310E2" w:rsidRDefault="00E82F54" w:rsidP="00530204">
      <w:pPr>
        <w:pStyle w:val="Heading2"/>
      </w:pPr>
      <w:r w:rsidRPr="008310E2">
        <w:t>Nominate two experts who could be approached about the proposed medical service and the current clinical management of the service(s):</w:t>
      </w:r>
    </w:p>
    <w:p w14:paraId="58225CE0" w14:textId="77777777" w:rsidR="00A96329" w:rsidRPr="008310E2" w:rsidRDefault="00A96329" w:rsidP="00A96329"/>
    <w:p w14:paraId="3951D438" w14:textId="453AB970" w:rsidR="00987ABE" w:rsidRPr="00CF5DB5" w:rsidRDefault="00987ABE" w:rsidP="00987ABE">
      <w:pPr>
        <w:ind w:left="426"/>
        <w:rPr>
          <w:szCs w:val="20"/>
        </w:rPr>
      </w:pPr>
      <w:r w:rsidRPr="008310E2">
        <w:rPr>
          <w:szCs w:val="20"/>
        </w:rPr>
        <w:t xml:space="preserve">Name of expert 1: </w:t>
      </w:r>
      <w:r w:rsidR="00CF5DB5">
        <w:t>redacted</w:t>
      </w:r>
    </w:p>
    <w:p w14:paraId="13472FD4" w14:textId="78E8D49A" w:rsidR="00987ABE" w:rsidRPr="00CF5DB5" w:rsidRDefault="00987ABE" w:rsidP="00987ABE">
      <w:pPr>
        <w:ind w:left="426"/>
        <w:rPr>
          <w:szCs w:val="20"/>
        </w:rPr>
      </w:pPr>
      <w:r w:rsidRPr="00CF5DB5">
        <w:rPr>
          <w:szCs w:val="20"/>
        </w:rPr>
        <w:t xml:space="preserve">Telephone number(s): </w:t>
      </w:r>
      <w:r w:rsidR="00CF5DB5">
        <w:t>redacted</w:t>
      </w:r>
    </w:p>
    <w:p w14:paraId="2D02966F" w14:textId="17310CC3" w:rsidR="00987ABE" w:rsidRPr="00CF5DB5" w:rsidRDefault="00987ABE" w:rsidP="00987ABE">
      <w:pPr>
        <w:ind w:left="426"/>
        <w:rPr>
          <w:szCs w:val="20"/>
        </w:rPr>
      </w:pPr>
      <w:r w:rsidRPr="00CF5DB5">
        <w:rPr>
          <w:szCs w:val="20"/>
        </w:rPr>
        <w:t xml:space="preserve">Email address: </w:t>
      </w:r>
      <w:r w:rsidR="00CF5DB5">
        <w:t>redacted</w:t>
      </w:r>
    </w:p>
    <w:p w14:paraId="5751DF90" w14:textId="4FC34F35" w:rsidR="00987ABE" w:rsidRPr="003F4F1B" w:rsidRDefault="00987ABE" w:rsidP="00987ABE">
      <w:pPr>
        <w:ind w:left="426"/>
        <w:rPr>
          <w:szCs w:val="20"/>
        </w:rPr>
      </w:pPr>
      <w:r w:rsidRPr="00CF5DB5">
        <w:rPr>
          <w:szCs w:val="20"/>
        </w:rPr>
        <w:t xml:space="preserve">Justification of expertise: </w:t>
      </w:r>
      <w:r w:rsidR="00CF5DB5">
        <w:t>redacted</w:t>
      </w:r>
    </w:p>
    <w:p w14:paraId="7AFA7CD6" w14:textId="77777777" w:rsidR="00987ABE" w:rsidRPr="003F4F1B" w:rsidRDefault="00987ABE" w:rsidP="00987ABE">
      <w:pPr>
        <w:ind w:left="426"/>
        <w:rPr>
          <w:szCs w:val="20"/>
        </w:rPr>
      </w:pPr>
    </w:p>
    <w:p w14:paraId="769422A9" w14:textId="5B0F6F62" w:rsidR="00987ABE" w:rsidRPr="00CF5DB5" w:rsidRDefault="00987ABE" w:rsidP="00987ABE">
      <w:pPr>
        <w:ind w:left="426"/>
        <w:rPr>
          <w:szCs w:val="20"/>
        </w:rPr>
      </w:pPr>
      <w:r w:rsidRPr="003F4F1B">
        <w:rPr>
          <w:szCs w:val="20"/>
        </w:rPr>
        <w:t xml:space="preserve">Name of expert 2: </w:t>
      </w:r>
      <w:r w:rsidR="00CF5DB5">
        <w:t>redacted</w:t>
      </w:r>
    </w:p>
    <w:p w14:paraId="2C02B697" w14:textId="7A30F683" w:rsidR="00987ABE" w:rsidRPr="00CF5DB5" w:rsidRDefault="00987ABE" w:rsidP="00987ABE">
      <w:pPr>
        <w:ind w:left="426"/>
        <w:rPr>
          <w:szCs w:val="20"/>
        </w:rPr>
      </w:pPr>
      <w:r w:rsidRPr="00CF5DB5">
        <w:rPr>
          <w:szCs w:val="20"/>
        </w:rPr>
        <w:t xml:space="preserve">Telephone number(s): </w:t>
      </w:r>
      <w:r w:rsidR="00CF5DB5">
        <w:t>redacted</w:t>
      </w:r>
    </w:p>
    <w:p w14:paraId="7F2388CE" w14:textId="436DFFB8" w:rsidR="00987ABE" w:rsidRPr="00CF5DB5" w:rsidRDefault="00987ABE" w:rsidP="00987ABE">
      <w:pPr>
        <w:ind w:left="426"/>
        <w:rPr>
          <w:szCs w:val="20"/>
        </w:rPr>
      </w:pPr>
      <w:r w:rsidRPr="00CF5DB5">
        <w:rPr>
          <w:szCs w:val="20"/>
        </w:rPr>
        <w:t xml:space="preserve">Email address: </w:t>
      </w:r>
      <w:r w:rsidR="00CF5DB5">
        <w:t>redacted</w:t>
      </w:r>
    </w:p>
    <w:p w14:paraId="114451C2" w14:textId="44788C33" w:rsidR="00E82F54" w:rsidRPr="003F4F1B" w:rsidRDefault="00987ABE" w:rsidP="00987ABE">
      <w:pPr>
        <w:ind w:left="426"/>
        <w:rPr>
          <w:szCs w:val="20"/>
        </w:rPr>
      </w:pPr>
      <w:r w:rsidRPr="00CF5DB5">
        <w:rPr>
          <w:szCs w:val="20"/>
        </w:rPr>
        <w:t xml:space="preserve">Justification of expertise: </w:t>
      </w:r>
      <w:r w:rsidR="00890F04">
        <w:t>redacted</w:t>
      </w:r>
    </w:p>
    <w:p w14:paraId="050129F7" w14:textId="77777777" w:rsidR="00987ABE" w:rsidRPr="003F4F1B" w:rsidRDefault="00987ABE" w:rsidP="00E82F54">
      <w:pPr>
        <w:ind w:left="426"/>
        <w:rPr>
          <w:i/>
          <w:szCs w:val="20"/>
        </w:rPr>
      </w:pPr>
    </w:p>
    <w:p w14:paraId="18B39BD6" w14:textId="77777777" w:rsidR="00E82F54" w:rsidRPr="00154B00" w:rsidRDefault="00E82F54" w:rsidP="00E82F54">
      <w:pPr>
        <w:ind w:left="426"/>
        <w:rPr>
          <w:i/>
          <w:szCs w:val="20"/>
        </w:rPr>
      </w:pPr>
      <w:r w:rsidRPr="003F4F1B">
        <w:rPr>
          <w:i/>
          <w:szCs w:val="20"/>
        </w:rPr>
        <w:t>Please note that the Department may also consult with other referrers, proceduralists and disease specialists to obtain their insight.</w:t>
      </w:r>
    </w:p>
    <w:p w14:paraId="3D6E0F93" w14:textId="77777777" w:rsidR="003433D1" w:rsidRDefault="003433D1">
      <w:pPr>
        <w:rPr>
          <w:b/>
          <w:sz w:val="32"/>
          <w:szCs w:val="32"/>
        </w:rPr>
      </w:pPr>
      <w:r>
        <w:rPr>
          <w:b/>
          <w:sz w:val="32"/>
          <w:szCs w:val="32"/>
        </w:rPr>
        <w:br w:type="page"/>
      </w:r>
    </w:p>
    <w:p w14:paraId="42584209"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4EEA1F9F" w14:textId="77777777" w:rsidR="0021185D" w:rsidRPr="005C3AE7" w:rsidRDefault="005C3AE7" w:rsidP="005C3AE7">
      <w:pPr>
        <w:pStyle w:val="Subtitle"/>
      </w:pPr>
      <w:r w:rsidRPr="005C3AE7">
        <w:t xml:space="preserve">PART 6a – </w:t>
      </w:r>
      <w:r w:rsidR="0021185D" w:rsidRPr="005C3AE7">
        <w:t>INFORMATION ABOUT THE PROPOSED POPULATION</w:t>
      </w:r>
    </w:p>
    <w:p w14:paraId="06CBF420"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1DB383A6" w14:textId="025AB828" w:rsidR="004F2A9D" w:rsidRDefault="004E32C5" w:rsidP="00E910F2">
      <w:pPr>
        <w:ind w:left="426"/>
        <w:rPr>
          <w:szCs w:val="20"/>
        </w:rPr>
      </w:pPr>
      <w:r>
        <w:rPr>
          <w:szCs w:val="20"/>
        </w:rPr>
        <w:t>Aortic stenosis (AS) is one of the most common and serious valve disease</w:t>
      </w:r>
      <w:r w:rsidR="005A7926">
        <w:rPr>
          <w:szCs w:val="20"/>
        </w:rPr>
        <w:t>s</w:t>
      </w:r>
      <w:r>
        <w:rPr>
          <w:szCs w:val="20"/>
        </w:rPr>
        <w:t xml:space="preserve">. </w:t>
      </w:r>
      <w:r w:rsidR="005A7926">
        <w:rPr>
          <w:szCs w:val="20"/>
        </w:rPr>
        <w:t xml:space="preserve">It is characterised by </w:t>
      </w:r>
      <w:r>
        <w:rPr>
          <w:szCs w:val="20"/>
        </w:rPr>
        <w:t>a narrowing of the aortic valve opening</w:t>
      </w:r>
      <w:r w:rsidR="005A7926">
        <w:rPr>
          <w:szCs w:val="20"/>
        </w:rPr>
        <w:t xml:space="preserve">, which </w:t>
      </w:r>
      <w:r>
        <w:rPr>
          <w:szCs w:val="20"/>
        </w:rPr>
        <w:t xml:space="preserve">restricts blood flow from the left ventricle to the aorta </w:t>
      </w:r>
      <w:r w:rsidR="005A7926">
        <w:rPr>
          <w:szCs w:val="20"/>
        </w:rPr>
        <w:t xml:space="preserve">and causes </w:t>
      </w:r>
      <w:r w:rsidR="004F2A9D">
        <w:rPr>
          <w:szCs w:val="20"/>
        </w:rPr>
        <w:t>pressure build-up in the left ventricle and consequent left ventricular hypertrophy</w:t>
      </w:r>
      <w:r>
        <w:rPr>
          <w:szCs w:val="20"/>
        </w:rPr>
        <w:t xml:space="preserve">. </w:t>
      </w:r>
      <w:r w:rsidR="004F2A9D">
        <w:rPr>
          <w:szCs w:val="20"/>
        </w:rPr>
        <w:t xml:space="preserve">Furthermore, </w:t>
      </w:r>
      <w:r w:rsidR="004F2A9D">
        <w:t>s</w:t>
      </w:r>
      <w:r w:rsidR="004F2A9D" w:rsidRPr="00225768">
        <w:t xml:space="preserve">tenotic </w:t>
      </w:r>
      <w:r w:rsidR="004F2A9D">
        <w:t xml:space="preserve">aortic </w:t>
      </w:r>
      <w:r w:rsidR="004F2A9D" w:rsidRPr="00225768">
        <w:t>valves may not close fully</w:t>
      </w:r>
      <w:r w:rsidR="004F2A9D">
        <w:t>,</w:t>
      </w:r>
      <w:r w:rsidR="004F2A9D" w:rsidRPr="00225768">
        <w:t xml:space="preserve"> resulting in regurgitation back into the left ventricle.  </w:t>
      </w:r>
    </w:p>
    <w:p w14:paraId="59612F8A" w14:textId="08E8732A" w:rsidR="002A6753" w:rsidRDefault="004F2A9D" w:rsidP="00F121AE">
      <w:pPr>
        <w:ind w:left="426"/>
        <w:rPr>
          <w:szCs w:val="20"/>
        </w:rPr>
      </w:pPr>
      <w:r>
        <w:rPr>
          <w:szCs w:val="20"/>
        </w:rPr>
        <w:t xml:space="preserve">The most common cause of AS is age-related calcification of the aortic valve. Less common causes are congenital </w:t>
      </w:r>
      <w:r w:rsidR="004E32C5">
        <w:rPr>
          <w:szCs w:val="20"/>
        </w:rPr>
        <w:t>bicuspid aortic valve</w:t>
      </w:r>
      <w:r>
        <w:rPr>
          <w:szCs w:val="20"/>
        </w:rPr>
        <w:t>s and rheumatic heart disease.</w:t>
      </w:r>
      <w:r w:rsidR="004E32C5">
        <w:rPr>
          <w:szCs w:val="20"/>
        </w:rPr>
        <w:t xml:space="preserve"> </w:t>
      </w:r>
      <w:r>
        <w:rPr>
          <w:szCs w:val="20"/>
        </w:rPr>
        <w:t xml:space="preserve">Other than calcification, the pathophysiological features of </w:t>
      </w:r>
      <w:r w:rsidR="001A7815">
        <w:rPr>
          <w:szCs w:val="20"/>
        </w:rPr>
        <w:t>AS</w:t>
      </w:r>
      <w:r>
        <w:rPr>
          <w:szCs w:val="20"/>
        </w:rPr>
        <w:t xml:space="preserve"> are</w:t>
      </w:r>
      <w:r w:rsidR="001A7815">
        <w:rPr>
          <w:szCs w:val="20"/>
        </w:rPr>
        <w:t xml:space="preserve"> inflammation, lipid accumulation </w:t>
      </w:r>
      <w:r>
        <w:rPr>
          <w:szCs w:val="20"/>
        </w:rPr>
        <w:t>and</w:t>
      </w:r>
      <w:r w:rsidR="001A7815">
        <w:rPr>
          <w:szCs w:val="20"/>
        </w:rPr>
        <w:t xml:space="preserve"> subendothelial thickening</w:t>
      </w:r>
      <w:r w:rsidR="009B6B81">
        <w:rPr>
          <w:szCs w:val="20"/>
        </w:rPr>
        <w:t>.</w:t>
      </w:r>
      <w:r w:rsidR="001A7815">
        <w:rPr>
          <w:rStyle w:val="FootnoteReference"/>
          <w:szCs w:val="20"/>
        </w:rPr>
        <w:footnoteReference w:id="1"/>
      </w:r>
    </w:p>
    <w:p w14:paraId="723AC0EC" w14:textId="0D520A2A" w:rsidR="00F91FBC" w:rsidRDefault="00890A19" w:rsidP="00FD2E15">
      <w:pPr>
        <w:pStyle w:val="Heading2"/>
        <w:numPr>
          <w:ilvl w:val="0"/>
          <w:numId w:val="0"/>
        </w:numPr>
        <w:ind w:left="426"/>
        <w:rPr>
          <w:b w:val="0"/>
        </w:rPr>
      </w:pPr>
      <w:r w:rsidRPr="00F91FBC">
        <w:rPr>
          <w:b w:val="0"/>
        </w:rPr>
        <w:t xml:space="preserve">AS is a progressive disease that is asymptomatic </w:t>
      </w:r>
      <w:r w:rsidR="0012666E" w:rsidRPr="00F91FBC">
        <w:rPr>
          <w:b w:val="0"/>
        </w:rPr>
        <w:t xml:space="preserve">until late stages. </w:t>
      </w:r>
      <w:r w:rsidR="00753EA1" w:rsidRPr="00F91FBC">
        <w:rPr>
          <w:b w:val="0"/>
        </w:rPr>
        <w:t>Symptomatic severe AS is classified as Stage D AS</w:t>
      </w:r>
      <w:r w:rsidR="00631ED4">
        <w:rPr>
          <w:b w:val="0"/>
        </w:rPr>
        <w:t xml:space="preserve">, and has the following features: </w:t>
      </w:r>
      <w:r w:rsidR="00753EA1" w:rsidRPr="00F91FBC">
        <w:rPr>
          <w:b w:val="0"/>
        </w:rPr>
        <w:t xml:space="preserve">symptoms </w:t>
      </w:r>
      <w:r w:rsidR="00631ED4">
        <w:rPr>
          <w:b w:val="0"/>
        </w:rPr>
        <w:t>(see below</w:t>
      </w:r>
      <w:r w:rsidR="00753EA1" w:rsidRPr="00F91FBC">
        <w:rPr>
          <w:b w:val="0"/>
        </w:rPr>
        <w:t>)</w:t>
      </w:r>
      <w:r w:rsidR="00631ED4">
        <w:rPr>
          <w:b w:val="0"/>
        </w:rPr>
        <w:t>;</w:t>
      </w:r>
      <w:r w:rsidR="00753EA1" w:rsidRPr="00F91FBC">
        <w:rPr>
          <w:b w:val="0"/>
        </w:rPr>
        <w:t xml:space="preserve"> calcified valve leaflets with reduced opening</w:t>
      </w:r>
      <w:r w:rsidR="00631ED4">
        <w:rPr>
          <w:b w:val="0"/>
        </w:rPr>
        <w:t>;</w:t>
      </w:r>
      <w:r w:rsidR="00753EA1" w:rsidRPr="00F91FBC">
        <w:rPr>
          <w:b w:val="0"/>
        </w:rPr>
        <w:t xml:space="preserve"> jet velocity (V</w:t>
      </w:r>
      <w:r w:rsidR="00753EA1" w:rsidRPr="00F91FBC">
        <w:rPr>
          <w:b w:val="0"/>
          <w:vertAlign w:val="subscript"/>
        </w:rPr>
        <w:t>max</w:t>
      </w:r>
      <w:r w:rsidR="00753EA1" w:rsidRPr="00F91FBC">
        <w:rPr>
          <w:b w:val="0"/>
        </w:rPr>
        <w:t>) ≥4 m/s</w:t>
      </w:r>
      <w:r w:rsidR="00631ED4">
        <w:rPr>
          <w:b w:val="0"/>
        </w:rPr>
        <w:t>;</w:t>
      </w:r>
      <w:r w:rsidR="00753EA1" w:rsidRPr="00F91FBC">
        <w:rPr>
          <w:b w:val="0"/>
        </w:rPr>
        <w:t xml:space="preserve"> and mean gradient ≥40 mm Hg. Variations in valve h</w:t>
      </w:r>
      <w:r w:rsidR="003F4F1B" w:rsidRPr="00F91FBC">
        <w:rPr>
          <w:b w:val="0"/>
        </w:rPr>
        <w:t>a</w:t>
      </w:r>
      <w:r w:rsidR="00753EA1" w:rsidRPr="00F91FBC">
        <w:rPr>
          <w:b w:val="0"/>
        </w:rPr>
        <w:t>emodynamics and the presence of symptoms are used to further subclassify symptomatic severe AS</w:t>
      </w:r>
      <w:r w:rsidR="00E93203" w:rsidRPr="00F91FBC">
        <w:rPr>
          <w:b w:val="0"/>
        </w:rPr>
        <w:t>.</w:t>
      </w:r>
      <w:r w:rsidR="00E93203" w:rsidRPr="00F91FBC">
        <w:rPr>
          <w:b w:val="0"/>
          <w:vertAlign w:val="superscript"/>
        </w:rPr>
        <w:t>2</w:t>
      </w:r>
      <w:r w:rsidR="00753EA1" w:rsidRPr="00225768">
        <w:rPr>
          <w:b w:val="0"/>
        </w:rPr>
        <w:t xml:space="preserve"> </w:t>
      </w:r>
      <w:r w:rsidR="0012666E" w:rsidRPr="00F91FBC">
        <w:rPr>
          <w:b w:val="0"/>
        </w:rPr>
        <w:t>Symptoms</w:t>
      </w:r>
      <w:r w:rsidR="00631ED4">
        <w:rPr>
          <w:b w:val="0"/>
        </w:rPr>
        <w:t xml:space="preserve"> of AS</w:t>
      </w:r>
      <w:r w:rsidR="0012666E" w:rsidRPr="00F91FBC">
        <w:rPr>
          <w:b w:val="0"/>
        </w:rPr>
        <w:t xml:space="preserve"> include exertional dyspn</w:t>
      </w:r>
      <w:r w:rsidR="00521519" w:rsidRPr="00F91FBC">
        <w:rPr>
          <w:b w:val="0"/>
        </w:rPr>
        <w:t>o</w:t>
      </w:r>
      <w:r w:rsidR="0012666E" w:rsidRPr="00F91FBC">
        <w:rPr>
          <w:b w:val="0"/>
        </w:rPr>
        <w:t>ea</w:t>
      </w:r>
      <w:r w:rsidR="00631ED4">
        <w:rPr>
          <w:b w:val="0"/>
        </w:rPr>
        <w:t>,</w:t>
      </w:r>
      <w:r w:rsidR="0012666E" w:rsidRPr="00F91FBC">
        <w:rPr>
          <w:b w:val="0"/>
        </w:rPr>
        <w:t xml:space="preserve"> decreased exercise tolerance, exertional angina</w:t>
      </w:r>
      <w:r w:rsidR="00631ED4">
        <w:rPr>
          <w:b w:val="0"/>
        </w:rPr>
        <w:t xml:space="preserve"> and</w:t>
      </w:r>
      <w:r w:rsidR="0012666E" w:rsidRPr="00F91FBC">
        <w:rPr>
          <w:b w:val="0"/>
        </w:rPr>
        <w:t xml:space="preserve"> exertional syncope or presyncope. Left untreated</w:t>
      </w:r>
      <w:r w:rsidR="00631ED4">
        <w:rPr>
          <w:b w:val="0"/>
        </w:rPr>
        <w:t>,</w:t>
      </w:r>
      <w:r w:rsidR="0012666E" w:rsidRPr="00F91FBC">
        <w:rPr>
          <w:b w:val="0"/>
        </w:rPr>
        <w:t xml:space="preserve"> patients will</w:t>
      </w:r>
      <w:r w:rsidR="00631ED4">
        <w:rPr>
          <w:b w:val="0"/>
        </w:rPr>
        <w:t xml:space="preserve"> progress to</w:t>
      </w:r>
      <w:r w:rsidR="0012666E" w:rsidRPr="00F91FBC">
        <w:rPr>
          <w:b w:val="0"/>
        </w:rPr>
        <w:t xml:space="preserve"> heart failure.</w:t>
      </w:r>
      <w:r w:rsidR="0012666E" w:rsidRPr="00F91FBC">
        <w:rPr>
          <w:rStyle w:val="FootnoteReference"/>
          <w:b w:val="0"/>
        </w:rPr>
        <w:footnoteReference w:id="2"/>
      </w:r>
      <w:r w:rsidR="00F94EBD" w:rsidRPr="00F91FBC">
        <w:rPr>
          <w:b w:val="0"/>
        </w:rPr>
        <w:t xml:space="preserve"> </w:t>
      </w:r>
      <w:r w:rsidR="00CD76A3" w:rsidRPr="00F91FBC">
        <w:rPr>
          <w:b w:val="0"/>
        </w:rPr>
        <w:t>Patients are then at high risk for sudden death. Prognosis is poor once there is a mean aortic valve gradient greater than 40mm</w:t>
      </w:r>
      <w:r w:rsidR="00FD2E15">
        <w:rPr>
          <w:b w:val="0"/>
        </w:rPr>
        <w:t>H</w:t>
      </w:r>
      <w:r w:rsidR="00CD76A3" w:rsidRPr="00F91FBC">
        <w:rPr>
          <w:b w:val="0"/>
        </w:rPr>
        <w:t xml:space="preserve">g. Severe AS is associated with death rates of 38%, 32% and 18% at </w:t>
      </w:r>
      <w:r w:rsidR="00631ED4">
        <w:rPr>
          <w:b w:val="0"/>
        </w:rPr>
        <w:t>one,</w:t>
      </w:r>
      <w:r w:rsidR="00CD76A3" w:rsidRPr="00F91FBC">
        <w:rPr>
          <w:b w:val="0"/>
        </w:rPr>
        <w:t xml:space="preserve"> </w:t>
      </w:r>
      <w:r w:rsidR="00631ED4">
        <w:rPr>
          <w:b w:val="0"/>
        </w:rPr>
        <w:t>five</w:t>
      </w:r>
      <w:r w:rsidR="00CD76A3" w:rsidRPr="00F91FBC">
        <w:rPr>
          <w:b w:val="0"/>
        </w:rPr>
        <w:t xml:space="preserve"> years and </w:t>
      </w:r>
      <w:r w:rsidR="00502C0A">
        <w:rPr>
          <w:b w:val="0"/>
        </w:rPr>
        <w:t>ten</w:t>
      </w:r>
      <w:r w:rsidR="00502C0A" w:rsidRPr="00F91FBC">
        <w:rPr>
          <w:b w:val="0"/>
        </w:rPr>
        <w:t xml:space="preserve"> </w:t>
      </w:r>
      <w:r w:rsidR="00CD76A3" w:rsidRPr="00F91FBC">
        <w:rPr>
          <w:b w:val="0"/>
        </w:rPr>
        <w:t>years</w:t>
      </w:r>
      <w:r w:rsidR="00631ED4">
        <w:rPr>
          <w:b w:val="0"/>
        </w:rPr>
        <w:t>,</w:t>
      </w:r>
      <w:r w:rsidR="00CD76A3" w:rsidRPr="00F91FBC">
        <w:rPr>
          <w:b w:val="0"/>
        </w:rPr>
        <w:t xml:space="preserve"> respectively</w:t>
      </w:r>
      <w:r w:rsidR="00CD76A3" w:rsidRPr="00F91FBC">
        <w:rPr>
          <w:rStyle w:val="FootnoteReference"/>
          <w:b w:val="0"/>
        </w:rPr>
        <w:footnoteReference w:id="3"/>
      </w:r>
      <w:r w:rsidR="00E93203" w:rsidRPr="00F91FBC">
        <w:rPr>
          <w:b w:val="0"/>
        </w:rPr>
        <w:t xml:space="preserve">. </w:t>
      </w:r>
      <w:r w:rsidR="00631ED4">
        <w:rPr>
          <w:b w:val="0"/>
        </w:rPr>
        <w:t>Without</w:t>
      </w:r>
      <w:r w:rsidR="00E93203" w:rsidRPr="00F91FBC">
        <w:rPr>
          <w:b w:val="0"/>
        </w:rPr>
        <w:t xml:space="preserve"> aortic valve replacement, the survival of these patients can be as low as 50% at two years and 20% at five years.</w:t>
      </w:r>
      <w:r w:rsidR="00E93203" w:rsidRPr="00F91FBC">
        <w:rPr>
          <w:rStyle w:val="FootnoteReference"/>
          <w:b w:val="0"/>
        </w:rPr>
        <w:footnoteReference w:id="4"/>
      </w:r>
    </w:p>
    <w:p w14:paraId="50370157" w14:textId="33B0CFFB" w:rsidR="00FD2E15" w:rsidRPr="00FD2E15" w:rsidRDefault="00FD2E15" w:rsidP="00157381">
      <w:pPr>
        <w:ind w:left="426"/>
      </w:pPr>
      <w:r w:rsidRPr="00FD2E15">
        <w:t xml:space="preserve">This application is relevant to patients with severe, symptomatic AS classified as being at intermediate risk of surgery. Intermediate risk is </w:t>
      </w:r>
      <w:r w:rsidR="00157381">
        <w:t xml:space="preserve">historically </w:t>
      </w:r>
      <w:r w:rsidRPr="00FD2E15">
        <w:t>defined by predicted risk of surgical mortality of 4-8% at 30 days, based on the STS</w:t>
      </w:r>
      <w:r w:rsidR="00974D2F">
        <w:t xml:space="preserve">-PROM </w:t>
      </w:r>
      <w:r w:rsidRPr="00FD2E15">
        <w:t>score.</w:t>
      </w:r>
    </w:p>
    <w:p w14:paraId="466EA2F4" w14:textId="77777777" w:rsidR="00F91FBC" w:rsidRPr="00F91FBC" w:rsidRDefault="00F91FBC" w:rsidP="00F91FBC"/>
    <w:p w14:paraId="006998A7" w14:textId="530815EB" w:rsidR="00AA5FDA" w:rsidRPr="00154B00" w:rsidRDefault="00E93203" w:rsidP="00530204">
      <w:pPr>
        <w:pStyle w:val="Heading2"/>
      </w:pPr>
      <w:r>
        <w:t xml:space="preserve"> </w:t>
      </w:r>
      <w:r w:rsidR="00AA5FDA" w:rsidRPr="00154B00">
        <w:t>Specify any characteristics of patients with the medical condition</w:t>
      </w:r>
      <w:r w:rsidR="00707D4D">
        <w:t>, or suspected of,</w:t>
      </w:r>
      <w:r w:rsidR="00AA5FDA" w:rsidRPr="00154B00">
        <w:t xml:space="preserve"> who are proposed to be eligible for the </w:t>
      </w:r>
      <w:r w:rsidR="00AA5FDA" w:rsidRPr="00DA7D0C">
        <w:t>proposed</w:t>
      </w:r>
      <w:r w:rsidR="00AA5FDA"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6E11F823" w14:textId="13ECB585" w:rsidR="00AA5FDA" w:rsidRDefault="007642F7" w:rsidP="00E357B9">
      <w:pPr>
        <w:ind w:left="426"/>
      </w:pPr>
      <w:r>
        <w:t xml:space="preserve">Patients with severe AS are typically elderly, although </w:t>
      </w:r>
      <w:r w:rsidR="00631ED4">
        <w:t xml:space="preserve">those </w:t>
      </w:r>
      <w:r>
        <w:t>with a congenital malformation of the valve</w:t>
      </w:r>
      <w:r w:rsidR="00631ED4">
        <w:t xml:space="preserve"> may present earlier</w:t>
      </w:r>
      <w:r>
        <w:t xml:space="preserve">. </w:t>
      </w:r>
      <w:r w:rsidR="00BE0ACB">
        <w:t xml:space="preserve">Patients may present </w:t>
      </w:r>
      <w:r w:rsidR="00631ED4">
        <w:t>with symptoms or be diagnosed incidentally</w:t>
      </w:r>
      <w:r w:rsidR="00BE0ACB">
        <w:t>. Regardless of presentation</w:t>
      </w:r>
      <w:r w:rsidR="00631ED4">
        <w:t>,</w:t>
      </w:r>
      <w:r w:rsidR="00BE0ACB">
        <w:t xml:space="preserve"> an echocardiograph is </w:t>
      </w:r>
      <w:r w:rsidR="00631ED4">
        <w:t>needed to</w:t>
      </w:r>
      <w:r w:rsidR="00BE0ACB">
        <w:t xml:space="preserve"> confirm the diagnosis of AS. Echocardiographic criteria for </w:t>
      </w:r>
      <w:r w:rsidR="00BE0ACB" w:rsidRPr="00225768">
        <w:rPr>
          <w:i/>
        </w:rPr>
        <w:t>severe</w:t>
      </w:r>
      <w:r w:rsidR="00BE0ACB">
        <w:t xml:space="preserve"> AS are as follows.</w:t>
      </w:r>
      <w:r w:rsidR="00811E28">
        <w:rPr>
          <w:rStyle w:val="FootnoteReference"/>
        </w:rPr>
        <w:footnoteReference w:id="5"/>
      </w:r>
    </w:p>
    <w:tbl>
      <w:tblPr>
        <w:tblStyle w:val="TableGrid"/>
        <w:tblW w:w="0" w:type="auto"/>
        <w:tblInd w:w="426" w:type="dxa"/>
        <w:tblLook w:val="04A0" w:firstRow="1" w:lastRow="0" w:firstColumn="1" w:lastColumn="0" w:noHBand="0" w:noVBand="1"/>
        <w:tblCaption w:val="Table"/>
        <w:tblDescription w:val="Table"/>
      </w:tblPr>
      <w:tblGrid>
        <w:gridCol w:w="4313"/>
        <w:gridCol w:w="4277"/>
      </w:tblGrid>
      <w:tr w:rsidR="00BE0ACB" w14:paraId="4FB86951" w14:textId="77777777" w:rsidTr="003F4F1C">
        <w:trPr>
          <w:tblHeader/>
        </w:trPr>
        <w:tc>
          <w:tcPr>
            <w:tcW w:w="4313" w:type="dxa"/>
          </w:tcPr>
          <w:p w14:paraId="74ACF231" w14:textId="480DCD8C" w:rsidR="00BE0ACB" w:rsidRPr="00811E28" w:rsidRDefault="00BE0ACB" w:rsidP="00BE0ACB">
            <w:pPr>
              <w:jc w:val="center"/>
              <w:rPr>
                <w:b/>
                <w:szCs w:val="20"/>
              </w:rPr>
            </w:pPr>
            <w:r w:rsidRPr="00811E28">
              <w:rPr>
                <w:b/>
                <w:szCs w:val="20"/>
              </w:rPr>
              <w:t>Valve area (cm</w:t>
            </w:r>
            <w:r w:rsidRPr="00811E28">
              <w:rPr>
                <w:rFonts w:cstheme="minorHAnsi"/>
                <w:b/>
                <w:szCs w:val="20"/>
              </w:rPr>
              <w:t>²)</w:t>
            </w:r>
          </w:p>
        </w:tc>
        <w:tc>
          <w:tcPr>
            <w:tcW w:w="4277" w:type="dxa"/>
          </w:tcPr>
          <w:p w14:paraId="29D4471A" w14:textId="61FB8E5D" w:rsidR="00BE0ACB" w:rsidRPr="00811E28" w:rsidRDefault="00BE0ACB" w:rsidP="00BE0ACB">
            <w:pPr>
              <w:jc w:val="center"/>
              <w:rPr>
                <w:b/>
                <w:szCs w:val="20"/>
              </w:rPr>
            </w:pPr>
            <w:r w:rsidRPr="00811E28">
              <w:rPr>
                <w:b/>
                <w:szCs w:val="20"/>
              </w:rPr>
              <w:t>&lt;1.0</w:t>
            </w:r>
          </w:p>
        </w:tc>
      </w:tr>
      <w:tr w:rsidR="00BE0ACB" w14:paraId="4BD21DE2" w14:textId="77777777" w:rsidTr="00811E28">
        <w:tc>
          <w:tcPr>
            <w:tcW w:w="4313" w:type="dxa"/>
          </w:tcPr>
          <w:p w14:paraId="70AD1D18" w14:textId="3C6CF4E2" w:rsidR="00BE0ACB" w:rsidRPr="00811E28" w:rsidRDefault="00BE0ACB" w:rsidP="00BE0ACB">
            <w:pPr>
              <w:jc w:val="center"/>
              <w:rPr>
                <w:b/>
                <w:szCs w:val="20"/>
              </w:rPr>
            </w:pPr>
            <w:r w:rsidRPr="00811E28">
              <w:rPr>
                <w:b/>
                <w:szCs w:val="20"/>
              </w:rPr>
              <w:t>Indexed valve area (cm</w:t>
            </w:r>
            <w:r w:rsidRPr="00811E28">
              <w:rPr>
                <w:rFonts w:cstheme="minorHAnsi"/>
                <w:b/>
                <w:szCs w:val="20"/>
              </w:rPr>
              <w:t>²</w:t>
            </w:r>
            <w:r w:rsidRPr="00811E28">
              <w:rPr>
                <w:b/>
                <w:szCs w:val="20"/>
              </w:rPr>
              <w:t>/m</w:t>
            </w:r>
            <w:r w:rsidRPr="00811E28">
              <w:rPr>
                <w:rFonts w:cstheme="minorHAnsi"/>
                <w:b/>
                <w:szCs w:val="20"/>
              </w:rPr>
              <w:t>²</w:t>
            </w:r>
            <w:r w:rsidR="00631ED4">
              <w:rPr>
                <w:b/>
                <w:szCs w:val="20"/>
              </w:rPr>
              <w:t xml:space="preserve"> body surface area</w:t>
            </w:r>
            <w:r w:rsidRPr="00811E28">
              <w:rPr>
                <w:b/>
                <w:szCs w:val="20"/>
              </w:rPr>
              <w:t>)</w:t>
            </w:r>
          </w:p>
        </w:tc>
        <w:tc>
          <w:tcPr>
            <w:tcW w:w="4277" w:type="dxa"/>
          </w:tcPr>
          <w:p w14:paraId="3C42054D" w14:textId="0457DBA7" w:rsidR="00BE0ACB" w:rsidRPr="00811E28" w:rsidRDefault="00BE0ACB" w:rsidP="00BE0ACB">
            <w:pPr>
              <w:jc w:val="center"/>
              <w:rPr>
                <w:b/>
                <w:szCs w:val="20"/>
              </w:rPr>
            </w:pPr>
            <w:r w:rsidRPr="00811E28">
              <w:rPr>
                <w:b/>
                <w:szCs w:val="20"/>
              </w:rPr>
              <w:t>&lt;0.6</w:t>
            </w:r>
          </w:p>
        </w:tc>
      </w:tr>
      <w:tr w:rsidR="00BE0ACB" w14:paraId="60C2E59D" w14:textId="77777777" w:rsidTr="00811E28">
        <w:tc>
          <w:tcPr>
            <w:tcW w:w="4313" w:type="dxa"/>
          </w:tcPr>
          <w:p w14:paraId="56D148CF" w14:textId="1B515C4F" w:rsidR="00BE0ACB" w:rsidRPr="00811E28" w:rsidRDefault="00BE0ACB" w:rsidP="00BE0ACB">
            <w:pPr>
              <w:jc w:val="center"/>
              <w:rPr>
                <w:b/>
                <w:szCs w:val="20"/>
              </w:rPr>
            </w:pPr>
            <w:r w:rsidRPr="00811E28">
              <w:rPr>
                <w:b/>
                <w:szCs w:val="20"/>
              </w:rPr>
              <w:lastRenderedPageBreak/>
              <w:t>Mean gradient (mm</w:t>
            </w:r>
            <w:r w:rsidR="00631ED4">
              <w:rPr>
                <w:b/>
                <w:szCs w:val="20"/>
              </w:rPr>
              <w:t>H</w:t>
            </w:r>
            <w:r w:rsidRPr="00811E28">
              <w:rPr>
                <w:b/>
                <w:szCs w:val="20"/>
              </w:rPr>
              <w:t>g)</w:t>
            </w:r>
          </w:p>
        </w:tc>
        <w:tc>
          <w:tcPr>
            <w:tcW w:w="4277" w:type="dxa"/>
          </w:tcPr>
          <w:p w14:paraId="35E301A5" w14:textId="5D4B5560" w:rsidR="00BE0ACB" w:rsidRPr="00811E28" w:rsidRDefault="00BE0ACB" w:rsidP="00BE0ACB">
            <w:pPr>
              <w:jc w:val="center"/>
              <w:rPr>
                <w:b/>
                <w:szCs w:val="20"/>
              </w:rPr>
            </w:pPr>
            <w:r w:rsidRPr="00811E28">
              <w:rPr>
                <w:b/>
                <w:szCs w:val="20"/>
              </w:rPr>
              <w:t>&gt;4</w:t>
            </w:r>
            <w:r w:rsidR="00631ED4">
              <w:rPr>
                <w:b/>
                <w:szCs w:val="20"/>
              </w:rPr>
              <w:t>0</w:t>
            </w:r>
            <w:r w:rsidRPr="00811E28">
              <w:rPr>
                <w:b/>
                <w:szCs w:val="20"/>
              </w:rPr>
              <w:t>.0</w:t>
            </w:r>
          </w:p>
        </w:tc>
      </w:tr>
      <w:tr w:rsidR="00BE0ACB" w14:paraId="6F85814B" w14:textId="77777777" w:rsidTr="00811E28">
        <w:tc>
          <w:tcPr>
            <w:tcW w:w="4313" w:type="dxa"/>
          </w:tcPr>
          <w:p w14:paraId="2FEFAD99" w14:textId="77D639D6" w:rsidR="00BE0ACB" w:rsidRPr="00811E28" w:rsidRDefault="00BE0ACB" w:rsidP="00BE0ACB">
            <w:pPr>
              <w:jc w:val="center"/>
              <w:rPr>
                <w:b/>
                <w:szCs w:val="20"/>
              </w:rPr>
            </w:pPr>
            <w:r w:rsidRPr="00811E28">
              <w:rPr>
                <w:b/>
                <w:szCs w:val="20"/>
              </w:rPr>
              <w:t>Maximum jet velocity (m/s)</w:t>
            </w:r>
          </w:p>
        </w:tc>
        <w:tc>
          <w:tcPr>
            <w:tcW w:w="4277" w:type="dxa"/>
          </w:tcPr>
          <w:p w14:paraId="18E3A033" w14:textId="76D94E39" w:rsidR="00BE0ACB" w:rsidRPr="00811E28" w:rsidRDefault="00BE0ACB" w:rsidP="00BE0ACB">
            <w:pPr>
              <w:jc w:val="center"/>
              <w:rPr>
                <w:b/>
                <w:szCs w:val="20"/>
              </w:rPr>
            </w:pPr>
            <w:r w:rsidRPr="00811E28">
              <w:rPr>
                <w:b/>
                <w:szCs w:val="20"/>
              </w:rPr>
              <w:t>&gt;4.0</w:t>
            </w:r>
          </w:p>
        </w:tc>
      </w:tr>
      <w:tr w:rsidR="00BE0ACB" w14:paraId="5758F494" w14:textId="77777777" w:rsidTr="00811E28">
        <w:tc>
          <w:tcPr>
            <w:tcW w:w="4313" w:type="dxa"/>
          </w:tcPr>
          <w:p w14:paraId="6FBDFFFF" w14:textId="2779BEAA" w:rsidR="00BE0ACB" w:rsidRPr="00811E28" w:rsidRDefault="00BE0ACB" w:rsidP="00BE0ACB">
            <w:pPr>
              <w:jc w:val="center"/>
              <w:rPr>
                <w:b/>
                <w:szCs w:val="20"/>
              </w:rPr>
            </w:pPr>
            <w:r w:rsidRPr="00811E28">
              <w:rPr>
                <w:b/>
                <w:szCs w:val="20"/>
              </w:rPr>
              <w:t>Velocity ratio</w:t>
            </w:r>
          </w:p>
        </w:tc>
        <w:tc>
          <w:tcPr>
            <w:tcW w:w="4277" w:type="dxa"/>
          </w:tcPr>
          <w:p w14:paraId="6712CD40" w14:textId="698AE1F7" w:rsidR="00BE0ACB" w:rsidRPr="00811E28" w:rsidRDefault="00BE0ACB" w:rsidP="00BE0ACB">
            <w:pPr>
              <w:jc w:val="center"/>
              <w:rPr>
                <w:b/>
                <w:szCs w:val="20"/>
              </w:rPr>
            </w:pPr>
            <w:r w:rsidRPr="00811E28">
              <w:rPr>
                <w:b/>
                <w:szCs w:val="20"/>
              </w:rPr>
              <w:t>&lt;0.25</w:t>
            </w:r>
          </w:p>
        </w:tc>
      </w:tr>
    </w:tbl>
    <w:p w14:paraId="7CFD37EE" w14:textId="68315771" w:rsidR="00884947" w:rsidRDefault="00811E28" w:rsidP="00884947">
      <w:pPr>
        <w:ind w:left="426"/>
        <w:rPr>
          <w:szCs w:val="20"/>
        </w:rPr>
      </w:pPr>
      <w:r>
        <w:rPr>
          <w:szCs w:val="20"/>
        </w:rPr>
        <w:t xml:space="preserve">Other </w:t>
      </w:r>
      <w:r w:rsidR="00631ED4">
        <w:rPr>
          <w:szCs w:val="20"/>
        </w:rPr>
        <w:t xml:space="preserve">investigations </w:t>
      </w:r>
      <w:r>
        <w:rPr>
          <w:szCs w:val="20"/>
        </w:rPr>
        <w:t xml:space="preserve">that may be conducted include cardiac </w:t>
      </w:r>
      <w:r w:rsidR="00974D2F">
        <w:rPr>
          <w:szCs w:val="20"/>
        </w:rPr>
        <w:t>magnetic resonance imaging (</w:t>
      </w:r>
      <w:r>
        <w:rPr>
          <w:szCs w:val="20"/>
        </w:rPr>
        <w:t>MRI</w:t>
      </w:r>
      <w:r w:rsidR="00974D2F">
        <w:rPr>
          <w:szCs w:val="20"/>
        </w:rPr>
        <w:t>)</w:t>
      </w:r>
      <w:r>
        <w:rPr>
          <w:szCs w:val="20"/>
        </w:rPr>
        <w:t>, exercise echocardiography</w:t>
      </w:r>
      <w:r w:rsidR="005C7B6C">
        <w:rPr>
          <w:szCs w:val="20"/>
        </w:rPr>
        <w:t xml:space="preserve">, multi-slice computed tomography and coronary angiography. </w:t>
      </w:r>
      <w:r w:rsidR="00884947">
        <w:rPr>
          <w:szCs w:val="20"/>
        </w:rPr>
        <w:t>Valvular regurgitation is also assessed. Functional status is assessed by the New York Heart Association</w:t>
      </w:r>
      <w:r w:rsidR="00631ED4">
        <w:rPr>
          <w:szCs w:val="20"/>
        </w:rPr>
        <w:t xml:space="preserve"> (NYHA)</w:t>
      </w:r>
      <w:r w:rsidR="00884947">
        <w:rPr>
          <w:szCs w:val="20"/>
        </w:rPr>
        <w:t xml:space="preserve"> functional class system.</w:t>
      </w:r>
    </w:p>
    <w:p w14:paraId="165FD259" w14:textId="4A7B12AE" w:rsidR="005C7B6C" w:rsidRDefault="00CC58C1" w:rsidP="00225768">
      <w:pPr>
        <w:ind w:left="426"/>
        <w:rPr>
          <w:szCs w:val="20"/>
        </w:rPr>
      </w:pPr>
      <w:r>
        <w:rPr>
          <w:szCs w:val="20"/>
        </w:rPr>
        <w:t xml:space="preserve">Assessment of surgical risk is determined by a multi-disciplinary </w:t>
      </w:r>
      <w:r w:rsidR="00FD2E15">
        <w:rPr>
          <w:szCs w:val="20"/>
        </w:rPr>
        <w:t>‘</w:t>
      </w:r>
      <w:r>
        <w:rPr>
          <w:szCs w:val="20"/>
        </w:rPr>
        <w:t>heart team</w:t>
      </w:r>
      <w:r w:rsidR="00FD2E15">
        <w:rPr>
          <w:szCs w:val="20"/>
        </w:rPr>
        <w:t>’</w:t>
      </w:r>
      <w:r w:rsidR="000037DC">
        <w:rPr>
          <w:szCs w:val="20"/>
        </w:rPr>
        <w:t>.</w:t>
      </w:r>
      <w:r>
        <w:rPr>
          <w:szCs w:val="20"/>
        </w:rPr>
        <w:t xml:space="preserve"> This application pertains to patients who are determined to be at intermediate risk of surgery by a heart tea</w:t>
      </w:r>
      <w:r w:rsidR="008310E2">
        <w:rPr>
          <w:szCs w:val="20"/>
        </w:rPr>
        <w:t>m</w:t>
      </w:r>
      <w:r w:rsidR="00631ED4">
        <w:rPr>
          <w:szCs w:val="20"/>
        </w:rPr>
        <w:t>.</w:t>
      </w:r>
      <w:r>
        <w:rPr>
          <w:rStyle w:val="FootnoteReference"/>
          <w:szCs w:val="20"/>
        </w:rPr>
        <w:footnoteReference w:id="6"/>
      </w:r>
      <w:r w:rsidR="00E96299">
        <w:rPr>
          <w:szCs w:val="20"/>
        </w:rPr>
        <w:t xml:space="preserve"> </w:t>
      </w:r>
      <w:r w:rsidR="008879E6">
        <w:rPr>
          <w:szCs w:val="20"/>
        </w:rPr>
        <w:t>Intermediate risk is</w:t>
      </w:r>
      <w:r w:rsidR="00A919D6">
        <w:rPr>
          <w:szCs w:val="20"/>
        </w:rPr>
        <w:t xml:space="preserve"> </w:t>
      </w:r>
      <w:r w:rsidR="008879E6">
        <w:rPr>
          <w:szCs w:val="20"/>
        </w:rPr>
        <w:t>define</w:t>
      </w:r>
      <w:r w:rsidR="00820ABD">
        <w:rPr>
          <w:szCs w:val="20"/>
        </w:rPr>
        <w:t>d</w:t>
      </w:r>
      <w:r w:rsidR="008879E6">
        <w:rPr>
          <w:szCs w:val="20"/>
        </w:rPr>
        <w:t xml:space="preserve"> by </w:t>
      </w:r>
      <w:r w:rsidR="00631ED4" w:rsidRPr="00631ED4">
        <w:rPr>
          <w:szCs w:val="20"/>
        </w:rPr>
        <w:t>predicted risk of surgical mortality</w:t>
      </w:r>
      <w:r w:rsidR="008879E6">
        <w:rPr>
          <w:szCs w:val="20"/>
        </w:rPr>
        <w:t xml:space="preserve"> of </w:t>
      </w:r>
      <w:r w:rsidR="00820ABD">
        <w:rPr>
          <w:szCs w:val="20"/>
        </w:rPr>
        <w:t>4</w:t>
      </w:r>
      <w:r w:rsidR="00FD2E15">
        <w:rPr>
          <w:szCs w:val="20"/>
        </w:rPr>
        <w:t>-8</w:t>
      </w:r>
      <w:r w:rsidR="00820ABD">
        <w:rPr>
          <w:szCs w:val="20"/>
        </w:rPr>
        <w:t xml:space="preserve">% </w:t>
      </w:r>
      <w:r w:rsidR="00631ED4" w:rsidRPr="00631ED4">
        <w:rPr>
          <w:szCs w:val="20"/>
        </w:rPr>
        <w:t>at 30 days, based on the STS</w:t>
      </w:r>
      <w:r w:rsidR="00974D2F">
        <w:rPr>
          <w:szCs w:val="20"/>
        </w:rPr>
        <w:t xml:space="preserve">-PROM </w:t>
      </w:r>
      <w:r w:rsidR="00631ED4" w:rsidRPr="00631ED4">
        <w:rPr>
          <w:szCs w:val="20"/>
        </w:rPr>
        <w:t>score.</w:t>
      </w:r>
    </w:p>
    <w:p w14:paraId="3F029206" w14:textId="77777777" w:rsidR="00887888" w:rsidRPr="00154B00" w:rsidRDefault="00887888" w:rsidP="00E357B9">
      <w:pPr>
        <w:ind w:left="426"/>
        <w:rPr>
          <w:szCs w:val="20"/>
        </w:rPr>
      </w:pPr>
    </w:p>
    <w:p w14:paraId="42693CC5" w14:textId="49938A03"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5A4D2290" w14:textId="310F61B3" w:rsidR="00BC424B" w:rsidRDefault="00820ABD" w:rsidP="00BE0ACB">
      <w:pPr>
        <w:ind w:left="357"/>
      </w:pPr>
      <w:r>
        <w:t xml:space="preserve">At present, </w:t>
      </w:r>
      <w:r w:rsidR="001F4619">
        <w:t>patient</w:t>
      </w:r>
      <w:r>
        <w:t>s</w:t>
      </w:r>
      <w:r w:rsidR="001F4619">
        <w:t xml:space="preserve"> </w:t>
      </w:r>
      <w:r w:rsidR="00654D8C">
        <w:t xml:space="preserve">with severe symptomatic AS </w:t>
      </w:r>
      <w:r w:rsidR="001F4619">
        <w:t>at intermediate risk of surgery</w:t>
      </w:r>
      <w:r w:rsidR="00502C0A">
        <w:t xml:space="preserve"> are managed</w:t>
      </w:r>
      <w:r w:rsidR="00887888">
        <w:t xml:space="preserve"> medical</w:t>
      </w:r>
      <w:r w:rsidR="00502C0A">
        <w:t>ly and/or undergo surgical</w:t>
      </w:r>
      <w:r w:rsidR="00654D8C">
        <w:t xml:space="preserve"> </w:t>
      </w:r>
      <w:r w:rsidR="00887888">
        <w:t xml:space="preserve">aortic valve replacement </w:t>
      </w:r>
      <w:r w:rsidR="00654D8C">
        <w:t>(SAVR)</w:t>
      </w:r>
      <w:r w:rsidR="00502C0A">
        <w:t xml:space="preserve">. </w:t>
      </w:r>
      <w:r w:rsidR="00887888">
        <w:t>Medical management consists of pharmacologic</w:t>
      </w:r>
      <w:r>
        <w:t>al</w:t>
      </w:r>
      <w:r w:rsidR="00887888">
        <w:t xml:space="preserve"> treatment to alleviate symptoms</w:t>
      </w:r>
      <w:r w:rsidR="00654D8C">
        <w:t xml:space="preserve">. These do not </w:t>
      </w:r>
      <w:r w:rsidR="00887888">
        <w:t>alter the disease course</w:t>
      </w:r>
      <w:r w:rsidR="00654D8C">
        <w:t xml:space="preserve"> n</w:t>
      </w:r>
      <w:r w:rsidR="00887888">
        <w:t>or improve survival.</w:t>
      </w:r>
      <w:r w:rsidR="00502C0A">
        <w:t xml:space="preserve"> Some patients undergo</w:t>
      </w:r>
      <w:r w:rsidR="00654D8C">
        <w:t xml:space="preserve"> balloon aortic valvuloplasty to enlarge the aortic valve opening</w:t>
      </w:r>
      <w:r w:rsidR="00502C0A">
        <w:t xml:space="preserve">, but this procedure also does not alter </w:t>
      </w:r>
      <w:r w:rsidR="001F194A">
        <w:t xml:space="preserve">the </w:t>
      </w:r>
      <w:r w:rsidR="00502C0A">
        <w:t>disease course nor survival.</w:t>
      </w:r>
    </w:p>
    <w:p w14:paraId="5C33D5B6" w14:textId="77777777" w:rsidR="002A50FD" w:rsidRPr="00881F93" w:rsidRDefault="005C3AE7" w:rsidP="005C3AE7">
      <w:pPr>
        <w:pStyle w:val="Subtitle"/>
      </w:pPr>
      <w:r>
        <w:t xml:space="preserve">PART 6b – </w:t>
      </w:r>
      <w:r w:rsidR="002A50FD" w:rsidRPr="00881F93">
        <w:t>INFORMATION ABOUT THE INTERVENTION</w:t>
      </w:r>
    </w:p>
    <w:p w14:paraId="4B9A9A6E"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05235CB5" w14:textId="1C1BE571" w:rsidR="002A50FD" w:rsidRDefault="006F7493" w:rsidP="006F7493">
      <w:pPr>
        <w:ind w:left="360"/>
        <w:rPr>
          <w:szCs w:val="20"/>
        </w:rPr>
      </w:pPr>
      <w:r>
        <w:rPr>
          <w:szCs w:val="20"/>
        </w:rPr>
        <w:t>In Australia</w:t>
      </w:r>
      <w:r w:rsidR="00502C0A">
        <w:rPr>
          <w:szCs w:val="20"/>
        </w:rPr>
        <w:t>,</w:t>
      </w:r>
      <w:r>
        <w:rPr>
          <w:szCs w:val="20"/>
        </w:rPr>
        <w:t xml:space="preserve"> TAVI is performed in a cardiac catheterisation or an operating room. TAVI is performed under general</w:t>
      </w:r>
      <w:r w:rsidR="008310E2">
        <w:rPr>
          <w:szCs w:val="20"/>
        </w:rPr>
        <w:t xml:space="preserve"> </w:t>
      </w:r>
      <w:r w:rsidR="00502C0A">
        <w:rPr>
          <w:szCs w:val="20"/>
        </w:rPr>
        <w:t xml:space="preserve">anaesthesia </w:t>
      </w:r>
      <w:r w:rsidR="008310E2">
        <w:rPr>
          <w:szCs w:val="20"/>
        </w:rPr>
        <w:t>or local</w:t>
      </w:r>
      <w:r>
        <w:rPr>
          <w:szCs w:val="20"/>
        </w:rPr>
        <w:t xml:space="preserve"> anaesthesia</w:t>
      </w:r>
      <w:r w:rsidR="008310E2">
        <w:rPr>
          <w:szCs w:val="20"/>
        </w:rPr>
        <w:t xml:space="preserve"> </w:t>
      </w:r>
      <w:r w:rsidR="00502C0A">
        <w:rPr>
          <w:szCs w:val="20"/>
        </w:rPr>
        <w:t xml:space="preserve">with </w:t>
      </w:r>
      <w:r w:rsidR="008310E2">
        <w:rPr>
          <w:szCs w:val="20"/>
        </w:rPr>
        <w:t>sedation</w:t>
      </w:r>
      <w:r w:rsidR="00502C0A">
        <w:rPr>
          <w:szCs w:val="20"/>
        </w:rPr>
        <w:t>. For</w:t>
      </w:r>
      <w:r>
        <w:rPr>
          <w:szCs w:val="20"/>
        </w:rPr>
        <w:t xml:space="preserve"> transfemoral delivery </w:t>
      </w:r>
      <w:r w:rsidR="00502C0A">
        <w:rPr>
          <w:szCs w:val="20"/>
        </w:rPr>
        <w:t xml:space="preserve">(relevant to </w:t>
      </w:r>
      <w:r>
        <w:rPr>
          <w:szCs w:val="20"/>
        </w:rPr>
        <w:t>this application</w:t>
      </w:r>
      <w:r w:rsidR="00502C0A">
        <w:rPr>
          <w:szCs w:val="20"/>
        </w:rPr>
        <w:t>)</w:t>
      </w:r>
      <w:r>
        <w:rPr>
          <w:szCs w:val="20"/>
        </w:rPr>
        <w:t xml:space="preserve">, </w:t>
      </w:r>
      <w:r w:rsidR="00502C0A">
        <w:rPr>
          <w:szCs w:val="20"/>
        </w:rPr>
        <w:t>the latter is often</w:t>
      </w:r>
      <w:r>
        <w:rPr>
          <w:szCs w:val="20"/>
        </w:rPr>
        <w:t xml:space="preserve"> sufficient. The procedure is performed without cardio-pulmonary bypass</w:t>
      </w:r>
      <w:r w:rsidR="009F3E3D">
        <w:rPr>
          <w:szCs w:val="20"/>
        </w:rPr>
        <w:t>.</w:t>
      </w:r>
    </w:p>
    <w:p w14:paraId="0E4D1333" w14:textId="55122A57" w:rsidR="006F7493" w:rsidRDefault="00502C0A" w:rsidP="006F7493">
      <w:pPr>
        <w:ind w:left="360"/>
        <w:rPr>
          <w:szCs w:val="20"/>
        </w:rPr>
      </w:pPr>
      <w:r>
        <w:rPr>
          <w:szCs w:val="20"/>
        </w:rPr>
        <w:t>TAVI</w:t>
      </w:r>
      <w:r w:rsidR="006F7493">
        <w:rPr>
          <w:szCs w:val="20"/>
        </w:rPr>
        <w:t xml:space="preserve"> is </w:t>
      </w:r>
      <w:r>
        <w:rPr>
          <w:szCs w:val="20"/>
        </w:rPr>
        <w:t xml:space="preserve">usually </w:t>
      </w:r>
      <w:r w:rsidR="006F7493">
        <w:rPr>
          <w:szCs w:val="20"/>
        </w:rPr>
        <w:t>performed under the guidance of fluoroscopy and transoesophageal echocardiography</w:t>
      </w:r>
      <w:r w:rsidR="000037DC">
        <w:rPr>
          <w:szCs w:val="20"/>
        </w:rPr>
        <w:t xml:space="preserve"> (TOE)</w:t>
      </w:r>
      <w:r w:rsidR="006F7493">
        <w:rPr>
          <w:szCs w:val="20"/>
        </w:rPr>
        <w:t xml:space="preserve">. </w:t>
      </w:r>
      <w:r w:rsidR="00B206B0">
        <w:rPr>
          <w:szCs w:val="20"/>
        </w:rPr>
        <w:t xml:space="preserve">Aortography may also be used. </w:t>
      </w:r>
      <w:r w:rsidR="006F7493">
        <w:rPr>
          <w:szCs w:val="20"/>
        </w:rPr>
        <w:t>A percutaneous sheath is inserted into the femoral artery</w:t>
      </w:r>
      <w:r w:rsidR="009F3E3D">
        <w:rPr>
          <w:szCs w:val="20"/>
        </w:rPr>
        <w:t xml:space="preserve"> with a guide wire that </w:t>
      </w:r>
      <w:r w:rsidR="006E7190">
        <w:rPr>
          <w:szCs w:val="20"/>
        </w:rPr>
        <w:t xml:space="preserve">is pushed passed </w:t>
      </w:r>
      <w:r w:rsidR="009F3E3D">
        <w:rPr>
          <w:szCs w:val="20"/>
        </w:rPr>
        <w:t xml:space="preserve">the aortic valve. The aortic valve is predilated via balloon valvuloplasty while the heart is rapidly paced. The </w:t>
      </w:r>
      <w:r w:rsidR="0007223E">
        <w:rPr>
          <w:szCs w:val="20"/>
        </w:rPr>
        <w:t>SAPIEN 3</w:t>
      </w:r>
      <w:r w:rsidR="006E7190">
        <w:rPr>
          <w:szCs w:val="20"/>
        </w:rPr>
        <w:t xml:space="preserve"> BEV </w:t>
      </w:r>
      <w:r w:rsidR="009F3E3D">
        <w:rPr>
          <w:szCs w:val="20"/>
        </w:rPr>
        <w:t>is mounted on a balloon catheter</w:t>
      </w:r>
      <w:r w:rsidR="006E7190">
        <w:rPr>
          <w:szCs w:val="20"/>
        </w:rPr>
        <w:t xml:space="preserve"> and</w:t>
      </w:r>
      <w:r w:rsidR="009F3E3D">
        <w:rPr>
          <w:szCs w:val="20"/>
        </w:rPr>
        <w:t xml:space="preserve"> is inserted percutaneously over the guidewire until it crosses the aortic valve. Optimum positioning is confirmed by fluoroscopy. Once the correct position is confirmed, the heart is again rapidly paced</w:t>
      </w:r>
      <w:r w:rsidR="006E7190">
        <w:rPr>
          <w:szCs w:val="20"/>
        </w:rPr>
        <w:t xml:space="preserve"> and </w:t>
      </w:r>
      <w:r w:rsidR="009F3E3D">
        <w:rPr>
          <w:szCs w:val="20"/>
        </w:rPr>
        <w:t xml:space="preserve">the balloon is expanded until the device </w:t>
      </w:r>
      <w:r w:rsidR="00B206B0">
        <w:rPr>
          <w:szCs w:val="20"/>
        </w:rPr>
        <w:t>meets the native annular walls</w:t>
      </w:r>
      <w:r w:rsidR="003D0762">
        <w:rPr>
          <w:szCs w:val="20"/>
        </w:rPr>
        <w:t>.</w:t>
      </w:r>
      <w:r w:rsidR="00B206B0">
        <w:rPr>
          <w:szCs w:val="20"/>
        </w:rPr>
        <w:t xml:space="preserve"> The balloon is </w:t>
      </w:r>
      <w:r w:rsidR="006E7190">
        <w:rPr>
          <w:szCs w:val="20"/>
        </w:rPr>
        <w:t xml:space="preserve">then </w:t>
      </w:r>
      <w:r w:rsidR="00B206B0">
        <w:rPr>
          <w:szCs w:val="20"/>
        </w:rPr>
        <w:t>deflated and the catheter and guidewire are removed.</w:t>
      </w:r>
    </w:p>
    <w:p w14:paraId="764DB735" w14:textId="45EFC124" w:rsidR="00B206B0" w:rsidRDefault="00B206B0" w:rsidP="006F7493">
      <w:pPr>
        <w:ind w:left="360"/>
        <w:rPr>
          <w:szCs w:val="20"/>
        </w:rPr>
      </w:pPr>
      <w:r>
        <w:rPr>
          <w:szCs w:val="20"/>
        </w:rPr>
        <w:t>Immediately following the procedure, aortography and</w:t>
      </w:r>
      <w:r w:rsidR="000037DC">
        <w:rPr>
          <w:szCs w:val="20"/>
        </w:rPr>
        <w:t xml:space="preserve"> </w:t>
      </w:r>
      <w:r w:rsidR="006E7190">
        <w:rPr>
          <w:szCs w:val="20"/>
        </w:rPr>
        <w:t>TOE</w:t>
      </w:r>
      <w:r>
        <w:rPr>
          <w:szCs w:val="20"/>
        </w:rPr>
        <w:t xml:space="preserve"> are again performed to assess the location and the degree of any aortic regurgitation, and the functioning of the coronary arteries.</w:t>
      </w:r>
    </w:p>
    <w:p w14:paraId="18BF2C03" w14:textId="7B7FB3AA" w:rsidR="00B206B0" w:rsidRPr="00154B00" w:rsidRDefault="00B206B0" w:rsidP="006F7493">
      <w:pPr>
        <w:ind w:left="360"/>
        <w:rPr>
          <w:szCs w:val="20"/>
        </w:rPr>
      </w:pPr>
      <w:r>
        <w:rPr>
          <w:szCs w:val="20"/>
        </w:rPr>
        <w:t>Patients are then transferred for monitoring to either a coronary care</w:t>
      </w:r>
      <w:r w:rsidR="00187346">
        <w:rPr>
          <w:szCs w:val="20"/>
        </w:rPr>
        <w:t>,</w:t>
      </w:r>
      <w:r>
        <w:rPr>
          <w:szCs w:val="20"/>
        </w:rPr>
        <w:t xml:space="preserve"> high dependency or intensive care unit.</w:t>
      </w:r>
    </w:p>
    <w:p w14:paraId="38A85110"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2C3AAD54" w14:textId="3DA7E6BC" w:rsidR="002A6753" w:rsidRPr="00154B00" w:rsidRDefault="00B206B0" w:rsidP="00742738">
      <w:pPr>
        <w:ind w:left="426"/>
        <w:rPr>
          <w:szCs w:val="20"/>
        </w:rPr>
      </w:pPr>
      <w:r w:rsidRPr="009D7137">
        <w:t>SAPIEN 3 is a register</w:t>
      </w:r>
      <w:r w:rsidR="006E7190" w:rsidRPr="009D7137">
        <w:t>ed</w:t>
      </w:r>
      <w:r w:rsidRPr="009D7137">
        <w:t xml:space="preserve"> trademark of </w:t>
      </w:r>
      <w:bookmarkStart w:id="3" w:name="_Hlk14118581"/>
      <w:r w:rsidRPr="009D7137">
        <w:t xml:space="preserve">Edwards Lifesciences Corporation </w:t>
      </w:r>
      <w:bookmarkEnd w:id="3"/>
      <w:r w:rsidRPr="009D7137">
        <w:t xml:space="preserve">or its affiliates. </w:t>
      </w:r>
      <w:r w:rsidR="0023384F" w:rsidRPr="009D7137">
        <w:t xml:space="preserve">Edwards Lifesciences Corporation </w:t>
      </w:r>
      <w:r w:rsidR="0007223E" w:rsidRPr="009D7137">
        <w:t>has ceased</w:t>
      </w:r>
      <w:r w:rsidR="00742738" w:rsidRPr="009D7137">
        <w:t xml:space="preserve"> market</w:t>
      </w:r>
      <w:r w:rsidR="00D45CF4" w:rsidRPr="009D7137">
        <w:t>ing</w:t>
      </w:r>
      <w:r w:rsidR="00742738" w:rsidRPr="009D7137">
        <w:t xml:space="preserve"> </w:t>
      </w:r>
      <w:r w:rsidR="00D45CF4" w:rsidRPr="009D7137">
        <w:t xml:space="preserve">of </w:t>
      </w:r>
      <w:r w:rsidR="00742738" w:rsidRPr="009D7137">
        <w:t>the</w:t>
      </w:r>
      <w:r w:rsidR="0023384F" w:rsidRPr="009D7137">
        <w:t xml:space="preserve"> </w:t>
      </w:r>
      <w:r w:rsidR="00530FE5" w:rsidRPr="009D7137">
        <w:t xml:space="preserve">older generation </w:t>
      </w:r>
      <w:r w:rsidR="0023384F" w:rsidRPr="009D7137">
        <w:t xml:space="preserve">SAPIEN XT BEV (ARTG IDs 250696 </w:t>
      </w:r>
      <w:r w:rsidR="0023384F" w:rsidRPr="009D7137">
        <w:lastRenderedPageBreak/>
        <w:t>and 250697)</w:t>
      </w:r>
      <w:r w:rsidR="00D45CF4" w:rsidRPr="009D7137">
        <w:t xml:space="preserve"> in Australia</w:t>
      </w:r>
      <w:r w:rsidR="0023384F" w:rsidRPr="009D7137">
        <w:t xml:space="preserve">, </w:t>
      </w:r>
      <w:r w:rsidR="0007223E" w:rsidRPr="009D7137">
        <w:t xml:space="preserve">and </w:t>
      </w:r>
      <w:r w:rsidR="0023384F" w:rsidRPr="009D7137">
        <w:t xml:space="preserve">these are </w:t>
      </w:r>
      <w:r w:rsidR="0023384F" w:rsidRPr="009D7137">
        <w:rPr>
          <w:i/>
        </w:rPr>
        <w:t>not</w:t>
      </w:r>
      <w:r w:rsidR="0023384F" w:rsidRPr="009D7137">
        <w:t xml:space="preserve"> part of the present application. </w:t>
      </w:r>
      <w:r w:rsidRPr="009D7137">
        <w:t>There are other TAVI valves available in Australia</w:t>
      </w:r>
      <w:r w:rsidR="00464D73" w:rsidRPr="009D7137">
        <w:t>,</w:t>
      </w:r>
      <w:r w:rsidRPr="009D7137">
        <w:t xml:space="preserve"> but these valves are self-expand</w:t>
      </w:r>
      <w:r w:rsidR="00D45CF4" w:rsidRPr="009D7137">
        <w:t>ing</w:t>
      </w:r>
      <w:r w:rsidRPr="009D7137">
        <w:t xml:space="preserve"> </w:t>
      </w:r>
      <w:r w:rsidR="00C5775D" w:rsidRPr="009D7137">
        <w:t>rather than balloon</w:t>
      </w:r>
      <w:r w:rsidR="00D45CF4" w:rsidRPr="009D7137">
        <w:t>-</w:t>
      </w:r>
      <w:r w:rsidR="00C5775D" w:rsidRPr="009D7137">
        <w:t>expand</w:t>
      </w:r>
      <w:r w:rsidR="006E7190" w:rsidRPr="009D7137">
        <w:t>able</w:t>
      </w:r>
      <w:r w:rsidR="00C5775D" w:rsidRPr="009D7137">
        <w:t>, so do not employ a balloon catheter.</w:t>
      </w:r>
      <w:r w:rsidR="006E7190" w:rsidRPr="009D7137">
        <w:t xml:space="preserve"> </w:t>
      </w:r>
      <w:r w:rsidR="003D0762" w:rsidRPr="009D7137">
        <w:t>Current data suggest that b</w:t>
      </w:r>
      <w:r w:rsidR="007D31F9" w:rsidRPr="009D7137">
        <w:t>alloon</w:t>
      </w:r>
      <w:r w:rsidR="003D0762" w:rsidRPr="009D7137">
        <w:t>-</w:t>
      </w:r>
      <w:r w:rsidR="007D31F9" w:rsidRPr="009D7137">
        <w:t>expand</w:t>
      </w:r>
      <w:r w:rsidR="00D45CF4" w:rsidRPr="009D7137">
        <w:t>able</w:t>
      </w:r>
      <w:r w:rsidR="007D31F9" w:rsidRPr="009D7137">
        <w:t xml:space="preserve"> valves </w:t>
      </w:r>
      <w:r w:rsidR="003D0762" w:rsidRPr="009D7137">
        <w:t>are associated with better</w:t>
      </w:r>
      <w:r w:rsidR="007D31F9" w:rsidRPr="009D7137">
        <w:t xml:space="preserve"> outcomes </w:t>
      </w:r>
      <w:r w:rsidR="00187346" w:rsidRPr="009D7137">
        <w:t xml:space="preserve">compared </w:t>
      </w:r>
      <w:r w:rsidR="007D31F9" w:rsidRPr="009D7137">
        <w:t>to self-expand</w:t>
      </w:r>
      <w:r w:rsidR="00D45CF4" w:rsidRPr="009D7137">
        <w:t>ing</w:t>
      </w:r>
      <w:r w:rsidR="007D31F9" w:rsidRPr="009D7137">
        <w:t xml:space="preserve"> valves</w:t>
      </w:r>
      <w:r w:rsidR="0007223E" w:rsidRPr="009D7137">
        <w:t>.</w:t>
      </w:r>
      <w:r w:rsidR="007D31F9" w:rsidRPr="009D7137">
        <w:rPr>
          <w:rStyle w:val="FootnoteReference"/>
        </w:rPr>
        <w:footnoteReference w:id="7"/>
      </w:r>
      <w:r w:rsidR="00C5775D" w:rsidRPr="009D7137">
        <w:t xml:space="preserve"> </w:t>
      </w:r>
      <w:r w:rsidR="00C54183" w:rsidRPr="009D7137">
        <w:rPr>
          <w:rStyle w:val="FootnoteReference"/>
        </w:rPr>
        <w:footnoteReference w:id="8"/>
      </w:r>
    </w:p>
    <w:p w14:paraId="6218332D"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55702003" w14:textId="40DC60C5" w:rsidR="00DF0C51" w:rsidRDefault="007D31F9" w:rsidP="009E2E46">
      <w:pPr>
        <w:ind w:left="426"/>
        <w:rPr>
          <w:b/>
          <w:szCs w:val="20"/>
        </w:rPr>
      </w:pPr>
      <w:r>
        <w:t>TAVI</w:t>
      </w:r>
      <w:r w:rsidR="005F7568">
        <w:t xml:space="preserve"> </w:t>
      </w:r>
      <w:r w:rsidR="005F7568" w:rsidRPr="00613AAE">
        <w:t xml:space="preserve">using </w:t>
      </w:r>
      <w:r w:rsidR="001F4619">
        <w:t>the</w:t>
      </w:r>
      <w:r w:rsidR="005F7568" w:rsidRPr="00613AAE">
        <w:t xml:space="preserve"> SAPIEN 3 </w:t>
      </w:r>
      <w:r w:rsidR="0007223E">
        <w:t xml:space="preserve">BEV </w:t>
      </w:r>
      <w:r w:rsidR="005F7568" w:rsidRPr="00613AAE">
        <w:t>system</w:t>
      </w:r>
      <w:r>
        <w:t xml:space="preserve"> is currently included on the MBS for patients with symptomatic severe aortic stenosis who are at </w:t>
      </w:r>
      <w:r w:rsidRPr="00621FCA">
        <w:rPr>
          <w:i/>
        </w:rPr>
        <w:t>high</w:t>
      </w:r>
      <w:r w:rsidR="006E7190" w:rsidRPr="00621FCA">
        <w:rPr>
          <w:i/>
        </w:rPr>
        <w:t xml:space="preserve"> </w:t>
      </w:r>
      <w:r w:rsidRPr="00621FCA">
        <w:rPr>
          <w:i/>
        </w:rPr>
        <w:t>risk</w:t>
      </w:r>
      <w:r>
        <w:t xml:space="preserve"> </w:t>
      </w:r>
      <w:r w:rsidR="003D0762">
        <w:t xml:space="preserve">for surgery </w:t>
      </w:r>
      <w:r>
        <w:t>or who are inoperable. TAVI</w:t>
      </w:r>
      <w:r w:rsidR="001F4619">
        <w:t xml:space="preserve"> </w:t>
      </w:r>
      <w:r w:rsidR="0007223E">
        <w:t xml:space="preserve">using the SAPIEN 3 </w:t>
      </w:r>
      <w:r w:rsidR="001F4619">
        <w:t>BEV</w:t>
      </w:r>
      <w:r>
        <w:t xml:space="preserve"> </w:t>
      </w:r>
      <w:r w:rsidR="006E7190">
        <w:t>represents</w:t>
      </w:r>
      <w:r>
        <w:t xml:space="preserve"> a new approach in Australia for treating patients who have symptomatic severe aortic stenosis who are at intermediate risk</w:t>
      </w:r>
      <w:r w:rsidR="003D0762" w:rsidRPr="003D0762">
        <w:t xml:space="preserve"> </w:t>
      </w:r>
      <w:r w:rsidR="003D0762">
        <w:t>for surgery</w:t>
      </w:r>
      <w:r>
        <w:t>.</w:t>
      </w:r>
      <w:r w:rsidR="0007223E">
        <w:t xml:space="preserve"> Only </w:t>
      </w:r>
      <w:r w:rsidR="00D45CF4" w:rsidRPr="0023384F">
        <w:t>balloon-expand</w:t>
      </w:r>
      <w:r w:rsidR="00D45CF4">
        <w:t>able</w:t>
      </w:r>
      <w:r w:rsidR="00D45CF4" w:rsidRPr="0023384F">
        <w:t xml:space="preserve"> valves </w:t>
      </w:r>
      <w:r w:rsidR="0007223E">
        <w:t xml:space="preserve">(SAPIEN 3 and SAPIEN XT) are currently TGA-approved for use in intermediate risk patients. </w:t>
      </w:r>
    </w:p>
    <w:p w14:paraId="4988E4B0"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23BA065C" w14:textId="5EDAC623" w:rsidR="00CC09D7" w:rsidRPr="00154B00" w:rsidRDefault="007D31F9" w:rsidP="001F4619">
      <w:pPr>
        <w:ind w:left="426"/>
        <w:rPr>
          <w:szCs w:val="20"/>
        </w:rPr>
      </w:pPr>
      <w:r>
        <w:t xml:space="preserve">It is anticipated that in </w:t>
      </w:r>
      <w:r w:rsidR="00C66BBF">
        <w:t>nearly all</w:t>
      </w:r>
      <w:r>
        <w:t xml:space="preserve"> cases</w:t>
      </w:r>
      <w:r w:rsidR="006E7190">
        <w:t>,</w:t>
      </w:r>
      <w:r>
        <w:t xml:space="preserve"> TAVI </w:t>
      </w:r>
      <w:r w:rsidR="001F4619">
        <w:t>using the</w:t>
      </w:r>
      <w:r w:rsidR="005F7568" w:rsidRPr="00613AAE">
        <w:t xml:space="preserve"> SAPIEN 3 </w:t>
      </w:r>
      <w:r w:rsidR="0007223E">
        <w:t xml:space="preserve">BEV </w:t>
      </w:r>
      <w:r w:rsidR="005F7568" w:rsidRPr="00613AAE">
        <w:t>system</w:t>
      </w:r>
      <w:r w:rsidR="005F7568">
        <w:t xml:space="preserve"> </w:t>
      </w:r>
      <w:r>
        <w:t>would be delivered only once in a</w:t>
      </w:r>
      <w:r w:rsidR="003D0762">
        <w:t xml:space="preserve"> patient’s</w:t>
      </w:r>
      <w:r>
        <w:t xml:space="preserve"> lifetime.</w:t>
      </w:r>
    </w:p>
    <w:p w14:paraId="3292C9C5"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445355F2" w14:textId="2E8E7E38" w:rsidR="00791C8D" w:rsidRPr="00154B00" w:rsidRDefault="007D31F9" w:rsidP="00884E69">
      <w:pPr>
        <w:ind w:left="426"/>
        <w:rPr>
          <w:szCs w:val="20"/>
        </w:rPr>
      </w:pPr>
      <w:r>
        <w:t>It is not anticipated that additional resources or medical services would be delivered at the same time, other than those that would occur during the TAVI</w:t>
      </w:r>
      <w:r w:rsidR="00283152">
        <w:t>.</w:t>
      </w:r>
    </w:p>
    <w:p w14:paraId="4C14F46A"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5AF155A1" w14:textId="49468AE1" w:rsidR="00B17E26" w:rsidRPr="00154B00" w:rsidRDefault="00283152" w:rsidP="00884E69">
      <w:pPr>
        <w:ind w:left="426"/>
        <w:rPr>
          <w:szCs w:val="20"/>
        </w:rPr>
      </w:pPr>
      <w:r>
        <w:t>An interventional cardiologist or a cardiothoracic surgeon must perform the procedure</w:t>
      </w:r>
      <w:r w:rsidR="006E7190">
        <w:t>.</w:t>
      </w:r>
    </w:p>
    <w:p w14:paraId="776EFA7F"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778CC163" w14:textId="324AA471" w:rsidR="00B17E26" w:rsidRPr="00154B00" w:rsidRDefault="00283152" w:rsidP="00884E69">
      <w:pPr>
        <w:ind w:left="426"/>
        <w:rPr>
          <w:szCs w:val="20"/>
        </w:rPr>
      </w:pPr>
      <w:r>
        <w:t>The service cannot be delegated</w:t>
      </w:r>
      <w:r w:rsidR="006E7190">
        <w:t>.</w:t>
      </w:r>
    </w:p>
    <w:p w14:paraId="6DE3D87D"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58F53868" w14:textId="7C4BB2A5" w:rsidR="00EA0E25" w:rsidRPr="00154B00" w:rsidRDefault="00283152" w:rsidP="00BC424B">
      <w:pPr>
        <w:ind w:left="426"/>
        <w:rPr>
          <w:szCs w:val="20"/>
        </w:rPr>
      </w:pPr>
      <w:r>
        <w:t>MBS funding is only available for cardiothoracic surgeons or interventional cardiologists who are accredited TAVI practitioners</w:t>
      </w:r>
      <w:r w:rsidR="0007223E">
        <w:t>.</w:t>
      </w:r>
    </w:p>
    <w:p w14:paraId="5281D781"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060D9944" w14:textId="7493608F" w:rsidR="00677C28" w:rsidRDefault="00283152" w:rsidP="0073597B">
      <w:pPr>
        <w:ind w:left="426"/>
      </w:pPr>
      <w:r>
        <w:t>Cardiothoracic surgeons</w:t>
      </w:r>
      <w:r w:rsidR="00187346">
        <w:t xml:space="preserve"> must </w:t>
      </w:r>
      <w:r>
        <w:t>have completed the Cardiothoracic Surgery Program and be eligible to be a Fellow of the Royal Australasian College of Surgeons</w:t>
      </w:r>
      <w:r w:rsidR="006E7190">
        <w:t>,</w:t>
      </w:r>
      <w:r w:rsidR="00677C28">
        <w:t xml:space="preserve"> or otherwise qualified to practice cardiothoracic surgery in Australia</w:t>
      </w:r>
      <w:r>
        <w:t>.</w:t>
      </w:r>
    </w:p>
    <w:p w14:paraId="5A355504" w14:textId="3561609B" w:rsidR="00EA0E25" w:rsidRDefault="00677C28" w:rsidP="0073597B">
      <w:pPr>
        <w:ind w:left="426"/>
      </w:pPr>
      <w:r>
        <w:t xml:space="preserve">Interventional </w:t>
      </w:r>
      <w:r w:rsidR="006E7190">
        <w:t>c</w:t>
      </w:r>
      <w:r>
        <w:t>ardiologists must have completed the Advanced Training Curriculum in Cardiology and be eligible to be a Fellow of the Royal Australasian College of Physicians or otherwise qualified to practice interventional cardiology in Australia.</w:t>
      </w:r>
    </w:p>
    <w:p w14:paraId="0B606A23" w14:textId="3BBAC544" w:rsidR="00677C28" w:rsidRDefault="00677C28" w:rsidP="0073597B">
      <w:pPr>
        <w:ind w:left="426"/>
      </w:pPr>
      <w:r>
        <w:t xml:space="preserve">Additionally, the </w:t>
      </w:r>
      <w:r w:rsidR="006E7190">
        <w:t>i</w:t>
      </w:r>
      <w:r>
        <w:t>nterventional cardiologist o</w:t>
      </w:r>
      <w:r w:rsidR="00D75D60">
        <w:t>r</w:t>
      </w:r>
      <w:r>
        <w:t xml:space="preserve"> cardiothoracic surgeon must be an accredited TAVI </w:t>
      </w:r>
      <w:r w:rsidR="006E7190">
        <w:t>p</w:t>
      </w:r>
      <w:r>
        <w:t>ractitioner. Accreditation is conducted by the Accreditation Committee appointed by Cardiac Accreditation Services Limited</w:t>
      </w:r>
      <w:r w:rsidR="000838D3">
        <w:rPr>
          <w:rStyle w:val="FootnoteReference"/>
        </w:rPr>
        <w:footnoteReference w:id="9"/>
      </w:r>
    </w:p>
    <w:p w14:paraId="527CCA8A" w14:textId="77777777" w:rsidR="00677C28" w:rsidRPr="00154B00" w:rsidRDefault="00677C28" w:rsidP="0073597B">
      <w:pPr>
        <w:ind w:left="426"/>
        <w:rPr>
          <w:szCs w:val="20"/>
        </w:rPr>
      </w:pPr>
    </w:p>
    <w:p w14:paraId="4B0B5C89" w14:textId="77777777" w:rsidR="005F3F07" w:rsidRDefault="005C3AE7" w:rsidP="00530204">
      <w:pPr>
        <w:pStyle w:val="Heading2"/>
      </w:pPr>
      <w:r>
        <w:lastRenderedPageBreak/>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0DE9C4B2" w14:textId="34FD98EB" w:rsidR="000A478F" w:rsidRDefault="000838D3"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0A478F">
        <w:rPr>
          <w:szCs w:val="20"/>
        </w:rPr>
        <w:t xml:space="preserve"> </w:t>
      </w:r>
      <w:r w:rsidR="000A478F">
        <w:t>Inpatient private hospital</w:t>
      </w:r>
    </w:p>
    <w:p w14:paraId="5C2B9ABB" w14:textId="6C0C576F" w:rsidR="000A478F" w:rsidRDefault="000838D3"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0A478F">
        <w:rPr>
          <w:szCs w:val="20"/>
        </w:rPr>
        <w:t xml:space="preserve"> </w:t>
      </w:r>
      <w:r w:rsidR="000A478F">
        <w:t>Inpatient public hospital</w:t>
      </w:r>
    </w:p>
    <w:p w14:paraId="0FDBEF5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Pr>
          <w:szCs w:val="20"/>
        </w:rPr>
        <w:t xml:space="preserve"> </w:t>
      </w:r>
      <w:r>
        <w:t>Outpatient clinic</w:t>
      </w:r>
    </w:p>
    <w:p w14:paraId="037AD78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Pr>
          <w:szCs w:val="20"/>
        </w:rPr>
        <w:t xml:space="preserve"> </w:t>
      </w:r>
      <w:r>
        <w:t>Emergency Department</w:t>
      </w:r>
    </w:p>
    <w:p w14:paraId="1AAAD22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Pr>
          <w:szCs w:val="20"/>
        </w:rPr>
        <w:t xml:space="preserve"> </w:t>
      </w:r>
      <w:r>
        <w:t>Consulting rooms</w:t>
      </w:r>
    </w:p>
    <w:p w14:paraId="264CC49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Pr>
          <w:szCs w:val="20"/>
        </w:rPr>
        <w:t xml:space="preserve"> </w:t>
      </w:r>
      <w:r>
        <w:t>Day surgery centre</w:t>
      </w:r>
    </w:p>
    <w:p w14:paraId="6A1D8A1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Pr>
          <w:szCs w:val="20"/>
        </w:rPr>
        <w:t xml:space="preserve"> </w:t>
      </w:r>
      <w:r>
        <w:t>Residential aged care facility</w:t>
      </w:r>
    </w:p>
    <w:p w14:paraId="0A47CD5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Pr>
          <w:szCs w:val="20"/>
        </w:rPr>
        <w:t xml:space="preserve"> </w:t>
      </w:r>
      <w:r>
        <w:t>Patient’s home</w:t>
      </w:r>
    </w:p>
    <w:p w14:paraId="7F9DE19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Pr>
          <w:szCs w:val="20"/>
        </w:rPr>
        <w:t xml:space="preserve"> </w:t>
      </w:r>
      <w:r>
        <w:t>Laboratory</w:t>
      </w:r>
    </w:p>
    <w:p w14:paraId="66E44D46"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44473">
        <w:rPr>
          <w:szCs w:val="20"/>
        </w:rPr>
      </w:r>
      <w:r w:rsidR="00A44473">
        <w:rPr>
          <w:szCs w:val="20"/>
        </w:rPr>
        <w:fldChar w:fldCharType="separate"/>
      </w:r>
      <w:r w:rsidRPr="000A5B32">
        <w:rPr>
          <w:szCs w:val="20"/>
        </w:rPr>
        <w:fldChar w:fldCharType="end"/>
      </w:r>
      <w:r>
        <w:rPr>
          <w:szCs w:val="20"/>
        </w:rPr>
        <w:t xml:space="preserve"> </w:t>
      </w:r>
      <w:r>
        <w:t>Other – please specify below</w:t>
      </w:r>
    </w:p>
    <w:p w14:paraId="5F75542A" w14:textId="3DCE7575" w:rsidR="005F3F07" w:rsidRDefault="000838D3" w:rsidP="0073597B">
      <w:pPr>
        <w:ind w:left="426"/>
        <w:rPr>
          <w:b/>
          <w:szCs w:val="20"/>
        </w:rPr>
      </w:pPr>
      <w:r>
        <w:t xml:space="preserve">The service must be provided in a hospital that has been </w:t>
      </w:r>
      <w:r w:rsidR="00C33262">
        <w:t xml:space="preserve">endorsed </w:t>
      </w:r>
      <w:r w:rsidR="0007223E">
        <w:t xml:space="preserve">for </w:t>
      </w:r>
      <w:r w:rsidR="00C33262">
        <w:t xml:space="preserve">undertaking </w:t>
      </w:r>
      <w:r w:rsidR="0007223E">
        <w:t>TAVIs.</w:t>
      </w:r>
      <w:r w:rsidR="00D75D60">
        <w:t xml:space="preserve"> Accreditation is conducted by the Accreditation Committee appointed by Cardiac Accreditation Services Limited</w:t>
      </w:r>
      <w:r w:rsidR="00D75D60">
        <w:rPr>
          <w:rStyle w:val="FootnoteReference"/>
        </w:rPr>
        <w:footnoteReference w:id="10"/>
      </w:r>
    </w:p>
    <w:p w14:paraId="332AB204"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07FC065E" w14:textId="1FA55F3F" w:rsidR="0073597B" w:rsidRDefault="000838D3" w:rsidP="0073597B">
      <w:pPr>
        <w:ind w:left="426"/>
        <w:rPr>
          <w:b/>
          <w:szCs w:val="20"/>
        </w:rPr>
      </w:pPr>
      <w:r>
        <w:t>The service may be provided in either a public or private hospital</w:t>
      </w:r>
      <w:r w:rsidR="006E7190">
        <w:t>, as long as it is endorsed (see above).</w:t>
      </w:r>
      <w:r>
        <w:t xml:space="preserve"> </w:t>
      </w:r>
    </w:p>
    <w:p w14:paraId="6A8CFF7D" w14:textId="77777777" w:rsidR="003E30FB" w:rsidRDefault="003E30FB" w:rsidP="00530204">
      <w:pPr>
        <w:pStyle w:val="Heading2"/>
      </w:pPr>
      <w:r>
        <w:t xml:space="preserve">Is the </w:t>
      </w:r>
      <w:r w:rsidRPr="001B29A1">
        <w:t>proposed</w:t>
      </w:r>
      <w:r>
        <w:t xml:space="preserve"> medical service intended to be entirely rendered in Australia?</w:t>
      </w:r>
    </w:p>
    <w:p w14:paraId="3E325938" w14:textId="5E7E8012" w:rsidR="000A478F" w:rsidRDefault="000838D3"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0A478F">
        <w:rPr>
          <w:szCs w:val="20"/>
        </w:rPr>
        <w:t xml:space="preserve"> Yes</w:t>
      </w:r>
    </w:p>
    <w:p w14:paraId="2C958805"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44473">
        <w:rPr>
          <w:szCs w:val="20"/>
        </w:rPr>
      </w:r>
      <w:r w:rsidR="00A44473">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51042E11" w14:textId="77777777" w:rsidR="000A478F" w:rsidRDefault="000A478F" w:rsidP="00881F93">
      <w:pPr>
        <w:rPr>
          <w:b/>
          <w:i/>
          <w:szCs w:val="20"/>
          <w:u w:val="single"/>
        </w:rPr>
      </w:pPr>
      <w:r>
        <w:rPr>
          <w:b/>
          <w:i/>
          <w:szCs w:val="20"/>
          <w:u w:val="single"/>
        </w:rPr>
        <w:br w:type="page"/>
      </w:r>
    </w:p>
    <w:p w14:paraId="2868254F"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3E6C0717"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158CA75" w14:textId="76F024C0" w:rsidR="00E60529" w:rsidRPr="00154B00" w:rsidRDefault="000838D3" w:rsidP="001B29A1">
      <w:pPr>
        <w:ind w:left="426"/>
        <w:rPr>
          <w:szCs w:val="20"/>
        </w:rPr>
      </w:pPr>
      <w:r>
        <w:t>The comparator is SAVR with a bioprosthe</w:t>
      </w:r>
      <w:r w:rsidR="003D0762">
        <w:t>tic</w:t>
      </w:r>
      <w:r>
        <w:t xml:space="preserve"> or mechanical aortic valve. As with TAVI</w:t>
      </w:r>
      <w:r w:rsidR="00C33262">
        <w:t xml:space="preserve"> with the SAPIEN 3</w:t>
      </w:r>
      <w:r w:rsidR="001F4619">
        <w:t xml:space="preserve"> BEV</w:t>
      </w:r>
      <w:r>
        <w:t xml:space="preserve">, it is not anticipated that other resources would be required at the same time other than those that are provided during the SAVR </w:t>
      </w:r>
      <w:r w:rsidR="006E7190">
        <w:t>procedure.</w:t>
      </w:r>
    </w:p>
    <w:p w14:paraId="565BC0D2"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19011BB9" w14:textId="1A84752C" w:rsidR="006A1038" w:rsidRDefault="000838D3"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6A1038">
        <w:rPr>
          <w:szCs w:val="20"/>
        </w:rPr>
        <w:t xml:space="preserve"> Yes (please provide all relevant MBS item numbers below)</w:t>
      </w:r>
    </w:p>
    <w:p w14:paraId="668FD779" w14:textId="526CFA2F" w:rsidR="00A919D6" w:rsidRDefault="00A919D6"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44473">
        <w:rPr>
          <w:szCs w:val="20"/>
        </w:rPr>
      </w:r>
      <w:r w:rsidR="00A44473">
        <w:rPr>
          <w:szCs w:val="20"/>
        </w:rPr>
        <w:fldChar w:fldCharType="separate"/>
      </w:r>
      <w:r w:rsidRPr="00753C44">
        <w:rPr>
          <w:szCs w:val="20"/>
        </w:rPr>
        <w:fldChar w:fldCharType="end"/>
      </w:r>
      <w:r>
        <w:rPr>
          <w:szCs w:val="20"/>
        </w:rPr>
        <w:t xml:space="preserve"> No  </w:t>
      </w:r>
    </w:p>
    <w:p w14:paraId="10E217CB" w14:textId="76B7AB84" w:rsidR="000159B9" w:rsidRPr="00154B00" w:rsidRDefault="00F06096" w:rsidP="001B29A1">
      <w:pPr>
        <w:ind w:left="426"/>
        <w:rPr>
          <w:szCs w:val="20"/>
        </w:rPr>
      </w:pPr>
      <w:r w:rsidRPr="003B402C">
        <w:rPr>
          <w:noProof/>
          <w:szCs w:val="20"/>
          <w:lang w:eastAsia="en-AU"/>
        </w:rPr>
        <mc:AlternateContent>
          <mc:Choice Requires="wps">
            <w:drawing>
              <wp:inline distT="0" distB="0" distL="0" distR="0" wp14:anchorId="7F3BD671" wp14:editId="359EB80B">
                <wp:extent cx="5276850" cy="8763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76300"/>
                        </a:xfrm>
                        <a:prstGeom prst="rect">
                          <a:avLst/>
                        </a:prstGeom>
                        <a:solidFill>
                          <a:srgbClr val="FFFFFF"/>
                        </a:solidFill>
                        <a:ln w="9525">
                          <a:solidFill>
                            <a:srgbClr val="000000"/>
                          </a:solidFill>
                          <a:miter lim="800000"/>
                          <a:headEnd/>
                          <a:tailEnd/>
                        </a:ln>
                      </wps:spPr>
                      <wps:txbx>
                        <w:txbxContent>
                          <w:p w14:paraId="35C7A306" w14:textId="77777777" w:rsidR="00032587" w:rsidRDefault="00032587" w:rsidP="00F06096">
                            <w:pPr>
                              <w:rPr>
                                <w:b/>
                              </w:rPr>
                            </w:pPr>
                            <w:r w:rsidRPr="003B402C">
                              <w:rPr>
                                <w:b/>
                              </w:rPr>
                              <w:t>38488</w:t>
                            </w:r>
                          </w:p>
                          <w:p w14:paraId="46C5F72B" w14:textId="77777777" w:rsidR="00032587" w:rsidRPr="003B402C" w:rsidRDefault="00032587" w:rsidP="00F06096">
                            <w:pPr>
                              <w:rPr>
                                <w:b/>
                              </w:rPr>
                            </w:pPr>
                            <w:r w:rsidRPr="003B402C">
                              <w:rPr>
                                <w:b/>
                              </w:rPr>
                              <w:t>VALVE REPLACEMENT with BIOPROSTHESIS OR MECHANICAL PROSTHESIS</w:t>
                            </w:r>
                          </w:p>
                          <w:p w14:paraId="33A80C3B" w14:textId="77777777" w:rsidR="00032587" w:rsidRPr="003B402C" w:rsidRDefault="00032587" w:rsidP="00F06096">
                            <w:pPr>
                              <w:rPr>
                                <w:b/>
                              </w:rPr>
                            </w:pPr>
                            <w:r w:rsidRPr="003B402C">
                              <w:rPr>
                                <w:b/>
                                <w:bCs/>
                              </w:rPr>
                              <w:t>Fee:</w:t>
                            </w:r>
                            <w:r w:rsidRPr="003B402C">
                              <w:rPr>
                                <w:b/>
                              </w:rPr>
                              <w:t> $1,909.60</w:t>
                            </w:r>
                          </w:p>
                          <w:p w14:paraId="50EA0495" w14:textId="77777777" w:rsidR="00032587" w:rsidRDefault="00032587" w:rsidP="00F06096"/>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F3BD671" id="_x0000_t202" coordsize="21600,21600" o:spt="202" path="m,l,21600r21600,l21600,xe">
                <v:stroke joinstyle="miter"/>
                <v:path gradientshapeok="t" o:connecttype="rect"/>
              </v:shapetype>
              <v:shape id="Text Box 2" o:spid="_x0000_s1026" type="#_x0000_t202" style="width:415.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JgIgIAAEQ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">
                <v:textbox>
                  <w:txbxContent>
                    <w:p w14:paraId="35C7A306" w14:textId="77777777" w:rsidR="00032587" w:rsidRDefault="00032587" w:rsidP="00F06096">
                      <w:pPr>
                        <w:rPr>
                          <w:b/>
                        </w:rPr>
                      </w:pPr>
                      <w:r w:rsidRPr="003B402C">
                        <w:rPr>
                          <w:b/>
                        </w:rPr>
                        <w:t>38488</w:t>
                      </w:r>
                    </w:p>
                    <w:p w14:paraId="46C5F72B" w14:textId="77777777" w:rsidR="00032587" w:rsidRPr="003B402C" w:rsidRDefault="00032587" w:rsidP="00F06096">
                      <w:pPr>
                        <w:rPr>
                          <w:b/>
                        </w:rPr>
                      </w:pPr>
                      <w:r w:rsidRPr="003B402C">
                        <w:rPr>
                          <w:b/>
                        </w:rPr>
                        <w:t>VALVE REPLACEMENT with BIOPROSTHESIS OR MECHANICAL PROSTHESIS</w:t>
                      </w:r>
                    </w:p>
                    <w:p w14:paraId="33A80C3B" w14:textId="77777777" w:rsidR="00032587" w:rsidRPr="003B402C" w:rsidRDefault="00032587" w:rsidP="00F06096">
                      <w:pPr>
                        <w:rPr>
                          <w:b/>
                        </w:rPr>
                      </w:pPr>
                      <w:r w:rsidRPr="003B402C">
                        <w:rPr>
                          <w:b/>
                          <w:bCs/>
                        </w:rPr>
                        <w:t>Fee:</w:t>
                      </w:r>
                      <w:r w:rsidRPr="003B402C">
                        <w:rPr>
                          <w:b/>
                        </w:rPr>
                        <w:t> $1,909.60</w:t>
                      </w:r>
                    </w:p>
                    <w:p w14:paraId="50EA0495" w14:textId="77777777" w:rsidR="00032587" w:rsidRDefault="00032587" w:rsidP="00F06096"/>
                  </w:txbxContent>
                </v:textbox>
                <w10:anchorlock/>
              </v:shape>
            </w:pict>
          </mc:Fallback>
        </mc:AlternateContent>
      </w:r>
      <w:r w:rsidR="003B402C" w:rsidRPr="003B402C">
        <w:rPr>
          <w:noProof/>
          <w:szCs w:val="20"/>
          <w:lang w:eastAsia="en-AU"/>
        </w:rPr>
        <mc:AlternateContent>
          <mc:Choice Requires="wps">
            <w:drawing>
              <wp:inline distT="0" distB="0" distL="0" distR="0" wp14:anchorId="499D35D0" wp14:editId="76A6AFAE">
                <wp:extent cx="5276850" cy="8858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85825"/>
                        </a:xfrm>
                        <a:prstGeom prst="rect">
                          <a:avLst/>
                        </a:prstGeom>
                        <a:solidFill>
                          <a:srgbClr val="FFFFFF"/>
                        </a:solidFill>
                        <a:ln w="9525">
                          <a:solidFill>
                            <a:srgbClr val="000000"/>
                          </a:solidFill>
                          <a:miter lim="800000"/>
                          <a:headEnd/>
                          <a:tailEnd/>
                        </a:ln>
                      </wps:spPr>
                      <wps:txbx>
                        <w:txbxContent>
                          <w:p w14:paraId="4C1F8795" w14:textId="2DABF7E8" w:rsidR="00032587" w:rsidRPr="003B402C" w:rsidRDefault="00032587">
                            <w:pPr>
                              <w:rPr>
                                <w:b/>
                              </w:rPr>
                            </w:pPr>
                            <w:r w:rsidRPr="003B402C">
                              <w:rPr>
                                <w:b/>
                              </w:rPr>
                              <w:t>38489</w:t>
                            </w:r>
                          </w:p>
                          <w:p w14:paraId="3DD5FFAB" w14:textId="77777777" w:rsidR="00032587" w:rsidRPr="003B402C" w:rsidRDefault="00032587" w:rsidP="003B402C">
                            <w:pPr>
                              <w:rPr>
                                <w:b/>
                              </w:rPr>
                            </w:pPr>
                            <w:r w:rsidRPr="003B402C">
                              <w:rPr>
                                <w:b/>
                              </w:rPr>
                              <w:t>VALVE REPLACEMENT with allograft (subcoronary or cylindrical implant), or unstented xenograft</w:t>
                            </w:r>
                          </w:p>
                          <w:p w14:paraId="7B4E0D52" w14:textId="2E7B4C97" w:rsidR="00032587" w:rsidRPr="003B402C" w:rsidRDefault="00032587" w:rsidP="003B402C">
                            <w:pPr>
                              <w:rPr>
                                <w:b/>
                              </w:rPr>
                            </w:pPr>
                            <w:r w:rsidRPr="003B402C">
                              <w:rPr>
                                <w:b/>
                                <w:bCs/>
                              </w:rPr>
                              <w:t>Fee:</w:t>
                            </w:r>
                            <w:r w:rsidRPr="003B402C">
                              <w:rPr>
                                <w:b/>
                              </w:rPr>
                              <w:t> $2,271.05 </w:t>
                            </w:r>
                          </w:p>
                          <w:p w14:paraId="39525779" w14:textId="77777777" w:rsidR="00032587" w:rsidRDefault="00032587"/>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9D35D0" id="_x0000_s1027" type="#_x0000_t202" style="width:41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">
                <v:textbox>
                  <w:txbxContent>
                    <w:p w14:paraId="4C1F8795" w14:textId="2DABF7E8" w:rsidR="00032587" w:rsidRPr="003B402C" w:rsidRDefault="00032587">
                      <w:pPr>
                        <w:rPr>
                          <w:b/>
                        </w:rPr>
                      </w:pPr>
                      <w:r w:rsidRPr="003B402C">
                        <w:rPr>
                          <w:b/>
                        </w:rPr>
                        <w:t>38489</w:t>
                      </w:r>
                    </w:p>
                    <w:p w14:paraId="3DD5FFAB" w14:textId="77777777" w:rsidR="00032587" w:rsidRPr="003B402C" w:rsidRDefault="00032587" w:rsidP="003B402C">
                      <w:pPr>
                        <w:rPr>
                          <w:b/>
                        </w:rPr>
                      </w:pPr>
                      <w:r w:rsidRPr="003B402C">
                        <w:rPr>
                          <w:b/>
                        </w:rPr>
                        <w:t>VALVE REPLACEMENT with allograft (subcoronary or cylindrical implant), or unstented xenograft</w:t>
                      </w:r>
                    </w:p>
                    <w:p w14:paraId="7B4E0D52" w14:textId="2E7B4C97" w:rsidR="00032587" w:rsidRPr="003B402C" w:rsidRDefault="00032587" w:rsidP="003B402C">
                      <w:pPr>
                        <w:rPr>
                          <w:b/>
                        </w:rPr>
                      </w:pPr>
                      <w:r w:rsidRPr="003B402C">
                        <w:rPr>
                          <w:b/>
                          <w:bCs/>
                        </w:rPr>
                        <w:t>Fee:</w:t>
                      </w:r>
                      <w:r w:rsidRPr="003B402C">
                        <w:rPr>
                          <w:b/>
                        </w:rPr>
                        <w:t> $2,271.05 </w:t>
                      </w:r>
                    </w:p>
                    <w:p w14:paraId="39525779" w14:textId="77777777" w:rsidR="00032587" w:rsidRDefault="00032587"/>
                  </w:txbxContent>
                </v:textbox>
                <w10:anchorlock/>
              </v:shape>
            </w:pict>
          </mc:Fallback>
        </mc:AlternateContent>
      </w:r>
    </w:p>
    <w:p w14:paraId="4CB77833"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358B11DF" w14:textId="3981BD63" w:rsidR="003433D1" w:rsidRDefault="00DF2299" w:rsidP="00DF2299">
      <w:pPr>
        <w:ind w:left="360"/>
      </w:pPr>
      <w:r>
        <w:t xml:space="preserve">Patients receiving SAVR </w:t>
      </w:r>
      <w:r w:rsidR="00AB4B84">
        <w:t xml:space="preserve">receive an echocardiogram at one month, </w:t>
      </w:r>
      <w:r w:rsidR="00F06096">
        <w:t>six</w:t>
      </w:r>
      <w:r w:rsidR="00AB4B84">
        <w:t xml:space="preserve"> months and </w:t>
      </w:r>
      <w:r w:rsidR="003D0762">
        <w:t xml:space="preserve">one </w:t>
      </w:r>
      <w:r w:rsidR="00AB4B84">
        <w:t>year</w:t>
      </w:r>
      <w:r w:rsidR="00F06096">
        <w:t xml:space="preserve"> after the procedure</w:t>
      </w:r>
      <w:r w:rsidR="00AB4B84">
        <w:t xml:space="preserve">. Complications of SAVR include stroke, heart failure, permanent pacemaker implantation, and other cardiovascular events. </w:t>
      </w:r>
      <w:r w:rsidR="00F06096">
        <w:t>R</w:t>
      </w:r>
      <w:r w:rsidR="00AB4B84">
        <w:t xml:space="preserve">e-operation </w:t>
      </w:r>
      <w:r w:rsidR="00F06096">
        <w:t xml:space="preserve">may </w:t>
      </w:r>
      <w:r w:rsidR="00AB4B84">
        <w:t xml:space="preserve">be needed, </w:t>
      </w:r>
      <w:r w:rsidR="00F06096">
        <w:t xml:space="preserve">but </w:t>
      </w:r>
      <w:r w:rsidR="00AB4B84">
        <w:t xml:space="preserve">this is rare. </w:t>
      </w:r>
      <w:r w:rsidR="00CF23B4">
        <w:t>S</w:t>
      </w:r>
      <w:r w:rsidR="0046738D">
        <w:t>ee the attached ‘Clinical Pathway after SAVR</w:t>
      </w:r>
      <w:r w:rsidR="00F06096">
        <w:t>’.</w:t>
      </w:r>
    </w:p>
    <w:p w14:paraId="5D60909C" w14:textId="5B3644DA" w:rsidR="003D0762" w:rsidRDefault="007D0E47" w:rsidP="00DF2299">
      <w:pPr>
        <w:ind w:left="360"/>
      </w:pPr>
      <w:r>
        <w:rPr>
          <w:noProof/>
          <w:lang w:eastAsia="en-AU"/>
        </w:rPr>
        <w:lastRenderedPageBreak/>
        <w:drawing>
          <wp:inline distT="0" distB="0" distL="0" distR="0" wp14:anchorId="0A63D2D3" wp14:editId="3B89D09A">
            <wp:extent cx="5295900" cy="3972929"/>
            <wp:effectExtent l="0" t="0" r="0" b="8890"/>
            <wp:docPr id="257" name="Picture 257" descr="Clinical pathway after SAVR" title="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5290" cy="3994977"/>
                    </a:xfrm>
                    <a:prstGeom prst="rect">
                      <a:avLst/>
                    </a:prstGeom>
                    <a:noFill/>
                  </pic:spPr>
                </pic:pic>
              </a:graphicData>
            </a:graphic>
          </wp:inline>
        </w:drawing>
      </w:r>
    </w:p>
    <w:p w14:paraId="02BEF4F6" w14:textId="44FAEC33" w:rsidR="00262865" w:rsidRDefault="00262865" w:rsidP="00DF2299">
      <w:pPr>
        <w:ind w:left="360"/>
        <w:rPr>
          <w:b/>
          <w:szCs w:val="20"/>
        </w:rPr>
      </w:pPr>
    </w:p>
    <w:p w14:paraId="33396D95" w14:textId="06EDE10A" w:rsidR="00A83EC6"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6EDEF3B4" w14:textId="02693ED7" w:rsidR="00AB4B84" w:rsidRPr="00AB4B84" w:rsidRDefault="00AB4B84" w:rsidP="00AB4B84">
      <w:pPr>
        <w:ind w:left="360"/>
      </w:pPr>
      <w:r>
        <w:t xml:space="preserve">It will be </w:t>
      </w:r>
      <w:r w:rsidRPr="00322BDA">
        <w:rPr>
          <w:i/>
        </w:rPr>
        <w:t>instead of</w:t>
      </w:r>
      <w:r>
        <w:t xml:space="preserve"> the nominated comparator</w:t>
      </w:r>
      <w:r w:rsidR="00025EE9">
        <w:t>.</w:t>
      </w:r>
    </w:p>
    <w:p w14:paraId="3D2DB13D" w14:textId="56C53D24" w:rsidR="001B29A1" w:rsidRDefault="00025EE9" w:rsidP="001B29A1">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1B29A1">
        <w:rPr>
          <w:szCs w:val="20"/>
        </w:rPr>
        <w:t xml:space="preserve"> Yes </w:t>
      </w:r>
    </w:p>
    <w:p w14:paraId="1CF54F46"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44473">
        <w:rPr>
          <w:szCs w:val="20"/>
        </w:rPr>
      </w:r>
      <w:r w:rsidR="00A44473">
        <w:rPr>
          <w:szCs w:val="20"/>
        </w:rPr>
        <w:fldChar w:fldCharType="separate"/>
      </w:r>
      <w:r w:rsidRPr="00753C44">
        <w:rPr>
          <w:szCs w:val="20"/>
        </w:rPr>
        <w:fldChar w:fldCharType="end"/>
      </w:r>
      <w:r>
        <w:rPr>
          <w:szCs w:val="20"/>
        </w:rPr>
        <w:t xml:space="preserve"> No  </w:t>
      </w:r>
    </w:p>
    <w:p w14:paraId="09EEE94E"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2D7903A5" w14:textId="49BF90AD" w:rsidR="003433D1" w:rsidRPr="001B29A1" w:rsidRDefault="00C66BBF" w:rsidP="001B29A1">
      <w:pPr>
        <w:ind w:left="426"/>
        <w:rPr>
          <w:szCs w:val="20"/>
        </w:rPr>
      </w:pPr>
      <w:r>
        <w:rPr>
          <w:szCs w:val="20"/>
        </w:rPr>
        <w:t>It is estimated that as many as 80 percent of intermediate risk patients may access TAVI</w:t>
      </w:r>
      <w:r w:rsidR="001F4619">
        <w:rPr>
          <w:szCs w:val="20"/>
        </w:rPr>
        <w:t xml:space="preserve"> BEV</w:t>
      </w:r>
      <w:r>
        <w:rPr>
          <w:szCs w:val="20"/>
        </w:rPr>
        <w:t xml:space="preserve">, should the service be included on the MBS. Please see </w:t>
      </w:r>
      <w:r w:rsidR="005F2638">
        <w:rPr>
          <w:szCs w:val="20"/>
        </w:rPr>
        <w:t xml:space="preserve">responses to </w:t>
      </w:r>
      <w:r>
        <w:rPr>
          <w:szCs w:val="20"/>
        </w:rPr>
        <w:t>Questions 49 and 50 for further information.</w:t>
      </w:r>
    </w:p>
    <w:p w14:paraId="168D8E29"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2CD1B752" w14:textId="6C3ABD1A" w:rsidR="005F2638" w:rsidRDefault="00B52F91" w:rsidP="00D10B47">
      <w:pPr>
        <w:pStyle w:val="ListParagraph"/>
        <w:ind w:left="360"/>
      </w:pPr>
      <w:r>
        <w:t xml:space="preserve">The clinical pathway will be the same after TAVI </w:t>
      </w:r>
      <w:r w:rsidR="00C33262">
        <w:t xml:space="preserve">with the SAPIEN 3 </w:t>
      </w:r>
      <w:r w:rsidR="001F4619">
        <w:t xml:space="preserve">BEV </w:t>
      </w:r>
      <w:r>
        <w:t>as for SAVR</w:t>
      </w:r>
      <w:r w:rsidR="00F06096">
        <w:t>, but</w:t>
      </w:r>
      <w:r w:rsidR="00CF23B4">
        <w:t xml:space="preserve"> the likelihood of</w:t>
      </w:r>
      <w:r>
        <w:t xml:space="preserve"> </w:t>
      </w:r>
      <w:r w:rsidR="00F06096">
        <w:t xml:space="preserve">outcomes will differ. Efficacy data suggest that </w:t>
      </w:r>
      <w:r>
        <w:t xml:space="preserve">survival at one year is higher for </w:t>
      </w:r>
      <w:r w:rsidR="00C33262">
        <w:t xml:space="preserve">TAVI with the </w:t>
      </w:r>
      <w:r w:rsidR="00F52BD8">
        <w:t xml:space="preserve">SAPIEN 3 </w:t>
      </w:r>
      <w:r w:rsidR="001F4619">
        <w:t xml:space="preserve">BEV </w:t>
      </w:r>
      <w:r>
        <w:t>(92.6% vs 87</w:t>
      </w:r>
      <w:r w:rsidR="00F52BD8">
        <w:t>.0</w:t>
      </w:r>
      <w:r>
        <w:t>%)</w:t>
      </w:r>
      <w:r w:rsidR="00F06096">
        <w:t xml:space="preserve"> and</w:t>
      </w:r>
      <w:r>
        <w:t xml:space="preserve"> major stroke is lower</w:t>
      </w:r>
      <w:r w:rsidR="001F4619">
        <w:t xml:space="preserve"> </w:t>
      </w:r>
      <w:r>
        <w:t>(2.3% vs 5.9%)</w:t>
      </w:r>
      <w:r w:rsidR="00F06096">
        <w:t>.</w:t>
      </w:r>
      <w:r>
        <w:t xml:space="preserve"> </w:t>
      </w:r>
      <w:r w:rsidR="00F06096">
        <w:t>However,</w:t>
      </w:r>
      <w:r>
        <w:t xml:space="preserve"> pacemaker implantation is higher (12.4% vs 9.4%)</w:t>
      </w:r>
      <w:r w:rsidR="000E6705">
        <w:rPr>
          <w:rStyle w:val="FootnoteReference"/>
        </w:rPr>
        <w:footnoteReference w:id="11"/>
      </w:r>
      <w:r w:rsidR="000037DC">
        <w:t>. It should also be noted that SAVR</w:t>
      </w:r>
      <w:r w:rsidR="00F06096">
        <w:t xml:space="preserve"> requires</w:t>
      </w:r>
      <w:r w:rsidR="000037DC">
        <w:t xml:space="preserve"> open chest </w:t>
      </w:r>
      <w:r w:rsidR="00F06096">
        <w:t>surgery,</w:t>
      </w:r>
      <w:r w:rsidR="000037DC">
        <w:t xml:space="preserve"> </w:t>
      </w:r>
      <w:r w:rsidR="00F06096">
        <w:t>and hence typically</w:t>
      </w:r>
      <w:r w:rsidR="00AA7A6C">
        <w:t xml:space="preserve"> involve</w:t>
      </w:r>
      <w:r w:rsidR="00F06096">
        <w:t>s</w:t>
      </w:r>
      <w:r w:rsidR="00AA7A6C">
        <w:t xml:space="preserve"> a longer hospital stay, including </w:t>
      </w:r>
      <w:r w:rsidR="00F06096">
        <w:t xml:space="preserve">in the intensive care unit (ICU) or </w:t>
      </w:r>
      <w:r w:rsidR="00AA7A6C">
        <w:t xml:space="preserve">high dependency unit </w:t>
      </w:r>
      <w:r w:rsidR="00F06096">
        <w:t>compared to</w:t>
      </w:r>
      <w:r w:rsidR="00AA7A6C">
        <w:t xml:space="preserve"> TAVI</w:t>
      </w:r>
      <w:r w:rsidR="001F4619">
        <w:t xml:space="preserve"> BEV</w:t>
      </w:r>
      <w:r w:rsidR="00AA7A6C">
        <w:t>. Recovery time is also likely to be longer</w:t>
      </w:r>
      <w:r w:rsidR="00D75D60">
        <w:t xml:space="preserve"> </w:t>
      </w:r>
      <w:r w:rsidR="00D75D60" w:rsidRPr="008812D3">
        <w:t>with SAVR</w:t>
      </w:r>
      <w:r w:rsidR="00AA7A6C" w:rsidRPr="009D7137">
        <w:t>.</w:t>
      </w:r>
      <w:r w:rsidR="003F4F1C">
        <w:t xml:space="preserve"> </w:t>
      </w:r>
    </w:p>
    <w:p w14:paraId="5D8A20F1" w14:textId="77777777" w:rsidR="003F4F1C" w:rsidRDefault="003F4F1C">
      <w:pPr>
        <w:spacing w:before="0" w:after="200" w:line="276" w:lineRule="auto"/>
        <w:rPr>
          <w:b/>
          <w:i/>
          <w:szCs w:val="20"/>
          <w:u w:val="single"/>
        </w:rPr>
      </w:pPr>
      <w:r>
        <w:br w:type="page"/>
      </w:r>
    </w:p>
    <w:p w14:paraId="22B1D506" w14:textId="6F8F0A46"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1B4619E7"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6B5C7AC6" w14:textId="0F3CC2BD" w:rsidR="004E3CC7" w:rsidRDefault="0082616B" w:rsidP="001B29A1">
      <w:pPr>
        <w:ind w:left="426"/>
      </w:pPr>
      <w:r>
        <w:t xml:space="preserve">TAVI </w:t>
      </w:r>
      <w:r w:rsidR="00C33262">
        <w:t xml:space="preserve">with the SAPIEN 3 </w:t>
      </w:r>
      <w:r w:rsidR="001F4619">
        <w:t xml:space="preserve">BEV </w:t>
      </w:r>
      <w:r>
        <w:t xml:space="preserve">is superior to SAVR in patients with symptomatic severe </w:t>
      </w:r>
      <w:r w:rsidR="00CF23B4">
        <w:t>AS</w:t>
      </w:r>
      <w:r>
        <w:t xml:space="preserve"> </w:t>
      </w:r>
      <w:r w:rsidR="00F06096">
        <w:t xml:space="preserve">and at </w:t>
      </w:r>
      <w:r>
        <w:t xml:space="preserve">intermediate risk of surgery in terms of overall </w:t>
      </w:r>
      <w:r w:rsidR="000F5D2C">
        <w:t>survival</w:t>
      </w:r>
      <w:r w:rsidR="0046738D">
        <w:t xml:space="preserve"> and</w:t>
      </w:r>
      <w:r w:rsidR="000F5D2C">
        <w:t xml:space="preserve"> </w:t>
      </w:r>
      <w:r w:rsidR="005F2638">
        <w:t xml:space="preserve">the </w:t>
      </w:r>
      <w:r w:rsidR="000F5D2C">
        <w:t>incidence of disabling stroke. TAVI</w:t>
      </w:r>
      <w:r w:rsidR="0046738D">
        <w:t xml:space="preserve"> </w:t>
      </w:r>
      <w:r w:rsidR="00C33262">
        <w:t xml:space="preserve">with the SAPIEN 3 </w:t>
      </w:r>
      <w:r w:rsidR="001F4619">
        <w:t xml:space="preserve">BEV </w:t>
      </w:r>
      <w:r w:rsidR="0046738D">
        <w:t>also</w:t>
      </w:r>
      <w:r w:rsidR="000F5D2C">
        <w:t xml:space="preserve"> results in significantly lower rates for new onset atrial fibrillation (AF), major bleeding events and </w:t>
      </w:r>
      <w:r w:rsidR="00C33262">
        <w:t>acute kidney injury</w:t>
      </w:r>
      <w:r w:rsidR="00F06096">
        <w:t>.</w:t>
      </w:r>
    </w:p>
    <w:p w14:paraId="400A7A7E" w14:textId="186F6374" w:rsidR="00262865" w:rsidRPr="0075732E" w:rsidRDefault="008233FB" w:rsidP="001B29A1">
      <w:pPr>
        <w:ind w:left="426"/>
        <w:rPr>
          <w:szCs w:val="20"/>
          <w:u w:val="single"/>
        </w:rPr>
      </w:pPr>
      <w:r w:rsidRPr="0075732E">
        <w:rPr>
          <w:szCs w:val="20"/>
          <w:u w:val="single"/>
        </w:rPr>
        <w:t>Overall survival</w:t>
      </w:r>
      <w:r w:rsidR="00FD12A2">
        <w:rPr>
          <w:szCs w:val="20"/>
          <w:u w:val="single"/>
        </w:rPr>
        <w:t>:</w:t>
      </w:r>
    </w:p>
    <w:p w14:paraId="1A0FA93B" w14:textId="19D2EE84" w:rsidR="00EE39C0" w:rsidRDefault="00FF3ECC" w:rsidP="0097322F">
      <w:pPr>
        <w:ind w:left="426"/>
        <w:rPr>
          <w:color w:val="000000" w:themeColor="text1"/>
        </w:rPr>
      </w:pPr>
      <w:r>
        <w:rPr>
          <w:szCs w:val="20"/>
        </w:rPr>
        <w:t>In</w:t>
      </w:r>
      <w:r w:rsidR="0023384F">
        <w:rPr>
          <w:szCs w:val="20"/>
        </w:rPr>
        <w:t xml:space="preserve"> the single-arm</w:t>
      </w:r>
      <w:r>
        <w:rPr>
          <w:szCs w:val="20"/>
        </w:rPr>
        <w:t xml:space="preserve"> PARTNER S3i</w:t>
      </w:r>
      <w:r w:rsidR="0023384F">
        <w:rPr>
          <w:szCs w:val="20"/>
        </w:rPr>
        <w:t xml:space="preserve"> trial</w:t>
      </w:r>
      <w:r>
        <w:rPr>
          <w:szCs w:val="20"/>
        </w:rPr>
        <w:t xml:space="preserve">, </w:t>
      </w:r>
      <w:r w:rsidRPr="0030003E">
        <w:rPr>
          <w:szCs w:val="20"/>
        </w:rPr>
        <w:t>1078</w:t>
      </w:r>
      <w:r>
        <w:rPr>
          <w:szCs w:val="20"/>
        </w:rPr>
        <w:t xml:space="preserve"> </w:t>
      </w:r>
      <w:r w:rsidRPr="005F1D84">
        <w:rPr>
          <w:szCs w:val="20"/>
        </w:rPr>
        <w:t>intermediate</w:t>
      </w:r>
      <w:r>
        <w:rPr>
          <w:szCs w:val="20"/>
        </w:rPr>
        <w:t xml:space="preserve"> </w:t>
      </w:r>
      <w:r w:rsidRPr="005F1D84">
        <w:rPr>
          <w:szCs w:val="20"/>
        </w:rPr>
        <w:t>risk</w:t>
      </w:r>
      <w:r w:rsidRPr="0030003E">
        <w:rPr>
          <w:szCs w:val="20"/>
        </w:rPr>
        <w:t xml:space="preserve"> patients with severe </w:t>
      </w:r>
      <w:r>
        <w:rPr>
          <w:szCs w:val="20"/>
        </w:rPr>
        <w:t xml:space="preserve">AS </w:t>
      </w:r>
      <w:r w:rsidRPr="0030003E">
        <w:rPr>
          <w:szCs w:val="20"/>
        </w:rPr>
        <w:t xml:space="preserve">were </w:t>
      </w:r>
      <w:r w:rsidR="005F2638">
        <w:rPr>
          <w:szCs w:val="20"/>
        </w:rPr>
        <w:t xml:space="preserve">implanted </w:t>
      </w:r>
      <w:r>
        <w:rPr>
          <w:szCs w:val="20"/>
        </w:rPr>
        <w:t xml:space="preserve">with the </w:t>
      </w:r>
      <w:r w:rsidRPr="00FF3ECC">
        <w:rPr>
          <w:szCs w:val="20"/>
        </w:rPr>
        <w:t>SAPIEN 3 valve</w:t>
      </w:r>
      <w:r w:rsidR="0030003E" w:rsidRPr="0030003E">
        <w:rPr>
          <w:szCs w:val="20"/>
        </w:rPr>
        <w:t xml:space="preserve">. </w:t>
      </w:r>
      <w:r>
        <w:rPr>
          <w:szCs w:val="20"/>
        </w:rPr>
        <w:t xml:space="preserve">Outcomes over two years </w:t>
      </w:r>
      <w:r w:rsidR="0030003E" w:rsidRPr="0030003E">
        <w:rPr>
          <w:szCs w:val="20"/>
        </w:rPr>
        <w:t>were compared with those</w:t>
      </w:r>
      <w:r w:rsidR="00F52BD8">
        <w:rPr>
          <w:szCs w:val="20"/>
        </w:rPr>
        <w:t xml:space="preserve"> of 1021 patients randomised to</w:t>
      </w:r>
      <w:r w:rsidR="0030003E" w:rsidRPr="0030003E">
        <w:rPr>
          <w:szCs w:val="20"/>
        </w:rPr>
        <w:t xml:space="preserve"> SAVR </w:t>
      </w:r>
      <w:r w:rsidR="00F52BD8">
        <w:rPr>
          <w:szCs w:val="20"/>
        </w:rPr>
        <w:t>in</w:t>
      </w:r>
      <w:r w:rsidR="0030003E" w:rsidRPr="0030003E">
        <w:rPr>
          <w:szCs w:val="20"/>
        </w:rPr>
        <w:t xml:space="preserve"> the PARTNER 2A trial using propensity score </w:t>
      </w:r>
      <w:r>
        <w:rPr>
          <w:szCs w:val="20"/>
        </w:rPr>
        <w:t>analysis.</w:t>
      </w:r>
      <w:r w:rsidR="0097322F" w:rsidDel="0097322F">
        <w:rPr>
          <w:szCs w:val="20"/>
        </w:rPr>
        <w:t xml:space="preserve"> </w:t>
      </w:r>
      <w:r w:rsidR="0023384F">
        <w:rPr>
          <w:szCs w:val="20"/>
        </w:rPr>
        <w:t xml:space="preserve">(PARTNER 2A was a randomised controlled trial of TAVR BEV using </w:t>
      </w:r>
      <w:r w:rsidR="00530FE5">
        <w:rPr>
          <w:szCs w:val="20"/>
        </w:rPr>
        <w:t xml:space="preserve">the older generation SAPIEN XT valve versus SAVR in intermediate risk patients with severe AS.) </w:t>
      </w:r>
      <w:r w:rsidR="005F2638">
        <w:rPr>
          <w:szCs w:val="20"/>
        </w:rPr>
        <w:t xml:space="preserve">PARTNER S3i and PARTNER 2A recruited the same profile of patients. </w:t>
      </w:r>
      <w:r w:rsidR="008233FB">
        <w:rPr>
          <w:color w:val="000000" w:themeColor="text1"/>
        </w:rPr>
        <w:t xml:space="preserve">Survival rates were significantly higher for TAVI </w:t>
      </w:r>
      <w:r w:rsidR="00C33262">
        <w:rPr>
          <w:color w:val="000000" w:themeColor="text1"/>
        </w:rPr>
        <w:t xml:space="preserve">using the SAPIEN 3 </w:t>
      </w:r>
      <w:r w:rsidR="008233FB">
        <w:rPr>
          <w:color w:val="000000" w:themeColor="text1"/>
        </w:rPr>
        <w:t>BEV</w:t>
      </w:r>
      <w:r>
        <w:rPr>
          <w:color w:val="000000" w:themeColor="text1"/>
        </w:rPr>
        <w:t xml:space="preserve"> among patients in PARTNER S3i </w:t>
      </w:r>
      <w:r w:rsidR="008233FB">
        <w:rPr>
          <w:color w:val="000000" w:themeColor="text1"/>
        </w:rPr>
        <w:t>compared to SAVR</w:t>
      </w:r>
      <w:r>
        <w:rPr>
          <w:color w:val="000000" w:themeColor="text1"/>
        </w:rPr>
        <w:t xml:space="preserve"> patients in PARTNER 2A</w:t>
      </w:r>
      <w:r w:rsidR="008233FB">
        <w:rPr>
          <w:color w:val="000000" w:themeColor="text1"/>
        </w:rPr>
        <w:t xml:space="preserve"> (see figure below).</w:t>
      </w:r>
    </w:p>
    <w:p w14:paraId="45050C40" w14:textId="6C292DCC" w:rsidR="008233FB" w:rsidRDefault="008233FB" w:rsidP="008233FB">
      <w:pPr>
        <w:ind w:left="426"/>
        <w:rPr>
          <w:color w:val="000000" w:themeColor="text1"/>
        </w:rPr>
      </w:pPr>
    </w:p>
    <w:p w14:paraId="02CED3F0" w14:textId="34CECA11" w:rsidR="008233FB" w:rsidRPr="00EE39C0" w:rsidRDefault="008233FB" w:rsidP="008233FB">
      <w:pPr>
        <w:ind w:left="426"/>
        <w:rPr>
          <w:szCs w:val="20"/>
        </w:rPr>
      </w:pPr>
      <w:r>
        <w:rPr>
          <w:noProof/>
          <w:color w:val="000000" w:themeColor="text1"/>
          <w:lang w:eastAsia="en-AU"/>
        </w:rPr>
        <w:drawing>
          <wp:inline distT="0" distB="0" distL="0" distR="0" wp14:anchorId="7C2AAF49" wp14:editId="39F65C31">
            <wp:extent cx="5508345" cy="2960763"/>
            <wp:effectExtent l="0" t="0" r="0" b="0"/>
            <wp:docPr id="265" name="Picture 265" descr="Comparison"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05-Figures and Tables-14.jpg"/>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5506983" cy="2960031"/>
                    </a:xfrm>
                    <a:prstGeom prst="rect">
                      <a:avLst/>
                    </a:prstGeom>
                    <a:ln>
                      <a:noFill/>
                    </a:ln>
                    <a:extLst>
                      <a:ext uri="{53640926-AAD7-44D8-BBD7-CCE9431645EC}">
                        <a14:shadowObscured xmlns:a14="http://schemas.microsoft.com/office/drawing/2010/main"/>
                      </a:ext>
                    </a:extLst>
                  </pic:spPr>
                </pic:pic>
              </a:graphicData>
            </a:graphic>
          </wp:inline>
        </w:drawing>
      </w:r>
    </w:p>
    <w:p w14:paraId="1F92EF7B" w14:textId="4325C168" w:rsidR="0022101E" w:rsidRDefault="00C33262" w:rsidP="001B29A1">
      <w:pPr>
        <w:ind w:left="426"/>
        <w:rPr>
          <w:szCs w:val="20"/>
        </w:rPr>
      </w:pPr>
      <w:r>
        <w:rPr>
          <w:szCs w:val="20"/>
          <w:u w:val="single"/>
        </w:rPr>
        <w:t>Disabling</w:t>
      </w:r>
      <w:r w:rsidRPr="00181B4B">
        <w:rPr>
          <w:szCs w:val="20"/>
          <w:u w:val="single"/>
        </w:rPr>
        <w:t xml:space="preserve"> </w:t>
      </w:r>
      <w:r w:rsidR="0022101E" w:rsidRPr="00181B4B">
        <w:rPr>
          <w:szCs w:val="20"/>
          <w:u w:val="single"/>
        </w:rPr>
        <w:t>stroke</w:t>
      </w:r>
      <w:r w:rsidR="00CF7808">
        <w:rPr>
          <w:szCs w:val="20"/>
          <w:u w:val="single"/>
        </w:rPr>
        <w:t>:</w:t>
      </w:r>
    </w:p>
    <w:p w14:paraId="7E0CAB8E" w14:textId="7A96BE95" w:rsidR="0022101E" w:rsidRDefault="0022101E" w:rsidP="001B29A1">
      <w:pPr>
        <w:ind w:left="426"/>
      </w:pPr>
      <w:r>
        <w:t xml:space="preserve">In the PARTNER S3i propensity score analysis, the rate of major/disabling stroke with </w:t>
      </w:r>
      <w:r w:rsidR="00CF7808">
        <w:t xml:space="preserve">TAVI </w:t>
      </w:r>
      <w:r w:rsidR="00C33262">
        <w:t xml:space="preserve">using the SAPIEN 3 </w:t>
      </w:r>
      <w:r w:rsidR="00CF7808">
        <w:t xml:space="preserve">BEV </w:t>
      </w:r>
      <w:r>
        <w:t>was lower than that with</w:t>
      </w:r>
      <w:r w:rsidR="00CF7808">
        <w:t xml:space="preserve"> SAVR</w:t>
      </w:r>
      <w:r>
        <w:t>.</w:t>
      </w:r>
    </w:p>
    <w:tbl>
      <w:tblPr>
        <w:tblW w:w="455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CE9E5"/>
        <w:tblCellMar>
          <w:top w:w="115" w:type="dxa"/>
          <w:left w:w="115" w:type="dxa"/>
          <w:bottom w:w="115" w:type="dxa"/>
          <w:right w:w="115" w:type="dxa"/>
        </w:tblCellMar>
        <w:tblLook w:val="04A0" w:firstRow="1" w:lastRow="0" w:firstColumn="1" w:lastColumn="0" w:noHBand="0" w:noVBand="1"/>
      </w:tblPr>
      <w:tblGrid>
        <w:gridCol w:w="3474"/>
        <w:gridCol w:w="1819"/>
        <w:gridCol w:w="2924"/>
      </w:tblGrid>
      <w:tr w:rsidR="0022101E" w:rsidRPr="006310B3" w14:paraId="43CCD285" w14:textId="77777777" w:rsidTr="00FA347A">
        <w:trPr>
          <w:tblHeader/>
          <w:jc w:val="center"/>
        </w:trPr>
        <w:tc>
          <w:tcPr>
            <w:tcW w:w="2114" w:type="pct"/>
            <w:vMerge w:val="restart"/>
            <w:shd w:val="clear" w:color="auto" w:fill="A39382"/>
            <w:vAlign w:val="center"/>
          </w:tcPr>
          <w:p w14:paraId="2023914E" w14:textId="77777777" w:rsidR="0022101E" w:rsidRPr="00CF7808" w:rsidRDefault="0022101E" w:rsidP="00FA347A">
            <w:pPr>
              <w:pStyle w:val="TableText"/>
              <w:keepNext/>
              <w:keepLines/>
              <w:rPr>
                <w:b/>
                <w:color w:val="FFFFFF" w:themeColor="background1"/>
                <w:szCs w:val="18"/>
              </w:rPr>
            </w:pPr>
          </w:p>
        </w:tc>
        <w:tc>
          <w:tcPr>
            <w:tcW w:w="2886" w:type="pct"/>
            <w:gridSpan w:val="2"/>
            <w:shd w:val="clear" w:color="auto" w:fill="A39382"/>
          </w:tcPr>
          <w:p w14:paraId="0F8A32D5" w14:textId="20D9CE4B" w:rsidR="0022101E" w:rsidRPr="00CF7808" w:rsidRDefault="0022101E" w:rsidP="00FA347A">
            <w:pPr>
              <w:pStyle w:val="TableText"/>
              <w:keepNext/>
              <w:keepLines/>
              <w:jc w:val="center"/>
              <w:rPr>
                <w:b/>
                <w:color w:val="FFFFFF" w:themeColor="background1"/>
                <w:szCs w:val="18"/>
              </w:rPr>
            </w:pPr>
            <w:r w:rsidRPr="00CF7808">
              <w:rPr>
                <w:b/>
                <w:color w:val="FFFFFF" w:themeColor="background1"/>
                <w:szCs w:val="18"/>
              </w:rPr>
              <w:t>Rate</w:t>
            </w:r>
            <w:r w:rsidR="00CF7808" w:rsidRPr="00CF7808">
              <w:rPr>
                <w:b/>
                <w:color w:val="FFFFFF" w:themeColor="background1"/>
                <w:szCs w:val="18"/>
              </w:rPr>
              <w:t>s</w:t>
            </w:r>
            <w:r w:rsidRPr="00CF7808">
              <w:rPr>
                <w:b/>
                <w:color w:val="FFFFFF" w:themeColor="background1"/>
                <w:szCs w:val="18"/>
              </w:rPr>
              <w:t xml:space="preserve"> of </w:t>
            </w:r>
            <w:r w:rsidR="00CF7808" w:rsidRPr="00CF7808">
              <w:rPr>
                <w:b/>
                <w:color w:val="FFFFFF" w:themeColor="background1"/>
                <w:szCs w:val="18"/>
              </w:rPr>
              <w:t>m</w:t>
            </w:r>
            <w:r w:rsidRPr="00CF7808">
              <w:rPr>
                <w:b/>
                <w:color w:val="FFFFFF" w:themeColor="background1"/>
                <w:szCs w:val="18"/>
              </w:rPr>
              <w:t>ajor/</w:t>
            </w:r>
            <w:r w:rsidR="00CF7808" w:rsidRPr="00CF7808">
              <w:rPr>
                <w:b/>
                <w:color w:val="FFFFFF" w:themeColor="background1"/>
                <w:szCs w:val="18"/>
              </w:rPr>
              <w:t>d</w:t>
            </w:r>
            <w:r w:rsidRPr="00CF7808">
              <w:rPr>
                <w:b/>
                <w:color w:val="FFFFFF" w:themeColor="background1"/>
                <w:szCs w:val="18"/>
              </w:rPr>
              <w:t xml:space="preserve">isabling </w:t>
            </w:r>
            <w:r w:rsidR="00CF7808" w:rsidRPr="00CF7808">
              <w:rPr>
                <w:b/>
                <w:color w:val="FFFFFF" w:themeColor="background1"/>
                <w:szCs w:val="18"/>
              </w:rPr>
              <w:t>s</w:t>
            </w:r>
            <w:r w:rsidRPr="00CF7808">
              <w:rPr>
                <w:b/>
                <w:color w:val="FFFFFF" w:themeColor="background1"/>
                <w:szCs w:val="18"/>
              </w:rPr>
              <w:t>troke</w:t>
            </w:r>
          </w:p>
        </w:tc>
      </w:tr>
      <w:tr w:rsidR="0022101E" w:rsidRPr="006310B3" w14:paraId="4740ED2B" w14:textId="77777777" w:rsidTr="00FA347A">
        <w:trPr>
          <w:tblHeader/>
          <w:jc w:val="center"/>
        </w:trPr>
        <w:tc>
          <w:tcPr>
            <w:tcW w:w="2114" w:type="pct"/>
            <w:vMerge/>
            <w:shd w:val="clear" w:color="auto" w:fill="A39382"/>
          </w:tcPr>
          <w:p w14:paraId="23B51A8D" w14:textId="77777777" w:rsidR="0022101E" w:rsidRPr="00CF7808" w:rsidRDefault="0022101E" w:rsidP="00FA347A">
            <w:pPr>
              <w:pStyle w:val="TableText"/>
              <w:keepNext/>
              <w:keepLines/>
              <w:jc w:val="center"/>
              <w:rPr>
                <w:b/>
                <w:color w:val="FFFFFF" w:themeColor="background1"/>
                <w:szCs w:val="18"/>
              </w:rPr>
            </w:pPr>
          </w:p>
        </w:tc>
        <w:tc>
          <w:tcPr>
            <w:tcW w:w="1107" w:type="pct"/>
            <w:shd w:val="clear" w:color="auto" w:fill="A39382"/>
            <w:tcMar>
              <w:top w:w="115" w:type="dxa"/>
              <w:left w:w="115" w:type="dxa"/>
              <w:bottom w:w="115" w:type="dxa"/>
              <w:right w:w="115" w:type="dxa"/>
            </w:tcMar>
          </w:tcPr>
          <w:p w14:paraId="75C84BB7" w14:textId="77777777" w:rsidR="0022101E" w:rsidRPr="00CF7808" w:rsidRDefault="0022101E" w:rsidP="00FA347A">
            <w:pPr>
              <w:pStyle w:val="TableText"/>
              <w:keepNext/>
              <w:keepLines/>
              <w:spacing w:after="40"/>
              <w:jc w:val="center"/>
              <w:rPr>
                <w:b/>
                <w:color w:val="FFFFFF" w:themeColor="background1"/>
                <w:szCs w:val="18"/>
              </w:rPr>
            </w:pPr>
            <w:r w:rsidRPr="00CF7808">
              <w:rPr>
                <w:b/>
                <w:color w:val="FFFFFF" w:themeColor="background1"/>
                <w:szCs w:val="18"/>
              </w:rPr>
              <w:t>30 days</w:t>
            </w:r>
          </w:p>
        </w:tc>
        <w:tc>
          <w:tcPr>
            <w:tcW w:w="1779" w:type="pct"/>
            <w:shd w:val="clear" w:color="auto" w:fill="A39382"/>
            <w:tcMar>
              <w:top w:w="115" w:type="dxa"/>
              <w:left w:w="115" w:type="dxa"/>
              <w:bottom w:w="115" w:type="dxa"/>
              <w:right w:w="115" w:type="dxa"/>
            </w:tcMar>
          </w:tcPr>
          <w:p w14:paraId="200DAA09" w14:textId="77777777" w:rsidR="0022101E" w:rsidRPr="00CF7808" w:rsidRDefault="0022101E" w:rsidP="00FA347A">
            <w:pPr>
              <w:pStyle w:val="TableText"/>
              <w:keepNext/>
              <w:keepLines/>
              <w:jc w:val="center"/>
              <w:rPr>
                <w:b/>
                <w:color w:val="FFFFFF" w:themeColor="background1"/>
                <w:szCs w:val="18"/>
              </w:rPr>
            </w:pPr>
            <w:r w:rsidRPr="00CF7808">
              <w:rPr>
                <w:b/>
                <w:color w:val="FFFFFF" w:themeColor="background1"/>
                <w:szCs w:val="18"/>
              </w:rPr>
              <w:t>1 year</w:t>
            </w:r>
          </w:p>
        </w:tc>
      </w:tr>
      <w:tr w:rsidR="0022101E" w:rsidRPr="006310B3" w14:paraId="7F86D372" w14:textId="77777777" w:rsidTr="00FA347A">
        <w:trPr>
          <w:trHeight w:val="115"/>
          <w:jc w:val="center"/>
        </w:trPr>
        <w:tc>
          <w:tcPr>
            <w:tcW w:w="5000" w:type="pct"/>
            <w:gridSpan w:val="3"/>
            <w:shd w:val="clear" w:color="auto" w:fill="DAD3CC"/>
            <w:vAlign w:val="center"/>
          </w:tcPr>
          <w:p w14:paraId="20D7528E" w14:textId="77777777" w:rsidR="0022101E" w:rsidRPr="00181B4B" w:rsidRDefault="0022101E" w:rsidP="00FA347A">
            <w:pPr>
              <w:pStyle w:val="TableText"/>
              <w:rPr>
                <w:color w:val="auto"/>
                <w:szCs w:val="18"/>
              </w:rPr>
            </w:pPr>
            <w:r w:rsidRPr="00181B4B">
              <w:rPr>
                <w:b/>
                <w:i/>
                <w:color w:val="auto"/>
                <w:szCs w:val="18"/>
              </w:rPr>
              <w:t>PARTNER S3i Propensity Score Analysis</w:t>
            </w:r>
          </w:p>
        </w:tc>
      </w:tr>
      <w:tr w:rsidR="0022101E" w:rsidRPr="006310B3" w14:paraId="75D5DB42" w14:textId="77777777" w:rsidTr="00FA347A">
        <w:trPr>
          <w:jc w:val="center"/>
        </w:trPr>
        <w:tc>
          <w:tcPr>
            <w:tcW w:w="2114" w:type="pct"/>
            <w:shd w:val="clear" w:color="auto" w:fill="ECE9E5"/>
          </w:tcPr>
          <w:p w14:paraId="726AAFA7" w14:textId="04E0491B" w:rsidR="0022101E" w:rsidRPr="00181B4B" w:rsidRDefault="0022101E" w:rsidP="00FA347A">
            <w:pPr>
              <w:pStyle w:val="TableText"/>
              <w:rPr>
                <w:color w:val="auto"/>
                <w:szCs w:val="18"/>
              </w:rPr>
            </w:pPr>
            <w:r w:rsidRPr="00181B4B">
              <w:rPr>
                <w:color w:val="auto"/>
                <w:szCs w:val="18"/>
              </w:rPr>
              <w:t xml:space="preserve">TAVI </w:t>
            </w:r>
            <w:r w:rsidR="00C33262">
              <w:rPr>
                <w:color w:val="auto"/>
                <w:szCs w:val="18"/>
              </w:rPr>
              <w:t xml:space="preserve">using the SAPIEN 3 </w:t>
            </w:r>
            <w:r w:rsidRPr="00181B4B">
              <w:rPr>
                <w:color w:val="auto"/>
                <w:szCs w:val="18"/>
              </w:rPr>
              <w:t>BEV</w:t>
            </w:r>
          </w:p>
        </w:tc>
        <w:tc>
          <w:tcPr>
            <w:tcW w:w="1107" w:type="pct"/>
            <w:shd w:val="clear" w:color="auto" w:fill="ECE9E5"/>
            <w:tcMar>
              <w:top w:w="115" w:type="dxa"/>
              <w:left w:w="115" w:type="dxa"/>
              <w:bottom w:w="115" w:type="dxa"/>
              <w:right w:w="115" w:type="dxa"/>
            </w:tcMar>
          </w:tcPr>
          <w:p w14:paraId="01E18199" w14:textId="77777777" w:rsidR="0022101E" w:rsidRPr="00181B4B" w:rsidRDefault="0022101E" w:rsidP="00FA347A">
            <w:pPr>
              <w:pStyle w:val="TableText"/>
              <w:jc w:val="center"/>
              <w:rPr>
                <w:szCs w:val="18"/>
              </w:rPr>
            </w:pPr>
            <w:r w:rsidRPr="00181B4B">
              <w:rPr>
                <w:szCs w:val="18"/>
              </w:rPr>
              <w:t>1.0%</w:t>
            </w:r>
          </w:p>
        </w:tc>
        <w:tc>
          <w:tcPr>
            <w:tcW w:w="1779" w:type="pct"/>
            <w:shd w:val="clear" w:color="auto" w:fill="ECE9E5"/>
            <w:tcMar>
              <w:top w:w="115" w:type="dxa"/>
              <w:left w:w="115" w:type="dxa"/>
              <w:bottom w:w="115" w:type="dxa"/>
              <w:right w:w="115" w:type="dxa"/>
            </w:tcMar>
          </w:tcPr>
          <w:p w14:paraId="43357BA9" w14:textId="77777777" w:rsidR="0022101E" w:rsidRPr="00181B4B" w:rsidRDefault="0022101E" w:rsidP="00FA347A">
            <w:pPr>
              <w:pStyle w:val="TableText"/>
              <w:jc w:val="center"/>
              <w:rPr>
                <w:szCs w:val="18"/>
              </w:rPr>
            </w:pPr>
            <w:r w:rsidRPr="00181B4B">
              <w:rPr>
                <w:szCs w:val="18"/>
              </w:rPr>
              <w:t>2.3%</w:t>
            </w:r>
          </w:p>
        </w:tc>
      </w:tr>
      <w:tr w:rsidR="0022101E" w:rsidRPr="006310B3" w14:paraId="43627E22" w14:textId="77777777" w:rsidTr="00FA347A">
        <w:trPr>
          <w:jc w:val="center"/>
        </w:trPr>
        <w:tc>
          <w:tcPr>
            <w:tcW w:w="2114" w:type="pct"/>
            <w:shd w:val="clear" w:color="auto" w:fill="ECE9E5"/>
          </w:tcPr>
          <w:p w14:paraId="28497428" w14:textId="77777777" w:rsidR="0022101E" w:rsidRPr="00181B4B" w:rsidRDefault="0022101E" w:rsidP="00FA347A">
            <w:pPr>
              <w:pStyle w:val="TableText"/>
              <w:rPr>
                <w:color w:val="auto"/>
                <w:szCs w:val="18"/>
              </w:rPr>
            </w:pPr>
            <w:r w:rsidRPr="00181B4B">
              <w:rPr>
                <w:color w:val="auto"/>
                <w:szCs w:val="18"/>
              </w:rPr>
              <w:t>SAVR (from PARTNER 2A)</w:t>
            </w:r>
          </w:p>
        </w:tc>
        <w:tc>
          <w:tcPr>
            <w:tcW w:w="1107" w:type="pct"/>
            <w:shd w:val="clear" w:color="auto" w:fill="ECE9E5"/>
            <w:tcMar>
              <w:top w:w="115" w:type="dxa"/>
              <w:left w:w="115" w:type="dxa"/>
              <w:bottom w:w="115" w:type="dxa"/>
              <w:right w:w="115" w:type="dxa"/>
            </w:tcMar>
          </w:tcPr>
          <w:p w14:paraId="24F9DBB4" w14:textId="77777777" w:rsidR="0022101E" w:rsidRPr="00181B4B" w:rsidRDefault="0022101E" w:rsidP="00FA347A">
            <w:pPr>
              <w:pStyle w:val="TableText"/>
              <w:jc w:val="center"/>
              <w:rPr>
                <w:szCs w:val="18"/>
              </w:rPr>
            </w:pPr>
            <w:r w:rsidRPr="00181B4B">
              <w:rPr>
                <w:szCs w:val="18"/>
              </w:rPr>
              <w:t>4.4%</w:t>
            </w:r>
          </w:p>
        </w:tc>
        <w:tc>
          <w:tcPr>
            <w:tcW w:w="1779" w:type="pct"/>
            <w:shd w:val="clear" w:color="auto" w:fill="ECE9E5"/>
            <w:tcMar>
              <w:top w:w="115" w:type="dxa"/>
              <w:left w:w="115" w:type="dxa"/>
              <w:bottom w:w="115" w:type="dxa"/>
              <w:right w:w="115" w:type="dxa"/>
            </w:tcMar>
          </w:tcPr>
          <w:p w14:paraId="206E5292" w14:textId="77777777" w:rsidR="0022101E" w:rsidRPr="00181B4B" w:rsidRDefault="0022101E" w:rsidP="00FA347A">
            <w:pPr>
              <w:pStyle w:val="TableText"/>
              <w:jc w:val="center"/>
              <w:rPr>
                <w:szCs w:val="18"/>
              </w:rPr>
            </w:pPr>
            <w:r w:rsidRPr="00181B4B">
              <w:rPr>
                <w:szCs w:val="18"/>
              </w:rPr>
              <w:t>5.9%</w:t>
            </w:r>
          </w:p>
        </w:tc>
      </w:tr>
    </w:tbl>
    <w:p w14:paraId="52A247C8" w14:textId="7214CFDE" w:rsidR="0022101E" w:rsidRDefault="0022101E" w:rsidP="001B29A1">
      <w:pPr>
        <w:ind w:left="426"/>
      </w:pPr>
    </w:p>
    <w:p w14:paraId="23775DDA" w14:textId="45FF44FB" w:rsidR="0022101E" w:rsidRDefault="0022101E" w:rsidP="001B29A1">
      <w:pPr>
        <w:ind w:left="426"/>
      </w:pPr>
      <w:r>
        <w:rPr>
          <w:b/>
          <w:noProof/>
          <w:lang w:eastAsia="en-AU"/>
        </w:rPr>
        <w:lastRenderedPageBreak/>
        <w:drawing>
          <wp:inline distT="0" distB="0" distL="0" distR="0" wp14:anchorId="6D0624A7" wp14:editId="7220F359">
            <wp:extent cx="5369357" cy="2729696"/>
            <wp:effectExtent l="0" t="0" r="3175" b="0"/>
            <wp:docPr id="27" name="Picture 27" descr="Comparison"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05-Figures and Tables-16.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5374057" cy="2732085"/>
                    </a:xfrm>
                    <a:prstGeom prst="rect">
                      <a:avLst/>
                    </a:prstGeom>
                    <a:ln>
                      <a:noFill/>
                    </a:ln>
                    <a:extLst>
                      <a:ext uri="{53640926-AAD7-44D8-BBD7-CCE9431645EC}">
                        <a14:shadowObscured xmlns:a14="http://schemas.microsoft.com/office/drawing/2010/main"/>
                      </a:ext>
                    </a:extLst>
                  </pic:spPr>
                </pic:pic>
              </a:graphicData>
            </a:graphic>
          </wp:inline>
        </w:drawing>
      </w:r>
    </w:p>
    <w:p w14:paraId="3CC7851B" w14:textId="77777777" w:rsidR="007D0E47" w:rsidRDefault="007D0E47" w:rsidP="005D3634">
      <w:pPr>
        <w:spacing w:after="0"/>
        <w:ind w:left="426"/>
        <w:rPr>
          <w:szCs w:val="20"/>
          <w:u w:val="single"/>
        </w:rPr>
      </w:pPr>
    </w:p>
    <w:p w14:paraId="04DF8406" w14:textId="69AA13D3" w:rsidR="008233FB" w:rsidRPr="00181B4B" w:rsidRDefault="008233FB" w:rsidP="005D3634">
      <w:pPr>
        <w:spacing w:after="0"/>
        <w:ind w:left="426"/>
        <w:rPr>
          <w:szCs w:val="20"/>
          <w:u w:val="single"/>
        </w:rPr>
      </w:pPr>
      <w:r w:rsidRPr="00181B4B">
        <w:rPr>
          <w:szCs w:val="20"/>
          <w:u w:val="single"/>
        </w:rPr>
        <w:t xml:space="preserve">New onset </w:t>
      </w:r>
      <w:r w:rsidR="00CF7808">
        <w:rPr>
          <w:szCs w:val="20"/>
          <w:u w:val="single"/>
        </w:rPr>
        <w:t>atrial fribrillation (</w:t>
      </w:r>
      <w:r w:rsidRPr="00181B4B">
        <w:rPr>
          <w:szCs w:val="20"/>
          <w:u w:val="single"/>
        </w:rPr>
        <w:t>AF</w:t>
      </w:r>
      <w:r w:rsidR="00CF7808">
        <w:rPr>
          <w:szCs w:val="20"/>
          <w:u w:val="single"/>
        </w:rPr>
        <w:t>)</w:t>
      </w:r>
      <w:r w:rsidR="00FD12A2">
        <w:rPr>
          <w:szCs w:val="20"/>
          <w:u w:val="single"/>
        </w:rPr>
        <w:t>:</w:t>
      </w:r>
    </w:p>
    <w:p w14:paraId="6F848E02" w14:textId="5C81CD41" w:rsidR="008233FB" w:rsidRDefault="0022101E">
      <w:pPr>
        <w:spacing w:after="0"/>
        <w:ind w:left="426"/>
        <w:rPr>
          <w:szCs w:val="20"/>
        </w:rPr>
      </w:pPr>
      <w:r>
        <w:rPr>
          <w:szCs w:val="20"/>
        </w:rPr>
        <w:t>I</w:t>
      </w:r>
      <w:r w:rsidR="008233FB" w:rsidRPr="005D3634">
        <w:rPr>
          <w:szCs w:val="20"/>
        </w:rPr>
        <w:t>n the PARTNER S3i propensity score analysis</w:t>
      </w:r>
      <w:r w:rsidR="00CF7808">
        <w:rPr>
          <w:szCs w:val="20"/>
        </w:rPr>
        <w:t>,</w:t>
      </w:r>
      <w:r w:rsidR="00FD12A2">
        <w:rPr>
          <w:szCs w:val="20"/>
        </w:rPr>
        <w:t xml:space="preserve"> rates of</w:t>
      </w:r>
      <w:r w:rsidR="008233FB" w:rsidRPr="005D3634">
        <w:rPr>
          <w:szCs w:val="20"/>
        </w:rPr>
        <w:t xml:space="preserve"> new-onset AF were lower with TAVI </w:t>
      </w:r>
      <w:r w:rsidR="00C33262">
        <w:rPr>
          <w:szCs w:val="20"/>
        </w:rPr>
        <w:t xml:space="preserve">using the SAPIEN 3 </w:t>
      </w:r>
      <w:r w:rsidR="008233FB" w:rsidRPr="005D3634">
        <w:rPr>
          <w:szCs w:val="20"/>
        </w:rPr>
        <w:t xml:space="preserve">BEV than SAVR at both 30 days and </w:t>
      </w:r>
      <w:r w:rsidR="00FD12A2">
        <w:rPr>
          <w:szCs w:val="20"/>
        </w:rPr>
        <w:t>one</w:t>
      </w:r>
      <w:r w:rsidR="008233FB" w:rsidRPr="005D3634">
        <w:rPr>
          <w:szCs w:val="20"/>
        </w:rPr>
        <w:t xml:space="preserve"> year. </w:t>
      </w:r>
    </w:p>
    <w:p w14:paraId="5D501D46" w14:textId="272F1354" w:rsidR="00FA347A" w:rsidRDefault="00FA347A">
      <w:pPr>
        <w:spacing w:after="0"/>
        <w:ind w:left="426"/>
        <w:rPr>
          <w:szCs w:val="20"/>
        </w:rPr>
      </w:pPr>
    </w:p>
    <w:tbl>
      <w:tblPr>
        <w:tblW w:w="4564"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CE9E5"/>
        <w:tblCellMar>
          <w:top w:w="115" w:type="dxa"/>
          <w:left w:w="115" w:type="dxa"/>
          <w:bottom w:w="115" w:type="dxa"/>
          <w:right w:w="115" w:type="dxa"/>
        </w:tblCellMar>
        <w:tblLook w:val="04A0" w:firstRow="1" w:lastRow="0" w:firstColumn="1" w:lastColumn="0" w:noHBand="0" w:noVBand="1"/>
      </w:tblPr>
      <w:tblGrid>
        <w:gridCol w:w="2810"/>
        <w:gridCol w:w="2431"/>
        <w:gridCol w:w="2989"/>
      </w:tblGrid>
      <w:tr w:rsidR="00FA347A" w:rsidRPr="005D3634" w14:paraId="5A7B0EB8" w14:textId="77777777" w:rsidTr="00FA347A">
        <w:trPr>
          <w:trHeight w:val="389"/>
          <w:tblHeader/>
          <w:jc w:val="center"/>
        </w:trPr>
        <w:tc>
          <w:tcPr>
            <w:tcW w:w="1707" w:type="pct"/>
            <w:vMerge w:val="restart"/>
            <w:shd w:val="clear" w:color="auto" w:fill="A39382"/>
            <w:vAlign w:val="center"/>
          </w:tcPr>
          <w:p w14:paraId="2072A65C" w14:textId="77777777" w:rsidR="00FA347A" w:rsidRPr="005D3634" w:rsidRDefault="00FA347A" w:rsidP="00FA347A">
            <w:pPr>
              <w:pStyle w:val="TableText"/>
              <w:keepNext/>
              <w:rPr>
                <w:rFonts w:asciiTheme="minorHAnsi" w:eastAsiaTheme="majorEastAsia" w:hAnsiTheme="minorHAnsi" w:cstheme="minorHAnsi"/>
                <w:b/>
                <w:color w:val="FFFFFF" w:themeColor="background1"/>
                <w:sz w:val="20"/>
                <w:szCs w:val="20"/>
              </w:rPr>
            </w:pPr>
          </w:p>
        </w:tc>
        <w:tc>
          <w:tcPr>
            <w:tcW w:w="3293" w:type="pct"/>
            <w:gridSpan w:val="2"/>
            <w:shd w:val="clear" w:color="auto" w:fill="A39382"/>
          </w:tcPr>
          <w:p w14:paraId="6964C8DF" w14:textId="77777777" w:rsidR="00FA347A" w:rsidRPr="005D3634" w:rsidRDefault="00FA347A" w:rsidP="00FA347A">
            <w:pPr>
              <w:pStyle w:val="TableText"/>
              <w:keepNext/>
              <w:jc w:val="center"/>
              <w:rPr>
                <w:rFonts w:asciiTheme="minorHAnsi" w:eastAsiaTheme="majorEastAsia" w:hAnsiTheme="minorHAnsi" w:cstheme="minorHAnsi"/>
                <w:b/>
                <w:color w:val="FFFFFF" w:themeColor="background1"/>
                <w:sz w:val="20"/>
                <w:szCs w:val="20"/>
              </w:rPr>
            </w:pPr>
            <w:r w:rsidRPr="005D3634">
              <w:rPr>
                <w:rFonts w:asciiTheme="minorHAnsi" w:eastAsiaTheme="majorEastAsia" w:hAnsiTheme="minorHAnsi" w:cstheme="minorHAnsi"/>
                <w:b/>
                <w:color w:val="FFFFFF" w:themeColor="background1"/>
                <w:sz w:val="20"/>
                <w:szCs w:val="20"/>
              </w:rPr>
              <w:t>Rate</w:t>
            </w:r>
            <w:r>
              <w:rPr>
                <w:rFonts w:asciiTheme="minorHAnsi" w:eastAsiaTheme="majorEastAsia" w:hAnsiTheme="minorHAnsi" w:cstheme="minorHAnsi"/>
                <w:b/>
                <w:color w:val="FFFFFF" w:themeColor="background1"/>
                <w:sz w:val="20"/>
                <w:szCs w:val="20"/>
              </w:rPr>
              <w:t>s</w:t>
            </w:r>
            <w:r w:rsidRPr="005D3634">
              <w:rPr>
                <w:rFonts w:asciiTheme="minorHAnsi" w:eastAsiaTheme="majorEastAsia" w:hAnsiTheme="minorHAnsi" w:cstheme="minorHAnsi"/>
                <w:b/>
                <w:color w:val="FFFFFF" w:themeColor="background1"/>
                <w:sz w:val="20"/>
                <w:szCs w:val="20"/>
              </w:rPr>
              <w:t xml:space="preserve"> of </w:t>
            </w:r>
            <w:r>
              <w:rPr>
                <w:rFonts w:asciiTheme="minorHAnsi" w:eastAsiaTheme="majorEastAsia" w:hAnsiTheme="minorHAnsi" w:cstheme="minorHAnsi"/>
                <w:b/>
                <w:color w:val="FFFFFF" w:themeColor="background1"/>
                <w:sz w:val="20"/>
                <w:szCs w:val="20"/>
              </w:rPr>
              <w:t>n</w:t>
            </w:r>
            <w:r w:rsidRPr="005D3634">
              <w:rPr>
                <w:rFonts w:asciiTheme="minorHAnsi" w:eastAsiaTheme="majorEastAsia" w:hAnsiTheme="minorHAnsi" w:cstheme="minorHAnsi"/>
                <w:b/>
                <w:color w:val="FFFFFF" w:themeColor="background1"/>
                <w:sz w:val="20"/>
                <w:szCs w:val="20"/>
              </w:rPr>
              <w:t xml:space="preserve">ew-onset </w:t>
            </w:r>
            <w:r>
              <w:rPr>
                <w:rFonts w:asciiTheme="minorHAnsi" w:eastAsiaTheme="majorEastAsia" w:hAnsiTheme="minorHAnsi" w:cstheme="minorHAnsi"/>
                <w:b/>
                <w:color w:val="FFFFFF" w:themeColor="background1"/>
                <w:sz w:val="20"/>
                <w:szCs w:val="20"/>
              </w:rPr>
              <w:t>atrial fibrillation</w:t>
            </w:r>
          </w:p>
        </w:tc>
      </w:tr>
      <w:tr w:rsidR="00FA347A" w:rsidRPr="005D3634" w14:paraId="2037A576" w14:textId="77777777" w:rsidTr="00FA347A">
        <w:trPr>
          <w:trHeight w:val="424"/>
          <w:tblHeader/>
          <w:jc w:val="center"/>
        </w:trPr>
        <w:tc>
          <w:tcPr>
            <w:tcW w:w="1707" w:type="pct"/>
            <w:vMerge/>
            <w:shd w:val="clear" w:color="auto" w:fill="A39382"/>
          </w:tcPr>
          <w:p w14:paraId="3DF07E6A" w14:textId="77777777" w:rsidR="00FA347A" w:rsidRPr="00CD02BE" w:rsidRDefault="00FA347A" w:rsidP="00FA347A">
            <w:pPr>
              <w:pStyle w:val="TableText"/>
              <w:keepNext/>
              <w:jc w:val="center"/>
              <w:rPr>
                <w:rFonts w:asciiTheme="minorHAnsi" w:eastAsiaTheme="majorEastAsia" w:hAnsiTheme="minorHAnsi" w:cstheme="minorHAnsi"/>
                <w:b/>
                <w:color w:val="FFFFFF" w:themeColor="background1"/>
                <w:sz w:val="20"/>
                <w:szCs w:val="20"/>
              </w:rPr>
            </w:pPr>
          </w:p>
        </w:tc>
        <w:tc>
          <w:tcPr>
            <w:tcW w:w="1477" w:type="pct"/>
            <w:shd w:val="clear" w:color="auto" w:fill="A39382"/>
            <w:tcMar>
              <w:top w:w="115" w:type="dxa"/>
              <w:left w:w="115" w:type="dxa"/>
              <w:bottom w:w="115" w:type="dxa"/>
              <w:right w:w="115" w:type="dxa"/>
            </w:tcMar>
          </w:tcPr>
          <w:p w14:paraId="4E2E6C9E" w14:textId="77777777" w:rsidR="00FA347A" w:rsidRPr="00CD02BE" w:rsidRDefault="00FA347A" w:rsidP="00FA347A">
            <w:pPr>
              <w:pStyle w:val="TableText"/>
              <w:keepNext/>
              <w:spacing w:after="40"/>
              <w:jc w:val="center"/>
              <w:rPr>
                <w:rFonts w:asciiTheme="minorHAnsi" w:eastAsiaTheme="majorEastAsia" w:hAnsiTheme="minorHAnsi" w:cstheme="minorHAnsi"/>
                <w:b/>
                <w:color w:val="FFFFFF" w:themeColor="background1"/>
                <w:sz w:val="20"/>
                <w:szCs w:val="20"/>
              </w:rPr>
            </w:pPr>
            <w:r w:rsidRPr="00CD02BE">
              <w:rPr>
                <w:rFonts w:asciiTheme="minorHAnsi" w:eastAsiaTheme="majorEastAsia" w:hAnsiTheme="minorHAnsi" w:cstheme="minorHAnsi"/>
                <w:b/>
                <w:color w:val="FFFFFF" w:themeColor="background1"/>
                <w:sz w:val="20"/>
                <w:szCs w:val="20"/>
              </w:rPr>
              <w:t>30 days</w:t>
            </w:r>
          </w:p>
        </w:tc>
        <w:tc>
          <w:tcPr>
            <w:tcW w:w="1817" w:type="pct"/>
            <w:shd w:val="clear" w:color="auto" w:fill="A39382"/>
            <w:tcMar>
              <w:top w:w="115" w:type="dxa"/>
              <w:left w:w="115" w:type="dxa"/>
              <w:bottom w:w="115" w:type="dxa"/>
              <w:right w:w="115" w:type="dxa"/>
            </w:tcMar>
          </w:tcPr>
          <w:p w14:paraId="6609C782" w14:textId="77777777" w:rsidR="00FA347A" w:rsidRPr="00CD02BE" w:rsidRDefault="00FA347A" w:rsidP="00FA347A">
            <w:pPr>
              <w:pStyle w:val="TableText"/>
              <w:keepNext/>
              <w:jc w:val="center"/>
              <w:rPr>
                <w:rFonts w:asciiTheme="minorHAnsi" w:eastAsiaTheme="majorEastAsia" w:hAnsiTheme="minorHAnsi" w:cstheme="minorHAnsi"/>
                <w:b/>
                <w:color w:val="FFFFFF" w:themeColor="background1"/>
                <w:sz w:val="20"/>
                <w:szCs w:val="20"/>
              </w:rPr>
            </w:pPr>
            <w:r w:rsidRPr="00CD02BE">
              <w:rPr>
                <w:rFonts w:asciiTheme="minorHAnsi" w:eastAsiaTheme="majorEastAsia" w:hAnsiTheme="minorHAnsi" w:cstheme="minorHAnsi"/>
                <w:b/>
                <w:color w:val="FFFFFF" w:themeColor="background1"/>
                <w:sz w:val="20"/>
                <w:szCs w:val="20"/>
              </w:rPr>
              <w:t>1 year</w:t>
            </w:r>
          </w:p>
        </w:tc>
      </w:tr>
      <w:tr w:rsidR="00FA347A" w:rsidRPr="005D3634" w14:paraId="782A8F59" w14:textId="77777777" w:rsidTr="00FA347A">
        <w:trPr>
          <w:trHeight w:val="121"/>
          <w:jc w:val="center"/>
        </w:trPr>
        <w:tc>
          <w:tcPr>
            <w:tcW w:w="5000" w:type="pct"/>
            <w:gridSpan w:val="3"/>
            <w:shd w:val="clear" w:color="auto" w:fill="DAD3CC"/>
            <w:vAlign w:val="center"/>
          </w:tcPr>
          <w:p w14:paraId="11D3748A" w14:textId="77777777" w:rsidR="00FA347A" w:rsidRPr="005D3634" w:rsidRDefault="00FA347A" w:rsidP="00FA347A">
            <w:pPr>
              <w:pStyle w:val="TableText"/>
              <w:rPr>
                <w:rFonts w:asciiTheme="minorHAnsi" w:eastAsiaTheme="majorEastAsia" w:hAnsiTheme="minorHAnsi" w:cstheme="minorHAnsi"/>
                <w:color w:val="auto"/>
                <w:sz w:val="20"/>
                <w:szCs w:val="20"/>
              </w:rPr>
            </w:pPr>
            <w:r w:rsidRPr="005D3634">
              <w:rPr>
                <w:rFonts w:asciiTheme="minorHAnsi" w:eastAsiaTheme="majorEastAsia" w:hAnsiTheme="minorHAnsi" w:cstheme="minorHAnsi"/>
                <w:b/>
                <w:i/>
                <w:color w:val="auto"/>
                <w:sz w:val="20"/>
                <w:szCs w:val="20"/>
              </w:rPr>
              <w:t xml:space="preserve">PARTNER S3i </w:t>
            </w:r>
            <w:r>
              <w:rPr>
                <w:rFonts w:asciiTheme="minorHAnsi" w:eastAsiaTheme="majorEastAsia" w:hAnsiTheme="minorHAnsi" w:cstheme="minorHAnsi"/>
                <w:b/>
                <w:i/>
                <w:color w:val="auto"/>
                <w:sz w:val="20"/>
                <w:szCs w:val="20"/>
              </w:rPr>
              <w:t>p</w:t>
            </w:r>
            <w:r w:rsidRPr="005D3634">
              <w:rPr>
                <w:rFonts w:asciiTheme="minorHAnsi" w:eastAsiaTheme="majorEastAsia" w:hAnsiTheme="minorHAnsi" w:cstheme="minorHAnsi"/>
                <w:b/>
                <w:i/>
                <w:color w:val="auto"/>
                <w:sz w:val="20"/>
                <w:szCs w:val="20"/>
              </w:rPr>
              <w:t xml:space="preserve">ropensity </w:t>
            </w:r>
            <w:r>
              <w:rPr>
                <w:rFonts w:asciiTheme="minorHAnsi" w:eastAsiaTheme="majorEastAsia" w:hAnsiTheme="minorHAnsi" w:cstheme="minorHAnsi"/>
                <w:b/>
                <w:i/>
                <w:color w:val="auto"/>
                <w:sz w:val="20"/>
                <w:szCs w:val="20"/>
              </w:rPr>
              <w:t>s</w:t>
            </w:r>
            <w:r w:rsidRPr="005D3634">
              <w:rPr>
                <w:rFonts w:asciiTheme="minorHAnsi" w:eastAsiaTheme="majorEastAsia" w:hAnsiTheme="minorHAnsi" w:cstheme="minorHAnsi"/>
                <w:b/>
                <w:i/>
                <w:color w:val="auto"/>
                <w:sz w:val="20"/>
                <w:szCs w:val="20"/>
              </w:rPr>
              <w:t xml:space="preserve">core </w:t>
            </w:r>
            <w:r>
              <w:rPr>
                <w:rFonts w:asciiTheme="minorHAnsi" w:eastAsiaTheme="majorEastAsia" w:hAnsiTheme="minorHAnsi" w:cstheme="minorHAnsi"/>
                <w:b/>
                <w:i/>
                <w:color w:val="auto"/>
                <w:sz w:val="20"/>
                <w:szCs w:val="20"/>
              </w:rPr>
              <w:t>a</w:t>
            </w:r>
            <w:r w:rsidRPr="005D3634">
              <w:rPr>
                <w:rFonts w:asciiTheme="minorHAnsi" w:eastAsiaTheme="majorEastAsia" w:hAnsiTheme="minorHAnsi" w:cstheme="minorHAnsi"/>
                <w:b/>
                <w:i/>
                <w:color w:val="auto"/>
                <w:sz w:val="20"/>
                <w:szCs w:val="20"/>
              </w:rPr>
              <w:t>nalysis</w:t>
            </w:r>
          </w:p>
        </w:tc>
      </w:tr>
      <w:tr w:rsidR="00FA347A" w:rsidRPr="005D3634" w14:paraId="55FA8507" w14:textId="77777777" w:rsidTr="00FA347A">
        <w:trPr>
          <w:trHeight w:val="265"/>
          <w:jc w:val="center"/>
        </w:trPr>
        <w:tc>
          <w:tcPr>
            <w:tcW w:w="1707" w:type="pct"/>
            <w:shd w:val="clear" w:color="auto" w:fill="ECE9E5"/>
          </w:tcPr>
          <w:p w14:paraId="13CA3289" w14:textId="3366EAFD" w:rsidR="00FA347A" w:rsidRPr="005D3634" w:rsidRDefault="00FA347A" w:rsidP="00FA347A">
            <w:pPr>
              <w:pStyle w:val="TableText"/>
              <w:rPr>
                <w:rFonts w:asciiTheme="minorHAnsi" w:eastAsiaTheme="majorEastAsia" w:hAnsiTheme="minorHAnsi" w:cstheme="minorHAnsi"/>
                <w:color w:val="auto"/>
                <w:sz w:val="20"/>
                <w:szCs w:val="20"/>
              </w:rPr>
            </w:pPr>
            <w:r w:rsidRPr="005D3634">
              <w:rPr>
                <w:rFonts w:asciiTheme="minorHAnsi" w:eastAsiaTheme="majorEastAsia" w:hAnsiTheme="minorHAnsi" w:cstheme="minorHAnsi"/>
                <w:color w:val="auto"/>
                <w:sz w:val="20"/>
                <w:szCs w:val="20"/>
              </w:rPr>
              <w:t xml:space="preserve">TAVI </w:t>
            </w:r>
            <w:r w:rsidR="00C33262">
              <w:rPr>
                <w:color w:val="auto"/>
                <w:szCs w:val="18"/>
              </w:rPr>
              <w:t xml:space="preserve">using the SAPIEN 3 </w:t>
            </w:r>
            <w:r w:rsidRPr="005D3634">
              <w:rPr>
                <w:rFonts w:asciiTheme="minorHAnsi" w:eastAsiaTheme="majorEastAsia" w:hAnsiTheme="minorHAnsi" w:cstheme="minorHAnsi"/>
                <w:color w:val="auto"/>
                <w:sz w:val="20"/>
                <w:szCs w:val="20"/>
              </w:rPr>
              <w:t>BEV</w:t>
            </w:r>
          </w:p>
        </w:tc>
        <w:tc>
          <w:tcPr>
            <w:tcW w:w="1477" w:type="pct"/>
            <w:shd w:val="clear" w:color="auto" w:fill="ECE9E5"/>
            <w:tcMar>
              <w:top w:w="115" w:type="dxa"/>
              <w:left w:w="115" w:type="dxa"/>
              <w:bottom w:w="115" w:type="dxa"/>
              <w:right w:w="115" w:type="dxa"/>
            </w:tcMar>
          </w:tcPr>
          <w:p w14:paraId="4F016625" w14:textId="77777777" w:rsidR="00FA347A" w:rsidRPr="005D3634" w:rsidRDefault="00FA347A" w:rsidP="00FA347A">
            <w:pPr>
              <w:pStyle w:val="TableText"/>
              <w:jc w:val="center"/>
              <w:rPr>
                <w:rFonts w:asciiTheme="minorHAnsi" w:eastAsiaTheme="majorEastAsia" w:hAnsiTheme="minorHAnsi" w:cstheme="minorHAnsi"/>
                <w:sz w:val="20"/>
                <w:szCs w:val="20"/>
              </w:rPr>
            </w:pPr>
            <w:r w:rsidRPr="005D3634">
              <w:rPr>
                <w:rFonts w:asciiTheme="minorHAnsi" w:eastAsiaTheme="majorEastAsia" w:hAnsiTheme="minorHAnsi" w:cstheme="minorHAnsi"/>
                <w:sz w:val="20"/>
                <w:szCs w:val="20"/>
              </w:rPr>
              <w:t>5.0%</w:t>
            </w:r>
          </w:p>
        </w:tc>
        <w:tc>
          <w:tcPr>
            <w:tcW w:w="1817" w:type="pct"/>
            <w:shd w:val="clear" w:color="auto" w:fill="ECE9E5"/>
            <w:tcMar>
              <w:top w:w="115" w:type="dxa"/>
              <w:left w:w="115" w:type="dxa"/>
              <w:bottom w:w="115" w:type="dxa"/>
              <w:right w:w="115" w:type="dxa"/>
            </w:tcMar>
          </w:tcPr>
          <w:p w14:paraId="03B87203" w14:textId="6BA16A1F" w:rsidR="00FA347A" w:rsidRPr="005D3634" w:rsidRDefault="00FA347A">
            <w:pPr>
              <w:pStyle w:val="TableText"/>
              <w:jc w:val="center"/>
              <w:rPr>
                <w:rFonts w:asciiTheme="minorHAnsi" w:eastAsiaTheme="majorEastAsia" w:hAnsiTheme="minorHAnsi" w:cstheme="minorHAnsi"/>
                <w:sz w:val="20"/>
                <w:szCs w:val="20"/>
              </w:rPr>
            </w:pPr>
            <w:r w:rsidRPr="005D3634">
              <w:rPr>
                <w:rFonts w:asciiTheme="minorHAnsi" w:eastAsiaTheme="majorEastAsia" w:hAnsiTheme="minorHAnsi" w:cstheme="minorHAnsi"/>
                <w:sz w:val="20"/>
                <w:szCs w:val="20"/>
              </w:rPr>
              <w:t>5.9%</w:t>
            </w:r>
          </w:p>
        </w:tc>
      </w:tr>
      <w:tr w:rsidR="00FA347A" w:rsidRPr="005D3634" w14:paraId="17ED1D41" w14:textId="77777777" w:rsidTr="00FA347A">
        <w:trPr>
          <w:trHeight w:val="283"/>
          <w:jc w:val="center"/>
        </w:trPr>
        <w:tc>
          <w:tcPr>
            <w:tcW w:w="1707" w:type="pct"/>
            <w:shd w:val="clear" w:color="auto" w:fill="ECE9E5"/>
          </w:tcPr>
          <w:p w14:paraId="06CE3045" w14:textId="77777777" w:rsidR="00FA347A" w:rsidRPr="005D3634" w:rsidRDefault="00FA347A" w:rsidP="00FA347A">
            <w:pPr>
              <w:pStyle w:val="TableText"/>
              <w:rPr>
                <w:rFonts w:asciiTheme="minorHAnsi" w:eastAsiaTheme="majorEastAsia" w:hAnsiTheme="minorHAnsi" w:cstheme="minorHAnsi"/>
                <w:color w:val="auto"/>
                <w:sz w:val="20"/>
                <w:szCs w:val="20"/>
              </w:rPr>
            </w:pPr>
            <w:r w:rsidRPr="005D3634">
              <w:rPr>
                <w:rFonts w:asciiTheme="minorHAnsi" w:eastAsiaTheme="majorEastAsia" w:hAnsiTheme="minorHAnsi" w:cstheme="minorHAnsi"/>
                <w:color w:val="auto"/>
                <w:sz w:val="20"/>
                <w:szCs w:val="20"/>
              </w:rPr>
              <w:t>SAVR</w:t>
            </w:r>
            <w:r>
              <w:rPr>
                <w:rFonts w:asciiTheme="minorHAnsi" w:eastAsiaTheme="majorEastAsia" w:hAnsiTheme="minorHAnsi" w:cstheme="minorHAnsi"/>
                <w:color w:val="auto"/>
                <w:sz w:val="20"/>
                <w:szCs w:val="20"/>
              </w:rPr>
              <w:t xml:space="preserve"> (from PARTNER 2A)</w:t>
            </w:r>
          </w:p>
        </w:tc>
        <w:tc>
          <w:tcPr>
            <w:tcW w:w="1477" w:type="pct"/>
            <w:shd w:val="clear" w:color="auto" w:fill="ECE9E5"/>
            <w:tcMar>
              <w:top w:w="115" w:type="dxa"/>
              <w:left w:w="115" w:type="dxa"/>
              <w:bottom w:w="115" w:type="dxa"/>
              <w:right w:w="115" w:type="dxa"/>
            </w:tcMar>
          </w:tcPr>
          <w:p w14:paraId="2F1E6890" w14:textId="77777777" w:rsidR="00FA347A" w:rsidRPr="005D3634" w:rsidRDefault="00FA347A" w:rsidP="00FA347A">
            <w:pPr>
              <w:pStyle w:val="TableText"/>
              <w:jc w:val="center"/>
              <w:rPr>
                <w:rFonts w:asciiTheme="minorHAnsi" w:eastAsiaTheme="majorEastAsia" w:hAnsiTheme="minorHAnsi" w:cstheme="minorHAnsi"/>
                <w:sz w:val="20"/>
                <w:szCs w:val="20"/>
              </w:rPr>
            </w:pPr>
            <w:r w:rsidRPr="005D3634">
              <w:rPr>
                <w:rFonts w:asciiTheme="minorHAnsi" w:eastAsiaTheme="majorEastAsia" w:hAnsiTheme="minorHAnsi" w:cstheme="minorHAnsi"/>
                <w:sz w:val="20"/>
                <w:szCs w:val="20"/>
              </w:rPr>
              <w:t>28.3%</w:t>
            </w:r>
          </w:p>
        </w:tc>
        <w:tc>
          <w:tcPr>
            <w:tcW w:w="1817" w:type="pct"/>
            <w:shd w:val="clear" w:color="auto" w:fill="ECE9E5"/>
            <w:tcMar>
              <w:top w:w="115" w:type="dxa"/>
              <w:left w:w="115" w:type="dxa"/>
              <w:bottom w:w="115" w:type="dxa"/>
              <w:right w:w="115" w:type="dxa"/>
            </w:tcMar>
          </w:tcPr>
          <w:p w14:paraId="3C9E1735" w14:textId="77777777" w:rsidR="00FA347A" w:rsidRPr="005D3634" w:rsidRDefault="00FA347A" w:rsidP="00FA347A">
            <w:pPr>
              <w:pStyle w:val="TableText"/>
              <w:jc w:val="center"/>
              <w:rPr>
                <w:rFonts w:asciiTheme="minorHAnsi" w:eastAsiaTheme="majorEastAsia" w:hAnsiTheme="minorHAnsi" w:cstheme="minorHAnsi"/>
                <w:sz w:val="20"/>
                <w:szCs w:val="20"/>
              </w:rPr>
            </w:pPr>
            <w:r w:rsidRPr="005D3634">
              <w:rPr>
                <w:rFonts w:asciiTheme="minorHAnsi" w:eastAsiaTheme="majorEastAsia" w:hAnsiTheme="minorHAnsi" w:cstheme="minorHAnsi"/>
                <w:sz w:val="20"/>
                <w:szCs w:val="20"/>
              </w:rPr>
              <w:t>29.2%</w:t>
            </w:r>
          </w:p>
        </w:tc>
      </w:tr>
    </w:tbl>
    <w:p w14:paraId="540532B7" w14:textId="526F17AF" w:rsidR="00FA347A" w:rsidRDefault="00FA347A">
      <w:pPr>
        <w:spacing w:after="0"/>
        <w:ind w:left="426"/>
        <w:rPr>
          <w:szCs w:val="20"/>
        </w:rPr>
      </w:pPr>
    </w:p>
    <w:p w14:paraId="0AEC79F5" w14:textId="0D3E44F5" w:rsidR="00FA347A" w:rsidRPr="00181B4B" w:rsidRDefault="00CF7808">
      <w:pPr>
        <w:spacing w:after="0"/>
        <w:ind w:left="426"/>
        <w:rPr>
          <w:szCs w:val="20"/>
          <w:u w:val="single"/>
        </w:rPr>
      </w:pPr>
      <w:r>
        <w:rPr>
          <w:szCs w:val="20"/>
          <w:u w:val="single"/>
        </w:rPr>
        <w:t>C</w:t>
      </w:r>
      <w:r w:rsidR="00106F36" w:rsidRPr="00181B4B">
        <w:rPr>
          <w:szCs w:val="20"/>
          <w:u w:val="single"/>
        </w:rPr>
        <w:t>ardiac death</w:t>
      </w:r>
      <w:r>
        <w:rPr>
          <w:szCs w:val="20"/>
          <w:u w:val="single"/>
        </w:rPr>
        <w:t>:</w:t>
      </w:r>
    </w:p>
    <w:p w14:paraId="15BD0D8F" w14:textId="127F818E" w:rsidR="00106F36" w:rsidRDefault="00106F36">
      <w:pPr>
        <w:spacing w:after="0"/>
        <w:ind w:left="426"/>
        <w:rPr>
          <w:szCs w:val="20"/>
        </w:rPr>
      </w:pPr>
      <w:r>
        <w:rPr>
          <w:szCs w:val="20"/>
        </w:rPr>
        <w:t xml:space="preserve">The rate of cardiac death was higher for SAVR in the the PARTNER 2A trial both at 30 days and one year when compared to TAVI </w:t>
      </w:r>
      <w:r w:rsidR="00C33262">
        <w:rPr>
          <w:szCs w:val="20"/>
        </w:rPr>
        <w:t xml:space="preserve">using the SAPIEN 3 </w:t>
      </w:r>
      <w:r>
        <w:rPr>
          <w:szCs w:val="20"/>
        </w:rPr>
        <w:t>BEV in the PARTNER S3i propsensity score analysis.</w:t>
      </w:r>
    </w:p>
    <w:p w14:paraId="051764CF" w14:textId="77777777" w:rsidR="00106F36" w:rsidRDefault="00106F36">
      <w:pPr>
        <w:spacing w:after="0"/>
        <w:ind w:left="426"/>
        <w:rPr>
          <w:szCs w:val="20"/>
        </w:rPr>
      </w:pPr>
    </w:p>
    <w:tbl>
      <w:tblPr>
        <w:tblW w:w="4564"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CE9E5"/>
        <w:tblCellMar>
          <w:top w:w="115" w:type="dxa"/>
          <w:left w:w="115" w:type="dxa"/>
          <w:bottom w:w="115" w:type="dxa"/>
          <w:right w:w="115" w:type="dxa"/>
        </w:tblCellMar>
        <w:tblLook w:val="04A0" w:firstRow="1" w:lastRow="0" w:firstColumn="1" w:lastColumn="0" w:noHBand="0" w:noVBand="1"/>
      </w:tblPr>
      <w:tblGrid>
        <w:gridCol w:w="2810"/>
        <w:gridCol w:w="2431"/>
        <w:gridCol w:w="2989"/>
      </w:tblGrid>
      <w:tr w:rsidR="00106F36" w:rsidRPr="005D3634" w14:paraId="1D4CC40E" w14:textId="77777777" w:rsidTr="00EF5FC0">
        <w:trPr>
          <w:trHeight w:val="389"/>
          <w:tblHeader/>
          <w:jc w:val="center"/>
        </w:trPr>
        <w:tc>
          <w:tcPr>
            <w:tcW w:w="1707" w:type="pct"/>
            <w:vMerge w:val="restart"/>
            <w:shd w:val="clear" w:color="auto" w:fill="A39382"/>
            <w:vAlign w:val="center"/>
          </w:tcPr>
          <w:p w14:paraId="3EDD1A23" w14:textId="77777777" w:rsidR="00106F36" w:rsidRPr="005D3634" w:rsidRDefault="00106F36" w:rsidP="00EF5FC0">
            <w:pPr>
              <w:pStyle w:val="TableText"/>
              <w:keepNext/>
              <w:rPr>
                <w:rFonts w:asciiTheme="minorHAnsi" w:eastAsiaTheme="majorEastAsia" w:hAnsiTheme="minorHAnsi" w:cstheme="minorHAnsi"/>
                <w:b/>
                <w:color w:val="FFFFFF" w:themeColor="background1"/>
                <w:sz w:val="20"/>
                <w:szCs w:val="20"/>
              </w:rPr>
            </w:pPr>
          </w:p>
        </w:tc>
        <w:tc>
          <w:tcPr>
            <w:tcW w:w="3293" w:type="pct"/>
            <w:gridSpan w:val="2"/>
            <w:shd w:val="clear" w:color="auto" w:fill="A39382"/>
          </w:tcPr>
          <w:p w14:paraId="43408575" w14:textId="6C08A4CD" w:rsidR="00106F36" w:rsidRPr="005D3634" w:rsidRDefault="00106F36">
            <w:pPr>
              <w:pStyle w:val="TableText"/>
              <w:keepNext/>
              <w:jc w:val="center"/>
              <w:rPr>
                <w:rFonts w:asciiTheme="minorHAnsi" w:eastAsiaTheme="majorEastAsia" w:hAnsiTheme="minorHAnsi" w:cstheme="minorHAnsi"/>
                <w:b/>
                <w:color w:val="FFFFFF" w:themeColor="background1"/>
                <w:sz w:val="20"/>
                <w:szCs w:val="20"/>
              </w:rPr>
            </w:pPr>
            <w:r w:rsidRPr="005D3634">
              <w:rPr>
                <w:rFonts w:asciiTheme="minorHAnsi" w:eastAsiaTheme="majorEastAsia" w:hAnsiTheme="minorHAnsi" w:cstheme="minorHAnsi"/>
                <w:b/>
                <w:color w:val="FFFFFF" w:themeColor="background1"/>
                <w:sz w:val="20"/>
                <w:szCs w:val="20"/>
              </w:rPr>
              <w:t>Rate</w:t>
            </w:r>
            <w:r>
              <w:rPr>
                <w:rFonts w:asciiTheme="minorHAnsi" w:eastAsiaTheme="majorEastAsia" w:hAnsiTheme="minorHAnsi" w:cstheme="minorHAnsi"/>
                <w:b/>
                <w:color w:val="FFFFFF" w:themeColor="background1"/>
                <w:sz w:val="20"/>
                <w:szCs w:val="20"/>
              </w:rPr>
              <w:t>s</w:t>
            </w:r>
            <w:r w:rsidRPr="005D3634">
              <w:rPr>
                <w:rFonts w:asciiTheme="minorHAnsi" w:eastAsiaTheme="majorEastAsia" w:hAnsiTheme="minorHAnsi" w:cstheme="minorHAnsi"/>
                <w:b/>
                <w:color w:val="FFFFFF" w:themeColor="background1"/>
                <w:sz w:val="20"/>
                <w:szCs w:val="20"/>
              </w:rPr>
              <w:t xml:space="preserve"> of</w:t>
            </w:r>
            <w:r>
              <w:rPr>
                <w:rFonts w:asciiTheme="minorHAnsi" w:eastAsiaTheme="majorEastAsia" w:hAnsiTheme="minorHAnsi" w:cstheme="minorHAnsi"/>
                <w:b/>
                <w:color w:val="FFFFFF" w:themeColor="background1"/>
                <w:sz w:val="20"/>
                <w:szCs w:val="20"/>
              </w:rPr>
              <w:t xml:space="preserve"> cardiac death</w:t>
            </w:r>
          </w:p>
        </w:tc>
      </w:tr>
      <w:tr w:rsidR="00106F36" w:rsidRPr="005D3634" w14:paraId="0536BCD5" w14:textId="77777777" w:rsidTr="00EF5FC0">
        <w:trPr>
          <w:trHeight w:val="424"/>
          <w:tblHeader/>
          <w:jc w:val="center"/>
        </w:trPr>
        <w:tc>
          <w:tcPr>
            <w:tcW w:w="1707" w:type="pct"/>
            <w:vMerge/>
            <w:shd w:val="clear" w:color="auto" w:fill="A39382"/>
          </w:tcPr>
          <w:p w14:paraId="250A0BCE" w14:textId="77777777" w:rsidR="00106F36" w:rsidRPr="00CD02BE" w:rsidRDefault="00106F36" w:rsidP="00EF5FC0">
            <w:pPr>
              <w:pStyle w:val="TableText"/>
              <w:keepNext/>
              <w:jc w:val="center"/>
              <w:rPr>
                <w:rFonts w:asciiTheme="minorHAnsi" w:eastAsiaTheme="majorEastAsia" w:hAnsiTheme="minorHAnsi" w:cstheme="minorHAnsi"/>
                <w:b/>
                <w:color w:val="FFFFFF" w:themeColor="background1"/>
                <w:sz w:val="20"/>
                <w:szCs w:val="20"/>
              </w:rPr>
            </w:pPr>
          </w:p>
        </w:tc>
        <w:tc>
          <w:tcPr>
            <w:tcW w:w="1477" w:type="pct"/>
            <w:shd w:val="clear" w:color="auto" w:fill="A39382"/>
            <w:tcMar>
              <w:top w:w="115" w:type="dxa"/>
              <w:left w:w="115" w:type="dxa"/>
              <w:bottom w:w="115" w:type="dxa"/>
              <w:right w:w="115" w:type="dxa"/>
            </w:tcMar>
          </w:tcPr>
          <w:p w14:paraId="0D739297" w14:textId="77777777" w:rsidR="00106F36" w:rsidRPr="00CD02BE" w:rsidRDefault="00106F36" w:rsidP="00EF5FC0">
            <w:pPr>
              <w:pStyle w:val="TableText"/>
              <w:keepNext/>
              <w:spacing w:after="40"/>
              <w:jc w:val="center"/>
              <w:rPr>
                <w:rFonts w:asciiTheme="minorHAnsi" w:eastAsiaTheme="majorEastAsia" w:hAnsiTheme="minorHAnsi" w:cstheme="minorHAnsi"/>
                <w:b/>
                <w:color w:val="FFFFFF" w:themeColor="background1"/>
                <w:sz w:val="20"/>
                <w:szCs w:val="20"/>
              </w:rPr>
            </w:pPr>
            <w:r w:rsidRPr="00CD02BE">
              <w:rPr>
                <w:rFonts w:asciiTheme="minorHAnsi" w:eastAsiaTheme="majorEastAsia" w:hAnsiTheme="minorHAnsi" w:cstheme="minorHAnsi"/>
                <w:b/>
                <w:color w:val="FFFFFF" w:themeColor="background1"/>
                <w:sz w:val="20"/>
                <w:szCs w:val="20"/>
              </w:rPr>
              <w:t>30 days</w:t>
            </w:r>
          </w:p>
        </w:tc>
        <w:tc>
          <w:tcPr>
            <w:tcW w:w="1817" w:type="pct"/>
            <w:shd w:val="clear" w:color="auto" w:fill="A39382"/>
            <w:tcMar>
              <w:top w:w="115" w:type="dxa"/>
              <w:left w:w="115" w:type="dxa"/>
              <w:bottom w:w="115" w:type="dxa"/>
              <w:right w:w="115" w:type="dxa"/>
            </w:tcMar>
          </w:tcPr>
          <w:p w14:paraId="25CB598A" w14:textId="77777777" w:rsidR="00106F36" w:rsidRPr="00CD02BE" w:rsidRDefault="00106F36" w:rsidP="00EF5FC0">
            <w:pPr>
              <w:pStyle w:val="TableText"/>
              <w:keepNext/>
              <w:jc w:val="center"/>
              <w:rPr>
                <w:rFonts w:asciiTheme="minorHAnsi" w:eastAsiaTheme="majorEastAsia" w:hAnsiTheme="minorHAnsi" w:cstheme="minorHAnsi"/>
                <w:b/>
                <w:color w:val="FFFFFF" w:themeColor="background1"/>
                <w:sz w:val="20"/>
                <w:szCs w:val="20"/>
              </w:rPr>
            </w:pPr>
            <w:r w:rsidRPr="00CD02BE">
              <w:rPr>
                <w:rFonts w:asciiTheme="minorHAnsi" w:eastAsiaTheme="majorEastAsia" w:hAnsiTheme="minorHAnsi" w:cstheme="minorHAnsi"/>
                <w:b/>
                <w:color w:val="FFFFFF" w:themeColor="background1"/>
                <w:sz w:val="20"/>
                <w:szCs w:val="20"/>
              </w:rPr>
              <w:t>1 year</w:t>
            </w:r>
          </w:p>
        </w:tc>
      </w:tr>
      <w:tr w:rsidR="00106F36" w:rsidRPr="005D3634" w14:paraId="5DD36E48" w14:textId="77777777" w:rsidTr="00EF5FC0">
        <w:trPr>
          <w:trHeight w:val="121"/>
          <w:jc w:val="center"/>
        </w:trPr>
        <w:tc>
          <w:tcPr>
            <w:tcW w:w="5000" w:type="pct"/>
            <w:gridSpan w:val="3"/>
            <w:shd w:val="clear" w:color="auto" w:fill="DAD3CC"/>
            <w:vAlign w:val="center"/>
          </w:tcPr>
          <w:p w14:paraId="1FF6E59D" w14:textId="77777777" w:rsidR="00106F36" w:rsidRPr="005D3634" w:rsidRDefault="00106F36" w:rsidP="00EF5FC0">
            <w:pPr>
              <w:pStyle w:val="TableText"/>
              <w:rPr>
                <w:rFonts w:asciiTheme="minorHAnsi" w:eastAsiaTheme="majorEastAsia" w:hAnsiTheme="minorHAnsi" w:cstheme="minorHAnsi"/>
                <w:color w:val="auto"/>
                <w:sz w:val="20"/>
                <w:szCs w:val="20"/>
              </w:rPr>
            </w:pPr>
            <w:r w:rsidRPr="005D3634">
              <w:rPr>
                <w:rFonts w:asciiTheme="minorHAnsi" w:eastAsiaTheme="majorEastAsia" w:hAnsiTheme="minorHAnsi" w:cstheme="minorHAnsi"/>
                <w:b/>
                <w:i/>
                <w:color w:val="auto"/>
                <w:sz w:val="20"/>
                <w:szCs w:val="20"/>
              </w:rPr>
              <w:t xml:space="preserve">PARTNER S3i </w:t>
            </w:r>
            <w:r>
              <w:rPr>
                <w:rFonts w:asciiTheme="minorHAnsi" w:eastAsiaTheme="majorEastAsia" w:hAnsiTheme="minorHAnsi" w:cstheme="minorHAnsi"/>
                <w:b/>
                <w:i/>
                <w:color w:val="auto"/>
                <w:sz w:val="20"/>
                <w:szCs w:val="20"/>
              </w:rPr>
              <w:t>p</w:t>
            </w:r>
            <w:r w:rsidRPr="005D3634">
              <w:rPr>
                <w:rFonts w:asciiTheme="minorHAnsi" w:eastAsiaTheme="majorEastAsia" w:hAnsiTheme="minorHAnsi" w:cstheme="minorHAnsi"/>
                <w:b/>
                <w:i/>
                <w:color w:val="auto"/>
                <w:sz w:val="20"/>
                <w:szCs w:val="20"/>
              </w:rPr>
              <w:t xml:space="preserve">ropensity </w:t>
            </w:r>
            <w:r>
              <w:rPr>
                <w:rFonts w:asciiTheme="minorHAnsi" w:eastAsiaTheme="majorEastAsia" w:hAnsiTheme="minorHAnsi" w:cstheme="minorHAnsi"/>
                <w:b/>
                <w:i/>
                <w:color w:val="auto"/>
                <w:sz w:val="20"/>
                <w:szCs w:val="20"/>
              </w:rPr>
              <w:t>s</w:t>
            </w:r>
            <w:r w:rsidRPr="005D3634">
              <w:rPr>
                <w:rFonts w:asciiTheme="minorHAnsi" w:eastAsiaTheme="majorEastAsia" w:hAnsiTheme="minorHAnsi" w:cstheme="minorHAnsi"/>
                <w:b/>
                <w:i/>
                <w:color w:val="auto"/>
                <w:sz w:val="20"/>
                <w:szCs w:val="20"/>
              </w:rPr>
              <w:t xml:space="preserve">core </w:t>
            </w:r>
            <w:r>
              <w:rPr>
                <w:rFonts w:asciiTheme="minorHAnsi" w:eastAsiaTheme="majorEastAsia" w:hAnsiTheme="minorHAnsi" w:cstheme="minorHAnsi"/>
                <w:b/>
                <w:i/>
                <w:color w:val="auto"/>
                <w:sz w:val="20"/>
                <w:szCs w:val="20"/>
              </w:rPr>
              <w:t>a</w:t>
            </w:r>
            <w:r w:rsidRPr="005D3634">
              <w:rPr>
                <w:rFonts w:asciiTheme="minorHAnsi" w:eastAsiaTheme="majorEastAsia" w:hAnsiTheme="minorHAnsi" w:cstheme="minorHAnsi"/>
                <w:b/>
                <w:i/>
                <w:color w:val="auto"/>
                <w:sz w:val="20"/>
                <w:szCs w:val="20"/>
              </w:rPr>
              <w:t>nalysis</w:t>
            </w:r>
          </w:p>
        </w:tc>
      </w:tr>
      <w:tr w:rsidR="00106F36" w:rsidRPr="005D3634" w14:paraId="394FEA4D" w14:textId="77777777" w:rsidTr="00EF5FC0">
        <w:trPr>
          <w:trHeight w:val="265"/>
          <w:jc w:val="center"/>
        </w:trPr>
        <w:tc>
          <w:tcPr>
            <w:tcW w:w="1707" w:type="pct"/>
            <w:shd w:val="clear" w:color="auto" w:fill="ECE9E5"/>
          </w:tcPr>
          <w:p w14:paraId="133AAD7B" w14:textId="696763D1" w:rsidR="00106F36" w:rsidRPr="005D3634" w:rsidRDefault="00106F36" w:rsidP="00EF5FC0">
            <w:pPr>
              <w:pStyle w:val="TableText"/>
              <w:rPr>
                <w:rFonts w:asciiTheme="minorHAnsi" w:eastAsiaTheme="majorEastAsia" w:hAnsiTheme="minorHAnsi" w:cstheme="minorHAnsi"/>
                <w:color w:val="auto"/>
                <w:sz w:val="20"/>
                <w:szCs w:val="20"/>
              </w:rPr>
            </w:pPr>
            <w:r w:rsidRPr="005D3634">
              <w:rPr>
                <w:rFonts w:asciiTheme="minorHAnsi" w:eastAsiaTheme="majorEastAsia" w:hAnsiTheme="minorHAnsi" w:cstheme="minorHAnsi"/>
                <w:color w:val="auto"/>
                <w:sz w:val="20"/>
                <w:szCs w:val="20"/>
              </w:rPr>
              <w:t xml:space="preserve">TAVI </w:t>
            </w:r>
            <w:r w:rsidR="00C33262">
              <w:rPr>
                <w:color w:val="auto"/>
                <w:szCs w:val="18"/>
              </w:rPr>
              <w:t xml:space="preserve">using the SAPIEN 3 </w:t>
            </w:r>
            <w:r w:rsidRPr="005D3634">
              <w:rPr>
                <w:rFonts w:asciiTheme="minorHAnsi" w:eastAsiaTheme="majorEastAsia" w:hAnsiTheme="minorHAnsi" w:cstheme="minorHAnsi"/>
                <w:color w:val="auto"/>
                <w:sz w:val="20"/>
                <w:szCs w:val="20"/>
              </w:rPr>
              <w:t>BEV</w:t>
            </w:r>
          </w:p>
        </w:tc>
        <w:tc>
          <w:tcPr>
            <w:tcW w:w="1477" w:type="pct"/>
            <w:shd w:val="clear" w:color="auto" w:fill="ECE9E5"/>
            <w:tcMar>
              <w:top w:w="115" w:type="dxa"/>
              <w:left w:w="115" w:type="dxa"/>
              <w:bottom w:w="115" w:type="dxa"/>
              <w:right w:w="115" w:type="dxa"/>
            </w:tcMar>
          </w:tcPr>
          <w:p w14:paraId="4D1DFBAF" w14:textId="4368CD72" w:rsidR="00106F36" w:rsidRPr="005D3634" w:rsidRDefault="00106F36" w:rsidP="00EF5FC0">
            <w:pPr>
              <w:pStyle w:val="TableText"/>
              <w:jc w:val="center"/>
              <w:rPr>
                <w:rFonts w:asciiTheme="minorHAnsi" w:eastAsiaTheme="majorEastAsia" w:hAnsiTheme="minorHAnsi" w:cstheme="minorHAnsi"/>
                <w:sz w:val="20"/>
                <w:szCs w:val="20"/>
              </w:rPr>
            </w:pPr>
            <w:r w:rsidRPr="005D3634">
              <w:rPr>
                <w:rFonts w:asciiTheme="minorHAnsi" w:eastAsiaTheme="majorEastAsia" w:hAnsiTheme="minorHAnsi" w:cstheme="minorHAnsi"/>
                <w:sz w:val="20"/>
                <w:szCs w:val="20"/>
              </w:rPr>
              <w:t>0</w:t>
            </w:r>
            <w:r>
              <w:rPr>
                <w:rFonts w:asciiTheme="minorHAnsi" w:eastAsiaTheme="majorEastAsia" w:hAnsiTheme="minorHAnsi" w:cstheme="minorHAnsi"/>
                <w:sz w:val="20"/>
                <w:szCs w:val="20"/>
              </w:rPr>
              <w:t>.9</w:t>
            </w:r>
            <w:r w:rsidRPr="005D3634">
              <w:rPr>
                <w:rFonts w:asciiTheme="minorHAnsi" w:eastAsiaTheme="majorEastAsia" w:hAnsiTheme="minorHAnsi" w:cstheme="minorHAnsi"/>
                <w:sz w:val="20"/>
                <w:szCs w:val="20"/>
              </w:rPr>
              <w:t>%</w:t>
            </w:r>
          </w:p>
        </w:tc>
        <w:tc>
          <w:tcPr>
            <w:tcW w:w="1817" w:type="pct"/>
            <w:shd w:val="clear" w:color="auto" w:fill="ECE9E5"/>
            <w:tcMar>
              <w:top w:w="115" w:type="dxa"/>
              <w:left w:w="115" w:type="dxa"/>
              <w:bottom w:w="115" w:type="dxa"/>
              <w:right w:w="115" w:type="dxa"/>
            </w:tcMar>
          </w:tcPr>
          <w:p w14:paraId="124D44AA" w14:textId="126FD2FF" w:rsidR="00106F36" w:rsidRPr="005D3634" w:rsidRDefault="00106F36">
            <w:pPr>
              <w:pStyle w:val="TableText"/>
              <w:jc w:val="center"/>
              <w:rPr>
                <w:rFonts w:asciiTheme="minorHAnsi" w:eastAsiaTheme="majorEastAsia" w:hAnsiTheme="minorHAnsi" w:cstheme="minorHAnsi"/>
                <w:sz w:val="20"/>
                <w:szCs w:val="20"/>
              </w:rPr>
            </w:pPr>
            <w:r>
              <w:rPr>
                <w:rFonts w:asciiTheme="minorHAnsi" w:eastAsiaTheme="majorEastAsia" w:hAnsiTheme="minorHAnsi" w:cstheme="minorHAnsi"/>
                <w:sz w:val="20"/>
                <w:szCs w:val="20"/>
              </w:rPr>
              <w:t>4.</w:t>
            </w:r>
            <w:r w:rsidRPr="005D3634">
              <w:rPr>
                <w:rFonts w:asciiTheme="minorHAnsi" w:eastAsiaTheme="majorEastAsia" w:hAnsiTheme="minorHAnsi" w:cstheme="minorHAnsi"/>
                <w:sz w:val="20"/>
                <w:szCs w:val="20"/>
              </w:rPr>
              <w:t>5%</w:t>
            </w:r>
          </w:p>
        </w:tc>
      </w:tr>
      <w:tr w:rsidR="00106F36" w:rsidRPr="005D3634" w14:paraId="15B02055" w14:textId="77777777" w:rsidTr="00EF5FC0">
        <w:trPr>
          <w:trHeight w:val="283"/>
          <w:jc w:val="center"/>
        </w:trPr>
        <w:tc>
          <w:tcPr>
            <w:tcW w:w="1707" w:type="pct"/>
            <w:shd w:val="clear" w:color="auto" w:fill="ECE9E5"/>
          </w:tcPr>
          <w:p w14:paraId="49DC5CD2" w14:textId="77777777" w:rsidR="00106F36" w:rsidRPr="005D3634" w:rsidRDefault="00106F36" w:rsidP="00EF5FC0">
            <w:pPr>
              <w:pStyle w:val="TableText"/>
              <w:rPr>
                <w:rFonts w:asciiTheme="minorHAnsi" w:eastAsiaTheme="majorEastAsia" w:hAnsiTheme="minorHAnsi" w:cstheme="minorHAnsi"/>
                <w:color w:val="auto"/>
                <w:sz w:val="20"/>
                <w:szCs w:val="20"/>
              </w:rPr>
            </w:pPr>
            <w:r w:rsidRPr="005D3634">
              <w:rPr>
                <w:rFonts w:asciiTheme="minorHAnsi" w:eastAsiaTheme="majorEastAsia" w:hAnsiTheme="minorHAnsi" w:cstheme="minorHAnsi"/>
                <w:color w:val="auto"/>
                <w:sz w:val="20"/>
                <w:szCs w:val="20"/>
              </w:rPr>
              <w:t>SAVR</w:t>
            </w:r>
            <w:r>
              <w:rPr>
                <w:rFonts w:asciiTheme="minorHAnsi" w:eastAsiaTheme="majorEastAsia" w:hAnsiTheme="minorHAnsi" w:cstheme="minorHAnsi"/>
                <w:color w:val="auto"/>
                <w:sz w:val="20"/>
                <w:szCs w:val="20"/>
              </w:rPr>
              <w:t xml:space="preserve"> (from PARTNER 2A)</w:t>
            </w:r>
          </w:p>
        </w:tc>
        <w:tc>
          <w:tcPr>
            <w:tcW w:w="1477" w:type="pct"/>
            <w:shd w:val="clear" w:color="auto" w:fill="ECE9E5"/>
            <w:tcMar>
              <w:top w:w="115" w:type="dxa"/>
              <w:left w:w="115" w:type="dxa"/>
              <w:bottom w:w="115" w:type="dxa"/>
              <w:right w:w="115" w:type="dxa"/>
            </w:tcMar>
          </w:tcPr>
          <w:p w14:paraId="25E1BDC1" w14:textId="36A2F0C0" w:rsidR="00106F36" w:rsidRPr="005D3634" w:rsidRDefault="00106F36" w:rsidP="00EF5FC0">
            <w:pPr>
              <w:pStyle w:val="TableText"/>
              <w:jc w:val="center"/>
              <w:rPr>
                <w:rFonts w:asciiTheme="minorHAnsi" w:eastAsiaTheme="majorEastAsia" w:hAnsiTheme="minorHAnsi" w:cstheme="minorHAnsi"/>
                <w:sz w:val="20"/>
                <w:szCs w:val="20"/>
              </w:rPr>
            </w:pPr>
            <w:r w:rsidRPr="005D3634">
              <w:rPr>
                <w:rFonts w:asciiTheme="minorHAnsi" w:eastAsiaTheme="majorEastAsia" w:hAnsiTheme="minorHAnsi" w:cstheme="minorHAnsi"/>
                <w:sz w:val="20"/>
                <w:szCs w:val="20"/>
              </w:rPr>
              <w:t>3</w:t>
            </w:r>
            <w:r>
              <w:rPr>
                <w:rFonts w:asciiTheme="minorHAnsi" w:eastAsiaTheme="majorEastAsia" w:hAnsiTheme="minorHAnsi" w:cstheme="minorHAnsi"/>
                <w:sz w:val="20"/>
                <w:szCs w:val="20"/>
              </w:rPr>
              <w:t>.1</w:t>
            </w:r>
            <w:r w:rsidRPr="005D3634">
              <w:rPr>
                <w:rFonts w:asciiTheme="minorHAnsi" w:eastAsiaTheme="majorEastAsia" w:hAnsiTheme="minorHAnsi" w:cstheme="minorHAnsi"/>
                <w:sz w:val="20"/>
                <w:szCs w:val="20"/>
              </w:rPr>
              <w:t>%</w:t>
            </w:r>
          </w:p>
        </w:tc>
        <w:tc>
          <w:tcPr>
            <w:tcW w:w="1817" w:type="pct"/>
            <w:shd w:val="clear" w:color="auto" w:fill="ECE9E5"/>
            <w:tcMar>
              <w:top w:w="115" w:type="dxa"/>
              <w:left w:w="115" w:type="dxa"/>
              <w:bottom w:w="115" w:type="dxa"/>
              <w:right w:w="115" w:type="dxa"/>
            </w:tcMar>
          </w:tcPr>
          <w:p w14:paraId="60396A4E" w14:textId="3D0412FC" w:rsidR="00106F36" w:rsidRPr="005D3634" w:rsidRDefault="00106F36" w:rsidP="00EF5FC0">
            <w:pPr>
              <w:pStyle w:val="TableText"/>
              <w:jc w:val="center"/>
              <w:rPr>
                <w:rFonts w:asciiTheme="minorHAnsi" w:eastAsiaTheme="majorEastAsia" w:hAnsiTheme="minorHAnsi" w:cstheme="minorHAnsi"/>
                <w:sz w:val="20"/>
                <w:szCs w:val="20"/>
              </w:rPr>
            </w:pPr>
            <w:r>
              <w:rPr>
                <w:rFonts w:asciiTheme="minorHAnsi" w:eastAsiaTheme="majorEastAsia" w:hAnsiTheme="minorHAnsi" w:cstheme="minorHAnsi"/>
                <w:sz w:val="20"/>
                <w:szCs w:val="20"/>
              </w:rPr>
              <w:t>8.1</w:t>
            </w:r>
            <w:r w:rsidRPr="005D3634">
              <w:rPr>
                <w:rFonts w:asciiTheme="minorHAnsi" w:eastAsiaTheme="majorEastAsia" w:hAnsiTheme="minorHAnsi" w:cstheme="minorHAnsi"/>
                <w:sz w:val="20"/>
                <w:szCs w:val="20"/>
              </w:rPr>
              <w:t>%</w:t>
            </w:r>
          </w:p>
        </w:tc>
      </w:tr>
    </w:tbl>
    <w:p w14:paraId="3B166392" w14:textId="77777777" w:rsidR="00FA347A" w:rsidRDefault="00FA347A">
      <w:pPr>
        <w:spacing w:after="0"/>
        <w:ind w:left="426"/>
        <w:rPr>
          <w:szCs w:val="20"/>
        </w:rPr>
      </w:pPr>
    </w:p>
    <w:p w14:paraId="1F8B05A1" w14:textId="77777777" w:rsidR="00FA347A" w:rsidRPr="00181B4B" w:rsidRDefault="00FA347A" w:rsidP="00FA347A">
      <w:pPr>
        <w:spacing w:after="0"/>
        <w:ind w:left="426"/>
        <w:rPr>
          <w:szCs w:val="20"/>
          <w:u w:val="single"/>
        </w:rPr>
      </w:pPr>
      <w:r w:rsidRPr="00181B4B">
        <w:rPr>
          <w:szCs w:val="20"/>
          <w:u w:val="single"/>
        </w:rPr>
        <w:lastRenderedPageBreak/>
        <w:t>Major bleeding events:</w:t>
      </w:r>
    </w:p>
    <w:p w14:paraId="44FB1F0B" w14:textId="5BB84CB6" w:rsidR="005D3634" w:rsidRDefault="00FA347A" w:rsidP="003F4F1C">
      <w:pPr>
        <w:spacing w:after="0"/>
        <w:ind w:left="426"/>
        <w:rPr>
          <w:b/>
        </w:rPr>
      </w:pPr>
      <w:r w:rsidRPr="00FA347A">
        <w:rPr>
          <w:szCs w:val="20"/>
        </w:rPr>
        <w:t xml:space="preserve">The PARTNER S3i propensity score analysis showed that the 30-day rate of life-threatening or disabling bleeding was considerably lower with TAVI </w:t>
      </w:r>
      <w:r w:rsidR="00C33262">
        <w:rPr>
          <w:szCs w:val="20"/>
        </w:rPr>
        <w:t xml:space="preserve">using the SAPIEN 3 </w:t>
      </w:r>
      <w:r w:rsidRPr="00FA347A">
        <w:rPr>
          <w:szCs w:val="20"/>
        </w:rPr>
        <w:t>BEV than SAVR.</w:t>
      </w:r>
      <w:r w:rsidR="003F4F1C">
        <w:rPr>
          <w:b/>
        </w:rPr>
        <w:t xml:space="preserve"> </w:t>
      </w:r>
    </w:p>
    <w:tbl>
      <w:tblPr>
        <w:tblW w:w="4654"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CE9E5"/>
        <w:tblCellMar>
          <w:top w:w="115" w:type="dxa"/>
          <w:left w:w="115" w:type="dxa"/>
          <w:bottom w:w="115" w:type="dxa"/>
          <w:right w:w="115" w:type="dxa"/>
        </w:tblCellMar>
        <w:tblLook w:val="04A0" w:firstRow="1" w:lastRow="0" w:firstColumn="1" w:lastColumn="0" w:noHBand="0" w:noVBand="1"/>
      </w:tblPr>
      <w:tblGrid>
        <w:gridCol w:w="3256"/>
        <w:gridCol w:w="5126"/>
        <w:gridCol w:w="10"/>
      </w:tblGrid>
      <w:tr w:rsidR="008233FB" w:rsidRPr="005D3634" w14:paraId="65E890BF" w14:textId="77777777" w:rsidTr="00181B4B">
        <w:trPr>
          <w:gridAfter w:val="1"/>
          <w:wAfter w:w="6" w:type="pct"/>
          <w:trHeight w:val="140"/>
          <w:tblHeader/>
          <w:jc w:val="center"/>
        </w:trPr>
        <w:tc>
          <w:tcPr>
            <w:tcW w:w="1940" w:type="pct"/>
            <w:vMerge w:val="restart"/>
            <w:shd w:val="clear" w:color="auto" w:fill="A39382"/>
            <w:vAlign w:val="center"/>
          </w:tcPr>
          <w:p w14:paraId="4E017E62" w14:textId="77777777" w:rsidR="008233FB" w:rsidRPr="005D3634" w:rsidRDefault="008233FB" w:rsidP="00B9731F">
            <w:pPr>
              <w:pStyle w:val="TableText"/>
              <w:keepNext/>
              <w:rPr>
                <w:rFonts w:asciiTheme="minorHAnsi" w:hAnsiTheme="minorHAnsi" w:cstheme="minorHAnsi"/>
                <w:b/>
                <w:color w:val="FFFFFF" w:themeColor="background1"/>
                <w:sz w:val="20"/>
                <w:szCs w:val="20"/>
              </w:rPr>
            </w:pPr>
          </w:p>
        </w:tc>
        <w:tc>
          <w:tcPr>
            <w:tcW w:w="3054" w:type="pct"/>
            <w:shd w:val="clear" w:color="auto" w:fill="A39382"/>
          </w:tcPr>
          <w:p w14:paraId="2A5A512A" w14:textId="290F2D4D" w:rsidR="008233FB" w:rsidRPr="005D3634" w:rsidRDefault="008233FB" w:rsidP="00B9731F">
            <w:pPr>
              <w:pStyle w:val="TableText"/>
              <w:keepNext/>
              <w:jc w:val="center"/>
              <w:rPr>
                <w:rFonts w:asciiTheme="minorHAnsi" w:hAnsiTheme="minorHAnsi" w:cstheme="minorHAnsi"/>
                <w:b/>
                <w:color w:val="FFFFFF" w:themeColor="background1"/>
                <w:sz w:val="20"/>
                <w:szCs w:val="20"/>
              </w:rPr>
            </w:pPr>
            <w:r w:rsidRPr="005D3634">
              <w:rPr>
                <w:rFonts w:asciiTheme="minorHAnsi" w:hAnsiTheme="minorHAnsi" w:cstheme="minorHAnsi"/>
                <w:b/>
                <w:color w:val="FFFFFF" w:themeColor="background1"/>
                <w:sz w:val="20"/>
                <w:szCs w:val="20"/>
              </w:rPr>
              <w:t>Rate</w:t>
            </w:r>
            <w:r w:rsidR="006F2C71">
              <w:rPr>
                <w:rFonts w:asciiTheme="minorHAnsi" w:hAnsiTheme="minorHAnsi" w:cstheme="minorHAnsi"/>
                <w:b/>
                <w:color w:val="FFFFFF" w:themeColor="background1"/>
                <w:sz w:val="20"/>
                <w:szCs w:val="20"/>
              </w:rPr>
              <w:t>s</w:t>
            </w:r>
            <w:r w:rsidRPr="005D3634">
              <w:rPr>
                <w:rFonts w:asciiTheme="minorHAnsi" w:hAnsiTheme="minorHAnsi" w:cstheme="minorHAnsi"/>
                <w:b/>
                <w:color w:val="FFFFFF" w:themeColor="background1"/>
                <w:sz w:val="20"/>
                <w:szCs w:val="20"/>
              </w:rPr>
              <w:t xml:space="preserve"> of </w:t>
            </w:r>
            <w:r w:rsidR="006F2C71">
              <w:rPr>
                <w:rFonts w:asciiTheme="minorHAnsi" w:hAnsiTheme="minorHAnsi" w:cstheme="minorHAnsi"/>
                <w:b/>
                <w:color w:val="FFFFFF" w:themeColor="background1"/>
                <w:sz w:val="20"/>
                <w:szCs w:val="20"/>
              </w:rPr>
              <w:t>m</w:t>
            </w:r>
            <w:r w:rsidRPr="005D3634">
              <w:rPr>
                <w:rFonts w:asciiTheme="minorHAnsi" w:hAnsiTheme="minorHAnsi" w:cstheme="minorHAnsi"/>
                <w:b/>
                <w:color w:val="FFFFFF" w:themeColor="background1"/>
                <w:sz w:val="20"/>
                <w:szCs w:val="20"/>
              </w:rPr>
              <w:t xml:space="preserve">ajor </w:t>
            </w:r>
            <w:r w:rsidR="006F2C71">
              <w:rPr>
                <w:rFonts w:asciiTheme="minorHAnsi" w:hAnsiTheme="minorHAnsi" w:cstheme="minorHAnsi"/>
                <w:b/>
                <w:color w:val="FFFFFF" w:themeColor="background1"/>
                <w:sz w:val="20"/>
                <w:szCs w:val="20"/>
              </w:rPr>
              <w:t>b</w:t>
            </w:r>
            <w:r w:rsidRPr="005D3634">
              <w:rPr>
                <w:rFonts w:asciiTheme="minorHAnsi" w:hAnsiTheme="minorHAnsi" w:cstheme="minorHAnsi"/>
                <w:b/>
                <w:color w:val="FFFFFF" w:themeColor="background1"/>
                <w:sz w:val="20"/>
                <w:szCs w:val="20"/>
              </w:rPr>
              <w:t xml:space="preserve">leeding </w:t>
            </w:r>
            <w:r w:rsidR="006F2C71">
              <w:rPr>
                <w:rFonts w:asciiTheme="minorHAnsi" w:hAnsiTheme="minorHAnsi" w:cstheme="minorHAnsi"/>
                <w:b/>
                <w:color w:val="FFFFFF" w:themeColor="background1"/>
                <w:sz w:val="20"/>
                <w:szCs w:val="20"/>
              </w:rPr>
              <w:t>e</w:t>
            </w:r>
            <w:r w:rsidRPr="005D3634">
              <w:rPr>
                <w:rFonts w:asciiTheme="minorHAnsi" w:hAnsiTheme="minorHAnsi" w:cstheme="minorHAnsi"/>
                <w:b/>
                <w:color w:val="FFFFFF" w:themeColor="background1"/>
                <w:sz w:val="20"/>
                <w:szCs w:val="20"/>
              </w:rPr>
              <w:t>vents</w:t>
            </w:r>
          </w:p>
        </w:tc>
      </w:tr>
      <w:tr w:rsidR="0022101E" w:rsidRPr="005D3634" w14:paraId="0FC2DDD6" w14:textId="77777777" w:rsidTr="00181B4B">
        <w:trPr>
          <w:gridAfter w:val="1"/>
          <w:wAfter w:w="6" w:type="pct"/>
          <w:trHeight w:val="76"/>
          <w:tblHeader/>
          <w:jc w:val="center"/>
        </w:trPr>
        <w:tc>
          <w:tcPr>
            <w:tcW w:w="1940" w:type="pct"/>
            <w:vMerge/>
            <w:shd w:val="clear" w:color="auto" w:fill="A39382"/>
          </w:tcPr>
          <w:p w14:paraId="2605DD15" w14:textId="77777777" w:rsidR="0022101E" w:rsidRPr="00181B4B" w:rsidRDefault="0022101E" w:rsidP="00B9731F">
            <w:pPr>
              <w:pStyle w:val="TableText"/>
              <w:keepNext/>
              <w:jc w:val="center"/>
              <w:rPr>
                <w:rFonts w:asciiTheme="minorHAnsi" w:hAnsiTheme="minorHAnsi" w:cstheme="minorHAnsi"/>
                <w:b/>
                <w:color w:val="FFFFFF" w:themeColor="background1"/>
                <w:sz w:val="20"/>
                <w:szCs w:val="20"/>
              </w:rPr>
            </w:pPr>
          </w:p>
        </w:tc>
        <w:tc>
          <w:tcPr>
            <w:tcW w:w="3054" w:type="pct"/>
            <w:shd w:val="clear" w:color="auto" w:fill="A39382"/>
            <w:tcMar>
              <w:top w:w="115" w:type="dxa"/>
              <w:left w:w="115" w:type="dxa"/>
              <w:bottom w:w="115" w:type="dxa"/>
              <w:right w:w="115" w:type="dxa"/>
            </w:tcMar>
          </w:tcPr>
          <w:p w14:paraId="49FF4578" w14:textId="77777777" w:rsidR="0022101E" w:rsidRPr="00181B4B" w:rsidRDefault="0022101E" w:rsidP="00B9731F">
            <w:pPr>
              <w:pStyle w:val="TableText"/>
              <w:keepNext/>
              <w:spacing w:after="40"/>
              <w:jc w:val="center"/>
              <w:rPr>
                <w:rFonts w:asciiTheme="minorHAnsi" w:hAnsiTheme="minorHAnsi" w:cstheme="minorHAnsi"/>
                <w:b/>
                <w:color w:val="FFFFFF" w:themeColor="background1"/>
                <w:sz w:val="20"/>
                <w:szCs w:val="20"/>
              </w:rPr>
            </w:pPr>
            <w:r w:rsidRPr="00181B4B">
              <w:rPr>
                <w:rFonts w:asciiTheme="minorHAnsi" w:hAnsiTheme="minorHAnsi" w:cstheme="minorHAnsi"/>
                <w:b/>
                <w:color w:val="FFFFFF" w:themeColor="background1"/>
                <w:sz w:val="20"/>
                <w:szCs w:val="20"/>
              </w:rPr>
              <w:t>30 days</w:t>
            </w:r>
          </w:p>
        </w:tc>
      </w:tr>
      <w:tr w:rsidR="008233FB" w:rsidRPr="005D3634" w14:paraId="556E382E" w14:textId="77777777" w:rsidTr="00181B4B">
        <w:trPr>
          <w:trHeight w:val="115"/>
          <w:jc w:val="center"/>
        </w:trPr>
        <w:tc>
          <w:tcPr>
            <w:tcW w:w="5000" w:type="pct"/>
            <w:gridSpan w:val="3"/>
            <w:shd w:val="clear" w:color="auto" w:fill="DAD3CC"/>
            <w:vAlign w:val="center"/>
          </w:tcPr>
          <w:p w14:paraId="532534FA" w14:textId="0C93500F" w:rsidR="008233FB" w:rsidRPr="005D3634" w:rsidRDefault="008233FB" w:rsidP="0097322F">
            <w:pPr>
              <w:pStyle w:val="TableText"/>
              <w:rPr>
                <w:rFonts w:asciiTheme="minorHAnsi" w:hAnsiTheme="minorHAnsi" w:cstheme="minorHAnsi"/>
                <w:color w:val="auto"/>
                <w:sz w:val="20"/>
                <w:szCs w:val="20"/>
              </w:rPr>
            </w:pPr>
            <w:r w:rsidRPr="005D3634">
              <w:rPr>
                <w:rFonts w:asciiTheme="minorHAnsi" w:hAnsiTheme="minorHAnsi" w:cstheme="minorHAnsi"/>
                <w:b/>
                <w:i/>
                <w:color w:val="auto"/>
                <w:sz w:val="20"/>
                <w:szCs w:val="20"/>
              </w:rPr>
              <w:t xml:space="preserve">PARTNER S3i </w:t>
            </w:r>
            <w:r w:rsidR="006F2C71">
              <w:rPr>
                <w:rFonts w:asciiTheme="minorHAnsi" w:hAnsiTheme="minorHAnsi" w:cstheme="minorHAnsi"/>
                <w:b/>
                <w:i/>
                <w:color w:val="auto"/>
                <w:sz w:val="20"/>
                <w:szCs w:val="20"/>
              </w:rPr>
              <w:t>p</w:t>
            </w:r>
            <w:r w:rsidRPr="005D3634">
              <w:rPr>
                <w:rFonts w:asciiTheme="minorHAnsi" w:hAnsiTheme="minorHAnsi" w:cstheme="minorHAnsi"/>
                <w:b/>
                <w:i/>
                <w:color w:val="auto"/>
                <w:sz w:val="20"/>
                <w:szCs w:val="20"/>
              </w:rPr>
              <w:t xml:space="preserve">ropensity </w:t>
            </w:r>
            <w:r w:rsidR="006F2C71">
              <w:rPr>
                <w:rFonts w:asciiTheme="minorHAnsi" w:hAnsiTheme="minorHAnsi" w:cstheme="minorHAnsi"/>
                <w:b/>
                <w:i/>
                <w:color w:val="auto"/>
                <w:sz w:val="20"/>
                <w:szCs w:val="20"/>
              </w:rPr>
              <w:t>s</w:t>
            </w:r>
            <w:r w:rsidRPr="005D3634">
              <w:rPr>
                <w:rFonts w:asciiTheme="minorHAnsi" w:hAnsiTheme="minorHAnsi" w:cstheme="minorHAnsi"/>
                <w:b/>
                <w:i/>
                <w:color w:val="auto"/>
                <w:sz w:val="20"/>
                <w:szCs w:val="20"/>
              </w:rPr>
              <w:t xml:space="preserve">core </w:t>
            </w:r>
            <w:r w:rsidR="006F2C71">
              <w:rPr>
                <w:rFonts w:asciiTheme="minorHAnsi" w:hAnsiTheme="minorHAnsi" w:cstheme="minorHAnsi"/>
                <w:b/>
                <w:i/>
                <w:color w:val="auto"/>
                <w:sz w:val="20"/>
                <w:szCs w:val="20"/>
              </w:rPr>
              <w:t>a</w:t>
            </w:r>
            <w:r w:rsidRPr="005D3634">
              <w:rPr>
                <w:rFonts w:asciiTheme="minorHAnsi" w:hAnsiTheme="minorHAnsi" w:cstheme="minorHAnsi"/>
                <w:b/>
                <w:i/>
                <w:color w:val="auto"/>
                <w:sz w:val="20"/>
                <w:szCs w:val="20"/>
              </w:rPr>
              <w:t>nalysis</w:t>
            </w:r>
          </w:p>
        </w:tc>
      </w:tr>
      <w:tr w:rsidR="0022101E" w:rsidRPr="005D3634" w14:paraId="636C5636" w14:textId="77777777" w:rsidTr="00181B4B">
        <w:trPr>
          <w:gridAfter w:val="1"/>
          <w:wAfter w:w="6" w:type="pct"/>
          <w:jc w:val="center"/>
        </w:trPr>
        <w:tc>
          <w:tcPr>
            <w:tcW w:w="1940" w:type="pct"/>
            <w:shd w:val="clear" w:color="auto" w:fill="ECE9E5"/>
          </w:tcPr>
          <w:p w14:paraId="006E22FE" w14:textId="76724D61" w:rsidR="0022101E" w:rsidRPr="005D3634" w:rsidRDefault="0022101E" w:rsidP="005D3634">
            <w:pPr>
              <w:pStyle w:val="TableText"/>
              <w:rPr>
                <w:rFonts w:asciiTheme="minorHAnsi" w:hAnsiTheme="minorHAnsi" w:cstheme="minorHAnsi"/>
                <w:color w:val="auto"/>
                <w:sz w:val="20"/>
                <w:szCs w:val="20"/>
              </w:rPr>
            </w:pPr>
            <w:r w:rsidRPr="005D3634">
              <w:rPr>
                <w:rFonts w:asciiTheme="minorHAnsi" w:hAnsiTheme="minorHAnsi" w:cstheme="minorHAnsi"/>
                <w:color w:val="auto"/>
                <w:sz w:val="20"/>
                <w:szCs w:val="20"/>
              </w:rPr>
              <w:t xml:space="preserve">TAVI </w:t>
            </w:r>
            <w:r w:rsidR="00C33262">
              <w:rPr>
                <w:color w:val="auto"/>
                <w:szCs w:val="18"/>
              </w:rPr>
              <w:t xml:space="preserve">using the SAPIEN 3 </w:t>
            </w:r>
            <w:r w:rsidRPr="005D3634">
              <w:rPr>
                <w:rFonts w:asciiTheme="minorHAnsi" w:hAnsiTheme="minorHAnsi" w:cstheme="minorHAnsi"/>
                <w:color w:val="auto"/>
                <w:sz w:val="20"/>
                <w:szCs w:val="20"/>
              </w:rPr>
              <w:t>BEV</w:t>
            </w:r>
          </w:p>
        </w:tc>
        <w:tc>
          <w:tcPr>
            <w:tcW w:w="3054" w:type="pct"/>
            <w:shd w:val="clear" w:color="auto" w:fill="ECE9E5"/>
            <w:tcMar>
              <w:top w:w="115" w:type="dxa"/>
              <w:left w:w="115" w:type="dxa"/>
              <w:bottom w:w="115" w:type="dxa"/>
              <w:right w:w="115" w:type="dxa"/>
            </w:tcMar>
          </w:tcPr>
          <w:p w14:paraId="1C411B6E" w14:textId="77777777" w:rsidR="0022101E" w:rsidRPr="005D3634" w:rsidRDefault="0022101E" w:rsidP="00B9731F">
            <w:pPr>
              <w:pStyle w:val="TableText"/>
              <w:jc w:val="center"/>
              <w:rPr>
                <w:rFonts w:asciiTheme="minorHAnsi" w:hAnsiTheme="minorHAnsi" w:cstheme="minorHAnsi"/>
                <w:sz w:val="20"/>
                <w:szCs w:val="20"/>
              </w:rPr>
            </w:pPr>
            <w:r w:rsidRPr="005D3634">
              <w:rPr>
                <w:rFonts w:asciiTheme="minorHAnsi" w:hAnsiTheme="minorHAnsi" w:cstheme="minorHAnsi"/>
                <w:sz w:val="20"/>
                <w:szCs w:val="20"/>
              </w:rPr>
              <w:t>4.6%</w:t>
            </w:r>
            <w:r w:rsidRPr="005D3634">
              <w:rPr>
                <w:rFonts w:asciiTheme="minorHAnsi" w:hAnsiTheme="minorHAnsi" w:cstheme="minorHAnsi"/>
                <w:sz w:val="20"/>
                <w:szCs w:val="20"/>
                <w:vertAlign w:val="superscript"/>
              </w:rPr>
              <w:t>a</w:t>
            </w:r>
          </w:p>
        </w:tc>
      </w:tr>
      <w:tr w:rsidR="0022101E" w:rsidRPr="005D3634" w14:paraId="53E3B60C" w14:textId="77777777" w:rsidTr="00181B4B">
        <w:trPr>
          <w:gridAfter w:val="1"/>
          <w:wAfter w:w="6" w:type="pct"/>
          <w:jc w:val="center"/>
        </w:trPr>
        <w:tc>
          <w:tcPr>
            <w:tcW w:w="1940" w:type="pct"/>
            <w:shd w:val="clear" w:color="auto" w:fill="ECE9E5"/>
          </w:tcPr>
          <w:p w14:paraId="4E34423A" w14:textId="75D04A81" w:rsidR="0022101E" w:rsidRPr="005D3634" w:rsidRDefault="0022101E" w:rsidP="00B9731F">
            <w:pPr>
              <w:pStyle w:val="TableText"/>
              <w:rPr>
                <w:rFonts w:asciiTheme="minorHAnsi" w:hAnsiTheme="minorHAnsi" w:cstheme="minorHAnsi"/>
                <w:color w:val="auto"/>
                <w:sz w:val="20"/>
                <w:szCs w:val="20"/>
              </w:rPr>
            </w:pPr>
            <w:r w:rsidRPr="005D3634">
              <w:rPr>
                <w:rFonts w:asciiTheme="minorHAnsi" w:hAnsiTheme="minorHAnsi" w:cstheme="minorHAnsi"/>
                <w:color w:val="auto"/>
                <w:sz w:val="20"/>
                <w:szCs w:val="20"/>
              </w:rPr>
              <w:t>SAVR</w:t>
            </w:r>
            <w:r>
              <w:rPr>
                <w:rFonts w:asciiTheme="minorHAnsi" w:hAnsiTheme="minorHAnsi" w:cstheme="minorHAnsi"/>
                <w:color w:val="auto"/>
                <w:sz w:val="20"/>
                <w:szCs w:val="20"/>
              </w:rPr>
              <w:t xml:space="preserve"> (from PARTNER 2A)</w:t>
            </w:r>
          </w:p>
        </w:tc>
        <w:tc>
          <w:tcPr>
            <w:tcW w:w="3054" w:type="pct"/>
            <w:shd w:val="clear" w:color="auto" w:fill="ECE9E5"/>
            <w:tcMar>
              <w:top w:w="115" w:type="dxa"/>
              <w:left w:w="115" w:type="dxa"/>
              <w:bottom w:w="115" w:type="dxa"/>
              <w:right w:w="115" w:type="dxa"/>
            </w:tcMar>
          </w:tcPr>
          <w:p w14:paraId="45DD7CBE" w14:textId="77777777" w:rsidR="0022101E" w:rsidRPr="005D3634" w:rsidRDefault="0022101E" w:rsidP="00B9731F">
            <w:pPr>
              <w:pStyle w:val="TableText"/>
              <w:jc w:val="center"/>
              <w:rPr>
                <w:rFonts w:asciiTheme="minorHAnsi" w:hAnsiTheme="minorHAnsi" w:cstheme="minorHAnsi"/>
                <w:sz w:val="20"/>
                <w:szCs w:val="20"/>
              </w:rPr>
            </w:pPr>
            <w:r w:rsidRPr="005D3634">
              <w:rPr>
                <w:rFonts w:asciiTheme="minorHAnsi" w:hAnsiTheme="minorHAnsi" w:cstheme="minorHAnsi"/>
                <w:sz w:val="20"/>
                <w:szCs w:val="20"/>
              </w:rPr>
              <w:t>46.7%</w:t>
            </w:r>
            <w:r w:rsidRPr="005D3634">
              <w:rPr>
                <w:rFonts w:asciiTheme="minorHAnsi" w:hAnsiTheme="minorHAnsi" w:cstheme="minorHAnsi"/>
                <w:sz w:val="20"/>
                <w:szCs w:val="20"/>
                <w:vertAlign w:val="superscript"/>
              </w:rPr>
              <w:t>a</w:t>
            </w:r>
          </w:p>
        </w:tc>
      </w:tr>
      <w:tr w:rsidR="008233FB" w:rsidRPr="005D3634" w14:paraId="39EFEC0E" w14:textId="5562ED4D" w:rsidTr="00181B4B">
        <w:trPr>
          <w:trHeight w:val="294"/>
          <w:jc w:val="center"/>
        </w:trPr>
        <w:tc>
          <w:tcPr>
            <w:tcW w:w="5000" w:type="pct"/>
            <w:gridSpan w:val="3"/>
            <w:shd w:val="clear" w:color="auto" w:fill="DAD3CC"/>
          </w:tcPr>
          <w:p w14:paraId="64E17FC7" w14:textId="430C9953" w:rsidR="008233FB" w:rsidRPr="005D3634" w:rsidRDefault="008233FB" w:rsidP="006F2C71">
            <w:pPr>
              <w:pStyle w:val="TableText"/>
              <w:rPr>
                <w:rFonts w:asciiTheme="minorHAnsi" w:hAnsiTheme="minorHAnsi" w:cstheme="minorHAnsi"/>
                <w:sz w:val="20"/>
                <w:szCs w:val="20"/>
              </w:rPr>
            </w:pPr>
            <w:r w:rsidRPr="005D3634">
              <w:rPr>
                <w:rFonts w:asciiTheme="minorHAnsi" w:hAnsiTheme="minorHAnsi" w:cstheme="minorHAnsi"/>
                <w:sz w:val="20"/>
                <w:szCs w:val="20"/>
                <w:vertAlign w:val="superscript"/>
              </w:rPr>
              <w:t xml:space="preserve">a </w:t>
            </w:r>
            <w:r w:rsidRPr="005D3634">
              <w:rPr>
                <w:rFonts w:asciiTheme="minorHAnsi" w:hAnsiTheme="minorHAnsi" w:cstheme="minorHAnsi"/>
                <w:sz w:val="20"/>
                <w:szCs w:val="20"/>
              </w:rPr>
              <w:t xml:space="preserve">Major bleeding not reported; rates for life-threatening or disabling bleeding. </w:t>
            </w:r>
          </w:p>
        </w:tc>
      </w:tr>
    </w:tbl>
    <w:p w14:paraId="0531DE43" w14:textId="0A60F3C5" w:rsidR="008233FB" w:rsidRDefault="008233FB" w:rsidP="008233FB"/>
    <w:p w14:paraId="15492869" w14:textId="7B355965" w:rsidR="005D3634" w:rsidRPr="005D3634" w:rsidRDefault="00CF7808" w:rsidP="001B29A1">
      <w:pPr>
        <w:ind w:left="426"/>
        <w:rPr>
          <w:szCs w:val="20"/>
          <w:u w:val="single"/>
        </w:rPr>
      </w:pPr>
      <w:r>
        <w:rPr>
          <w:szCs w:val="20"/>
          <w:u w:val="single"/>
        </w:rPr>
        <w:t>Acute kidney injury:</w:t>
      </w:r>
    </w:p>
    <w:p w14:paraId="47D44BA5" w14:textId="5BC52ACE" w:rsidR="005D3634" w:rsidRDefault="005D3634" w:rsidP="001B29A1">
      <w:pPr>
        <w:ind w:left="426"/>
        <w:rPr>
          <w:szCs w:val="20"/>
        </w:rPr>
      </w:pPr>
      <w:r w:rsidRPr="005D3634">
        <w:rPr>
          <w:szCs w:val="20"/>
        </w:rPr>
        <w:t xml:space="preserve">In </w:t>
      </w:r>
      <w:r w:rsidR="006F2C71">
        <w:rPr>
          <w:szCs w:val="20"/>
        </w:rPr>
        <w:t xml:space="preserve">the </w:t>
      </w:r>
      <w:r w:rsidRPr="005D3634">
        <w:rPr>
          <w:szCs w:val="20"/>
        </w:rPr>
        <w:t xml:space="preserve">PARTNER </w:t>
      </w:r>
      <w:r w:rsidR="006F2C71">
        <w:rPr>
          <w:szCs w:val="20"/>
        </w:rPr>
        <w:t>2</w:t>
      </w:r>
      <w:r w:rsidRPr="005D3634">
        <w:rPr>
          <w:szCs w:val="20"/>
        </w:rPr>
        <w:t xml:space="preserve"> S3i propensity score analysis, the 30-day rate </w:t>
      </w:r>
      <w:r w:rsidR="00CF7808">
        <w:rPr>
          <w:szCs w:val="20"/>
        </w:rPr>
        <w:t>of acute kidney injury</w:t>
      </w:r>
      <w:r w:rsidRPr="005D3634">
        <w:rPr>
          <w:szCs w:val="20"/>
        </w:rPr>
        <w:t xml:space="preserve"> was lower with</w:t>
      </w:r>
      <w:r w:rsidR="00CF7808">
        <w:rPr>
          <w:szCs w:val="20"/>
        </w:rPr>
        <w:t xml:space="preserve"> </w:t>
      </w:r>
      <w:r>
        <w:rPr>
          <w:szCs w:val="20"/>
        </w:rPr>
        <w:t>TAVI</w:t>
      </w:r>
      <w:r w:rsidR="00C33262" w:rsidRPr="00C33262">
        <w:rPr>
          <w:szCs w:val="20"/>
        </w:rPr>
        <w:t xml:space="preserve"> </w:t>
      </w:r>
      <w:r w:rsidR="00C33262">
        <w:rPr>
          <w:szCs w:val="20"/>
        </w:rPr>
        <w:t>using the SAPIEN 3</w:t>
      </w:r>
      <w:r>
        <w:rPr>
          <w:szCs w:val="20"/>
        </w:rPr>
        <w:t xml:space="preserve"> BEV</w:t>
      </w:r>
      <w:r w:rsidRPr="005D3634">
        <w:rPr>
          <w:szCs w:val="20"/>
        </w:rPr>
        <w:t xml:space="preserve"> than SAVR</w:t>
      </w:r>
      <w:r w:rsidR="006F2C71">
        <w:rPr>
          <w:szCs w:val="20"/>
        </w:rPr>
        <w:t>.</w:t>
      </w:r>
      <w:r w:rsidR="003F4F1C">
        <w:rPr>
          <w:szCs w:val="20"/>
        </w:rPr>
        <w:t xml:space="preserve"> </w:t>
      </w:r>
    </w:p>
    <w:tbl>
      <w:tblPr>
        <w:tblW w:w="4648"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CE9E5"/>
        <w:tblCellMar>
          <w:top w:w="115" w:type="dxa"/>
          <w:left w:w="115" w:type="dxa"/>
          <w:bottom w:w="115" w:type="dxa"/>
          <w:right w:w="115" w:type="dxa"/>
        </w:tblCellMar>
        <w:tblLook w:val="04A0" w:firstRow="1" w:lastRow="0" w:firstColumn="1" w:lastColumn="0" w:noHBand="0" w:noVBand="1"/>
      </w:tblPr>
      <w:tblGrid>
        <w:gridCol w:w="3681"/>
        <w:gridCol w:w="4700"/>
      </w:tblGrid>
      <w:tr w:rsidR="005D3634" w:rsidRPr="006F2C71" w14:paraId="1380E5C6" w14:textId="77777777" w:rsidTr="00181B4B">
        <w:trPr>
          <w:tblHeader/>
          <w:jc w:val="center"/>
        </w:trPr>
        <w:tc>
          <w:tcPr>
            <w:tcW w:w="2196" w:type="pct"/>
            <w:vMerge w:val="restart"/>
            <w:shd w:val="clear" w:color="auto" w:fill="A39382"/>
            <w:vAlign w:val="center"/>
          </w:tcPr>
          <w:p w14:paraId="10462EEE" w14:textId="77777777" w:rsidR="005D3634" w:rsidRPr="006F2C71" w:rsidRDefault="005D3634" w:rsidP="00B9731F">
            <w:pPr>
              <w:pStyle w:val="TableText"/>
              <w:keepNext/>
              <w:rPr>
                <w:rFonts w:cs="Arial"/>
                <w:b/>
                <w:color w:val="FFFFFF" w:themeColor="background1"/>
                <w:szCs w:val="18"/>
              </w:rPr>
            </w:pPr>
          </w:p>
        </w:tc>
        <w:tc>
          <w:tcPr>
            <w:tcW w:w="2802" w:type="pct"/>
            <w:shd w:val="clear" w:color="auto" w:fill="A39382"/>
          </w:tcPr>
          <w:p w14:paraId="6F8319C7" w14:textId="37191E94" w:rsidR="005D3634" w:rsidRPr="006F2C71" w:rsidRDefault="005D3634" w:rsidP="00B9731F">
            <w:pPr>
              <w:pStyle w:val="TableText"/>
              <w:keepNext/>
              <w:jc w:val="center"/>
              <w:rPr>
                <w:rFonts w:cs="Arial"/>
                <w:b/>
                <w:color w:val="FFFFFF" w:themeColor="background1"/>
                <w:szCs w:val="18"/>
              </w:rPr>
            </w:pPr>
            <w:r w:rsidRPr="006F2C71">
              <w:rPr>
                <w:rFonts w:cs="Arial"/>
                <w:b/>
                <w:color w:val="FFFFFF" w:themeColor="background1"/>
                <w:szCs w:val="18"/>
              </w:rPr>
              <w:t>Rate</w:t>
            </w:r>
            <w:r w:rsidR="006F2C71" w:rsidRPr="006F2C71">
              <w:rPr>
                <w:rFonts w:cs="Arial"/>
                <w:b/>
                <w:color w:val="FFFFFF" w:themeColor="background1"/>
                <w:szCs w:val="18"/>
              </w:rPr>
              <w:t>s</w:t>
            </w:r>
            <w:r w:rsidRPr="006F2C71">
              <w:rPr>
                <w:rFonts w:cs="Arial"/>
                <w:b/>
                <w:color w:val="FFFFFF" w:themeColor="background1"/>
                <w:szCs w:val="18"/>
              </w:rPr>
              <w:t xml:space="preserve"> of </w:t>
            </w:r>
            <w:r w:rsidR="006F2C71" w:rsidRPr="006F2C71">
              <w:rPr>
                <w:rFonts w:cs="Arial"/>
                <w:b/>
                <w:color w:val="FFFFFF" w:themeColor="background1"/>
                <w:szCs w:val="18"/>
              </w:rPr>
              <w:t>a</w:t>
            </w:r>
            <w:r w:rsidRPr="006F2C71">
              <w:rPr>
                <w:rFonts w:cs="Arial"/>
                <w:b/>
                <w:color w:val="FFFFFF" w:themeColor="background1"/>
                <w:szCs w:val="18"/>
              </w:rPr>
              <w:t xml:space="preserve">cute </w:t>
            </w:r>
            <w:r w:rsidR="006F2C71" w:rsidRPr="006F2C71">
              <w:rPr>
                <w:rFonts w:cs="Arial"/>
                <w:b/>
                <w:color w:val="FFFFFF" w:themeColor="background1"/>
                <w:szCs w:val="18"/>
              </w:rPr>
              <w:t>k</w:t>
            </w:r>
            <w:r w:rsidRPr="006F2C71">
              <w:rPr>
                <w:rFonts w:cs="Arial"/>
                <w:b/>
                <w:color w:val="FFFFFF" w:themeColor="background1"/>
                <w:szCs w:val="18"/>
              </w:rPr>
              <w:t xml:space="preserve">idney </w:t>
            </w:r>
            <w:r w:rsidR="006F2C71" w:rsidRPr="006F2C71">
              <w:rPr>
                <w:rFonts w:cs="Arial"/>
                <w:b/>
                <w:color w:val="FFFFFF" w:themeColor="background1"/>
                <w:szCs w:val="18"/>
              </w:rPr>
              <w:t>i</w:t>
            </w:r>
            <w:r w:rsidRPr="006F2C71">
              <w:rPr>
                <w:rFonts w:cs="Arial"/>
                <w:b/>
                <w:color w:val="FFFFFF" w:themeColor="background1"/>
                <w:szCs w:val="18"/>
              </w:rPr>
              <w:t>njury</w:t>
            </w:r>
          </w:p>
        </w:tc>
      </w:tr>
      <w:tr w:rsidR="0022101E" w:rsidRPr="006F2C71" w14:paraId="2BD586BB" w14:textId="77777777" w:rsidTr="00181B4B">
        <w:trPr>
          <w:tblHeader/>
          <w:jc w:val="center"/>
        </w:trPr>
        <w:tc>
          <w:tcPr>
            <w:tcW w:w="2196" w:type="pct"/>
            <w:vMerge/>
            <w:shd w:val="clear" w:color="auto" w:fill="A39382"/>
          </w:tcPr>
          <w:p w14:paraId="52FBA7C8" w14:textId="77777777" w:rsidR="0022101E" w:rsidRPr="006F2C71" w:rsidRDefault="0022101E" w:rsidP="00B9731F">
            <w:pPr>
              <w:pStyle w:val="TableText"/>
              <w:keepNext/>
              <w:jc w:val="center"/>
              <w:rPr>
                <w:rFonts w:cs="Arial"/>
                <w:b/>
                <w:color w:val="FFFFFF" w:themeColor="background1"/>
                <w:szCs w:val="18"/>
              </w:rPr>
            </w:pPr>
          </w:p>
        </w:tc>
        <w:tc>
          <w:tcPr>
            <w:tcW w:w="2802" w:type="pct"/>
            <w:shd w:val="clear" w:color="auto" w:fill="A39382"/>
            <w:tcMar>
              <w:top w:w="115" w:type="dxa"/>
              <w:left w:w="115" w:type="dxa"/>
              <w:bottom w:w="115" w:type="dxa"/>
              <w:right w:w="115" w:type="dxa"/>
            </w:tcMar>
          </w:tcPr>
          <w:p w14:paraId="1B608F1B" w14:textId="77777777" w:rsidR="0022101E" w:rsidRPr="006F2C71" w:rsidRDefault="0022101E" w:rsidP="00B9731F">
            <w:pPr>
              <w:pStyle w:val="TableText"/>
              <w:keepNext/>
              <w:spacing w:after="40"/>
              <w:jc w:val="center"/>
              <w:rPr>
                <w:rFonts w:cs="Arial"/>
                <w:b/>
                <w:color w:val="FFFFFF" w:themeColor="background1"/>
                <w:szCs w:val="18"/>
              </w:rPr>
            </w:pPr>
            <w:r w:rsidRPr="006F2C71">
              <w:rPr>
                <w:rFonts w:cs="Arial"/>
                <w:b/>
                <w:color w:val="FFFFFF" w:themeColor="background1"/>
                <w:szCs w:val="18"/>
              </w:rPr>
              <w:t>30 days</w:t>
            </w:r>
          </w:p>
        </w:tc>
      </w:tr>
      <w:tr w:rsidR="005D3634" w:rsidRPr="006F2C71" w14:paraId="083F9EB7" w14:textId="77777777" w:rsidTr="00181B4B">
        <w:trPr>
          <w:trHeight w:val="115"/>
          <w:jc w:val="center"/>
        </w:trPr>
        <w:tc>
          <w:tcPr>
            <w:tcW w:w="5000" w:type="pct"/>
            <w:gridSpan w:val="2"/>
            <w:shd w:val="clear" w:color="auto" w:fill="DAD3CC"/>
            <w:vAlign w:val="center"/>
          </w:tcPr>
          <w:p w14:paraId="198B18B5" w14:textId="5FB190E9" w:rsidR="005D3634" w:rsidRPr="009605D5" w:rsidRDefault="005D3634" w:rsidP="0097322F">
            <w:pPr>
              <w:pStyle w:val="TableText"/>
              <w:rPr>
                <w:rFonts w:cs="Arial"/>
                <w:color w:val="auto"/>
                <w:szCs w:val="18"/>
              </w:rPr>
            </w:pPr>
            <w:r w:rsidRPr="009605D5">
              <w:rPr>
                <w:rFonts w:cs="Arial"/>
                <w:b/>
                <w:i/>
                <w:color w:val="auto"/>
                <w:szCs w:val="18"/>
              </w:rPr>
              <w:t xml:space="preserve">PARTNER S3i </w:t>
            </w:r>
            <w:r w:rsidR="006F2C71">
              <w:rPr>
                <w:rFonts w:cs="Arial"/>
                <w:b/>
                <w:i/>
                <w:color w:val="auto"/>
                <w:szCs w:val="18"/>
              </w:rPr>
              <w:t>p</w:t>
            </w:r>
            <w:r w:rsidRPr="009605D5">
              <w:rPr>
                <w:rFonts w:cs="Arial"/>
                <w:b/>
                <w:i/>
                <w:color w:val="auto"/>
                <w:szCs w:val="18"/>
              </w:rPr>
              <w:t xml:space="preserve">ropensity </w:t>
            </w:r>
            <w:r w:rsidR="006F2C71">
              <w:rPr>
                <w:rFonts w:cs="Arial"/>
                <w:b/>
                <w:i/>
                <w:color w:val="auto"/>
                <w:szCs w:val="18"/>
              </w:rPr>
              <w:t>s</w:t>
            </w:r>
            <w:r w:rsidRPr="009605D5">
              <w:rPr>
                <w:rFonts w:cs="Arial"/>
                <w:b/>
                <w:i/>
                <w:color w:val="auto"/>
                <w:szCs w:val="18"/>
              </w:rPr>
              <w:t xml:space="preserve">core </w:t>
            </w:r>
            <w:r w:rsidR="006F2C71">
              <w:rPr>
                <w:rFonts w:cs="Arial"/>
                <w:b/>
                <w:i/>
                <w:color w:val="auto"/>
                <w:szCs w:val="18"/>
              </w:rPr>
              <w:t>a</w:t>
            </w:r>
            <w:r w:rsidRPr="009605D5">
              <w:rPr>
                <w:rFonts w:cs="Arial"/>
                <w:b/>
                <w:i/>
                <w:color w:val="auto"/>
                <w:szCs w:val="18"/>
              </w:rPr>
              <w:t>nalysi</w:t>
            </w:r>
            <w:r w:rsidR="00DE2730" w:rsidRPr="009605D5">
              <w:rPr>
                <w:rFonts w:cs="Arial"/>
                <w:b/>
                <w:i/>
                <w:color w:val="auto"/>
                <w:szCs w:val="18"/>
              </w:rPr>
              <w:t xml:space="preserve">s </w:t>
            </w:r>
            <w:r w:rsidRPr="009605D5">
              <w:rPr>
                <w:rFonts w:cs="Arial"/>
                <w:b/>
                <w:i/>
                <w:color w:val="auto"/>
                <w:szCs w:val="18"/>
                <w:vertAlign w:val="superscript"/>
              </w:rPr>
              <w:t>a</w:t>
            </w:r>
          </w:p>
        </w:tc>
      </w:tr>
      <w:tr w:rsidR="0022101E" w:rsidRPr="006F2C71" w14:paraId="4F65224D" w14:textId="77777777" w:rsidTr="00181B4B">
        <w:trPr>
          <w:jc w:val="center"/>
        </w:trPr>
        <w:tc>
          <w:tcPr>
            <w:tcW w:w="2196" w:type="pct"/>
            <w:shd w:val="clear" w:color="auto" w:fill="ECE9E5"/>
          </w:tcPr>
          <w:p w14:paraId="0BB8867C" w14:textId="0D944D86" w:rsidR="0022101E" w:rsidRPr="00C33262" w:rsidRDefault="0022101E" w:rsidP="005D3634">
            <w:pPr>
              <w:pStyle w:val="TableText"/>
              <w:rPr>
                <w:rFonts w:cs="Arial"/>
                <w:color w:val="auto"/>
                <w:szCs w:val="18"/>
              </w:rPr>
            </w:pPr>
            <w:r w:rsidRPr="007D0E47">
              <w:rPr>
                <w:rFonts w:cs="Arial"/>
                <w:color w:val="auto"/>
                <w:szCs w:val="18"/>
              </w:rPr>
              <w:t xml:space="preserve">TAVI </w:t>
            </w:r>
            <w:r w:rsidR="00C33262" w:rsidRPr="00C33262">
              <w:rPr>
                <w:color w:val="auto"/>
                <w:szCs w:val="18"/>
              </w:rPr>
              <w:t xml:space="preserve">using the SAPIEN 3 </w:t>
            </w:r>
            <w:r w:rsidRPr="007D0E47">
              <w:rPr>
                <w:rFonts w:cs="Arial"/>
                <w:color w:val="auto"/>
                <w:szCs w:val="18"/>
              </w:rPr>
              <w:t>BEV</w:t>
            </w:r>
          </w:p>
        </w:tc>
        <w:tc>
          <w:tcPr>
            <w:tcW w:w="2802" w:type="pct"/>
            <w:shd w:val="clear" w:color="auto" w:fill="ECE9E5"/>
            <w:tcMar>
              <w:top w:w="115" w:type="dxa"/>
              <w:left w:w="115" w:type="dxa"/>
              <w:bottom w:w="115" w:type="dxa"/>
              <w:right w:w="115" w:type="dxa"/>
            </w:tcMar>
          </w:tcPr>
          <w:p w14:paraId="410BF8C5" w14:textId="77777777" w:rsidR="0022101E" w:rsidRPr="009605D5" w:rsidRDefault="0022101E" w:rsidP="00B9731F">
            <w:pPr>
              <w:pStyle w:val="TableText"/>
              <w:jc w:val="center"/>
              <w:rPr>
                <w:rFonts w:cs="Arial"/>
                <w:szCs w:val="18"/>
              </w:rPr>
            </w:pPr>
            <w:r w:rsidRPr="009605D5">
              <w:rPr>
                <w:rFonts w:cs="Arial"/>
                <w:szCs w:val="18"/>
              </w:rPr>
              <w:t>0.5%</w:t>
            </w:r>
          </w:p>
        </w:tc>
      </w:tr>
      <w:tr w:rsidR="0022101E" w:rsidRPr="006F2C71" w14:paraId="19365CAE" w14:textId="77777777" w:rsidTr="00181B4B">
        <w:trPr>
          <w:jc w:val="center"/>
        </w:trPr>
        <w:tc>
          <w:tcPr>
            <w:tcW w:w="2196" w:type="pct"/>
            <w:shd w:val="clear" w:color="auto" w:fill="ECE9E5"/>
          </w:tcPr>
          <w:p w14:paraId="75E1D02B" w14:textId="4FBABB10" w:rsidR="0022101E" w:rsidRPr="009605D5" w:rsidRDefault="0022101E" w:rsidP="00B9731F">
            <w:pPr>
              <w:pStyle w:val="TableText"/>
              <w:rPr>
                <w:rFonts w:cs="Arial"/>
                <w:color w:val="auto"/>
                <w:szCs w:val="18"/>
              </w:rPr>
            </w:pPr>
            <w:r w:rsidRPr="009605D5">
              <w:rPr>
                <w:rFonts w:cs="Arial"/>
                <w:color w:val="auto"/>
                <w:szCs w:val="18"/>
              </w:rPr>
              <w:t>SAVR</w:t>
            </w:r>
            <w:r>
              <w:rPr>
                <w:rFonts w:cs="Arial"/>
                <w:color w:val="auto"/>
                <w:szCs w:val="18"/>
              </w:rPr>
              <w:t xml:space="preserve"> (from PARTNER 2A)</w:t>
            </w:r>
          </w:p>
        </w:tc>
        <w:tc>
          <w:tcPr>
            <w:tcW w:w="2802" w:type="pct"/>
            <w:shd w:val="clear" w:color="auto" w:fill="ECE9E5"/>
            <w:tcMar>
              <w:top w:w="115" w:type="dxa"/>
              <w:left w:w="115" w:type="dxa"/>
              <w:bottom w:w="115" w:type="dxa"/>
              <w:right w:w="115" w:type="dxa"/>
            </w:tcMar>
          </w:tcPr>
          <w:p w14:paraId="72FBE68C" w14:textId="77777777" w:rsidR="0022101E" w:rsidRPr="009605D5" w:rsidRDefault="0022101E" w:rsidP="00B9731F">
            <w:pPr>
              <w:pStyle w:val="TableText"/>
              <w:jc w:val="center"/>
              <w:rPr>
                <w:rFonts w:cs="Arial"/>
                <w:szCs w:val="18"/>
              </w:rPr>
            </w:pPr>
            <w:r w:rsidRPr="009605D5">
              <w:rPr>
                <w:rFonts w:cs="Arial"/>
                <w:szCs w:val="18"/>
              </w:rPr>
              <w:t>3.3%</w:t>
            </w:r>
          </w:p>
        </w:tc>
      </w:tr>
      <w:tr w:rsidR="005D3634" w:rsidRPr="006F2C71" w14:paraId="4ADD93C4" w14:textId="77777777" w:rsidTr="00181B4B">
        <w:trPr>
          <w:trHeight w:val="182"/>
          <w:jc w:val="center"/>
        </w:trPr>
        <w:tc>
          <w:tcPr>
            <w:tcW w:w="5000" w:type="pct"/>
            <w:gridSpan w:val="2"/>
            <w:shd w:val="clear" w:color="auto" w:fill="DAD3CC"/>
          </w:tcPr>
          <w:p w14:paraId="0C0F87E8" w14:textId="30B443A4" w:rsidR="005D3634" w:rsidRPr="009605D5" w:rsidRDefault="005D3634" w:rsidP="00DE2730">
            <w:pPr>
              <w:pStyle w:val="TableText"/>
              <w:rPr>
                <w:rFonts w:cs="Arial"/>
                <w:szCs w:val="18"/>
              </w:rPr>
            </w:pPr>
            <w:r w:rsidRPr="009605D5">
              <w:rPr>
                <w:rFonts w:cs="Arial"/>
                <w:szCs w:val="18"/>
                <w:vertAlign w:val="superscript"/>
              </w:rPr>
              <w:t xml:space="preserve">a </w:t>
            </w:r>
            <w:r w:rsidRPr="009605D5">
              <w:rPr>
                <w:rFonts w:cs="Arial"/>
                <w:szCs w:val="18"/>
              </w:rPr>
              <w:t xml:space="preserve">Stage 3. </w:t>
            </w:r>
          </w:p>
        </w:tc>
      </w:tr>
    </w:tbl>
    <w:p w14:paraId="1A55F5DC" w14:textId="70CCD32C" w:rsidR="005D3634" w:rsidRDefault="005D3634" w:rsidP="001B29A1">
      <w:pPr>
        <w:ind w:left="426"/>
        <w:rPr>
          <w:szCs w:val="20"/>
        </w:rPr>
      </w:pPr>
    </w:p>
    <w:p w14:paraId="7CCE3CC9" w14:textId="6FD631B1" w:rsidR="00106F36" w:rsidRPr="00181B4B" w:rsidRDefault="00106F36" w:rsidP="001B29A1">
      <w:pPr>
        <w:ind w:left="426"/>
        <w:rPr>
          <w:szCs w:val="20"/>
          <w:u w:val="single"/>
        </w:rPr>
      </w:pPr>
      <w:r w:rsidRPr="00181B4B">
        <w:rPr>
          <w:szCs w:val="20"/>
          <w:u w:val="single"/>
        </w:rPr>
        <w:t>Major vascular complications</w:t>
      </w:r>
      <w:r w:rsidR="00CF7808">
        <w:rPr>
          <w:szCs w:val="20"/>
          <w:u w:val="single"/>
        </w:rPr>
        <w:t>:</w:t>
      </w:r>
    </w:p>
    <w:p w14:paraId="323F3895" w14:textId="25C78103" w:rsidR="00106F36" w:rsidRDefault="00106F36" w:rsidP="001B29A1">
      <w:pPr>
        <w:ind w:left="426"/>
        <w:rPr>
          <w:szCs w:val="20"/>
        </w:rPr>
      </w:pPr>
      <w:r>
        <w:rPr>
          <w:szCs w:val="20"/>
        </w:rPr>
        <w:t xml:space="preserve">The </w:t>
      </w:r>
      <w:r w:rsidR="00CF7808">
        <w:rPr>
          <w:szCs w:val="20"/>
        </w:rPr>
        <w:t xml:space="preserve">30-day </w:t>
      </w:r>
      <w:r>
        <w:rPr>
          <w:szCs w:val="20"/>
        </w:rPr>
        <w:t xml:space="preserve">rate of </w:t>
      </w:r>
      <w:r w:rsidRPr="009E2E46">
        <w:rPr>
          <w:szCs w:val="20"/>
        </w:rPr>
        <w:t xml:space="preserve">major vascular complications </w:t>
      </w:r>
      <w:r>
        <w:rPr>
          <w:szCs w:val="20"/>
        </w:rPr>
        <w:t>was slightly higher for</w:t>
      </w:r>
      <w:r w:rsidR="00CF7808">
        <w:rPr>
          <w:szCs w:val="20"/>
        </w:rPr>
        <w:t xml:space="preserve"> </w:t>
      </w:r>
      <w:r>
        <w:rPr>
          <w:szCs w:val="20"/>
        </w:rPr>
        <w:t>TAVI</w:t>
      </w:r>
      <w:r w:rsidR="00C33262" w:rsidRPr="00C33262">
        <w:rPr>
          <w:szCs w:val="20"/>
        </w:rPr>
        <w:t xml:space="preserve"> </w:t>
      </w:r>
      <w:r w:rsidR="00C33262">
        <w:rPr>
          <w:szCs w:val="20"/>
        </w:rPr>
        <w:t>using the SAPIEN 3</w:t>
      </w:r>
      <w:r>
        <w:rPr>
          <w:szCs w:val="20"/>
        </w:rPr>
        <w:t xml:space="preserve"> BEV based on the PARTNER S3i propensity score analysis compared to SAVR.</w:t>
      </w:r>
    </w:p>
    <w:p w14:paraId="79C80DDA" w14:textId="737FF104" w:rsidR="00106F36" w:rsidRDefault="00106F36" w:rsidP="001B29A1">
      <w:pPr>
        <w:ind w:left="426"/>
        <w:rPr>
          <w:szCs w:val="20"/>
        </w:rPr>
      </w:pPr>
    </w:p>
    <w:tbl>
      <w:tblPr>
        <w:tblW w:w="4478"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CE9E5"/>
        <w:tblCellMar>
          <w:top w:w="115" w:type="dxa"/>
          <w:left w:w="115" w:type="dxa"/>
          <w:bottom w:w="115" w:type="dxa"/>
          <w:right w:w="115" w:type="dxa"/>
        </w:tblCellMar>
        <w:tblLook w:val="04A0" w:firstRow="1" w:lastRow="0" w:firstColumn="1" w:lastColumn="0" w:noHBand="0" w:noVBand="1"/>
      </w:tblPr>
      <w:tblGrid>
        <w:gridCol w:w="3538"/>
        <w:gridCol w:w="4537"/>
      </w:tblGrid>
      <w:tr w:rsidR="00106F36" w:rsidRPr="006F2C71" w14:paraId="312E4C1B" w14:textId="77777777" w:rsidTr="007D0E47">
        <w:trPr>
          <w:tblHeader/>
          <w:jc w:val="center"/>
        </w:trPr>
        <w:tc>
          <w:tcPr>
            <w:tcW w:w="2191" w:type="pct"/>
            <w:vMerge w:val="restart"/>
            <w:shd w:val="clear" w:color="auto" w:fill="A39382"/>
            <w:vAlign w:val="center"/>
          </w:tcPr>
          <w:p w14:paraId="455E4D0E" w14:textId="77777777" w:rsidR="00106F36" w:rsidRPr="006F2C71" w:rsidRDefault="00106F36" w:rsidP="00EF5FC0">
            <w:pPr>
              <w:pStyle w:val="TableText"/>
              <w:keepNext/>
              <w:rPr>
                <w:rFonts w:cs="Arial"/>
                <w:b/>
                <w:color w:val="FFFFFF" w:themeColor="background1"/>
                <w:szCs w:val="18"/>
              </w:rPr>
            </w:pPr>
          </w:p>
        </w:tc>
        <w:tc>
          <w:tcPr>
            <w:tcW w:w="2809" w:type="pct"/>
            <w:shd w:val="clear" w:color="auto" w:fill="A39382"/>
          </w:tcPr>
          <w:p w14:paraId="4DBEF0F2" w14:textId="62D56065" w:rsidR="00106F36" w:rsidRPr="006F2C71" w:rsidRDefault="00106F36">
            <w:pPr>
              <w:pStyle w:val="TableText"/>
              <w:keepNext/>
              <w:jc w:val="center"/>
              <w:rPr>
                <w:rFonts w:cs="Arial"/>
                <w:b/>
                <w:color w:val="FFFFFF" w:themeColor="background1"/>
                <w:szCs w:val="18"/>
              </w:rPr>
            </w:pPr>
            <w:r w:rsidRPr="006F2C71">
              <w:rPr>
                <w:rFonts w:cs="Arial"/>
                <w:b/>
                <w:color w:val="FFFFFF" w:themeColor="background1"/>
                <w:szCs w:val="18"/>
              </w:rPr>
              <w:t xml:space="preserve">Rates of </w:t>
            </w:r>
            <w:r w:rsidR="00472A73">
              <w:rPr>
                <w:rFonts w:cs="Arial"/>
                <w:b/>
                <w:color w:val="FFFFFF" w:themeColor="background1"/>
                <w:szCs w:val="18"/>
              </w:rPr>
              <w:t>major vascular complications</w:t>
            </w:r>
          </w:p>
        </w:tc>
      </w:tr>
      <w:tr w:rsidR="00106F36" w:rsidRPr="006F2C71" w14:paraId="5257A3E8" w14:textId="77777777" w:rsidTr="007D0E47">
        <w:trPr>
          <w:tblHeader/>
          <w:jc w:val="center"/>
        </w:trPr>
        <w:tc>
          <w:tcPr>
            <w:tcW w:w="2191" w:type="pct"/>
            <w:vMerge/>
            <w:shd w:val="clear" w:color="auto" w:fill="A39382"/>
          </w:tcPr>
          <w:p w14:paraId="582A79A1" w14:textId="77777777" w:rsidR="00106F36" w:rsidRPr="006F2C71" w:rsidRDefault="00106F36" w:rsidP="00EF5FC0">
            <w:pPr>
              <w:pStyle w:val="TableText"/>
              <w:keepNext/>
              <w:jc w:val="center"/>
              <w:rPr>
                <w:rFonts w:cs="Arial"/>
                <w:b/>
                <w:color w:val="FFFFFF" w:themeColor="background1"/>
                <w:szCs w:val="18"/>
              </w:rPr>
            </w:pPr>
          </w:p>
        </w:tc>
        <w:tc>
          <w:tcPr>
            <w:tcW w:w="2809" w:type="pct"/>
            <w:shd w:val="clear" w:color="auto" w:fill="A39382"/>
            <w:tcMar>
              <w:top w:w="115" w:type="dxa"/>
              <w:left w:w="115" w:type="dxa"/>
              <w:bottom w:w="115" w:type="dxa"/>
              <w:right w:w="115" w:type="dxa"/>
            </w:tcMar>
          </w:tcPr>
          <w:p w14:paraId="7088FCD0" w14:textId="77777777" w:rsidR="00106F36" w:rsidRPr="006F2C71" w:rsidRDefault="00106F36" w:rsidP="00EF5FC0">
            <w:pPr>
              <w:pStyle w:val="TableText"/>
              <w:keepNext/>
              <w:spacing w:after="40"/>
              <w:jc w:val="center"/>
              <w:rPr>
                <w:rFonts w:cs="Arial"/>
                <w:b/>
                <w:color w:val="FFFFFF" w:themeColor="background1"/>
                <w:szCs w:val="18"/>
              </w:rPr>
            </w:pPr>
            <w:r w:rsidRPr="006F2C71">
              <w:rPr>
                <w:rFonts w:cs="Arial"/>
                <w:b/>
                <w:color w:val="FFFFFF" w:themeColor="background1"/>
                <w:szCs w:val="18"/>
              </w:rPr>
              <w:t>30 days</w:t>
            </w:r>
          </w:p>
        </w:tc>
      </w:tr>
      <w:tr w:rsidR="00106F36" w:rsidRPr="006F2C71" w14:paraId="07BDAC7C" w14:textId="77777777" w:rsidTr="00EF5FC0">
        <w:trPr>
          <w:trHeight w:val="115"/>
          <w:jc w:val="center"/>
        </w:trPr>
        <w:tc>
          <w:tcPr>
            <w:tcW w:w="5000" w:type="pct"/>
            <w:gridSpan w:val="2"/>
            <w:shd w:val="clear" w:color="auto" w:fill="DAD3CC"/>
            <w:vAlign w:val="center"/>
          </w:tcPr>
          <w:p w14:paraId="0737EE4D" w14:textId="460EF9DF" w:rsidR="00106F36" w:rsidRPr="009605D5" w:rsidRDefault="00106F36">
            <w:pPr>
              <w:pStyle w:val="TableText"/>
              <w:rPr>
                <w:rFonts w:cs="Arial"/>
                <w:color w:val="auto"/>
                <w:szCs w:val="18"/>
              </w:rPr>
            </w:pPr>
            <w:r w:rsidRPr="009605D5">
              <w:rPr>
                <w:rFonts w:cs="Arial"/>
                <w:b/>
                <w:i/>
                <w:color w:val="auto"/>
                <w:szCs w:val="18"/>
              </w:rPr>
              <w:t xml:space="preserve">PARTNER S3i </w:t>
            </w:r>
            <w:r>
              <w:rPr>
                <w:rFonts w:cs="Arial"/>
                <w:b/>
                <w:i/>
                <w:color w:val="auto"/>
                <w:szCs w:val="18"/>
              </w:rPr>
              <w:t>p</w:t>
            </w:r>
            <w:r w:rsidRPr="009605D5">
              <w:rPr>
                <w:rFonts w:cs="Arial"/>
                <w:b/>
                <w:i/>
                <w:color w:val="auto"/>
                <w:szCs w:val="18"/>
              </w:rPr>
              <w:t xml:space="preserve">ropensity </w:t>
            </w:r>
            <w:r>
              <w:rPr>
                <w:rFonts w:cs="Arial"/>
                <w:b/>
                <w:i/>
                <w:color w:val="auto"/>
                <w:szCs w:val="18"/>
              </w:rPr>
              <w:t>s</w:t>
            </w:r>
            <w:r w:rsidRPr="009605D5">
              <w:rPr>
                <w:rFonts w:cs="Arial"/>
                <w:b/>
                <w:i/>
                <w:color w:val="auto"/>
                <w:szCs w:val="18"/>
              </w:rPr>
              <w:t xml:space="preserve">core </w:t>
            </w:r>
            <w:r>
              <w:rPr>
                <w:rFonts w:cs="Arial"/>
                <w:b/>
                <w:i/>
                <w:color w:val="auto"/>
                <w:szCs w:val="18"/>
              </w:rPr>
              <w:t>a</w:t>
            </w:r>
            <w:r w:rsidRPr="009605D5">
              <w:rPr>
                <w:rFonts w:cs="Arial"/>
                <w:b/>
                <w:i/>
                <w:color w:val="auto"/>
                <w:szCs w:val="18"/>
              </w:rPr>
              <w:t>nalysis</w:t>
            </w:r>
          </w:p>
        </w:tc>
      </w:tr>
      <w:tr w:rsidR="00106F36" w:rsidRPr="006F2C71" w14:paraId="4A2371FD" w14:textId="77777777" w:rsidTr="007D0E47">
        <w:trPr>
          <w:jc w:val="center"/>
        </w:trPr>
        <w:tc>
          <w:tcPr>
            <w:tcW w:w="2191" w:type="pct"/>
            <w:shd w:val="clear" w:color="auto" w:fill="ECE9E5"/>
          </w:tcPr>
          <w:p w14:paraId="128EC07B" w14:textId="6FBC1356" w:rsidR="00106F36" w:rsidRPr="009605D5" w:rsidRDefault="00106F36" w:rsidP="00EF5FC0">
            <w:pPr>
              <w:pStyle w:val="TableText"/>
              <w:rPr>
                <w:rFonts w:cs="Arial"/>
                <w:color w:val="auto"/>
                <w:szCs w:val="18"/>
              </w:rPr>
            </w:pPr>
            <w:r w:rsidRPr="007D0E47">
              <w:rPr>
                <w:rFonts w:cs="Arial"/>
                <w:color w:val="auto"/>
                <w:szCs w:val="18"/>
              </w:rPr>
              <w:t xml:space="preserve">TAVI </w:t>
            </w:r>
            <w:r w:rsidR="00C33262" w:rsidRPr="00C33262">
              <w:rPr>
                <w:color w:val="auto"/>
                <w:szCs w:val="18"/>
              </w:rPr>
              <w:t xml:space="preserve">using the SAPIEN 3 </w:t>
            </w:r>
            <w:r w:rsidRPr="007D0E47">
              <w:rPr>
                <w:rFonts w:cs="Arial"/>
                <w:color w:val="auto"/>
                <w:szCs w:val="18"/>
              </w:rPr>
              <w:t>BEV</w:t>
            </w:r>
          </w:p>
        </w:tc>
        <w:tc>
          <w:tcPr>
            <w:tcW w:w="2809" w:type="pct"/>
            <w:shd w:val="clear" w:color="auto" w:fill="ECE9E5"/>
            <w:tcMar>
              <w:top w:w="115" w:type="dxa"/>
              <w:left w:w="115" w:type="dxa"/>
              <w:bottom w:w="115" w:type="dxa"/>
              <w:right w:w="115" w:type="dxa"/>
            </w:tcMar>
          </w:tcPr>
          <w:p w14:paraId="097AE157" w14:textId="4C9B6CD2" w:rsidR="00106F36" w:rsidRPr="009605D5" w:rsidRDefault="00472A73" w:rsidP="00EF5FC0">
            <w:pPr>
              <w:pStyle w:val="TableText"/>
              <w:jc w:val="center"/>
              <w:rPr>
                <w:rFonts w:cs="Arial"/>
                <w:szCs w:val="18"/>
              </w:rPr>
            </w:pPr>
            <w:r>
              <w:rPr>
                <w:rFonts w:cs="Arial"/>
                <w:szCs w:val="18"/>
              </w:rPr>
              <w:t>6.1</w:t>
            </w:r>
            <w:r w:rsidR="00106F36" w:rsidRPr="009605D5">
              <w:rPr>
                <w:rFonts w:cs="Arial"/>
                <w:szCs w:val="18"/>
              </w:rPr>
              <w:t>%</w:t>
            </w:r>
          </w:p>
        </w:tc>
      </w:tr>
      <w:tr w:rsidR="00106F36" w:rsidRPr="006F2C71" w14:paraId="375C301D" w14:textId="77777777" w:rsidTr="007D0E47">
        <w:trPr>
          <w:jc w:val="center"/>
        </w:trPr>
        <w:tc>
          <w:tcPr>
            <w:tcW w:w="2191" w:type="pct"/>
            <w:shd w:val="clear" w:color="auto" w:fill="ECE9E5"/>
          </w:tcPr>
          <w:p w14:paraId="4CD8D744" w14:textId="77777777" w:rsidR="00106F36" w:rsidRPr="009605D5" w:rsidRDefault="00106F36" w:rsidP="00EF5FC0">
            <w:pPr>
              <w:pStyle w:val="TableText"/>
              <w:rPr>
                <w:rFonts w:cs="Arial"/>
                <w:color w:val="auto"/>
                <w:szCs w:val="18"/>
              </w:rPr>
            </w:pPr>
            <w:r w:rsidRPr="009605D5">
              <w:rPr>
                <w:rFonts w:cs="Arial"/>
                <w:color w:val="auto"/>
                <w:szCs w:val="18"/>
              </w:rPr>
              <w:t>SAVR</w:t>
            </w:r>
            <w:r>
              <w:rPr>
                <w:rFonts w:cs="Arial"/>
                <w:color w:val="auto"/>
                <w:szCs w:val="18"/>
              </w:rPr>
              <w:t xml:space="preserve"> (from PARTNER 2A)</w:t>
            </w:r>
          </w:p>
        </w:tc>
        <w:tc>
          <w:tcPr>
            <w:tcW w:w="2809" w:type="pct"/>
            <w:shd w:val="clear" w:color="auto" w:fill="ECE9E5"/>
            <w:tcMar>
              <w:top w:w="115" w:type="dxa"/>
              <w:left w:w="115" w:type="dxa"/>
              <w:bottom w:w="115" w:type="dxa"/>
              <w:right w:w="115" w:type="dxa"/>
            </w:tcMar>
          </w:tcPr>
          <w:p w14:paraId="35C73C2C" w14:textId="6F73B8A5" w:rsidR="00106F36" w:rsidRPr="009605D5" w:rsidRDefault="00472A73">
            <w:pPr>
              <w:pStyle w:val="TableText"/>
              <w:jc w:val="center"/>
              <w:rPr>
                <w:rFonts w:cs="Arial"/>
                <w:szCs w:val="18"/>
              </w:rPr>
            </w:pPr>
            <w:r>
              <w:rPr>
                <w:rFonts w:cs="Arial"/>
                <w:szCs w:val="18"/>
              </w:rPr>
              <w:t>5</w:t>
            </w:r>
            <w:r w:rsidR="00106F36" w:rsidRPr="009605D5">
              <w:rPr>
                <w:rFonts w:cs="Arial"/>
                <w:szCs w:val="18"/>
              </w:rPr>
              <w:t>.</w:t>
            </w:r>
            <w:r>
              <w:rPr>
                <w:rFonts w:cs="Arial"/>
                <w:szCs w:val="18"/>
              </w:rPr>
              <w:t>4</w:t>
            </w:r>
            <w:r w:rsidR="00106F36" w:rsidRPr="009605D5">
              <w:rPr>
                <w:rFonts w:cs="Arial"/>
                <w:szCs w:val="18"/>
              </w:rPr>
              <w:t>%</w:t>
            </w:r>
          </w:p>
        </w:tc>
      </w:tr>
    </w:tbl>
    <w:p w14:paraId="0E4E229D" w14:textId="4764763F" w:rsidR="00106F36" w:rsidRDefault="00106F36" w:rsidP="001B29A1">
      <w:pPr>
        <w:ind w:left="426"/>
        <w:rPr>
          <w:szCs w:val="20"/>
        </w:rPr>
      </w:pPr>
    </w:p>
    <w:p w14:paraId="1BE85F48" w14:textId="77777777" w:rsidR="005F2638" w:rsidRDefault="005F2638" w:rsidP="00894AC9">
      <w:pPr>
        <w:spacing w:after="0"/>
        <w:ind w:left="426"/>
        <w:rPr>
          <w:szCs w:val="20"/>
          <w:u w:val="single"/>
        </w:rPr>
      </w:pPr>
    </w:p>
    <w:p w14:paraId="56878FC6" w14:textId="3C9C16BD" w:rsidR="00894AC9" w:rsidRPr="00440774" w:rsidRDefault="00894AC9" w:rsidP="00894AC9">
      <w:pPr>
        <w:spacing w:after="0"/>
        <w:ind w:left="426"/>
        <w:rPr>
          <w:szCs w:val="20"/>
          <w:u w:val="single"/>
        </w:rPr>
      </w:pPr>
      <w:r w:rsidRPr="00440774">
        <w:rPr>
          <w:szCs w:val="20"/>
          <w:u w:val="single"/>
        </w:rPr>
        <w:t>Myocardial infarction</w:t>
      </w:r>
      <w:r w:rsidR="005F2638">
        <w:rPr>
          <w:szCs w:val="20"/>
          <w:u w:val="single"/>
        </w:rPr>
        <w:t>:</w:t>
      </w:r>
    </w:p>
    <w:p w14:paraId="35422077" w14:textId="68C6872A" w:rsidR="00894AC9" w:rsidRDefault="00894AC9" w:rsidP="00894AC9">
      <w:pPr>
        <w:spacing w:after="0"/>
        <w:ind w:left="426"/>
        <w:rPr>
          <w:szCs w:val="20"/>
        </w:rPr>
      </w:pPr>
      <w:r>
        <w:rPr>
          <w:szCs w:val="20"/>
        </w:rPr>
        <w:t>The rate of myocardial infarction was higher for SAVR in the PARTNER 2A trial both at 30 days and one year compared to TAVI using the SAPIEN 3 BEV in the PARTNER S3i prop</w:t>
      </w:r>
      <w:r w:rsidR="00D75D60">
        <w:rPr>
          <w:szCs w:val="20"/>
        </w:rPr>
        <w:t>en</w:t>
      </w:r>
      <w:r>
        <w:rPr>
          <w:szCs w:val="20"/>
        </w:rPr>
        <w:t>sity score analysis.</w:t>
      </w:r>
    </w:p>
    <w:p w14:paraId="44E45537" w14:textId="77777777" w:rsidR="00894AC9" w:rsidRDefault="00894AC9" w:rsidP="00894AC9">
      <w:pPr>
        <w:spacing w:after="0"/>
        <w:ind w:left="426"/>
        <w:rPr>
          <w:szCs w:val="20"/>
        </w:rPr>
      </w:pPr>
    </w:p>
    <w:tbl>
      <w:tblPr>
        <w:tblW w:w="4564"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CE9E5"/>
        <w:tblCellMar>
          <w:top w:w="115" w:type="dxa"/>
          <w:left w:w="115" w:type="dxa"/>
          <w:bottom w:w="115" w:type="dxa"/>
          <w:right w:w="115" w:type="dxa"/>
        </w:tblCellMar>
        <w:tblLook w:val="04A0" w:firstRow="1" w:lastRow="0" w:firstColumn="1" w:lastColumn="0" w:noHBand="0" w:noVBand="1"/>
      </w:tblPr>
      <w:tblGrid>
        <w:gridCol w:w="2810"/>
        <w:gridCol w:w="2431"/>
        <w:gridCol w:w="2989"/>
      </w:tblGrid>
      <w:tr w:rsidR="00894AC9" w:rsidRPr="005D3634" w14:paraId="1EB08795" w14:textId="77777777" w:rsidTr="00842F49">
        <w:trPr>
          <w:trHeight w:val="389"/>
          <w:tblHeader/>
          <w:jc w:val="center"/>
        </w:trPr>
        <w:tc>
          <w:tcPr>
            <w:tcW w:w="1707" w:type="pct"/>
            <w:vMerge w:val="restart"/>
            <w:shd w:val="clear" w:color="auto" w:fill="A39382"/>
            <w:vAlign w:val="center"/>
          </w:tcPr>
          <w:p w14:paraId="06A5EC9C" w14:textId="77777777" w:rsidR="00894AC9" w:rsidRPr="005D3634" w:rsidRDefault="00894AC9" w:rsidP="00842F49">
            <w:pPr>
              <w:pStyle w:val="TableText"/>
              <w:keepNext/>
              <w:rPr>
                <w:rFonts w:asciiTheme="minorHAnsi" w:eastAsiaTheme="majorEastAsia" w:hAnsiTheme="minorHAnsi" w:cstheme="minorHAnsi"/>
                <w:b/>
                <w:color w:val="FFFFFF" w:themeColor="background1"/>
                <w:sz w:val="20"/>
                <w:szCs w:val="20"/>
              </w:rPr>
            </w:pPr>
          </w:p>
        </w:tc>
        <w:tc>
          <w:tcPr>
            <w:tcW w:w="3293" w:type="pct"/>
            <w:gridSpan w:val="2"/>
            <w:shd w:val="clear" w:color="auto" w:fill="A39382"/>
          </w:tcPr>
          <w:p w14:paraId="2672D70B" w14:textId="77777777" w:rsidR="00894AC9" w:rsidRPr="005D3634" w:rsidRDefault="00894AC9" w:rsidP="00842F49">
            <w:pPr>
              <w:pStyle w:val="TableText"/>
              <w:keepNext/>
              <w:jc w:val="center"/>
              <w:rPr>
                <w:rFonts w:asciiTheme="minorHAnsi" w:eastAsiaTheme="majorEastAsia" w:hAnsiTheme="minorHAnsi" w:cstheme="minorHAnsi"/>
                <w:b/>
                <w:color w:val="FFFFFF" w:themeColor="background1"/>
                <w:sz w:val="20"/>
                <w:szCs w:val="20"/>
              </w:rPr>
            </w:pPr>
            <w:r w:rsidRPr="005D3634">
              <w:rPr>
                <w:rFonts w:asciiTheme="minorHAnsi" w:eastAsiaTheme="majorEastAsia" w:hAnsiTheme="minorHAnsi" w:cstheme="minorHAnsi"/>
                <w:b/>
                <w:color w:val="FFFFFF" w:themeColor="background1"/>
                <w:sz w:val="20"/>
                <w:szCs w:val="20"/>
              </w:rPr>
              <w:t>Rate</w:t>
            </w:r>
            <w:r>
              <w:rPr>
                <w:rFonts w:asciiTheme="minorHAnsi" w:eastAsiaTheme="majorEastAsia" w:hAnsiTheme="minorHAnsi" w:cstheme="minorHAnsi"/>
                <w:b/>
                <w:color w:val="FFFFFF" w:themeColor="background1"/>
                <w:sz w:val="20"/>
                <w:szCs w:val="20"/>
              </w:rPr>
              <w:t>s</w:t>
            </w:r>
            <w:r w:rsidRPr="005D3634">
              <w:rPr>
                <w:rFonts w:asciiTheme="minorHAnsi" w:eastAsiaTheme="majorEastAsia" w:hAnsiTheme="minorHAnsi" w:cstheme="minorHAnsi"/>
                <w:b/>
                <w:color w:val="FFFFFF" w:themeColor="background1"/>
                <w:sz w:val="20"/>
                <w:szCs w:val="20"/>
              </w:rPr>
              <w:t xml:space="preserve"> of</w:t>
            </w:r>
            <w:r>
              <w:rPr>
                <w:rFonts w:asciiTheme="minorHAnsi" w:eastAsiaTheme="majorEastAsia" w:hAnsiTheme="minorHAnsi" w:cstheme="minorHAnsi"/>
                <w:b/>
                <w:color w:val="FFFFFF" w:themeColor="background1"/>
                <w:sz w:val="20"/>
                <w:szCs w:val="20"/>
              </w:rPr>
              <w:t xml:space="preserve"> myocardial infarction</w:t>
            </w:r>
          </w:p>
        </w:tc>
      </w:tr>
      <w:tr w:rsidR="00894AC9" w:rsidRPr="005D3634" w14:paraId="6B169B93" w14:textId="77777777" w:rsidTr="00842F49">
        <w:trPr>
          <w:trHeight w:val="252"/>
          <w:tblHeader/>
          <w:jc w:val="center"/>
        </w:trPr>
        <w:tc>
          <w:tcPr>
            <w:tcW w:w="1707" w:type="pct"/>
            <w:vMerge/>
            <w:shd w:val="clear" w:color="auto" w:fill="A39382"/>
          </w:tcPr>
          <w:p w14:paraId="754E16A6" w14:textId="77777777" w:rsidR="00894AC9" w:rsidRPr="00CD02BE" w:rsidRDefault="00894AC9" w:rsidP="00842F49">
            <w:pPr>
              <w:pStyle w:val="TableText"/>
              <w:keepNext/>
              <w:jc w:val="center"/>
              <w:rPr>
                <w:rFonts w:asciiTheme="minorHAnsi" w:eastAsiaTheme="majorEastAsia" w:hAnsiTheme="minorHAnsi" w:cstheme="minorHAnsi"/>
                <w:b/>
                <w:color w:val="FFFFFF" w:themeColor="background1"/>
                <w:sz w:val="20"/>
                <w:szCs w:val="20"/>
              </w:rPr>
            </w:pPr>
          </w:p>
        </w:tc>
        <w:tc>
          <w:tcPr>
            <w:tcW w:w="1477" w:type="pct"/>
            <w:shd w:val="clear" w:color="auto" w:fill="A39382"/>
            <w:tcMar>
              <w:top w:w="115" w:type="dxa"/>
              <w:left w:w="115" w:type="dxa"/>
              <w:bottom w:w="115" w:type="dxa"/>
              <w:right w:w="115" w:type="dxa"/>
            </w:tcMar>
          </w:tcPr>
          <w:p w14:paraId="4FC7CEFF" w14:textId="77777777" w:rsidR="00894AC9" w:rsidRPr="00CD02BE" w:rsidRDefault="00894AC9" w:rsidP="00842F49">
            <w:pPr>
              <w:pStyle w:val="TableText"/>
              <w:keepNext/>
              <w:spacing w:after="40"/>
              <w:jc w:val="center"/>
              <w:rPr>
                <w:rFonts w:asciiTheme="minorHAnsi" w:eastAsiaTheme="majorEastAsia" w:hAnsiTheme="minorHAnsi" w:cstheme="minorHAnsi"/>
                <w:b/>
                <w:color w:val="FFFFFF" w:themeColor="background1"/>
                <w:sz w:val="20"/>
                <w:szCs w:val="20"/>
              </w:rPr>
            </w:pPr>
            <w:r w:rsidRPr="00CD02BE">
              <w:rPr>
                <w:rFonts w:asciiTheme="minorHAnsi" w:eastAsiaTheme="majorEastAsia" w:hAnsiTheme="minorHAnsi" w:cstheme="minorHAnsi"/>
                <w:b/>
                <w:color w:val="FFFFFF" w:themeColor="background1"/>
                <w:sz w:val="20"/>
                <w:szCs w:val="20"/>
              </w:rPr>
              <w:t>30 days</w:t>
            </w:r>
          </w:p>
        </w:tc>
        <w:tc>
          <w:tcPr>
            <w:tcW w:w="1817" w:type="pct"/>
            <w:shd w:val="clear" w:color="auto" w:fill="A39382"/>
            <w:tcMar>
              <w:top w:w="115" w:type="dxa"/>
              <w:left w:w="115" w:type="dxa"/>
              <w:bottom w:w="115" w:type="dxa"/>
              <w:right w:w="115" w:type="dxa"/>
            </w:tcMar>
          </w:tcPr>
          <w:p w14:paraId="3F5CEDAB" w14:textId="77777777" w:rsidR="00894AC9" w:rsidRPr="00CD02BE" w:rsidRDefault="00894AC9" w:rsidP="00842F49">
            <w:pPr>
              <w:pStyle w:val="TableText"/>
              <w:keepNext/>
              <w:jc w:val="center"/>
              <w:rPr>
                <w:rFonts w:asciiTheme="minorHAnsi" w:eastAsiaTheme="majorEastAsia" w:hAnsiTheme="minorHAnsi" w:cstheme="minorHAnsi"/>
                <w:b/>
                <w:color w:val="FFFFFF" w:themeColor="background1"/>
                <w:sz w:val="20"/>
                <w:szCs w:val="20"/>
              </w:rPr>
            </w:pPr>
            <w:r w:rsidRPr="00CD02BE">
              <w:rPr>
                <w:rFonts w:asciiTheme="minorHAnsi" w:eastAsiaTheme="majorEastAsia" w:hAnsiTheme="minorHAnsi" w:cstheme="minorHAnsi"/>
                <w:b/>
                <w:color w:val="FFFFFF" w:themeColor="background1"/>
                <w:sz w:val="20"/>
                <w:szCs w:val="20"/>
              </w:rPr>
              <w:t>1 year</w:t>
            </w:r>
          </w:p>
        </w:tc>
      </w:tr>
      <w:tr w:rsidR="00894AC9" w:rsidRPr="005D3634" w14:paraId="12391F87" w14:textId="77777777" w:rsidTr="00842F49">
        <w:trPr>
          <w:trHeight w:val="121"/>
          <w:jc w:val="center"/>
        </w:trPr>
        <w:tc>
          <w:tcPr>
            <w:tcW w:w="5000" w:type="pct"/>
            <w:gridSpan w:val="3"/>
            <w:shd w:val="clear" w:color="auto" w:fill="DAD3CC"/>
            <w:vAlign w:val="center"/>
          </w:tcPr>
          <w:p w14:paraId="5D5B4A2A" w14:textId="77777777" w:rsidR="00894AC9" w:rsidRPr="005D3634" w:rsidRDefault="00894AC9" w:rsidP="00842F49">
            <w:pPr>
              <w:pStyle w:val="TableText"/>
              <w:rPr>
                <w:rFonts w:asciiTheme="minorHAnsi" w:eastAsiaTheme="majorEastAsia" w:hAnsiTheme="minorHAnsi" w:cstheme="minorHAnsi"/>
                <w:color w:val="auto"/>
                <w:sz w:val="20"/>
                <w:szCs w:val="20"/>
              </w:rPr>
            </w:pPr>
            <w:r w:rsidRPr="005D3634">
              <w:rPr>
                <w:rFonts w:asciiTheme="minorHAnsi" w:eastAsiaTheme="majorEastAsia" w:hAnsiTheme="minorHAnsi" w:cstheme="minorHAnsi"/>
                <w:b/>
                <w:i/>
                <w:color w:val="auto"/>
                <w:sz w:val="20"/>
                <w:szCs w:val="20"/>
              </w:rPr>
              <w:t xml:space="preserve">PARTNER S3i </w:t>
            </w:r>
            <w:r>
              <w:rPr>
                <w:rFonts w:asciiTheme="minorHAnsi" w:eastAsiaTheme="majorEastAsia" w:hAnsiTheme="minorHAnsi" w:cstheme="minorHAnsi"/>
                <w:b/>
                <w:i/>
                <w:color w:val="auto"/>
                <w:sz w:val="20"/>
                <w:szCs w:val="20"/>
              </w:rPr>
              <w:t>p</w:t>
            </w:r>
            <w:r w:rsidRPr="005D3634">
              <w:rPr>
                <w:rFonts w:asciiTheme="minorHAnsi" w:eastAsiaTheme="majorEastAsia" w:hAnsiTheme="minorHAnsi" w:cstheme="minorHAnsi"/>
                <w:b/>
                <w:i/>
                <w:color w:val="auto"/>
                <w:sz w:val="20"/>
                <w:szCs w:val="20"/>
              </w:rPr>
              <w:t xml:space="preserve">ropensity </w:t>
            </w:r>
            <w:r>
              <w:rPr>
                <w:rFonts w:asciiTheme="minorHAnsi" w:eastAsiaTheme="majorEastAsia" w:hAnsiTheme="minorHAnsi" w:cstheme="minorHAnsi"/>
                <w:b/>
                <w:i/>
                <w:color w:val="auto"/>
                <w:sz w:val="20"/>
                <w:szCs w:val="20"/>
              </w:rPr>
              <w:t>s</w:t>
            </w:r>
            <w:r w:rsidRPr="005D3634">
              <w:rPr>
                <w:rFonts w:asciiTheme="minorHAnsi" w:eastAsiaTheme="majorEastAsia" w:hAnsiTheme="minorHAnsi" w:cstheme="minorHAnsi"/>
                <w:b/>
                <w:i/>
                <w:color w:val="auto"/>
                <w:sz w:val="20"/>
                <w:szCs w:val="20"/>
              </w:rPr>
              <w:t xml:space="preserve">core </w:t>
            </w:r>
            <w:r>
              <w:rPr>
                <w:rFonts w:asciiTheme="minorHAnsi" w:eastAsiaTheme="majorEastAsia" w:hAnsiTheme="minorHAnsi" w:cstheme="minorHAnsi"/>
                <w:b/>
                <w:i/>
                <w:color w:val="auto"/>
                <w:sz w:val="20"/>
                <w:szCs w:val="20"/>
              </w:rPr>
              <w:t>a</w:t>
            </w:r>
            <w:r w:rsidRPr="005D3634">
              <w:rPr>
                <w:rFonts w:asciiTheme="minorHAnsi" w:eastAsiaTheme="majorEastAsia" w:hAnsiTheme="minorHAnsi" w:cstheme="minorHAnsi"/>
                <w:b/>
                <w:i/>
                <w:color w:val="auto"/>
                <w:sz w:val="20"/>
                <w:szCs w:val="20"/>
              </w:rPr>
              <w:t>nalysis</w:t>
            </w:r>
          </w:p>
        </w:tc>
      </w:tr>
      <w:tr w:rsidR="00894AC9" w:rsidRPr="005D3634" w14:paraId="2B306B8D" w14:textId="77777777" w:rsidTr="00842F49">
        <w:trPr>
          <w:trHeight w:val="265"/>
          <w:jc w:val="center"/>
        </w:trPr>
        <w:tc>
          <w:tcPr>
            <w:tcW w:w="1707" w:type="pct"/>
            <w:shd w:val="clear" w:color="auto" w:fill="ECE9E5"/>
          </w:tcPr>
          <w:p w14:paraId="347B3198" w14:textId="77777777" w:rsidR="00894AC9" w:rsidRPr="005D3634" w:rsidRDefault="00894AC9" w:rsidP="00842F49">
            <w:pPr>
              <w:pStyle w:val="TableText"/>
              <w:rPr>
                <w:rFonts w:asciiTheme="minorHAnsi" w:eastAsiaTheme="majorEastAsia" w:hAnsiTheme="minorHAnsi" w:cstheme="minorHAnsi"/>
                <w:color w:val="auto"/>
                <w:sz w:val="20"/>
                <w:szCs w:val="20"/>
              </w:rPr>
            </w:pPr>
            <w:r w:rsidRPr="005D3634">
              <w:rPr>
                <w:rFonts w:asciiTheme="minorHAnsi" w:eastAsiaTheme="majorEastAsia" w:hAnsiTheme="minorHAnsi" w:cstheme="minorHAnsi"/>
                <w:color w:val="auto"/>
                <w:sz w:val="20"/>
                <w:szCs w:val="20"/>
              </w:rPr>
              <w:t xml:space="preserve">TAVI </w:t>
            </w:r>
            <w:r>
              <w:rPr>
                <w:color w:val="auto"/>
                <w:szCs w:val="18"/>
              </w:rPr>
              <w:t xml:space="preserve">using the SAPIEN 3 </w:t>
            </w:r>
            <w:r w:rsidRPr="005D3634">
              <w:rPr>
                <w:rFonts w:asciiTheme="minorHAnsi" w:eastAsiaTheme="majorEastAsia" w:hAnsiTheme="minorHAnsi" w:cstheme="minorHAnsi"/>
                <w:color w:val="auto"/>
                <w:sz w:val="20"/>
                <w:szCs w:val="20"/>
              </w:rPr>
              <w:t>BEV</w:t>
            </w:r>
          </w:p>
        </w:tc>
        <w:tc>
          <w:tcPr>
            <w:tcW w:w="1477" w:type="pct"/>
            <w:shd w:val="clear" w:color="auto" w:fill="ECE9E5"/>
            <w:tcMar>
              <w:top w:w="115" w:type="dxa"/>
              <w:left w:w="115" w:type="dxa"/>
              <w:bottom w:w="115" w:type="dxa"/>
              <w:right w:w="115" w:type="dxa"/>
            </w:tcMar>
          </w:tcPr>
          <w:p w14:paraId="752A6CDB" w14:textId="77777777" w:rsidR="00894AC9" w:rsidRPr="005D3634" w:rsidRDefault="00894AC9" w:rsidP="00842F49">
            <w:pPr>
              <w:pStyle w:val="TableText"/>
              <w:jc w:val="center"/>
              <w:rPr>
                <w:rFonts w:asciiTheme="minorHAnsi" w:eastAsiaTheme="majorEastAsia" w:hAnsiTheme="minorHAnsi" w:cstheme="minorHAnsi"/>
                <w:sz w:val="20"/>
                <w:szCs w:val="20"/>
              </w:rPr>
            </w:pPr>
            <w:r w:rsidRPr="005D3634">
              <w:rPr>
                <w:rFonts w:asciiTheme="minorHAnsi" w:eastAsiaTheme="majorEastAsia" w:hAnsiTheme="minorHAnsi" w:cstheme="minorHAnsi"/>
                <w:sz w:val="20"/>
                <w:szCs w:val="20"/>
              </w:rPr>
              <w:t>0</w:t>
            </w:r>
            <w:r>
              <w:rPr>
                <w:rFonts w:asciiTheme="minorHAnsi" w:eastAsiaTheme="majorEastAsia" w:hAnsiTheme="minorHAnsi" w:cstheme="minorHAnsi"/>
                <w:sz w:val="20"/>
                <w:szCs w:val="20"/>
              </w:rPr>
              <w:t>.3</w:t>
            </w:r>
            <w:r w:rsidRPr="005D3634">
              <w:rPr>
                <w:rFonts w:asciiTheme="minorHAnsi" w:eastAsiaTheme="majorEastAsia" w:hAnsiTheme="minorHAnsi" w:cstheme="minorHAnsi"/>
                <w:sz w:val="20"/>
                <w:szCs w:val="20"/>
              </w:rPr>
              <w:t>%</w:t>
            </w:r>
          </w:p>
        </w:tc>
        <w:tc>
          <w:tcPr>
            <w:tcW w:w="1817" w:type="pct"/>
            <w:shd w:val="clear" w:color="auto" w:fill="ECE9E5"/>
            <w:tcMar>
              <w:top w:w="115" w:type="dxa"/>
              <w:left w:w="115" w:type="dxa"/>
              <w:bottom w:w="115" w:type="dxa"/>
              <w:right w:w="115" w:type="dxa"/>
            </w:tcMar>
          </w:tcPr>
          <w:p w14:paraId="779F0930" w14:textId="77777777" w:rsidR="00894AC9" w:rsidRPr="005D3634" w:rsidRDefault="00894AC9" w:rsidP="00842F49">
            <w:pPr>
              <w:pStyle w:val="TableText"/>
              <w:jc w:val="center"/>
              <w:rPr>
                <w:rFonts w:asciiTheme="minorHAnsi" w:eastAsiaTheme="majorEastAsia" w:hAnsiTheme="minorHAnsi" w:cstheme="minorHAnsi"/>
                <w:sz w:val="20"/>
                <w:szCs w:val="20"/>
              </w:rPr>
            </w:pPr>
            <w:r>
              <w:rPr>
                <w:rFonts w:asciiTheme="minorHAnsi" w:eastAsiaTheme="majorEastAsia" w:hAnsiTheme="minorHAnsi" w:cstheme="minorHAnsi"/>
                <w:sz w:val="20"/>
                <w:szCs w:val="20"/>
              </w:rPr>
              <w:t>0.3</w:t>
            </w:r>
            <w:r w:rsidRPr="005D3634">
              <w:rPr>
                <w:rFonts w:asciiTheme="minorHAnsi" w:eastAsiaTheme="majorEastAsia" w:hAnsiTheme="minorHAnsi" w:cstheme="minorHAnsi"/>
                <w:sz w:val="20"/>
                <w:szCs w:val="20"/>
              </w:rPr>
              <w:t>%</w:t>
            </w:r>
          </w:p>
        </w:tc>
      </w:tr>
      <w:tr w:rsidR="00894AC9" w:rsidRPr="005D3634" w14:paraId="1776B400" w14:textId="77777777" w:rsidTr="00842F49">
        <w:trPr>
          <w:trHeight w:val="283"/>
          <w:jc w:val="center"/>
        </w:trPr>
        <w:tc>
          <w:tcPr>
            <w:tcW w:w="1707" w:type="pct"/>
            <w:shd w:val="clear" w:color="auto" w:fill="ECE9E5"/>
          </w:tcPr>
          <w:p w14:paraId="7B9AD676" w14:textId="77777777" w:rsidR="00894AC9" w:rsidRPr="005D3634" w:rsidRDefault="00894AC9" w:rsidP="00842F49">
            <w:pPr>
              <w:pStyle w:val="TableText"/>
              <w:rPr>
                <w:rFonts w:asciiTheme="minorHAnsi" w:eastAsiaTheme="majorEastAsia" w:hAnsiTheme="minorHAnsi" w:cstheme="minorHAnsi"/>
                <w:color w:val="auto"/>
                <w:sz w:val="20"/>
                <w:szCs w:val="20"/>
              </w:rPr>
            </w:pPr>
            <w:r w:rsidRPr="005D3634">
              <w:rPr>
                <w:rFonts w:asciiTheme="minorHAnsi" w:eastAsiaTheme="majorEastAsia" w:hAnsiTheme="minorHAnsi" w:cstheme="minorHAnsi"/>
                <w:color w:val="auto"/>
                <w:sz w:val="20"/>
                <w:szCs w:val="20"/>
              </w:rPr>
              <w:t>SAVR</w:t>
            </w:r>
            <w:r>
              <w:rPr>
                <w:rFonts w:asciiTheme="minorHAnsi" w:eastAsiaTheme="majorEastAsia" w:hAnsiTheme="minorHAnsi" w:cstheme="minorHAnsi"/>
                <w:color w:val="auto"/>
                <w:sz w:val="20"/>
                <w:szCs w:val="20"/>
              </w:rPr>
              <w:t xml:space="preserve"> (from PARTNER 2A)</w:t>
            </w:r>
          </w:p>
        </w:tc>
        <w:tc>
          <w:tcPr>
            <w:tcW w:w="1477" w:type="pct"/>
            <w:shd w:val="clear" w:color="auto" w:fill="ECE9E5"/>
            <w:tcMar>
              <w:top w:w="115" w:type="dxa"/>
              <w:left w:w="115" w:type="dxa"/>
              <w:bottom w:w="115" w:type="dxa"/>
              <w:right w:w="115" w:type="dxa"/>
            </w:tcMar>
          </w:tcPr>
          <w:p w14:paraId="7E226FB0" w14:textId="6C9A23A0" w:rsidR="00894AC9" w:rsidRPr="005D3634" w:rsidRDefault="005F2638" w:rsidP="00842F49">
            <w:pPr>
              <w:pStyle w:val="TableText"/>
              <w:jc w:val="center"/>
              <w:rPr>
                <w:rFonts w:asciiTheme="minorHAnsi" w:eastAsiaTheme="majorEastAsia" w:hAnsiTheme="minorHAnsi" w:cstheme="minorHAnsi"/>
                <w:sz w:val="20"/>
                <w:szCs w:val="20"/>
              </w:rPr>
            </w:pPr>
            <w:r>
              <w:rPr>
                <w:rFonts w:asciiTheme="minorHAnsi" w:eastAsiaTheme="majorEastAsia" w:hAnsiTheme="minorHAnsi" w:cstheme="minorHAnsi"/>
                <w:sz w:val="20"/>
                <w:szCs w:val="20"/>
              </w:rPr>
              <w:t>1.9</w:t>
            </w:r>
            <w:r w:rsidR="00894AC9" w:rsidRPr="005D3634">
              <w:rPr>
                <w:rFonts w:asciiTheme="minorHAnsi" w:eastAsiaTheme="majorEastAsia" w:hAnsiTheme="minorHAnsi" w:cstheme="minorHAnsi"/>
                <w:sz w:val="20"/>
                <w:szCs w:val="20"/>
              </w:rPr>
              <w:t>%</w:t>
            </w:r>
          </w:p>
        </w:tc>
        <w:tc>
          <w:tcPr>
            <w:tcW w:w="1817" w:type="pct"/>
            <w:shd w:val="clear" w:color="auto" w:fill="ECE9E5"/>
            <w:tcMar>
              <w:top w:w="115" w:type="dxa"/>
              <w:left w:w="115" w:type="dxa"/>
              <w:bottom w:w="115" w:type="dxa"/>
              <w:right w:w="115" w:type="dxa"/>
            </w:tcMar>
          </w:tcPr>
          <w:p w14:paraId="0A23B8D7" w14:textId="77777777" w:rsidR="00894AC9" w:rsidRPr="005D3634" w:rsidRDefault="00894AC9" w:rsidP="00842F49">
            <w:pPr>
              <w:pStyle w:val="TableText"/>
              <w:jc w:val="center"/>
              <w:rPr>
                <w:rFonts w:asciiTheme="minorHAnsi" w:eastAsiaTheme="majorEastAsia" w:hAnsiTheme="minorHAnsi" w:cstheme="minorHAnsi"/>
                <w:sz w:val="20"/>
                <w:szCs w:val="20"/>
              </w:rPr>
            </w:pPr>
            <w:r>
              <w:rPr>
                <w:rFonts w:asciiTheme="minorHAnsi" w:eastAsiaTheme="majorEastAsia" w:hAnsiTheme="minorHAnsi" w:cstheme="minorHAnsi"/>
                <w:sz w:val="20"/>
                <w:szCs w:val="20"/>
              </w:rPr>
              <w:t>3.1</w:t>
            </w:r>
            <w:r w:rsidRPr="005D3634">
              <w:rPr>
                <w:rFonts w:asciiTheme="minorHAnsi" w:eastAsiaTheme="majorEastAsia" w:hAnsiTheme="minorHAnsi" w:cstheme="minorHAnsi"/>
                <w:sz w:val="20"/>
                <w:szCs w:val="20"/>
              </w:rPr>
              <w:t>%</w:t>
            </w:r>
          </w:p>
        </w:tc>
      </w:tr>
    </w:tbl>
    <w:p w14:paraId="74193AB5" w14:textId="77777777" w:rsidR="00894AC9" w:rsidRDefault="00894AC9" w:rsidP="001B29A1">
      <w:pPr>
        <w:ind w:left="426"/>
        <w:rPr>
          <w:szCs w:val="20"/>
        </w:rPr>
      </w:pPr>
    </w:p>
    <w:p w14:paraId="59F6E97C" w14:textId="77777777" w:rsidR="00EE39C0" w:rsidRPr="00154B00" w:rsidRDefault="00EE39C0" w:rsidP="001B29A1">
      <w:pPr>
        <w:ind w:left="426"/>
        <w:rPr>
          <w:szCs w:val="20"/>
        </w:rPr>
      </w:pPr>
    </w:p>
    <w:p w14:paraId="55DEDF30"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62250595" w14:textId="5BE980CA" w:rsidR="001B29A1" w:rsidRPr="001B29A1" w:rsidRDefault="0082616B"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44473">
        <w:rPr>
          <w:szCs w:val="20"/>
        </w:rPr>
      </w:r>
      <w:r w:rsidR="00A44473">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41541A78"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44473">
        <w:rPr>
          <w:szCs w:val="20"/>
        </w:rPr>
      </w:r>
      <w:r w:rsidR="00A44473">
        <w:rPr>
          <w:szCs w:val="20"/>
        </w:rPr>
        <w:fldChar w:fldCharType="separate"/>
      </w:r>
      <w:r w:rsidRPr="001B29A1">
        <w:rPr>
          <w:szCs w:val="20"/>
        </w:rPr>
        <w:fldChar w:fldCharType="end"/>
      </w:r>
      <w:r w:rsidRPr="001B29A1">
        <w:rPr>
          <w:szCs w:val="20"/>
        </w:rPr>
        <w:t xml:space="preserve"> Non-inferiority</w:t>
      </w:r>
      <w:r w:rsidRPr="001B29A1">
        <w:rPr>
          <w:szCs w:val="20"/>
        </w:rPr>
        <w:tab/>
      </w:r>
    </w:p>
    <w:p w14:paraId="5288324D"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4DFEA377" w14:textId="013D8E1F"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3181E346" w14:textId="4A94DFEF" w:rsidR="000F5D2C" w:rsidRPr="00322BDA" w:rsidRDefault="000F5D2C" w:rsidP="001B29A1">
      <w:pPr>
        <w:pBdr>
          <w:top w:val="single" w:sz="4" w:space="1" w:color="auto"/>
          <w:left w:val="single" w:sz="4" w:space="4" w:color="auto"/>
          <w:bottom w:val="single" w:sz="4" w:space="1" w:color="auto"/>
          <w:right w:val="single" w:sz="4" w:space="4" w:color="auto"/>
        </w:pBdr>
        <w:rPr>
          <w:szCs w:val="20"/>
        </w:rPr>
      </w:pPr>
      <w:r w:rsidRPr="00322BDA">
        <w:rPr>
          <w:szCs w:val="20"/>
        </w:rPr>
        <w:t xml:space="preserve">Major </w:t>
      </w:r>
      <w:r w:rsidR="00F06096" w:rsidRPr="00322BDA">
        <w:rPr>
          <w:szCs w:val="20"/>
        </w:rPr>
        <w:t>s</w:t>
      </w:r>
      <w:r w:rsidRPr="00322BDA">
        <w:rPr>
          <w:szCs w:val="20"/>
        </w:rPr>
        <w:t>troke</w:t>
      </w:r>
    </w:p>
    <w:p w14:paraId="60229741" w14:textId="233C5557" w:rsidR="000F5D2C" w:rsidRDefault="000F5D2C" w:rsidP="00440774">
      <w:pPr>
        <w:pBdr>
          <w:top w:val="single" w:sz="4" w:space="1" w:color="auto"/>
          <w:left w:val="single" w:sz="4" w:space="4" w:color="auto"/>
          <w:bottom w:val="single" w:sz="4" w:space="1" w:color="auto"/>
          <w:right w:val="single" w:sz="4" w:space="4" w:color="auto"/>
        </w:pBdr>
        <w:tabs>
          <w:tab w:val="left" w:pos="1770"/>
        </w:tabs>
        <w:rPr>
          <w:szCs w:val="20"/>
        </w:rPr>
      </w:pPr>
      <w:r w:rsidRPr="00322BDA">
        <w:rPr>
          <w:szCs w:val="20"/>
        </w:rPr>
        <w:t xml:space="preserve">New onset </w:t>
      </w:r>
      <w:r w:rsidR="00CF5433">
        <w:rPr>
          <w:szCs w:val="20"/>
        </w:rPr>
        <w:t>atrial fibrillation</w:t>
      </w:r>
    </w:p>
    <w:p w14:paraId="395CAC6A" w14:textId="69028DD7" w:rsidR="000F5D2C" w:rsidRPr="00322BDA" w:rsidRDefault="000F5D2C" w:rsidP="001B29A1">
      <w:pPr>
        <w:pBdr>
          <w:top w:val="single" w:sz="4" w:space="1" w:color="auto"/>
          <w:left w:val="single" w:sz="4" w:space="4" w:color="auto"/>
          <w:bottom w:val="single" w:sz="4" w:space="1" w:color="auto"/>
          <w:right w:val="single" w:sz="4" w:space="4" w:color="auto"/>
        </w:pBdr>
        <w:rPr>
          <w:szCs w:val="20"/>
        </w:rPr>
      </w:pPr>
      <w:r w:rsidRPr="00322BDA">
        <w:rPr>
          <w:szCs w:val="20"/>
        </w:rPr>
        <w:t>Major bleeding events</w:t>
      </w:r>
    </w:p>
    <w:p w14:paraId="20A3D315" w14:textId="77777777" w:rsidR="00CF5433" w:rsidRPr="00322BDA" w:rsidRDefault="00CF5433" w:rsidP="00CF5433">
      <w:pPr>
        <w:pBdr>
          <w:top w:val="single" w:sz="4" w:space="1" w:color="auto"/>
          <w:left w:val="single" w:sz="4" w:space="4" w:color="auto"/>
          <w:bottom w:val="single" w:sz="4" w:space="1" w:color="auto"/>
          <w:right w:val="single" w:sz="4" w:space="4" w:color="auto"/>
        </w:pBdr>
        <w:rPr>
          <w:szCs w:val="20"/>
        </w:rPr>
      </w:pPr>
      <w:r>
        <w:rPr>
          <w:szCs w:val="20"/>
        </w:rPr>
        <w:t>Myocardial infarction</w:t>
      </w:r>
    </w:p>
    <w:p w14:paraId="47E58533" w14:textId="2C093A30" w:rsidR="00CF5433" w:rsidRDefault="00CF5433" w:rsidP="00CF5433">
      <w:pPr>
        <w:pBdr>
          <w:top w:val="single" w:sz="4" w:space="1" w:color="auto"/>
          <w:left w:val="single" w:sz="4" w:space="4" w:color="auto"/>
          <w:bottom w:val="single" w:sz="4" w:space="1" w:color="auto"/>
          <w:right w:val="single" w:sz="4" w:space="4" w:color="auto"/>
        </w:pBdr>
        <w:rPr>
          <w:szCs w:val="20"/>
        </w:rPr>
      </w:pPr>
      <w:r>
        <w:rPr>
          <w:szCs w:val="20"/>
        </w:rPr>
        <w:t>Other m</w:t>
      </w:r>
      <w:r w:rsidRPr="00322BDA">
        <w:rPr>
          <w:szCs w:val="20"/>
        </w:rPr>
        <w:t>ajor vascular complications</w:t>
      </w:r>
    </w:p>
    <w:p w14:paraId="1B155FFB" w14:textId="77777777" w:rsidR="00CF7808" w:rsidRPr="00322BDA" w:rsidRDefault="00CF7808" w:rsidP="00CF7808">
      <w:pPr>
        <w:pBdr>
          <w:top w:val="single" w:sz="4" w:space="1" w:color="auto"/>
          <w:left w:val="single" w:sz="4" w:space="4" w:color="auto"/>
          <w:bottom w:val="single" w:sz="4" w:space="1" w:color="auto"/>
          <w:right w:val="single" w:sz="4" w:space="4" w:color="auto"/>
        </w:pBdr>
        <w:rPr>
          <w:szCs w:val="20"/>
        </w:rPr>
      </w:pPr>
      <w:r>
        <w:rPr>
          <w:szCs w:val="20"/>
        </w:rPr>
        <w:t>Acute kidney injury</w:t>
      </w:r>
    </w:p>
    <w:p w14:paraId="3CD1F0DC" w14:textId="77777777" w:rsidR="001B29A1" w:rsidRPr="001B29A1" w:rsidRDefault="001B29A1" w:rsidP="001B29A1">
      <w:pPr>
        <w:pBdr>
          <w:top w:val="single" w:sz="4" w:space="1" w:color="auto"/>
          <w:left w:val="single" w:sz="4" w:space="4" w:color="auto"/>
          <w:bottom w:val="single" w:sz="4" w:space="1" w:color="auto"/>
          <w:right w:val="single" w:sz="4" w:space="4" w:color="auto"/>
        </w:pBdr>
        <w:rPr>
          <w:b/>
          <w:szCs w:val="20"/>
        </w:rPr>
      </w:pPr>
    </w:p>
    <w:p w14:paraId="5D11FF96" w14:textId="638E7707" w:rsidR="00B25D20"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6B792341" w14:textId="7ED2AC40" w:rsidR="000F5D2C" w:rsidRDefault="000F5D2C" w:rsidP="001B29A1">
      <w:pPr>
        <w:pBdr>
          <w:top w:val="single" w:sz="4" w:space="1" w:color="auto"/>
          <w:left w:val="single" w:sz="4" w:space="4" w:color="auto"/>
          <w:bottom w:val="single" w:sz="4" w:space="1" w:color="auto"/>
          <w:right w:val="single" w:sz="4" w:space="4" w:color="auto"/>
        </w:pBdr>
        <w:rPr>
          <w:szCs w:val="20"/>
        </w:rPr>
      </w:pPr>
      <w:r>
        <w:rPr>
          <w:szCs w:val="20"/>
        </w:rPr>
        <w:t xml:space="preserve">Overall </w:t>
      </w:r>
      <w:r w:rsidR="00F06096">
        <w:rPr>
          <w:szCs w:val="20"/>
        </w:rPr>
        <w:t>s</w:t>
      </w:r>
      <w:r>
        <w:rPr>
          <w:szCs w:val="20"/>
        </w:rPr>
        <w:t xml:space="preserve">urvival </w:t>
      </w:r>
    </w:p>
    <w:p w14:paraId="1AE58E7E" w14:textId="16455795" w:rsidR="000F5D2C" w:rsidRDefault="00894AC9" w:rsidP="00894AC9">
      <w:pPr>
        <w:pBdr>
          <w:top w:val="single" w:sz="4" w:space="1" w:color="auto"/>
          <w:left w:val="single" w:sz="4" w:space="4" w:color="auto"/>
          <w:bottom w:val="single" w:sz="4" w:space="1" w:color="auto"/>
          <w:right w:val="single" w:sz="4" w:space="4" w:color="auto"/>
        </w:pBdr>
        <w:rPr>
          <w:szCs w:val="20"/>
        </w:rPr>
      </w:pPr>
      <w:r>
        <w:rPr>
          <w:szCs w:val="20"/>
        </w:rPr>
        <w:t>Health-rel</w:t>
      </w:r>
      <w:r w:rsidR="00842598">
        <w:rPr>
          <w:szCs w:val="20"/>
        </w:rPr>
        <w:t>a</w:t>
      </w:r>
      <w:r>
        <w:rPr>
          <w:szCs w:val="20"/>
        </w:rPr>
        <w:t>ted q</w:t>
      </w:r>
      <w:r w:rsidR="000F5D2C">
        <w:rPr>
          <w:szCs w:val="20"/>
        </w:rPr>
        <w:t xml:space="preserve">uality of </w:t>
      </w:r>
      <w:r w:rsidR="00F06096">
        <w:rPr>
          <w:szCs w:val="20"/>
        </w:rPr>
        <w:t>l</w:t>
      </w:r>
      <w:r w:rsidR="000F5D2C">
        <w:rPr>
          <w:szCs w:val="20"/>
        </w:rPr>
        <w:t>ife</w:t>
      </w:r>
    </w:p>
    <w:p w14:paraId="1FC1411E" w14:textId="28ADA6B9" w:rsidR="009C42EB" w:rsidRDefault="009C42EB" w:rsidP="001B29A1">
      <w:pPr>
        <w:pBdr>
          <w:top w:val="single" w:sz="4" w:space="1" w:color="auto"/>
          <w:left w:val="single" w:sz="4" w:space="4" w:color="auto"/>
          <w:bottom w:val="single" w:sz="4" w:space="1" w:color="auto"/>
          <w:right w:val="single" w:sz="4" w:space="4" w:color="auto"/>
        </w:pBdr>
        <w:rPr>
          <w:szCs w:val="20"/>
        </w:rPr>
      </w:pPr>
    </w:p>
    <w:p w14:paraId="2402C392" w14:textId="757430FC" w:rsidR="009C42EB" w:rsidRPr="00440774" w:rsidRDefault="009C42EB" w:rsidP="009C42EB">
      <w:pPr>
        <w:pBdr>
          <w:top w:val="single" w:sz="4" w:space="1" w:color="auto"/>
          <w:left w:val="single" w:sz="4" w:space="4" w:color="auto"/>
          <w:bottom w:val="single" w:sz="4" w:space="1" w:color="auto"/>
          <w:right w:val="single" w:sz="4" w:space="4" w:color="auto"/>
        </w:pBdr>
        <w:rPr>
          <w:b/>
          <w:bCs/>
          <w:szCs w:val="20"/>
        </w:rPr>
      </w:pPr>
      <w:r w:rsidRPr="00440774">
        <w:rPr>
          <w:b/>
          <w:bCs/>
          <w:szCs w:val="20"/>
        </w:rPr>
        <w:t>Healthcare resources</w:t>
      </w:r>
    </w:p>
    <w:p w14:paraId="191587B1" w14:textId="5B420394" w:rsidR="009C42EB" w:rsidRPr="009C42EB" w:rsidRDefault="009C42EB" w:rsidP="009C42EB">
      <w:pPr>
        <w:pBdr>
          <w:top w:val="single" w:sz="4" w:space="1" w:color="auto"/>
          <w:left w:val="single" w:sz="4" w:space="4" w:color="auto"/>
          <w:bottom w:val="single" w:sz="4" w:space="1" w:color="auto"/>
          <w:right w:val="single" w:sz="4" w:space="4" w:color="auto"/>
        </w:pBdr>
        <w:rPr>
          <w:szCs w:val="20"/>
        </w:rPr>
      </w:pPr>
      <w:r w:rsidRPr="009C42EB">
        <w:rPr>
          <w:szCs w:val="20"/>
        </w:rPr>
        <w:t>Cost of valvular prosthesis</w:t>
      </w:r>
    </w:p>
    <w:p w14:paraId="6A0347FF" w14:textId="27B056C8" w:rsidR="009C42EB" w:rsidRPr="009C42EB" w:rsidRDefault="009C42EB" w:rsidP="009C42EB">
      <w:pPr>
        <w:pBdr>
          <w:top w:val="single" w:sz="4" w:space="1" w:color="auto"/>
          <w:left w:val="single" w:sz="4" w:space="4" w:color="auto"/>
          <w:bottom w:val="single" w:sz="4" w:space="1" w:color="auto"/>
          <w:right w:val="single" w:sz="4" w:space="4" w:color="auto"/>
        </w:pBdr>
        <w:rPr>
          <w:szCs w:val="20"/>
        </w:rPr>
      </w:pPr>
      <w:r w:rsidRPr="009C42EB">
        <w:rPr>
          <w:szCs w:val="20"/>
        </w:rPr>
        <w:t>Cost associated with changes in clinical management (testing required before the procedure, length of stay, post-discharge rehabilitation)</w:t>
      </w:r>
    </w:p>
    <w:p w14:paraId="0372110F" w14:textId="77777777" w:rsidR="009C42EB" w:rsidRDefault="009C42EB" w:rsidP="009C42EB">
      <w:pPr>
        <w:pBdr>
          <w:top w:val="single" w:sz="4" w:space="1" w:color="auto"/>
          <w:left w:val="single" w:sz="4" w:space="4" w:color="auto"/>
          <w:bottom w:val="single" w:sz="4" w:space="1" w:color="auto"/>
          <w:right w:val="single" w:sz="4" w:space="4" w:color="auto"/>
        </w:pBdr>
        <w:rPr>
          <w:szCs w:val="20"/>
        </w:rPr>
      </w:pPr>
    </w:p>
    <w:p w14:paraId="1AEDF268" w14:textId="29D8F66A" w:rsidR="009C42EB" w:rsidRPr="00440774" w:rsidRDefault="009C42EB" w:rsidP="009C42EB">
      <w:pPr>
        <w:pBdr>
          <w:top w:val="single" w:sz="4" w:space="1" w:color="auto"/>
          <w:left w:val="single" w:sz="4" w:space="4" w:color="auto"/>
          <w:bottom w:val="single" w:sz="4" w:space="1" w:color="auto"/>
          <w:right w:val="single" w:sz="4" w:space="4" w:color="auto"/>
        </w:pBdr>
        <w:rPr>
          <w:b/>
          <w:bCs/>
          <w:szCs w:val="20"/>
        </w:rPr>
      </w:pPr>
      <w:r w:rsidRPr="00440774">
        <w:rPr>
          <w:b/>
          <w:bCs/>
          <w:szCs w:val="20"/>
        </w:rPr>
        <w:t>Cost-effectiveness:</w:t>
      </w:r>
    </w:p>
    <w:p w14:paraId="3579416B" w14:textId="378D7160" w:rsidR="009C42EB" w:rsidRPr="009C42EB" w:rsidRDefault="009C42EB" w:rsidP="009C42EB">
      <w:pPr>
        <w:pBdr>
          <w:top w:val="single" w:sz="4" w:space="1" w:color="auto"/>
          <w:left w:val="single" w:sz="4" w:space="4" w:color="auto"/>
          <w:bottom w:val="single" w:sz="4" w:space="1" w:color="auto"/>
          <w:right w:val="single" w:sz="4" w:space="4" w:color="auto"/>
        </w:pBdr>
        <w:rPr>
          <w:szCs w:val="20"/>
        </w:rPr>
      </w:pPr>
      <w:r w:rsidRPr="009C42EB">
        <w:rPr>
          <w:szCs w:val="20"/>
        </w:rPr>
        <w:t>Cost per life-year gained</w:t>
      </w:r>
    </w:p>
    <w:p w14:paraId="07CF8436" w14:textId="72055586" w:rsidR="009C42EB" w:rsidRPr="009C42EB" w:rsidRDefault="009C42EB" w:rsidP="009C42EB">
      <w:pPr>
        <w:pBdr>
          <w:top w:val="single" w:sz="4" w:space="1" w:color="auto"/>
          <w:left w:val="single" w:sz="4" w:space="4" w:color="auto"/>
          <w:bottom w:val="single" w:sz="4" w:space="1" w:color="auto"/>
          <w:right w:val="single" w:sz="4" w:space="4" w:color="auto"/>
        </w:pBdr>
        <w:rPr>
          <w:szCs w:val="20"/>
        </w:rPr>
      </w:pPr>
      <w:r w:rsidRPr="009C42EB">
        <w:rPr>
          <w:szCs w:val="20"/>
        </w:rPr>
        <w:t>Cost per QALY gained</w:t>
      </w:r>
    </w:p>
    <w:p w14:paraId="5F6E5EA0" w14:textId="77777777" w:rsidR="009C42EB" w:rsidRDefault="009C42EB" w:rsidP="009C42EB">
      <w:pPr>
        <w:pBdr>
          <w:top w:val="single" w:sz="4" w:space="1" w:color="auto"/>
          <w:left w:val="single" w:sz="4" w:space="4" w:color="auto"/>
          <w:bottom w:val="single" w:sz="4" w:space="1" w:color="auto"/>
          <w:right w:val="single" w:sz="4" w:space="4" w:color="auto"/>
        </w:pBdr>
        <w:rPr>
          <w:b/>
          <w:bCs/>
          <w:szCs w:val="20"/>
        </w:rPr>
      </w:pPr>
    </w:p>
    <w:p w14:paraId="3F0FB308" w14:textId="481EC4BD" w:rsidR="009C42EB" w:rsidRPr="00440774" w:rsidRDefault="009C42EB" w:rsidP="009C42EB">
      <w:pPr>
        <w:pBdr>
          <w:top w:val="single" w:sz="4" w:space="1" w:color="auto"/>
          <w:left w:val="single" w:sz="4" w:space="4" w:color="auto"/>
          <w:bottom w:val="single" w:sz="4" w:space="1" w:color="auto"/>
          <w:right w:val="single" w:sz="4" w:space="4" w:color="auto"/>
        </w:pBdr>
        <w:rPr>
          <w:b/>
          <w:bCs/>
          <w:szCs w:val="20"/>
        </w:rPr>
      </w:pPr>
      <w:r w:rsidRPr="00440774">
        <w:rPr>
          <w:b/>
          <w:bCs/>
          <w:szCs w:val="20"/>
        </w:rPr>
        <w:t>Total Australian Government healthcare costs:</w:t>
      </w:r>
    </w:p>
    <w:p w14:paraId="28E1DC54" w14:textId="64E01B38" w:rsidR="009C42EB" w:rsidRPr="001B29A1" w:rsidRDefault="009C42EB" w:rsidP="009C42EB">
      <w:pPr>
        <w:pBdr>
          <w:top w:val="single" w:sz="4" w:space="1" w:color="auto"/>
          <w:left w:val="single" w:sz="4" w:space="4" w:color="auto"/>
          <w:bottom w:val="single" w:sz="4" w:space="1" w:color="auto"/>
          <w:right w:val="single" w:sz="4" w:space="4" w:color="auto"/>
        </w:pBdr>
        <w:rPr>
          <w:szCs w:val="20"/>
        </w:rPr>
      </w:pPr>
      <w:r w:rsidRPr="009C42EB">
        <w:rPr>
          <w:szCs w:val="20"/>
        </w:rPr>
        <w:t>Total cost to the Medical Benefits Schedule (MBS)</w:t>
      </w:r>
    </w:p>
    <w:p w14:paraId="16870B44"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55C7E726"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70FB8687" w14:textId="5555CDEE" w:rsidR="006C74B1"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5A4F15B8" w14:textId="1A8E17FA" w:rsidR="00B35945" w:rsidRDefault="00837987" w:rsidP="00133F25">
      <w:pPr>
        <w:ind w:left="426"/>
      </w:pPr>
      <w:r>
        <w:t xml:space="preserve">Osnabrugge estimated that 3.4% of the population </w:t>
      </w:r>
      <w:r w:rsidR="00F06096">
        <w:t xml:space="preserve">aged </w:t>
      </w:r>
      <w:r>
        <w:t xml:space="preserve">over 75 years </w:t>
      </w:r>
      <w:r w:rsidR="00F06096">
        <w:t>hav</w:t>
      </w:r>
      <w:r>
        <w:t xml:space="preserve">e severe AS. Of those, 75.6% would be symptomatic. </w:t>
      </w:r>
      <w:r w:rsidR="00133F25">
        <w:t>It is estimated that 15.8% of patients with severe symptomatic AS are at intermediate risk of surgery.</w:t>
      </w:r>
      <w:r w:rsidR="00133F25">
        <w:rPr>
          <w:rStyle w:val="FootnoteReference"/>
        </w:rPr>
        <w:footnoteReference w:id="12"/>
      </w:r>
      <w:r>
        <w:t xml:space="preserve"> </w:t>
      </w:r>
      <w:r w:rsidR="00AA7A6C">
        <w:t xml:space="preserve"> Thourani et al </w:t>
      </w:r>
      <w:r w:rsidR="00AA7A6C">
        <w:rPr>
          <w:rStyle w:val="FootnoteReference"/>
        </w:rPr>
        <w:footnoteReference w:id="13"/>
      </w:r>
      <w:r w:rsidR="00AA7A6C">
        <w:t xml:space="preserve"> estimated from the STS data set that 13.9% of patients who underwent SAVR were of intermediate risk. </w:t>
      </w:r>
    </w:p>
    <w:p w14:paraId="6C74525E" w14:textId="6DF98EE1" w:rsidR="00B35945" w:rsidRDefault="00722E75" w:rsidP="00133F25">
      <w:pPr>
        <w:ind w:left="426"/>
      </w:pPr>
      <w:r>
        <w:t xml:space="preserve">It was assumed that the same prevalence of severe AS (3.4%) would apply to people aged 65 years and above as those aged 75 years and above. </w:t>
      </w:r>
      <w:r w:rsidR="00B35945" w:rsidRPr="00722E75">
        <w:t>Th</w:t>
      </w:r>
      <w:r w:rsidR="00B35945">
        <w:t>e following table lists the estimated Australian population aged 65 years and above.</w:t>
      </w:r>
    </w:p>
    <w:p w14:paraId="3C0AEBE5" w14:textId="534B1821" w:rsidR="00BE7973" w:rsidRPr="00D16F23" w:rsidRDefault="00D16F23" w:rsidP="00133F25">
      <w:pPr>
        <w:ind w:left="426"/>
        <w:rPr>
          <w:b/>
        </w:rPr>
      </w:pPr>
      <w:r w:rsidRPr="00D16F23">
        <w:rPr>
          <w:b/>
        </w:rPr>
        <w:t xml:space="preserve">Australian </w:t>
      </w:r>
      <w:r w:rsidR="00BE7973" w:rsidRPr="00D16F23">
        <w:rPr>
          <w:b/>
        </w:rPr>
        <w:t>population</w:t>
      </w:r>
      <w:r w:rsidRPr="00D16F23">
        <w:rPr>
          <w:b/>
        </w:rPr>
        <w:t xml:space="preserve"> over 65 years</w:t>
      </w:r>
      <w:r w:rsidR="0046738D">
        <w:rPr>
          <w:rStyle w:val="FootnoteReference"/>
          <w:b/>
        </w:rPr>
        <w:footnoteReference w:id="14"/>
      </w:r>
    </w:p>
    <w:tbl>
      <w:tblPr>
        <w:tblStyle w:val="TableGrid"/>
        <w:tblW w:w="0" w:type="auto"/>
        <w:tblInd w:w="426" w:type="dxa"/>
        <w:tblLook w:val="04A0" w:firstRow="1" w:lastRow="0" w:firstColumn="1" w:lastColumn="0" w:noHBand="0" w:noVBand="1"/>
        <w:tblCaption w:val="Table"/>
        <w:tblDescription w:val="Table"/>
      </w:tblPr>
      <w:tblGrid>
        <w:gridCol w:w="2155"/>
        <w:gridCol w:w="2145"/>
        <w:gridCol w:w="2145"/>
        <w:gridCol w:w="2145"/>
      </w:tblGrid>
      <w:tr w:rsidR="00D16F23" w14:paraId="73B18BF3" w14:textId="77777777" w:rsidTr="003F4F1C">
        <w:trPr>
          <w:tblHeader/>
        </w:trPr>
        <w:tc>
          <w:tcPr>
            <w:tcW w:w="2155" w:type="dxa"/>
          </w:tcPr>
          <w:p w14:paraId="67B0B3B7" w14:textId="52A9A5D2" w:rsidR="00D16F23" w:rsidRPr="00D16F23" w:rsidRDefault="00D16F23" w:rsidP="00D16F23">
            <w:pPr>
              <w:jc w:val="center"/>
              <w:rPr>
                <w:b/>
              </w:rPr>
            </w:pPr>
          </w:p>
        </w:tc>
        <w:tc>
          <w:tcPr>
            <w:tcW w:w="2145" w:type="dxa"/>
            <w:shd w:val="clear" w:color="auto" w:fill="D9D9D9" w:themeFill="background1" w:themeFillShade="D9"/>
          </w:tcPr>
          <w:p w14:paraId="00EB5FE8" w14:textId="14D92770" w:rsidR="00D16F23" w:rsidRPr="00D16F23" w:rsidRDefault="00D16F23" w:rsidP="00A04D67">
            <w:pPr>
              <w:jc w:val="center"/>
              <w:rPr>
                <w:b/>
              </w:rPr>
            </w:pPr>
            <w:r w:rsidRPr="00D16F23">
              <w:rPr>
                <w:b/>
              </w:rPr>
              <w:t>201</w:t>
            </w:r>
            <w:r w:rsidR="00A04D67">
              <w:rPr>
                <w:b/>
              </w:rPr>
              <w:t>8</w:t>
            </w:r>
          </w:p>
        </w:tc>
        <w:tc>
          <w:tcPr>
            <w:tcW w:w="2145" w:type="dxa"/>
            <w:shd w:val="clear" w:color="auto" w:fill="D9D9D9" w:themeFill="background1" w:themeFillShade="D9"/>
          </w:tcPr>
          <w:p w14:paraId="60CAF463" w14:textId="30228AD1" w:rsidR="00D16F23" w:rsidRPr="00D16F23" w:rsidRDefault="00D16F23" w:rsidP="00A04D67">
            <w:pPr>
              <w:jc w:val="center"/>
              <w:rPr>
                <w:b/>
              </w:rPr>
            </w:pPr>
            <w:r w:rsidRPr="00D16F23">
              <w:rPr>
                <w:b/>
              </w:rPr>
              <w:t>201</w:t>
            </w:r>
            <w:r w:rsidR="00A04D67">
              <w:rPr>
                <w:b/>
              </w:rPr>
              <w:t>9</w:t>
            </w:r>
          </w:p>
        </w:tc>
        <w:tc>
          <w:tcPr>
            <w:tcW w:w="2145" w:type="dxa"/>
            <w:shd w:val="clear" w:color="auto" w:fill="D9D9D9" w:themeFill="background1" w:themeFillShade="D9"/>
          </w:tcPr>
          <w:p w14:paraId="650E6124" w14:textId="0398F32E" w:rsidR="00D16F23" w:rsidRPr="00D16F23" w:rsidRDefault="00D16F23" w:rsidP="00A04D67">
            <w:pPr>
              <w:jc w:val="center"/>
              <w:rPr>
                <w:b/>
              </w:rPr>
            </w:pPr>
            <w:r w:rsidRPr="00D16F23">
              <w:rPr>
                <w:b/>
              </w:rPr>
              <w:t>20</w:t>
            </w:r>
            <w:r w:rsidR="00A04D67">
              <w:rPr>
                <w:b/>
              </w:rPr>
              <w:t>20</w:t>
            </w:r>
          </w:p>
        </w:tc>
      </w:tr>
      <w:tr w:rsidR="00A04D67" w14:paraId="282B794E" w14:textId="77777777" w:rsidTr="00D16F23">
        <w:tc>
          <w:tcPr>
            <w:tcW w:w="2155" w:type="dxa"/>
            <w:shd w:val="clear" w:color="auto" w:fill="D9D9D9" w:themeFill="background1" w:themeFillShade="D9"/>
          </w:tcPr>
          <w:p w14:paraId="7D52DC5D" w14:textId="775C4DF6" w:rsidR="00A04D67" w:rsidRPr="00D16F23" w:rsidRDefault="00A04D67" w:rsidP="00A04D67">
            <w:pPr>
              <w:jc w:val="center"/>
              <w:rPr>
                <w:b/>
              </w:rPr>
            </w:pPr>
            <w:r w:rsidRPr="00D16F23">
              <w:rPr>
                <w:b/>
              </w:rPr>
              <w:t>Australian Population over 65 years of age</w:t>
            </w:r>
          </w:p>
        </w:tc>
        <w:tc>
          <w:tcPr>
            <w:tcW w:w="2145" w:type="dxa"/>
          </w:tcPr>
          <w:p w14:paraId="6EDCDBFC" w14:textId="11223FA9" w:rsidR="00A04D67" w:rsidRPr="00D16F23" w:rsidRDefault="00A04D67" w:rsidP="00A04D67">
            <w:pPr>
              <w:jc w:val="center"/>
              <w:rPr>
                <w:b/>
              </w:rPr>
            </w:pPr>
            <w:r w:rsidRPr="00D16F23">
              <w:rPr>
                <w:b/>
              </w:rPr>
              <w:t>3,</w:t>
            </w:r>
            <w:r>
              <w:rPr>
                <w:b/>
              </w:rPr>
              <w:t>909</w:t>
            </w:r>
            <w:r w:rsidRPr="00D16F23">
              <w:rPr>
                <w:b/>
              </w:rPr>
              <w:t>,</w:t>
            </w:r>
            <w:r>
              <w:rPr>
                <w:b/>
              </w:rPr>
              <w:t>104</w:t>
            </w:r>
          </w:p>
        </w:tc>
        <w:tc>
          <w:tcPr>
            <w:tcW w:w="2145" w:type="dxa"/>
          </w:tcPr>
          <w:p w14:paraId="29F04AA9" w14:textId="77DF271D" w:rsidR="00A04D67" w:rsidRPr="00D16F23" w:rsidRDefault="00A04D67" w:rsidP="00A04D67">
            <w:pPr>
              <w:jc w:val="center"/>
              <w:rPr>
                <w:b/>
              </w:rPr>
            </w:pPr>
            <w:r>
              <w:rPr>
                <w:b/>
              </w:rPr>
              <w:t>4,026,056</w:t>
            </w:r>
          </w:p>
        </w:tc>
        <w:tc>
          <w:tcPr>
            <w:tcW w:w="2145" w:type="dxa"/>
          </w:tcPr>
          <w:p w14:paraId="026CEF78" w14:textId="5642B7E0" w:rsidR="00A04D67" w:rsidRPr="00D16F23" w:rsidRDefault="00A04D67" w:rsidP="00A04D67">
            <w:pPr>
              <w:jc w:val="center"/>
              <w:rPr>
                <w:b/>
              </w:rPr>
            </w:pPr>
            <w:r w:rsidRPr="00D16F23">
              <w:rPr>
                <w:b/>
              </w:rPr>
              <w:t>4,</w:t>
            </w:r>
            <w:r>
              <w:rPr>
                <w:b/>
              </w:rPr>
              <w:t>145,275</w:t>
            </w:r>
          </w:p>
        </w:tc>
      </w:tr>
    </w:tbl>
    <w:p w14:paraId="641F1513" w14:textId="77777777" w:rsidR="00D16F23" w:rsidRDefault="00D16F23" w:rsidP="00D16F23">
      <w:pPr>
        <w:ind w:left="426"/>
        <w:rPr>
          <w:szCs w:val="20"/>
        </w:rPr>
      </w:pPr>
    </w:p>
    <w:p w14:paraId="7F38A1FD" w14:textId="3FC5CA5D" w:rsidR="00D16F23" w:rsidRDefault="00D16F23" w:rsidP="00D16F23">
      <w:pPr>
        <w:ind w:left="426"/>
        <w:rPr>
          <w:szCs w:val="20"/>
        </w:rPr>
      </w:pPr>
      <w:r>
        <w:rPr>
          <w:szCs w:val="20"/>
        </w:rPr>
        <w:t xml:space="preserve">An estimate of the number of patients who would be eligible for the proposed service can be made from the number of MBS item numbers that have been claimed for SAVR procedures. TAVI became available on the MBS in November 2017. This is likely to </w:t>
      </w:r>
      <w:r w:rsidR="00722E75">
        <w:rPr>
          <w:szCs w:val="20"/>
        </w:rPr>
        <w:t xml:space="preserve">have </w:t>
      </w:r>
      <w:r>
        <w:rPr>
          <w:szCs w:val="20"/>
        </w:rPr>
        <w:t>reduce</w:t>
      </w:r>
      <w:r w:rsidR="00722E75">
        <w:rPr>
          <w:szCs w:val="20"/>
        </w:rPr>
        <w:t>d</w:t>
      </w:r>
      <w:r>
        <w:rPr>
          <w:szCs w:val="20"/>
        </w:rPr>
        <w:t xml:space="preserve"> the overall population that receive</w:t>
      </w:r>
      <w:r w:rsidR="00722E75">
        <w:rPr>
          <w:szCs w:val="20"/>
        </w:rPr>
        <w:t>d</w:t>
      </w:r>
      <w:r>
        <w:rPr>
          <w:szCs w:val="20"/>
        </w:rPr>
        <w:t xml:space="preserve"> SAVR </w:t>
      </w:r>
      <w:r w:rsidR="00722E75">
        <w:rPr>
          <w:szCs w:val="20"/>
        </w:rPr>
        <w:t>since</w:t>
      </w:r>
      <w:r>
        <w:rPr>
          <w:szCs w:val="20"/>
        </w:rPr>
        <w:t xml:space="preserve"> this date. Therefore, Medicare statistics prior to November 2017 </w:t>
      </w:r>
      <w:r w:rsidR="00722E75">
        <w:rPr>
          <w:szCs w:val="20"/>
        </w:rPr>
        <w:t>were</w:t>
      </w:r>
      <w:r>
        <w:rPr>
          <w:szCs w:val="20"/>
        </w:rPr>
        <w:t xml:space="preserve"> accessed to avoid underestimating the population</w:t>
      </w:r>
      <w:r w:rsidR="00B35945">
        <w:rPr>
          <w:szCs w:val="20"/>
        </w:rPr>
        <w:t>.</w:t>
      </w:r>
    </w:p>
    <w:p w14:paraId="0C7A6FC0" w14:textId="3CEE6122" w:rsidR="00A006A6" w:rsidRDefault="00D16F23" w:rsidP="00D16F23">
      <w:pPr>
        <w:ind w:left="426"/>
        <w:rPr>
          <w:szCs w:val="20"/>
        </w:rPr>
      </w:pPr>
      <w:r>
        <w:rPr>
          <w:szCs w:val="20"/>
        </w:rPr>
        <w:t>In the year from Quarter 4 2016 to Quarter 3 2017</w:t>
      </w:r>
      <w:r w:rsidR="00B35945">
        <w:rPr>
          <w:szCs w:val="20"/>
        </w:rPr>
        <w:t>,</w:t>
      </w:r>
      <w:r>
        <w:rPr>
          <w:szCs w:val="20"/>
        </w:rPr>
        <w:t xml:space="preserve"> MBS Item 38488 was claimed 2601 times and MBS Item 38489 was claimed 90 times. </w:t>
      </w:r>
      <w:r w:rsidR="00B35945">
        <w:rPr>
          <w:szCs w:val="20"/>
        </w:rPr>
        <w:t>Eighty percent</w:t>
      </w:r>
      <w:r>
        <w:rPr>
          <w:szCs w:val="20"/>
        </w:rPr>
        <w:t xml:space="preserve"> of these patients were</w:t>
      </w:r>
      <w:r w:rsidR="00B35945">
        <w:rPr>
          <w:szCs w:val="20"/>
        </w:rPr>
        <w:t xml:space="preserve"> aged</w:t>
      </w:r>
      <w:r>
        <w:rPr>
          <w:szCs w:val="20"/>
        </w:rPr>
        <w:t xml:space="preserve"> over 65 years and likely to be eligible for TAVI.</w:t>
      </w:r>
      <w:r>
        <w:rPr>
          <w:rStyle w:val="FootnoteReference"/>
          <w:szCs w:val="20"/>
        </w:rPr>
        <w:footnoteReference w:id="15"/>
      </w:r>
      <w:r>
        <w:rPr>
          <w:szCs w:val="20"/>
        </w:rPr>
        <w:t xml:space="preserve"> </w:t>
      </w:r>
    </w:p>
    <w:p w14:paraId="454009E3" w14:textId="3ABD6B01" w:rsidR="00877C92" w:rsidRDefault="00A006A6" w:rsidP="006A7146">
      <w:pPr>
        <w:ind w:left="426"/>
        <w:rPr>
          <w:szCs w:val="20"/>
        </w:rPr>
      </w:pPr>
      <w:r>
        <w:rPr>
          <w:szCs w:val="20"/>
        </w:rPr>
        <w:t>According to Australian Institute of Health and Welfare statistics</w:t>
      </w:r>
      <w:r w:rsidR="002C7453">
        <w:rPr>
          <w:rStyle w:val="FootnoteReference"/>
          <w:szCs w:val="20"/>
        </w:rPr>
        <w:footnoteReference w:id="16"/>
      </w:r>
      <w:r>
        <w:rPr>
          <w:szCs w:val="20"/>
        </w:rPr>
        <w:t xml:space="preserve">, </w:t>
      </w:r>
      <w:r w:rsidR="006A7146">
        <w:rPr>
          <w:szCs w:val="20"/>
        </w:rPr>
        <w:t>1827</w:t>
      </w:r>
      <w:r>
        <w:rPr>
          <w:szCs w:val="20"/>
        </w:rPr>
        <w:t xml:space="preserve"> patients received TAVI in Australia</w:t>
      </w:r>
      <w:r w:rsidR="00FE1F97">
        <w:rPr>
          <w:szCs w:val="20"/>
        </w:rPr>
        <w:t xml:space="preserve"> </w:t>
      </w:r>
      <w:r w:rsidR="00B35945">
        <w:rPr>
          <w:szCs w:val="20"/>
        </w:rPr>
        <w:t xml:space="preserve">in </w:t>
      </w:r>
      <w:r w:rsidR="00FE1F97">
        <w:rPr>
          <w:szCs w:val="20"/>
        </w:rPr>
        <w:t>201</w:t>
      </w:r>
      <w:r w:rsidR="006A7146">
        <w:rPr>
          <w:szCs w:val="20"/>
        </w:rPr>
        <w:t>7</w:t>
      </w:r>
      <w:r w:rsidR="00FE1F97">
        <w:rPr>
          <w:szCs w:val="20"/>
        </w:rPr>
        <w:t>/201</w:t>
      </w:r>
      <w:r w:rsidR="006A7146">
        <w:rPr>
          <w:szCs w:val="20"/>
        </w:rPr>
        <w:t>8</w:t>
      </w:r>
      <w:r>
        <w:rPr>
          <w:szCs w:val="20"/>
        </w:rPr>
        <w:t>. It is possible that some of these patients would have been treated in private hospitals should the option have been available. To avoid underestimation of the population</w:t>
      </w:r>
      <w:r w:rsidR="00877C92">
        <w:rPr>
          <w:szCs w:val="20"/>
        </w:rPr>
        <w:t xml:space="preserve">, it </w:t>
      </w:r>
      <w:r w:rsidR="00722E75">
        <w:rPr>
          <w:szCs w:val="20"/>
        </w:rPr>
        <w:t xml:space="preserve">was </w:t>
      </w:r>
      <w:r w:rsidR="00877C92">
        <w:rPr>
          <w:szCs w:val="20"/>
        </w:rPr>
        <w:t>assumed that all these patients would have been treated in the private sector if TAVI had been available</w:t>
      </w:r>
      <w:r w:rsidR="00362EC4">
        <w:rPr>
          <w:szCs w:val="20"/>
        </w:rPr>
        <w:t>.</w:t>
      </w:r>
    </w:p>
    <w:p w14:paraId="5CF6FCE9" w14:textId="77777777" w:rsidR="003F4F1C" w:rsidRDefault="00D16F23" w:rsidP="006A7146">
      <w:pPr>
        <w:ind w:left="426"/>
        <w:rPr>
          <w:szCs w:val="20"/>
        </w:rPr>
      </w:pPr>
      <w:r>
        <w:rPr>
          <w:szCs w:val="20"/>
        </w:rPr>
        <w:t xml:space="preserve">The following estimates are made using the utilisation of MBS item numbers 38488 and 38489 as a proportion of the population </w:t>
      </w:r>
      <w:r w:rsidR="00B35945">
        <w:rPr>
          <w:szCs w:val="20"/>
        </w:rPr>
        <w:t xml:space="preserve">aged </w:t>
      </w:r>
      <w:r>
        <w:rPr>
          <w:szCs w:val="20"/>
        </w:rPr>
        <w:t>65</w:t>
      </w:r>
      <w:r w:rsidR="006A7146">
        <w:rPr>
          <w:szCs w:val="20"/>
        </w:rPr>
        <w:t xml:space="preserve"> </w:t>
      </w:r>
      <w:r w:rsidR="00B35945">
        <w:rPr>
          <w:szCs w:val="20"/>
        </w:rPr>
        <w:t>years</w:t>
      </w:r>
      <w:r w:rsidR="006A7146">
        <w:rPr>
          <w:szCs w:val="20"/>
        </w:rPr>
        <w:t xml:space="preserve"> and over</w:t>
      </w:r>
      <w:r>
        <w:rPr>
          <w:szCs w:val="20"/>
        </w:rPr>
        <w:t xml:space="preserve">. </w:t>
      </w:r>
      <w:r w:rsidR="00362EC4">
        <w:rPr>
          <w:szCs w:val="20"/>
        </w:rPr>
        <w:t xml:space="preserve">The same methodology is applied to TAVI procedures. </w:t>
      </w:r>
      <w:r>
        <w:rPr>
          <w:szCs w:val="20"/>
        </w:rPr>
        <w:t>Only 80% of patients receiving SAVR under these item numbers are</w:t>
      </w:r>
      <w:r w:rsidR="00B35945">
        <w:rPr>
          <w:szCs w:val="20"/>
        </w:rPr>
        <w:t xml:space="preserve"> for those aged</w:t>
      </w:r>
      <w:r>
        <w:rPr>
          <w:szCs w:val="20"/>
        </w:rPr>
        <w:t xml:space="preserve"> 65 </w:t>
      </w:r>
      <w:r w:rsidR="00B35945">
        <w:rPr>
          <w:szCs w:val="20"/>
        </w:rPr>
        <w:t xml:space="preserve">and over, </w:t>
      </w:r>
      <w:r>
        <w:rPr>
          <w:szCs w:val="20"/>
        </w:rPr>
        <w:t>so this is likely to be a conservative estimate.</w:t>
      </w:r>
    </w:p>
    <w:p w14:paraId="6E4FA248" w14:textId="77777777" w:rsidR="003F4F1C" w:rsidRDefault="003F4F1C">
      <w:pPr>
        <w:spacing w:before="0" w:after="200" w:line="276" w:lineRule="auto"/>
        <w:rPr>
          <w:szCs w:val="20"/>
        </w:rPr>
      </w:pPr>
      <w:r>
        <w:rPr>
          <w:szCs w:val="20"/>
        </w:rPr>
        <w:br w:type="page"/>
      </w:r>
    </w:p>
    <w:p w14:paraId="5D312F82" w14:textId="0A515C53" w:rsidR="003373A0" w:rsidRDefault="003F4F1C" w:rsidP="006A7146">
      <w:pPr>
        <w:ind w:left="426"/>
        <w:rPr>
          <w:szCs w:val="20"/>
        </w:rPr>
      </w:pPr>
      <w:r>
        <w:rPr>
          <w:szCs w:val="20"/>
        </w:rPr>
        <w:lastRenderedPageBreak/>
        <w:t xml:space="preserve"> </w:t>
      </w:r>
    </w:p>
    <w:tbl>
      <w:tblPr>
        <w:tblStyle w:val="TableGrid"/>
        <w:tblW w:w="0" w:type="auto"/>
        <w:tblInd w:w="426" w:type="dxa"/>
        <w:tblLook w:val="04A0" w:firstRow="1" w:lastRow="0" w:firstColumn="1" w:lastColumn="0" w:noHBand="0" w:noVBand="1"/>
        <w:tblCaption w:val="Table"/>
        <w:tblDescription w:val="Table"/>
      </w:tblPr>
      <w:tblGrid>
        <w:gridCol w:w="816"/>
        <w:gridCol w:w="1534"/>
        <w:gridCol w:w="1174"/>
        <w:gridCol w:w="1341"/>
        <w:gridCol w:w="1225"/>
        <w:gridCol w:w="1276"/>
        <w:gridCol w:w="1224"/>
      </w:tblGrid>
      <w:tr w:rsidR="00A04D67" w14:paraId="58FC8A8A" w14:textId="73BAB5DC" w:rsidTr="003F4F1C">
        <w:trPr>
          <w:tblHeader/>
        </w:trPr>
        <w:tc>
          <w:tcPr>
            <w:tcW w:w="816" w:type="dxa"/>
          </w:tcPr>
          <w:p w14:paraId="3AD1C11D" w14:textId="77777777" w:rsidR="00362EC4" w:rsidRDefault="00362EC4" w:rsidP="00362EC4">
            <w:pPr>
              <w:jc w:val="center"/>
            </w:pPr>
          </w:p>
        </w:tc>
        <w:tc>
          <w:tcPr>
            <w:tcW w:w="1534" w:type="dxa"/>
          </w:tcPr>
          <w:p w14:paraId="6801EC82" w14:textId="34D3C24D" w:rsidR="00362EC4" w:rsidRDefault="00362EC4" w:rsidP="00362EC4">
            <w:pPr>
              <w:jc w:val="center"/>
            </w:pPr>
          </w:p>
        </w:tc>
        <w:tc>
          <w:tcPr>
            <w:tcW w:w="1174" w:type="dxa"/>
            <w:shd w:val="clear" w:color="auto" w:fill="D9D9D9" w:themeFill="background1" w:themeFillShade="D9"/>
          </w:tcPr>
          <w:p w14:paraId="098307C2" w14:textId="73592164" w:rsidR="00362EC4" w:rsidRPr="00C87C31" w:rsidRDefault="00362EC4" w:rsidP="003C0050">
            <w:pPr>
              <w:jc w:val="center"/>
              <w:rPr>
                <w:b/>
              </w:rPr>
            </w:pPr>
            <w:r w:rsidRPr="00C87C31">
              <w:rPr>
                <w:b/>
              </w:rPr>
              <w:t>201</w:t>
            </w:r>
            <w:r w:rsidR="003C0050">
              <w:rPr>
                <w:b/>
              </w:rPr>
              <w:t>7</w:t>
            </w:r>
          </w:p>
        </w:tc>
        <w:tc>
          <w:tcPr>
            <w:tcW w:w="1341" w:type="dxa"/>
            <w:shd w:val="clear" w:color="auto" w:fill="D9D9D9" w:themeFill="background1" w:themeFillShade="D9"/>
          </w:tcPr>
          <w:p w14:paraId="2CDB1D6E" w14:textId="3FB2682C" w:rsidR="00362EC4" w:rsidRPr="00C87C31" w:rsidRDefault="00362EC4" w:rsidP="003C0050">
            <w:pPr>
              <w:jc w:val="center"/>
              <w:rPr>
                <w:b/>
              </w:rPr>
            </w:pPr>
            <w:r w:rsidRPr="00C87C31">
              <w:rPr>
                <w:b/>
              </w:rPr>
              <w:t>201</w:t>
            </w:r>
            <w:r w:rsidR="003C0050">
              <w:rPr>
                <w:b/>
              </w:rPr>
              <w:t>8</w:t>
            </w:r>
          </w:p>
        </w:tc>
        <w:tc>
          <w:tcPr>
            <w:tcW w:w="1225" w:type="dxa"/>
            <w:shd w:val="clear" w:color="auto" w:fill="D9D9D9" w:themeFill="background1" w:themeFillShade="D9"/>
          </w:tcPr>
          <w:p w14:paraId="6D04D582" w14:textId="1077DEDE" w:rsidR="00362EC4" w:rsidRPr="00C87C31" w:rsidRDefault="00362EC4" w:rsidP="003C0050">
            <w:pPr>
              <w:jc w:val="center"/>
              <w:rPr>
                <w:b/>
              </w:rPr>
            </w:pPr>
            <w:r w:rsidRPr="00C87C31">
              <w:rPr>
                <w:b/>
              </w:rPr>
              <w:t>201</w:t>
            </w:r>
            <w:r w:rsidR="003C0050">
              <w:rPr>
                <w:b/>
              </w:rPr>
              <w:t>9</w:t>
            </w:r>
          </w:p>
        </w:tc>
        <w:tc>
          <w:tcPr>
            <w:tcW w:w="1276" w:type="dxa"/>
            <w:shd w:val="clear" w:color="auto" w:fill="D9D9D9" w:themeFill="background1" w:themeFillShade="D9"/>
          </w:tcPr>
          <w:p w14:paraId="6D7FC02E" w14:textId="2624A050" w:rsidR="00362EC4" w:rsidRPr="00C87C31" w:rsidRDefault="00362EC4" w:rsidP="003C0050">
            <w:pPr>
              <w:jc w:val="center"/>
              <w:rPr>
                <w:b/>
              </w:rPr>
            </w:pPr>
            <w:r w:rsidRPr="00C87C31">
              <w:rPr>
                <w:b/>
              </w:rPr>
              <w:t>20</w:t>
            </w:r>
            <w:r w:rsidR="003C0050">
              <w:rPr>
                <w:b/>
              </w:rPr>
              <w:t>20</w:t>
            </w:r>
          </w:p>
        </w:tc>
        <w:tc>
          <w:tcPr>
            <w:tcW w:w="1224" w:type="dxa"/>
            <w:shd w:val="clear" w:color="auto" w:fill="D9D9D9" w:themeFill="background1" w:themeFillShade="D9"/>
          </w:tcPr>
          <w:p w14:paraId="5CDF9CA6" w14:textId="74F70C53" w:rsidR="00362EC4" w:rsidRPr="00C87C31" w:rsidRDefault="00362EC4" w:rsidP="003C0050">
            <w:pPr>
              <w:jc w:val="center"/>
              <w:rPr>
                <w:b/>
              </w:rPr>
            </w:pPr>
            <w:r w:rsidRPr="00C87C31">
              <w:rPr>
                <w:b/>
              </w:rPr>
              <w:t>2020</w:t>
            </w:r>
            <w:r w:rsidR="003C0050">
              <w:rPr>
                <w:b/>
              </w:rPr>
              <w:t>1</w:t>
            </w:r>
          </w:p>
        </w:tc>
      </w:tr>
      <w:tr w:rsidR="00A04D67" w14:paraId="1FFA25B9" w14:textId="09898385" w:rsidTr="00362EC4">
        <w:tc>
          <w:tcPr>
            <w:tcW w:w="816" w:type="dxa"/>
          </w:tcPr>
          <w:p w14:paraId="0835D911" w14:textId="5C26D9EB" w:rsidR="00362EC4" w:rsidRPr="00D16F23" w:rsidRDefault="00362EC4" w:rsidP="00362EC4">
            <w:pPr>
              <w:jc w:val="center"/>
              <w:rPr>
                <w:b/>
              </w:rPr>
            </w:pPr>
            <w:r>
              <w:rPr>
                <w:b/>
              </w:rPr>
              <w:t>A</w:t>
            </w:r>
          </w:p>
        </w:tc>
        <w:tc>
          <w:tcPr>
            <w:tcW w:w="1534" w:type="dxa"/>
          </w:tcPr>
          <w:p w14:paraId="6B5BA446" w14:textId="1BEA57C5" w:rsidR="00362EC4" w:rsidRDefault="00362EC4" w:rsidP="00362EC4">
            <w:pPr>
              <w:jc w:val="center"/>
            </w:pPr>
            <w:r w:rsidRPr="00D16F23">
              <w:rPr>
                <w:b/>
              </w:rPr>
              <w:t>Australian Population over 65 years of age</w:t>
            </w:r>
          </w:p>
        </w:tc>
        <w:tc>
          <w:tcPr>
            <w:tcW w:w="1174" w:type="dxa"/>
          </w:tcPr>
          <w:p w14:paraId="194B7674" w14:textId="6C2AA8DF" w:rsidR="00362EC4" w:rsidRPr="00D16F23" w:rsidRDefault="00362EC4" w:rsidP="003C0050">
            <w:pPr>
              <w:jc w:val="center"/>
              <w:rPr>
                <w:b/>
              </w:rPr>
            </w:pPr>
            <w:r>
              <w:rPr>
                <w:b/>
              </w:rPr>
              <w:t>3,</w:t>
            </w:r>
            <w:r w:rsidR="003C0050">
              <w:rPr>
                <w:b/>
              </w:rPr>
              <w:t>790</w:t>
            </w:r>
            <w:r>
              <w:rPr>
                <w:b/>
              </w:rPr>
              <w:t>,</w:t>
            </w:r>
            <w:r w:rsidR="003C0050">
              <w:rPr>
                <w:b/>
              </w:rPr>
              <w:t>665</w:t>
            </w:r>
          </w:p>
        </w:tc>
        <w:tc>
          <w:tcPr>
            <w:tcW w:w="1341" w:type="dxa"/>
          </w:tcPr>
          <w:p w14:paraId="35BA10F5" w14:textId="0B44F74D" w:rsidR="00362EC4" w:rsidRDefault="00362EC4" w:rsidP="003C0050">
            <w:pPr>
              <w:jc w:val="center"/>
            </w:pPr>
            <w:r w:rsidRPr="00D16F23">
              <w:rPr>
                <w:b/>
              </w:rPr>
              <w:t>3,</w:t>
            </w:r>
            <w:r w:rsidR="003C0050">
              <w:rPr>
                <w:b/>
              </w:rPr>
              <w:t>909</w:t>
            </w:r>
            <w:r w:rsidRPr="00D16F23">
              <w:rPr>
                <w:b/>
              </w:rPr>
              <w:t>,</w:t>
            </w:r>
            <w:r w:rsidR="003C0050">
              <w:rPr>
                <w:b/>
              </w:rPr>
              <w:t>104</w:t>
            </w:r>
          </w:p>
        </w:tc>
        <w:tc>
          <w:tcPr>
            <w:tcW w:w="1225" w:type="dxa"/>
          </w:tcPr>
          <w:p w14:paraId="3E2966D6" w14:textId="5E539840" w:rsidR="00362EC4" w:rsidRDefault="00A04D67" w:rsidP="003C0050">
            <w:pPr>
              <w:jc w:val="center"/>
            </w:pPr>
            <w:r>
              <w:rPr>
                <w:b/>
              </w:rPr>
              <w:t>4,026,056</w:t>
            </w:r>
          </w:p>
        </w:tc>
        <w:tc>
          <w:tcPr>
            <w:tcW w:w="1276" w:type="dxa"/>
          </w:tcPr>
          <w:p w14:paraId="555B05CB" w14:textId="7DDC2ADA" w:rsidR="00362EC4" w:rsidRDefault="00362EC4" w:rsidP="00A04D67">
            <w:pPr>
              <w:jc w:val="center"/>
            </w:pPr>
            <w:r w:rsidRPr="00D16F23">
              <w:rPr>
                <w:b/>
              </w:rPr>
              <w:t>4,</w:t>
            </w:r>
            <w:r w:rsidR="00A04D67">
              <w:rPr>
                <w:b/>
              </w:rPr>
              <w:t>145,275</w:t>
            </w:r>
          </w:p>
        </w:tc>
        <w:tc>
          <w:tcPr>
            <w:tcW w:w="1224" w:type="dxa"/>
          </w:tcPr>
          <w:p w14:paraId="7B87386A" w14:textId="2AB1C98E" w:rsidR="00362EC4" w:rsidRPr="00D16F23" w:rsidRDefault="00362EC4" w:rsidP="00A04D67">
            <w:pPr>
              <w:jc w:val="center"/>
              <w:rPr>
                <w:b/>
              </w:rPr>
            </w:pPr>
            <w:r>
              <w:rPr>
                <w:b/>
              </w:rPr>
              <w:t>4,</w:t>
            </w:r>
            <w:r w:rsidR="00A04D67">
              <w:rPr>
                <w:b/>
              </w:rPr>
              <w:t>271,505</w:t>
            </w:r>
          </w:p>
        </w:tc>
      </w:tr>
      <w:tr w:rsidR="00A919D6" w14:paraId="1BC57BF4" w14:textId="0D8C3611" w:rsidTr="00703CF5">
        <w:tc>
          <w:tcPr>
            <w:tcW w:w="816" w:type="dxa"/>
          </w:tcPr>
          <w:p w14:paraId="4D46DF2F" w14:textId="5982F7AB" w:rsidR="00A919D6" w:rsidRDefault="00A919D6" w:rsidP="00A919D6">
            <w:pPr>
              <w:jc w:val="center"/>
              <w:rPr>
                <w:b/>
              </w:rPr>
            </w:pPr>
            <w:r>
              <w:rPr>
                <w:b/>
              </w:rPr>
              <w:t>B</w:t>
            </w:r>
          </w:p>
        </w:tc>
        <w:tc>
          <w:tcPr>
            <w:tcW w:w="1534" w:type="dxa"/>
          </w:tcPr>
          <w:p w14:paraId="27F8D738" w14:textId="14D51302" w:rsidR="00A919D6" w:rsidRPr="00D16F23" w:rsidRDefault="00A919D6" w:rsidP="00A919D6">
            <w:pPr>
              <w:jc w:val="center"/>
              <w:rPr>
                <w:b/>
              </w:rPr>
            </w:pPr>
            <w:r>
              <w:rPr>
                <w:b/>
              </w:rPr>
              <w:t>MBS item numbers 38488 and 38489</w:t>
            </w:r>
          </w:p>
        </w:tc>
        <w:tc>
          <w:tcPr>
            <w:tcW w:w="1174" w:type="dxa"/>
            <w:vAlign w:val="center"/>
          </w:tcPr>
          <w:p w14:paraId="0B0080E2" w14:textId="409CCA2C" w:rsidR="00A919D6" w:rsidRDefault="00A919D6" w:rsidP="00A919D6">
            <w:pPr>
              <w:jc w:val="center"/>
              <w:rPr>
                <w:b/>
              </w:rPr>
            </w:pPr>
            <w:r>
              <w:rPr>
                <w:rFonts w:ascii="Calibri" w:hAnsi="Calibri" w:cs="Calibri"/>
                <w:b/>
                <w:bCs/>
                <w:color w:val="000000"/>
                <w:szCs w:val="20"/>
              </w:rPr>
              <w:t>2691</w:t>
            </w:r>
          </w:p>
        </w:tc>
        <w:tc>
          <w:tcPr>
            <w:tcW w:w="1341" w:type="dxa"/>
            <w:vAlign w:val="center"/>
          </w:tcPr>
          <w:p w14:paraId="10653991" w14:textId="052843DF" w:rsidR="00A919D6" w:rsidRPr="00D16F23" w:rsidRDefault="00A919D6" w:rsidP="00A919D6">
            <w:pPr>
              <w:jc w:val="center"/>
              <w:rPr>
                <w:b/>
              </w:rPr>
            </w:pPr>
            <w:r>
              <w:rPr>
                <w:rFonts w:ascii="Calibri" w:hAnsi="Calibri" w:cs="Calibri"/>
                <w:b/>
                <w:bCs/>
                <w:color w:val="000000"/>
                <w:szCs w:val="20"/>
              </w:rPr>
              <w:t>2775</w:t>
            </w:r>
          </w:p>
        </w:tc>
        <w:tc>
          <w:tcPr>
            <w:tcW w:w="1225" w:type="dxa"/>
            <w:vAlign w:val="center"/>
          </w:tcPr>
          <w:p w14:paraId="165E2853" w14:textId="18C0D30E" w:rsidR="00A919D6" w:rsidRPr="00D16F23" w:rsidRDefault="00A919D6" w:rsidP="00A919D6">
            <w:pPr>
              <w:jc w:val="center"/>
              <w:rPr>
                <w:b/>
              </w:rPr>
            </w:pPr>
            <w:r>
              <w:rPr>
                <w:rFonts w:ascii="Calibri" w:hAnsi="Calibri" w:cs="Calibri"/>
                <w:b/>
                <w:bCs/>
                <w:color w:val="000000"/>
                <w:szCs w:val="20"/>
              </w:rPr>
              <w:t>2858</w:t>
            </w:r>
          </w:p>
        </w:tc>
        <w:tc>
          <w:tcPr>
            <w:tcW w:w="1276" w:type="dxa"/>
            <w:vAlign w:val="center"/>
          </w:tcPr>
          <w:p w14:paraId="353DB7EB" w14:textId="5D10894A" w:rsidR="00A919D6" w:rsidRPr="00D16F23" w:rsidRDefault="00A919D6" w:rsidP="00A919D6">
            <w:pPr>
              <w:jc w:val="center"/>
              <w:rPr>
                <w:b/>
              </w:rPr>
            </w:pPr>
            <w:r>
              <w:rPr>
                <w:rFonts w:ascii="Calibri" w:hAnsi="Calibri" w:cs="Calibri"/>
                <w:b/>
                <w:bCs/>
                <w:color w:val="000000"/>
                <w:szCs w:val="20"/>
              </w:rPr>
              <w:t>2943</w:t>
            </w:r>
          </w:p>
        </w:tc>
        <w:tc>
          <w:tcPr>
            <w:tcW w:w="1224" w:type="dxa"/>
            <w:vAlign w:val="center"/>
          </w:tcPr>
          <w:p w14:paraId="5702F1E2" w14:textId="008F7561" w:rsidR="00A919D6" w:rsidRDefault="00A919D6" w:rsidP="00A919D6">
            <w:pPr>
              <w:jc w:val="center"/>
              <w:rPr>
                <w:b/>
              </w:rPr>
            </w:pPr>
            <w:r>
              <w:rPr>
                <w:rFonts w:ascii="Calibri" w:hAnsi="Calibri" w:cs="Calibri"/>
                <w:b/>
                <w:bCs/>
                <w:color w:val="000000"/>
                <w:szCs w:val="20"/>
              </w:rPr>
              <w:t>3032</w:t>
            </w:r>
          </w:p>
        </w:tc>
      </w:tr>
      <w:tr w:rsidR="00A919D6" w14:paraId="25817929" w14:textId="27063E6C" w:rsidTr="00703CF5">
        <w:tc>
          <w:tcPr>
            <w:tcW w:w="816" w:type="dxa"/>
          </w:tcPr>
          <w:p w14:paraId="0347FA83" w14:textId="7311ED5D" w:rsidR="00A919D6" w:rsidRDefault="00A919D6" w:rsidP="00A919D6">
            <w:pPr>
              <w:jc w:val="center"/>
              <w:rPr>
                <w:b/>
              </w:rPr>
            </w:pPr>
            <w:r>
              <w:rPr>
                <w:b/>
              </w:rPr>
              <w:t>C</w:t>
            </w:r>
          </w:p>
        </w:tc>
        <w:tc>
          <w:tcPr>
            <w:tcW w:w="1534" w:type="dxa"/>
          </w:tcPr>
          <w:p w14:paraId="7B6212FB" w14:textId="471331E7" w:rsidR="00A919D6" w:rsidRDefault="00A919D6" w:rsidP="00A919D6">
            <w:pPr>
              <w:jc w:val="center"/>
              <w:rPr>
                <w:b/>
              </w:rPr>
            </w:pPr>
            <w:r>
              <w:rPr>
                <w:b/>
              </w:rPr>
              <w:t>TAVI Procedures</w:t>
            </w:r>
          </w:p>
        </w:tc>
        <w:tc>
          <w:tcPr>
            <w:tcW w:w="1174" w:type="dxa"/>
            <w:vAlign w:val="center"/>
          </w:tcPr>
          <w:p w14:paraId="7C7F2B82" w14:textId="25ADD37F" w:rsidR="00A919D6" w:rsidRDefault="00A919D6" w:rsidP="00A919D6">
            <w:pPr>
              <w:jc w:val="center"/>
              <w:rPr>
                <w:b/>
              </w:rPr>
            </w:pPr>
            <w:r>
              <w:rPr>
                <w:rFonts w:ascii="Calibri" w:hAnsi="Calibri" w:cs="Calibri"/>
                <w:b/>
                <w:bCs/>
                <w:color w:val="000000"/>
                <w:szCs w:val="20"/>
              </w:rPr>
              <w:t>1827</w:t>
            </w:r>
          </w:p>
        </w:tc>
        <w:tc>
          <w:tcPr>
            <w:tcW w:w="1341" w:type="dxa"/>
            <w:vAlign w:val="center"/>
          </w:tcPr>
          <w:p w14:paraId="35B5029A" w14:textId="0833C326" w:rsidR="00A919D6" w:rsidRDefault="00A919D6" w:rsidP="00A919D6">
            <w:pPr>
              <w:jc w:val="center"/>
              <w:rPr>
                <w:b/>
              </w:rPr>
            </w:pPr>
            <w:r>
              <w:rPr>
                <w:rFonts w:ascii="Calibri" w:hAnsi="Calibri" w:cs="Calibri"/>
                <w:b/>
                <w:bCs/>
                <w:color w:val="000000"/>
                <w:szCs w:val="20"/>
              </w:rPr>
              <w:t>1884</w:t>
            </w:r>
          </w:p>
        </w:tc>
        <w:tc>
          <w:tcPr>
            <w:tcW w:w="1225" w:type="dxa"/>
            <w:vAlign w:val="center"/>
          </w:tcPr>
          <w:p w14:paraId="7C31A8D4" w14:textId="4E97CC53" w:rsidR="00A919D6" w:rsidRDefault="00A919D6" w:rsidP="00A919D6">
            <w:pPr>
              <w:jc w:val="center"/>
              <w:rPr>
                <w:b/>
              </w:rPr>
            </w:pPr>
            <w:r>
              <w:rPr>
                <w:rFonts w:ascii="Calibri" w:hAnsi="Calibri" w:cs="Calibri"/>
                <w:b/>
                <w:bCs/>
                <w:color w:val="000000"/>
                <w:szCs w:val="20"/>
              </w:rPr>
              <w:t>1940</w:t>
            </w:r>
          </w:p>
        </w:tc>
        <w:tc>
          <w:tcPr>
            <w:tcW w:w="1276" w:type="dxa"/>
            <w:vAlign w:val="center"/>
          </w:tcPr>
          <w:p w14:paraId="1826D9E2" w14:textId="31F790EF" w:rsidR="00A919D6" w:rsidRDefault="00A919D6" w:rsidP="00A919D6">
            <w:pPr>
              <w:jc w:val="center"/>
              <w:rPr>
                <w:b/>
              </w:rPr>
            </w:pPr>
            <w:r>
              <w:rPr>
                <w:rFonts w:ascii="Calibri" w:hAnsi="Calibri" w:cs="Calibri"/>
                <w:b/>
                <w:bCs/>
                <w:color w:val="000000"/>
                <w:szCs w:val="20"/>
              </w:rPr>
              <w:t>1998</w:t>
            </w:r>
          </w:p>
        </w:tc>
        <w:tc>
          <w:tcPr>
            <w:tcW w:w="1224" w:type="dxa"/>
            <w:vAlign w:val="center"/>
          </w:tcPr>
          <w:p w14:paraId="35958E7A" w14:textId="243C0EE4" w:rsidR="00A919D6" w:rsidRDefault="00A919D6" w:rsidP="00A919D6">
            <w:pPr>
              <w:jc w:val="center"/>
              <w:rPr>
                <w:b/>
              </w:rPr>
            </w:pPr>
            <w:r>
              <w:rPr>
                <w:rFonts w:ascii="Calibri" w:hAnsi="Calibri" w:cs="Calibri"/>
                <w:b/>
                <w:bCs/>
                <w:color w:val="000000"/>
                <w:szCs w:val="20"/>
              </w:rPr>
              <w:t>2059</w:t>
            </w:r>
          </w:p>
        </w:tc>
      </w:tr>
      <w:tr w:rsidR="00A919D6" w14:paraId="6AFF8051" w14:textId="45879E9C" w:rsidTr="00703CF5">
        <w:tc>
          <w:tcPr>
            <w:tcW w:w="816" w:type="dxa"/>
          </w:tcPr>
          <w:p w14:paraId="0A8679B8" w14:textId="66EA8667" w:rsidR="00A919D6" w:rsidRDefault="00A919D6" w:rsidP="00A919D6">
            <w:pPr>
              <w:jc w:val="center"/>
              <w:rPr>
                <w:b/>
              </w:rPr>
            </w:pPr>
            <w:r>
              <w:rPr>
                <w:b/>
              </w:rPr>
              <w:t>D</w:t>
            </w:r>
          </w:p>
        </w:tc>
        <w:tc>
          <w:tcPr>
            <w:tcW w:w="1534" w:type="dxa"/>
          </w:tcPr>
          <w:p w14:paraId="63F8449C" w14:textId="27B47F5C" w:rsidR="00A919D6" w:rsidRPr="00440774" w:rsidRDefault="00A919D6" w:rsidP="00A919D6">
            <w:pPr>
              <w:jc w:val="center"/>
              <w:rPr>
                <w:b/>
                <w:lang w:val="fr-FR"/>
              </w:rPr>
            </w:pPr>
            <w:r w:rsidRPr="00440774">
              <w:rPr>
                <w:b/>
                <w:lang w:val="fr-FR"/>
              </w:rPr>
              <w:t>Total AVR population (B+C)</w:t>
            </w:r>
          </w:p>
        </w:tc>
        <w:tc>
          <w:tcPr>
            <w:tcW w:w="1174" w:type="dxa"/>
            <w:vAlign w:val="center"/>
          </w:tcPr>
          <w:p w14:paraId="466CFA6D" w14:textId="2E61B10D" w:rsidR="00A919D6" w:rsidRDefault="00A919D6" w:rsidP="00A919D6">
            <w:pPr>
              <w:jc w:val="center"/>
              <w:rPr>
                <w:b/>
              </w:rPr>
            </w:pPr>
            <w:r>
              <w:rPr>
                <w:rFonts w:ascii="Calibri" w:hAnsi="Calibri" w:cs="Calibri"/>
                <w:b/>
                <w:bCs/>
                <w:color w:val="000000"/>
                <w:szCs w:val="20"/>
              </w:rPr>
              <w:t>4518</w:t>
            </w:r>
          </w:p>
        </w:tc>
        <w:tc>
          <w:tcPr>
            <w:tcW w:w="1341" w:type="dxa"/>
            <w:vAlign w:val="center"/>
          </w:tcPr>
          <w:p w14:paraId="5DCFF4B3" w14:textId="37C3123C" w:rsidR="00A919D6" w:rsidRDefault="00A919D6" w:rsidP="00A919D6">
            <w:pPr>
              <w:jc w:val="center"/>
              <w:rPr>
                <w:b/>
              </w:rPr>
            </w:pPr>
            <w:r>
              <w:rPr>
                <w:rFonts w:ascii="Calibri" w:hAnsi="Calibri" w:cs="Calibri"/>
                <w:b/>
                <w:bCs/>
                <w:color w:val="000000"/>
                <w:szCs w:val="20"/>
              </w:rPr>
              <w:t>4659</w:t>
            </w:r>
          </w:p>
        </w:tc>
        <w:tc>
          <w:tcPr>
            <w:tcW w:w="1225" w:type="dxa"/>
            <w:vAlign w:val="center"/>
          </w:tcPr>
          <w:p w14:paraId="0DEB4D59" w14:textId="6AFB75AD" w:rsidR="00A919D6" w:rsidRDefault="00A919D6" w:rsidP="00A919D6">
            <w:pPr>
              <w:jc w:val="center"/>
              <w:rPr>
                <w:b/>
              </w:rPr>
            </w:pPr>
            <w:r>
              <w:rPr>
                <w:rFonts w:ascii="Calibri" w:hAnsi="Calibri" w:cs="Calibri"/>
                <w:b/>
                <w:bCs/>
                <w:color w:val="000000"/>
                <w:szCs w:val="20"/>
              </w:rPr>
              <w:t>4799</w:t>
            </w:r>
          </w:p>
        </w:tc>
        <w:tc>
          <w:tcPr>
            <w:tcW w:w="1276" w:type="dxa"/>
            <w:vAlign w:val="center"/>
          </w:tcPr>
          <w:p w14:paraId="17030C67" w14:textId="2E398598" w:rsidR="00A919D6" w:rsidRDefault="00A919D6" w:rsidP="00A919D6">
            <w:pPr>
              <w:jc w:val="center"/>
              <w:rPr>
                <w:b/>
              </w:rPr>
            </w:pPr>
            <w:r>
              <w:rPr>
                <w:rFonts w:ascii="Calibri" w:hAnsi="Calibri" w:cs="Calibri"/>
                <w:b/>
                <w:bCs/>
                <w:color w:val="000000"/>
                <w:szCs w:val="20"/>
              </w:rPr>
              <w:t>4941</w:t>
            </w:r>
          </w:p>
        </w:tc>
        <w:tc>
          <w:tcPr>
            <w:tcW w:w="1224" w:type="dxa"/>
            <w:vAlign w:val="center"/>
          </w:tcPr>
          <w:p w14:paraId="7EDC9AAA" w14:textId="3ADA024F" w:rsidR="00A919D6" w:rsidRDefault="00A919D6" w:rsidP="00A919D6">
            <w:pPr>
              <w:jc w:val="center"/>
              <w:rPr>
                <w:b/>
              </w:rPr>
            </w:pPr>
            <w:r>
              <w:rPr>
                <w:rFonts w:ascii="Calibri" w:hAnsi="Calibri" w:cs="Calibri"/>
                <w:b/>
                <w:bCs/>
                <w:color w:val="000000"/>
                <w:szCs w:val="20"/>
              </w:rPr>
              <w:t>5091</w:t>
            </w:r>
          </w:p>
        </w:tc>
      </w:tr>
      <w:tr w:rsidR="00A919D6" w14:paraId="51D50DDD" w14:textId="70265D59" w:rsidTr="00703CF5">
        <w:tc>
          <w:tcPr>
            <w:tcW w:w="816" w:type="dxa"/>
          </w:tcPr>
          <w:p w14:paraId="6FF18BCB" w14:textId="77777777" w:rsidR="00A919D6" w:rsidRDefault="00A919D6" w:rsidP="00A919D6">
            <w:pPr>
              <w:jc w:val="center"/>
              <w:rPr>
                <w:b/>
              </w:rPr>
            </w:pPr>
          </w:p>
          <w:p w14:paraId="478F3667" w14:textId="208CE9E7" w:rsidR="00A919D6" w:rsidRDefault="00A919D6" w:rsidP="00A919D6">
            <w:pPr>
              <w:jc w:val="center"/>
              <w:rPr>
                <w:b/>
              </w:rPr>
            </w:pPr>
            <w:r>
              <w:rPr>
                <w:b/>
              </w:rPr>
              <w:t>C</w:t>
            </w:r>
          </w:p>
        </w:tc>
        <w:tc>
          <w:tcPr>
            <w:tcW w:w="1534" w:type="dxa"/>
          </w:tcPr>
          <w:p w14:paraId="3B38B5A0" w14:textId="6193E9EE" w:rsidR="00A919D6" w:rsidRDefault="00A919D6" w:rsidP="00A919D6">
            <w:pPr>
              <w:jc w:val="center"/>
              <w:rPr>
                <w:b/>
              </w:rPr>
            </w:pPr>
            <w:r>
              <w:rPr>
                <w:b/>
              </w:rPr>
              <w:t>Intermediate Risk Group (15.8% of D)</w:t>
            </w:r>
          </w:p>
        </w:tc>
        <w:tc>
          <w:tcPr>
            <w:tcW w:w="1174" w:type="dxa"/>
            <w:vAlign w:val="center"/>
          </w:tcPr>
          <w:p w14:paraId="68669631" w14:textId="4138A053" w:rsidR="00A919D6" w:rsidRDefault="00A919D6" w:rsidP="00A919D6">
            <w:pPr>
              <w:jc w:val="center"/>
              <w:rPr>
                <w:b/>
              </w:rPr>
            </w:pPr>
            <w:r>
              <w:rPr>
                <w:rFonts w:ascii="Calibri" w:hAnsi="Calibri" w:cs="Calibri"/>
                <w:b/>
                <w:bCs/>
                <w:color w:val="000000"/>
                <w:szCs w:val="20"/>
              </w:rPr>
              <w:t>714</w:t>
            </w:r>
          </w:p>
        </w:tc>
        <w:tc>
          <w:tcPr>
            <w:tcW w:w="1341" w:type="dxa"/>
            <w:vAlign w:val="center"/>
          </w:tcPr>
          <w:p w14:paraId="099C9B69" w14:textId="19C23072" w:rsidR="00A919D6" w:rsidRDefault="00A919D6" w:rsidP="00A919D6">
            <w:pPr>
              <w:jc w:val="center"/>
              <w:rPr>
                <w:b/>
              </w:rPr>
            </w:pPr>
            <w:r>
              <w:rPr>
                <w:rFonts w:ascii="Calibri" w:hAnsi="Calibri" w:cs="Calibri"/>
                <w:b/>
                <w:bCs/>
                <w:color w:val="000000"/>
                <w:szCs w:val="20"/>
              </w:rPr>
              <w:t>736</w:t>
            </w:r>
          </w:p>
        </w:tc>
        <w:tc>
          <w:tcPr>
            <w:tcW w:w="1225" w:type="dxa"/>
            <w:vAlign w:val="center"/>
          </w:tcPr>
          <w:p w14:paraId="5802CE47" w14:textId="494D40D8" w:rsidR="00A919D6" w:rsidRDefault="00A919D6" w:rsidP="00A919D6">
            <w:pPr>
              <w:jc w:val="center"/>
              <w:rPr>
                <w:b/>
              </w:rPr>
            </w:pPr>
            <w:r>
              <w:rPr>
                <w:rFonts w:ascii="Calibri" w:hAnsi="Calibri" w:cs="Calibri"/>
                <w:b/>
                <w:bCs/>
                <w:color w:val="000000"/>
                <w:szCs w:val="20"/>
              </w:rPr>
              <w:t>758</w:t>
            </w:r>
          </w:p>
        </w:tc>
        <w:tc>
          <w:tcPr>
            <w:tcW w:w="1276" w:type="dxa"/>
            <w:vAlign w:val="center"/>
          </w:tcPr>
          <w:p w14:paraId="7EB07067" w14:textId="04C916E1" w:rsidR="00A919D6" w:rsidRDefault="00A919D6" w:rsidP="00A919D6">
            <w:pPr>
              <w:jc w:val="center"/>
              <w:rPr>
                <w:b/>
              </w:rPr>
            </w:pPr>
            <w:r>
              <w:rPr>
                <w:rFonts w:ascii="Calibri" w:hAnsi="Calibri" w:cs="Calibri"/>
                <w:b/>
                <w:bCs/>
                <w:color w:val="000000"/>
                <w:szCs w:val="20"/>
              </w:rPr>
              <w:t>781</w:t>
            </w:r>
          </w:p>
        </w:tc>
        <w:tc>
          <w:tcPr>
            <w:tcW w:w="1224" w:type="dxa"/>
            <w:vAlign w:val="center"/>
          </w:tcPr>
          <w:p w14:paraId="0AD80743" w14:textId="7E1CC9DC" w:rsidR="00A919D6" w:rsidRDefault="00A919D6" w:rsidP="00A919D6">
            <w:pPr>
              <w:jc w:val="center"/>
              <w:rPr>
                <w:b/>
              </w:rPr>
            </w:pPr>
            <w:r>
              <w:rPr>
                <w:rFonts w:ascii="Calibri" w:hAnsi="Calibri" w:cs="Calibri"/>
                <w:b/>
                <w:bCs/>
                <w:color w:val="000000"/>
                <w:szCs w:val="20"/>
              </w:rPr>
              <w:t>804</w:t>
            </w:r>
          </w:p>
        </w:tc>
      </w:tr>
    </w:tbl>
    <w:p w14:paraId="24936A4F" w14:textId="77777777" w:rsidR="00BE7973" w:rsidRDefault="00BE7973" w:rsidP="00133F25">
      <w:pPr>
        <w:ind w:left="426"/>
      </w:pPr>
    </w:p>
    <w:p w14:paraId="42473665"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40FE9FA0" w14:textId="4012376B" w:rsidR="00382407" w:rsidRPr="00154B00" w:rsidRDefault="00362EC4" w:rsidP="00AE1188">
      <w:pPr>
        <w:ind w:left="426"/>
        <w:rPr>
          <w:szCs w:val="20"/>
        </w:rPr>
      </w:pPr>
      <w:r>
        <w:t>As this intervention is usually performed late in life, it is anticipated that the service would only be delivered once per patient</w:t>
      </w:r>
      <w:r w:rsidR="00B35945">
        <w:t>.</w:t>
      </w:r>
    </w:p>
    <w:p w14:paraId="033E9C4A"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13FE6A39" w14:textId="692BED2D" w:rsidR="00382407" w:rsidRPr="00154B00" w:rsidRDefault="00B35945" w:rsidP="00362EC4">
      <w:pPr>
        <w:ind w:left="360"/>
        <w:rPr>
          <w:b/>
          <w:szCs w:val="20"/>
        </w:rPr>
      </w:pPr>
      <w:r>
        <w:t>Once in a lifetime.</w:t>
      </w:r>
    </w:p>
    <w:p w14:paraId="223DCE0D"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1ABF2AF" w14:textId="27BE3AEF" w:rsidR="00FB5F38" w:rsidRDefault="00362EC4" w:rsidP="006A7146">
      <w:pPr>
        <w:ind w:left="426"/>
        <w:rPr>
          <w:szCs w:val="20"/>
        </w:rPr>
      </w:pPr>
      <w:r>
        <w:rPr>
          <w:szCs w:val="20"/>
        </w:rPr>
        <w:t xml:space="preserve">It is estimated that </w:t>
      </w:r>
      <w:r w:rsidR="006A7146">
        <w:rPr>
          <w:szCs w:val="20"/>
        </w:rPr>
        <w:t>804</w:t>
      </w:r>
      <w:r>
        <w:rPr>
          <w:szCs w:val="20"/>
        </w:rPr>
        <w:t xml:space="preserve"> patients would be eligible for the proposed service</w:t>
      </w:r>
      <w:r w:rsidR="00857CC2">
        <w:rPr>
          <w:szCs w:val="20"/>
        </w:rPr>
        <w:t xml:space="preserve"> in 202</w:t>
      </w:r>
      <w:r w:rsidR="006A7146">
        <w:rPr>
          <w:szCs w:val="20"/>
        </w:rPr>
        <w:t>1</w:t>
      </w:r>
      <w:r w:rsidR="00857CC2">
        <w:rPr>
          <w:szCs w:val="20"/>
        </w:rPr>
        <w:t>.</w:t>
      </w:r>
      <w:r w:rsidR="00B35945">
        <w:rPr>
          <w:szCs w:val="20"/>
        </w:rPr>
        <w:t xml:space="preserve"> However,</w:t>
      </w:r>
      <w:r w:rsidR="00857CC2">
        <w:rPr>
          <w:szCs w:val="20"/>
        </w:rPr>
        <w:t xml:space="preserve"> </w:t>
      </w:r>
      <w:r w:rsidR="00B35945">
        <w:rPr>
          <w:szCs w:val="20"/>
        </w:rPr>
        <w:t>i</w:t>
      </w:r>
      <w:r w:rsidR="009167F8">
        <w:rPr>
          <w:szCs w:val="20"/>
        </w:rPr>
        <w:t xml:space="preserve">t is unlikely that all these patients would access TAVI. </w:t>
      </w:r>
      <w:r w:rsidR="00B35945">
        <w:rPr>
          <w:szCs w:val="20"/>
        </w:rPr>
        <w:t>At present,</w:t>
      </w:r>
      <w:r w:rsidR="009167F8">
        <w:rPr>
          <w:szCs w:val="20"/>
        </w:rPr>
        <w:t xml:space="preserve"> </w:t>
      </w:r>
      <w:r w:rsidR="00A54C41">
        <w:rPr>
          <w:szCs w:val="20"/>
        </w:rPr>
        <w:t xml:space="preserve">referral to a </w:t>
      </w:r>
      <w:r w:rsidR="00B35945">
        <w:rPr>
          <w:szCs w:val="20"/>
        </w:rPr>
        <w:t>‘h</w:t>
      </w:r>
      <w:r w:rsidR="00A54C41">
        <w:rPr>
          <w:szCs w:val="20"/>
        </w:rPr>
        <w:t xml:space="preserve">eart </w:t>
      </w:r>
      <w:r w:rsidR="00B35945">
        <w:rPr>
          <w:szCs w:val="20"/>
        </w:rPr>
        <w:t>t</w:t>
      </w:r>
      <w:r w:rsidR="00A54C41">
        <w:rPr>
          <w:szCs w:val="20"/>
        </w:rPr>
        <w:t>eam</w:t>
      </w:r>
      <w:r w:rsidR="00B35945">
        <w:rPr>
          <w:szCs w:val="20"/>
        </w:rPr>
        <w:t>’</w:t>
      </w:r>
      <w:r w:rsidR="00A54C41">
        <w:rPr>
          <w:szCs w:val="20"/>
        </w:rPr>
        <w:t xml:space="preserve"> is not routine. Therefore, if a patient is referred to a cardiologist or a surgeon who is not part of a </w:t>
      </w:r>
      <w:r w:rsidR="00B35945">
        <w:rPr>
          <w:szCs w:val="20"/>
        </w:rPr>
        <w:t>h</w:t>
      </w:r>
      <w:r w:rsidR="00A54C41">
        <w:rPr>
          <w:szCs w:val="20"/>
        </w:rPr>
        <w:t xml:space="preserve">eart </w:t>
      </w:r>
      <w:r w:rsidR="00B35945">
        <w:rPr>
          <w:szCs w:val="20"/>
        </w:rPr>
        <w:t>t</w:t>
      </w:r>
      <w:r w:rsidR="00A54C41">
        <w:rPr>
          <w:szCs w:val="20"/>
        </w:rPr>
        <w:t>eam, the</w:t>
      </w:r>
      <w:r w:rsidR="002C7453">
        <w:rPr>
          <w:szCs w:val="20"/>
        </w:rPr>
        <w:t xml:space="preserve"> patient </w:t>
      </w:r>
      <w:r w:rsidR="00A54C41">
        <w:rPr>
          <w:szCs w:val="20"/>
        </w:rPr>
        <w:t xml:space="preserve">may not be given the option of receiving TAVI. </w:t>
      </w:r>
      <w:r w:rsidR="00086144">
        <w:rPr>
          <w:szCs w:val="20"/>
        </w:rPr>
        <w:t>This figure is therefore likely to be an overestimate.</w:t>
      </w:r>
      <w:r w:rsidR="00FB5F38">
        <w:rPr>
          <w:szCs w:val="20"/>
        </w:rPr>
        <w:t xml:space="preserve"> </w:t>
      </w:r>
    </w:p>
    <w:p w14:paraId="38167BD3" w14:textId="33707796" w:rsidR="00AE1188" w:rsidRPr="00154B00" w:rsidRDefault="00FB5F38" w:rsidP="006A7146">
      <w:pPr>
        <w:ind w:left="426"/>
        <w:rPr>
          <w:szCs w:val="20"/>
        </w:rPr>
      </w:pPr>
      <w:r w:rsidRPr="00FB5F38">
        <w:rPr>
          <w:szCs w:val="20"/>
        </w:rPr>
        <w:t xml:space="preserve">Osnabrugge estimated that 80% of </w:t>
      </w:r>
      <w:r>
        <w:rPr>
          <w:szCs w:val="20"/>
        </w:rPr>
        <w:t xml:space="preserve">high risk/inoperable patients </w:t>
      </w:r>
      <w:r w:rsidRPr="00FB5F38">
        <w:rPr>
          <w:szCs w:val="20"/>
        </w:rPr>
        <w:t xml:space="preserve">eligible for TAVI received the procedure.  </w:t>
      </w:r>
      <w:r>
        <w:rPr>
          <w:szCs w:val="20"/>
        </w:rPr>
        <w:t>If this figure</w:t>
      </w:r>
      <w:r w:rsidR="00B35945">
        <w:rPr>
          <w:szCs w:val="20"/>
        </w:rPr>
        <w:t xml:space="preserve"> is applied</w:t>
      </w:r>
      <w:r>
        <w:rPr>
          <w:szCs w:val="20"/>
        </w:rPr>
        <w:t xml:space="preserve"> to </w:t>
      </w:r>
      <w:r w:rsidR="008A5194">
        <w:rPr>
          <w:szCs w:val="20"/>
        </w:rPr>
        <w:t>intermediate risk patients who are</w:t>
      </w:r>
      <w:r>
        <w:rPr>
          <w:szCs w:val="20"/>
        </w:rPr>
        <w:t xml:space="preserve"> eligible</w:t>
      </w:r>
      <w:r w:rsidR="008A5194">
        <w:rPr>
          <w:szCs w:val="20"/>
        </w:rPr>
        <w:t>,</w:t>
      </w:r>
      <w:r>
        <w:rPr>
          <w:szCs w:val="20"/>
        </w:rPr>
        <w:t xml:space="preserve"> then in </w:t>
      </w:r>
      <w:r w:rsidR="006A7146">
        <w:rPr>
          <w:szCs w:val="20"/>
        </w:rPr>
        <w:t>2021</w:t>
      </w:r>
      <w:r>
        <w:rPr>
          <w:szCs w:val="20"/>
        </w:rPr>
        <w:t xml:space="preserve">, </w:t>
      </w:r>
      <w:r w:rsidR="006A7146">
        <w:rPr>
          <w:szCs w:val="20"/>
        </w:rPr>
        <w:t>644</w:t>
      </w:r>
      <w:r>
        <w:rPr>
          <w:szCs w:val="20"/>
        </w:rPr>
        <w:t xml:space="preserve"> patients would receive </w:t>
      </w:r>
      <w:r w:rsidR="008A5194">
        <w:rPr>
          <w:szCs w:val="20"/>
        </w:rPr>
        <w:t>TAVI</w:t>
      </w:r>
      <w:r w:rsidR="00B35945">
        <w:rPr>
          <w:szCs w:val="20"/>
        </w:rPr>
        <w:t xml:space="preserve"> </w:t>
      </w:r>
      <w:r w:rsidR="00722E75" w:rsidRPr="00C33262">
        <w:rPr>
          <w:szCs w:val="18"/>
        </w:rPr>
        <w:t xml:space="preserve">using the SAPIEN 3 </w:t>
      </w:r>
      <w:r w:rsidR="00B35945">
        <w:rPr>
          <w:szCs w:val="20"/>
        </w:rPr>
        <w:t>BEV</w:t>
      </w:r>
      <w:r>
        <w:rPr>
          <w:szCs w:val="20"/>
        </w:rPr>
        <w:t>.</w:t>
      </w:r>
    </w:p>
    <w:p w14:paraId="519922D8" w14:textId="48853ADD" w:rsidR="00974D50" w:rsidRDefault="005A58BA" w:rsidP="00530204">
      <w:pPr>
        <w:pStyle w:val="Heading2"/>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612F2E75" w14:textId="14745A3B" w:rsidR="003373A0" w:rsidRDefault="00522175" w:rsidP="00522175">
      <w:pPr>
        <w:ind w:left="360"/>
      </w:pPr>
      <w:r>
        <w:t xml:space="preserve">A TAVI must be performed by a TAVI practitioner in a </w:t>
      </w:r>
      <w:r w:rsidR="00722E75">
        <w:t>‘</w:t>
      </w:r>
      <w:r>
        <w:t>TAVI</w:t>
      </w:r>
      <w:r w:rsidR="00722E75">
        <w:t>-endorsed’</w:t>
      </w:r>
      <w:r>
        <w:t xml:space="preserve"> hospital. It is possible that there will be capacity </w:t>
      </w:r>
      <w:r w:rsidR="00B35945">
        <w:t>cons</w:t>
      </w:r>
      <w:r>
        <w:t xml:space="preserve">traints if there are </w:t>
      </w:r>
      <w:r w:rsidR="00B35945">
        <w:t xml:space="preserve">insufficient </w:t>
      </w:r>
      <w:r>
        <w:t>facilities and trained medical staff to meet demand.  It is likely that capacity will increase in coming years.  However</w:t>
      </w:r>
      <w:r w:rsidR="00C87C31">
        <w:t>,</w:t>
      </w:r>
      <w:r>
        <w:t xml:space="preserve"> assuming that capacity is available to meet demand, the following uptake is likely.</w:t>
      </w:r>
      <w:r w:rsidR="003F4F1C">
        <w:t xml:space="preserve"> </w:t>
      </w:r>
    </w:p>
    <w:tbl>
      <w:tblPr>
        <w:tblStyle w:val="TableGrid"/>
        <w:tblW w:w="0" w:type="auto"/>
        <w:tblInd w:w="360" w:type="dxa"/>
        <w:tblLook w:val="04A0" w:firstRow="1" w:lastRow="0" w:firstColumn="1" w:lastColumn="0" w:noHBand="0" w:noVBand="1"/>
        <w:tblCaption w:val="Table"/>
        <w:tblDescription w:val="Table"/>
      </w:tblPr>
      <w:tblGrid>
        <w:gridCol w:w="1500"/>
        <w:gridCol w:w="1804"/>
        <w:gridCol w:w="1784"/>
        <w:gridCol w:w="1784"/>
        <w:gridCol w:w="1784"/>
      </w:tblGrid>
      <w:tr w:rsidR="006A7146" w14:paraId="1588D0EE" w14:textId="77777777" w:rsidTr="003F4F1C">
        <w:trPr>
          <w:tblHeader/>
        </w:trPr>
        <w:tc>
          <w:tcPr>
            <w:tcW w:w="1500" w:type="dxa"/>
          </w:tcPr>
          <w:p w14:paraId="50B89F71" w14:textId="77777777" w:rsidR="006A7146" w:rsidRPr="00C87C31" w:rsidRDefault="006A7146" w:rsidP="006A7146">
            <w:pPr>
              <w:jc w:val="center"/>
              <w:rPr>
                <w:b/>
              </w:rPr>
            </w:pPr>
          </w:p>
        </w:tc>
        <w:tc>
          <w:tcPr>
            <w:tcW w:w="1804" w:type="dxa"/>
          </w:tcPr>
          <w:p w14:paraId="3386DC15" w14:textId="29021A53" w:rsidR="006A7146" w:rsidRPr="00C87C31" w:rsidRDefault="006A7146" w:rsidP="006A7146">
            <w:pPr>
              <w:jc w:val="center"/>
              <w:rPr>
                <w:b/>
              </w:rPr>
            </w:pPr>
          </w:p>
        </w:tc>
        <w:tc>
          <w:tcPr>
            <w:tcW w:w="1784" w:type="dxa"/>
            <w:shd w:val="clear" w:color="auto" w:fill="D9D9D9" w:themeFill="background1" w:themeFillShade="D9"/>
          </w:tcPr>
          <w:p w14:paraId="57B5DE21" w14:textId="79F739DE" w:rsidR="006A7146" w:rsidRPr="00C87C31" w:rsidRDefault="006A7146" w:rsidP="006A7146">
            <w:pPr>
              <w:jc w:val="center"/>
              <w:rPr>
                <w:b/>
              </w:rPr>
            </w:pPr>
            <w:r w:rsidRPr="00C87C31">
              <w:rPr>
                <w:b/>
              </w:rPr>
              <w:t>202</w:t>
            </w:r>
            <w:r>
              <w:rPr>
                <w:b/>
              </w:rPr>
              <w:t>2</w:t>
            </w:r>
          </w:p>
        </w:tc>
        <w:tc>
          <w:tcPr>
            <w:tcW w:w="1784" w:type="dxa"/>
            <w:shd w:val="clear" w:color="auto" w:fill="D9D9D9" w:themeFill="background1" w:themeFillShade="D9"/>
          </w:tcPr>
          <w:p w14:paraId="77178348" w14:textId="2498FC29" w:rsidR="006A7146" w:rsidRPr="00C87C31" w:rsidRDefault="006A7146" w:rsidP="006A7146">
            <w:pPr>
              <w:jc w:val="center"/>
              <w:rPr>
                <w:b/>
              </w:rPr>
            </w:pPr>
            <w:r w:rsidRPr="00C87C31">
              <w:rPr>
                <w:b/>
              </w:rPr>
              <w:t>202</w:t>
            </w:r>
            <w:r>
              <w:rPr>
                <w:b/>
              </w:rPr>
              <w:t>3</w:t>
            </w:r>
          </w:p>
        </w:tc>
        <w:tc>
          <w:tcPr>
            <w:tcW w:w="1784" w:type="dxa"/>
            <w:shd w:val="clear" w:color="auto" w:fill="D9D9D9" w:themeFill="background1" w:themeFillShade="D9"/>
          </w:tcPr>
          <w:p w14:paraId="5C14658E" w14:textId="6FD6FA8D" w:rsidR="006A7146" w:rsidRPr="00C87C31" w:rsidRDefault="006A7146" w:rsidP="006A7146">
            <w:pPr>
              <w:jc w:val="center"/>
              <w:rPr>
                <w:b/>
              </w:rPr>
            </w:pPr>
            <w:r w:rsidRPr="00C87C31">
              <w:rPr>
                <w:b/>
              </w:rPr>
              <w:t>202</w:t>
            </w:r>
            <w:r>
              <w:rPr>
                <w:b/>
              </w:rPr>
              <w:t>4</w:t>
            </w:r>
          </w:p>
        </w:tc>
      </w:tr>
      <w:tr w:rsidR="006A7146" w14:paraId="52A795DC" w14:textId="77777777" w:rsidTr="00703CF5">
        <w:tc>
          <w:tcPr>
            <w:tcW w:w="1500" w:type="dxa"/>
          </w:tcPr>
          <w:p w14:paraId="336114F6" w14:textId="71C69F89" w:rsidR="006A7146" w:rsidRPr="00C87C31" w:rsidRDefault="006A7146" w:rsidP="006A7146">
            <w:pPr>
              <w:jc w:val="center"/>
              <w:rPr>
                <w:b/>
              </w:rPr>
            </w:pPr>
            <w:r w:rsidRPr="00C87C31">
              <w:rPr>
                <w:b/>
              </w:rPr>
              <w:t>A</w:t>
            </w:r>
          </w:p>
        </w:tc>
        <w:tc>
          <w:tcPr>
            <w:tcW w:w="1804" w:type="dxa"/>
          </w:tcPr>
          <w:p w14:paraId="3CC3F3DB" w14:textId="55C9A238" w:rsidR="006A7146" w:rsidRPr="00C87C31" w:rsidRDefault="006A7146" w:rsidP="006A7146">
            <w:pPr>
              <w:jc w:val="center"/>
              <w:rPr>
                <w:b/>
              </w:rPr>
            </w:pPr>
            <w:r w:rsidRPr="00C87C31">
              <w:rPr>
                <w:b/>
              </w:rPr>
              <w:t>Australian Population over 65 years of age</w:t>
            </w:r>
          </w:p>
        </w:tc>
        <w:tc>
          <w:tcPr>
            <w:tcW w:w="1784" w:type="dxa"/>
            <w:vAlign w:val="center"/>
          </w:tcPr>
          <w:p w14:paraId="446EF7A5" w14:textId="11C2E56C" w:rsidR="006A7146" w:rsidRPr="00C87C31" w:rsidRDefault="006A7146" w:rsidP="006A7146">
            <w:pPr>
              <w:jc w:val="center"/>
              <w:rPr>
                <w:b/>
              </w:rPr>
            </w:pPr>
            <w:r>
              <w:rPr>
                <w:rFonts w:ascii="Calibri" w:hAnsi="Calibri" w:cs="Calibri"/>
                <w:b/>
                <w:bCs/>
                <w:color w:val="000000"/>
                <w:szCs w:val="20"/>
              </w:rPr>
              <w:t>4,397,463</w:t>
            </w:r>
          </w:p>
        </w:tc>
        <w:tc>
          <w:tcPr>
            <w:tcW w:w="1784" w:type="dxa"/>
            <w:vAlign w:val="center"/>
          </w:tcPr>
          <w:p w14:paraId="701F3BAC" w14:textId="6F88106E" w:rsidR="006A7146" w:rsidRPr="00C87C31" w:rsidRDefault="006A7146" w:rsidP="006A7146">
            <w:pPr>
              <w:jc w:val="center"/>
              <w:rPr>
                <w:b/>
              </w:rPr>
            </w:pPr>
            <w:r>
              <w:rPr>
                <w:rFonts w:ascii="Calibri" w:hAnsi="Calibri" w:cs="Calibri"/>
                <w:b/>
                <w:bCs/>
                <w:color w:val="000000"/>
                <w:szCs w:val="20"/>
              </w:rPr>
              <w:t>4,526,677</w:t>
            </w:r>
          </w:p>
        </w:tc>
        <w:tc>
          <w:tcPr>
            <w:tcW w:w="1784" w:type="dxa"/>
            <w:vAlign w:val="center"/>
          </w:tcPr>
          <w:p w14:paraId="7941214E" w14:textId="4B37749B" w:rsidR="006A7146" w:rsidRPr="00C87C31" w:rsidRDefault="006A7146" w:rsidP="006A7146">
            <w:pPr>
              <w:jc w:val="center"/>
              <w:rPr>
                <w:b/>
              </w:rPr>
            </w:pPr>
            <w:r>
              <w:rPr>
                <w:rFonts w:ascii="Calibri" w:hAnsi="Calibri" w:cs="Calibri"/>
                <w:b/>
                <w:bCs/>
                <w:color w:val="000000"/>
                <w:szCs w:val="20"/>
              </w:rPr>
              <w:t>4,656,293</w:t>
            </w:r>
          </w:p>
        </w:tc>
      </w:tr>
      <w:tr w:rsidR="006A7146" w14:paraId="2FADAEFF" w14:textId="77777777" w:rsidTr="00703CF5">
        <w:tc>
          <w:tcPr>
            <w:tcW w:w="1500" w:type="dxa"/>
          </w:tcPr>
          <w:p w14:paraId="4C28737A" w14:textId="6BE34E31" w:rsidR="006A7146" w:rsidRPr="00C87C31" w:rsidRDefault="006A7146" w:rsidP="006A7146">
            <w:pPr>
              <w:jc w:val="center"/>
              <w:rPr>
                <w:b/>
              </w:rPr>
            </w:pPr>
            <w:r w:rsidRPr="00C87C31">
              <w:rPr>
                <w:b/>
              </w:rPr>
              <w:t>B</w:t>
            </w:r>
          </w:p>
        </w:tc>
        <w:tc>
          <w:tcPr>
            <w:tcW w:w="1804" w:type="dxa"/>
          </w:tcPr>
          <w:p w14:paraId="022D01C0" w14:textId="2E6DFA4F" w:rsidR="006A7146" w:rsidRPr="00C87C31" w:rsidRDefault="006A7146" w:rsidP="006A7146">
            <w:pPr>
              <w:jc w:val="center"/>
              <w:rPr>
                <w:b/>
              </w:rPr>
            </w:pPr>
            <w:r w:rsidRPr="00C87C31">
              <w:rPr>
                <w:b/>
              </w:rPr>
              <w:t>Eligible Population</w:t>
            </w:r>
          </w:p>
        </w:tc>
        <w:tc>
          <w:tcPr>
            <w:tcW w:w="1784" w:type="dxa"/>
            <w:vAlign w:val="center"/>
          </w:tcPr>
          <w:p w14:paraId="13A8DAA6" w14:textId="604D9934" w:rsidR="006A7146" w:rsidRPr="00C87C31" w:rsidRDefault="006A7146" w:rsidP="006A7146">
            <w:pPr>
              <w:jc w:val="center"/>
              <w:rPr>
                <w:b/>
              </w:rPr>
            </w:pPr>
            <w:r>
              <w:rPr>
                <w:rFonts w:ascii="Calibri" w:hAnsi="Calibri" w:cs="Calibri"/>
                <w:b/>
                <w:bCs/>
                <w:color w:val="000000"/>
                <w:szCs w:val="20"/>
              </w:rPr>
              <w:t>828</w:t>
            </w:r>
          </w:p>
        </w:tc>
        <w:tc>
          <w:tcPr>
            <w:tcW w:w="1784" w:type="dxa"/>
            <w:vAlign w:val="center"/>
          </w:tcPr>
          <w:p w14:paraId="4FD8D91D" w14:textId="12E20A14" w:rsidR="006A7146" w:rsidRPr="00C87C31" w:rsidRDefault="006A7146" w:rsidP="006A7146">
            <w:pPr>
              <w:jc w:val="center"/>
              <w:rPr>
                <w:b/>
              </w:rPr>
            </w:pPr>
            <w:r>
              <w:rPr>
                <w:rFonts w:ascii="Calibri" w:hAnsi="Calibri" w:cs="Calibri"/>
                <w:b/>
                <w:bCs/>
                <w:color w:val="000000"/>
                <w:szCs w:val="20"/>
              </w:rPr>
              <w:t>852</w:t>
            </w:r>
          </w:p>
        </w:tc>
        <w:tc>
          <w:tcPr>
            <w:tcW w:w="1784" w:type="dxa"/>
            <w:vAlign w:val="center"/>
          </w:tcPr>
          <w:p w14:paraId="4D0E10F7" w14:textId="70E81A63" w:rsidR="006A7146" w:rsidRPr="00C87C31" w:rsidRDefault="006A7146" w:rsidP="006A7146">
            <w:pPr>
              <w:jc w:val="center"/>
              <w:rPr>
                <w:b/>
              </w:rPr>
            </w:pPr>
            <w:r>
              <w:rPr>
                <w:rFonts w:ascii="Calibri" w:hAnsi="Calibri" w:cs="Calibri"/>
                <w:b/>
                <w:bCs/>
                <w:color w:val="000000"/>
                <w:szCs w:val="20"/>
              </w:rPr>
              <w:t>877</w:t>
            </w:r>
          </w:p>
        </w:tc>
      </w:tr>
      <w:tr w:rsidR="006A7146" w14:paraId="776FD463" w14:textId="77777777" w:rsidTr="006A7146">
        <w:tc>
          <w:tcPr>
            <w:tcW w:w="1500" w:type="dxa"/>
          </w:tcPr>
          <w:p w14:paraId="0BAFC935" w14:textId="6F9EB654" w:rsidR="006A7146" w:rsidRPr="00C87C31" w:rsidRDefault="006A7146" w:rsidP="006A7146">
            <w:pPr>
              <w:jc w:val="center"/>
              <w:rPr>
                <w:b/>
              </w:rPr>
            </w:pPr>
            <w:r w:rsidRPr="00C87C31">
              <w:rPr>
                <w:b/>
              </w:rPr>
              <w:t>C</w:t>
            </w:r>
          </w:p>
        </w:tc>
        <w:tc>
          <w:tcPr>
            <w:tcW w:w="1804" w:type="dxa"/>
          </w:tcPr>
          <w:p w14:paraId="3AA30917" w14:textId="46E2F3CD" w:rsidR="006A7146" w:rsidRPr="00C87C31" w:rsidRDefault="006A7146" w:rsidP="006A7146">
            <w:pPr>
              <w:jc w:val="center"/>
              <w:rPr>
                <w:b/>
              </w:rPr>
            </w:pPr>
            <w:r w:rsidRPr="00C87C31">
              <w:rPr>
                <w:b/>
              </w:rPr>
              <w:t>Patients accessing TAVI</w:t>
            </w:r>
          </w:p>
          <w:p w14:paraId="351F2941" w14:textId="36C59938" w:rsidR="006A7146" w:rsidRPr="00C87C31" w:rsidRDefault="006A7146" w:rsidP="006A7146">
            <w:pPr>
              <w:jc w:val="center"/>
              <w:rPr>
                <w:b/>
              </w:rPr>
            </w:pPr>
            <w:r w:rsidRPr="00C87C31">
              <w:rPr>
                <w:b/>
              </w:rPr>
              <w:t>80% X B</w:t>
            </w:r>
          </w:p>
        </w:tc>
        <w:tc>
          <w:tcPr>
            <w:tcW w:w="1784" w:type="dxa"/>
            <w:vAlign w:val="center"/>
          </w:tcPr>
          <w:p w14:paraId="077E7A6F" w14:textId="7E17834B" w:rsidR="006A7146" w:rsidRPr="006A7146" w:rsidRDefault="006A7146" w:rsidP="006A7146">
            <w:pPr>
              <w:jc w:val="center"/>
              <w:rPr>
                <w:rFonts w:ascii="Calibri" w:hAnsi="Calibri" w:cs="Calibri"/>
                <w:b/>
                <w:bCs/>
                <w:color w:val="000000"/>
                <w:szCs w:val="20"/>
              </w:rPr>
            </w:pPr>
            <w:r w:rsidRPr="006A7146">
              <w:rPr>
                <w:rFonts w:ascii="Calibri" w:hAnsi="Calibri" w:cs="Calibri"/>
                <w:b/>
                <w:bCs/>
                <w:color w:val="000000"/>
                <w:szCs w:val="20"/>
              </w:rPr>
              <w:t>662</w:t>
            </w:r>
          </w:p>
        </w:tc>
        <w:tc>
          <w:tcPr>
            <w:tcW w:w="1784" w:type="dxa"/>
            <w:vAlign w:val="center"/>
          </w:tcPr>
          <w:p w14:paraId="1A2BA34F" w14:textId="22C2CD26" w:rsidR="006A7146" w:rsidRPr="006A7146" w:rsidRDefault="006A7146" w:rsidP="006A7146">
            <w:pPr>
              <w:jc w:val="center"/>
              <w:rPr>
                <w:rFonts w:ascii="Calibri" w:hAnsi="Calibri" w:cs="Calibri"/>
                <w:b/>
                <w:bCs/>
                <w:color w:val="000000"/>
                <w:szCs w:val="20"/>
              </w:rPr>
            </w:pPr>
            <w:r w:rsidRPr="006A7146">
              <w:rPr>
                <w:rFonts w:ascii="Calibri" w:hAnsi="Calibri" w:cs="Calibri"/>
                <w:b/>
                <w:bCs/>
                <w:color w:val="000000"/>
                <w:szCs w:val="20"/>
              </w:rPr>
              <w:t>682</w:t>
            </w:r>
          </w:p>
        </w:tc>
        <w:tc>
          <w:tcPr>
            <w:tcW w:w="1784" w:type="dxa"/>
            <w:vAlign w:val="center"/>
          </w:tcPr>
          <w:p w14:paraId="1724BCE8" w14:textId="3C665270" w:rsidR="006A7146" w:rsidRPr="006A7146" w:rsidRDefault="006A7146" w:rsidP="006A7146">
            <w:pPr>
              <w:jc w:val="center"/>
              <w:rPr>
                <w:rFonts w:ascii="Calibri" w:hAnsi="Calibri" w:cs="Calibri"/>
                <w:b/>
                <w:bCs/>
                <w:color w:val="000000"/>
                <w:szCs w:val="20"/>
              </w:rPr>
            </w:pPr>
            <w:r w:rsidRPr="006A7146">
              <w:rPr>
                <w:rFonts w:ascii="Calibri" w:hAnsi="Calibri" w:cs="Calibri"/>
                <w:b/>
                <w:bCs/>
                <w:color w:val="000000"/>
                <w:szCs w:val="20"/>
              </w:rPr>
              <w:t>701</w:t>
            </w:r>
          </w:p>
        </w:tc>
      </w:tr>
    </w:tbl>
    <w:p w14:paraId="02DE0169" w14:textId="77777777" w:rsidR="00522175" w:rsidRDefault="00522175" w:rsidP="00522175">
      <w:pPr>
        <w:ind w:left="360"/>
      </w:pPr>
    </w:p>
    <w:p w14:paraId="1F3ED146" w14:textId="49BE6346" w:rsidR="003373A0" w:rsidRDefault="00522175" w:rsidP="00A44473">
      <w:pPr>
        <w:ind w:left="360"/>
        <w:rPr>
          <w:bCs/>
          <w:color w:val="4F81BD" w:themeColor="accent1"/>
          <w:sz w:val="40"/>
          <w:szCs w:val="32"/>
        </w:rPr>
      </w:pPr>
      <w:r>
        <w:t xml:space="preserve">As access to TAVI is determined by the TAVI </w:t>
      </w:r>
      <w:r w:rsidR="00B35945">
        <w:t>h</w:t>
      </w:r>
      <w:r>
        <w:t xml:space="preserve">eart </w:t>
      </w:r>
      <w:r w:rsidR="00B35945">
        <w:t>t</w:t>
      </w:r>
      <w:r>
        <w:t>eam, it is unlikely that there will be leakage to populations outside the eligible population.</w:t>
      </w:r>
      <w:bookmarkStart w:id="4" w:name="_GoBack"/>
      <w:bookmarkEnd w:id="4"/>
      <w:r w:rsidR="003373A0">
        <w:br w:type="page"/>
      </w:r>
    </w:p>
    <w:p w14:paraId="3D640491" w14:textId="247B0A1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410FF58F"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1C4C4259" w14:textId="7FDFABAF" w:rsidR="00951933" w:rsidRDefault="008812D3" w:rsidP="000D45D3">
      <w:pPr>
        <w:ind w:left="426"/>
        <w:rPr>
          <w:szCs w:val="20"/>
        </w:rPr>
      </w:pPr>
      <w:r>
        <w:rPr>
          <w:szCs w:val="20"/>
        </w:rPr>
        <w:t>redacted</w:t>
      </w:r>
    </w:p>
    <w:p w14:paraId="41848EBA" w14:textId="7C74CE4B" w:rsidR="00C87C31" w:rsidRDefault="00C87C31" w:rsidP="00AE1188">
      <w:pPr>
        <w:ind w:left="426"/>
        <w:rPr>
          <w:szCs w:val="20"/>
        </w:rPr>
      </w:pPr>
      <w:r>
        <w:rPr>
          <w:szCs w:val="20"/>
        </w:rPr>
        <w:t xml:space="preserve">Other cost items include the following MBS </w:t>
      </w:r>
      <w:r w:rsidR="00722E75">
        <w:rPr>
          <w:szCs w:val="20"/>
        </w:rPr>
        <w:t>items</w:t>
      </w:r>
    </w:p>
    <w:tbl>
      <w:tblPr>
        <w:tblStyle w:val="TableGrid"/>
        <w:tblW w:w="0" w:type="auto"/>
        <w:tblInd w:w="426" w:type="dxa"/>
        <w:tblLook w:val="04A0" w:firstRow="1" w:lastRow="0" w:firstColumn="1" w:lastColumn="0" w:noHBand="0" w:noVBand="1"/>
        <w:tblCaption w:val="Table"/>
        <w:tblDescription w:val="Table"/>
      </w:tblPr>
      <w:tblGrid>
        <w:gridCol w:w="3175"/>
        <w:gridCol w:w="1781"/>
        <w:gridCol w:w="1657"/>
        <w:gridCol w:w="1977"/>
      </w:tblGrid>
      <w:tr w:rsidR="006D1974" w14:paraId="6BD5029B" w14:textId="77777777" w:rsidTr="003F4F1C">
        <w:trPr>
          <w:tblHeader/>
        </w:trPr>
        <w:tc>
          <w:tcPr>
            <w:tcW w:w="3175" w:type="dxa"/>
            <w:shd w:val="clear" w:color="auto" w:fill="D9D9D9" w:themeFill="background1" w:themeFillShade="D9"/>
          </w:tcPr>
          <w:p w14:paraId="3CF4B55D" w14:textId="22EA2C94" w:rsidR="006D1974" w:rsidRPr="000A4E91" w:rsidRDefault="006D1974" w:rsidP="000A4E91">
            <w:pPr>
              <w:jc w:val="center"/>
              <w:rPr>
                <w:b/>
                <w:szCs w:val="20"/>
              </w:rPr>
            </w:pPr>
            <w:r w:rsidRPr="000A4E91">
              <w:rPr>
                <w:b/>
                <w:szCs w:val="20"/>
              </w:rPr>
              <w:t>Cost Item</w:t>
            </w:r>
          </w:p>
        </w:tc>
        <w:tc>
          <w:tcPr>
            <w:tcW w:w="1781" w:type="dxa"/>
            <w:shd w:val="clear" w:color="auto" w:fill="D9D9D9" w:themeFill="background1" w:themeFillShade="D9"/>
          </w:tcPr>
          <w:p w14:paraId="12DE8562" w14:textId="591E65F6" w:rsidR="006D1974" w:rsidRPr="000A4E91" w:rsidRDefault="006D1974" w:rsidP="000A4E91">
            <w:pPr>
              <w:jc w:val="center"/>
              <w:rPr>
                <w:b/>
                <w:szCs w:val="20"/>
              </w:rPr>
            </w:pPr>
            <w:r w:rsidRPr="000A4E91">
              <w:rPr>
                <w:b/>
                <w:szCs w:val="20"/>
              </w:rPr>
              <w:t>MBS Item Number</w:t>
            </w:r>
          </w:p>
        </w:tc>
        <w:tc>
          <w:tcPr>
            <w:tcW w:w="1657" w:type="dxa"/>
            <w:shd w:val="clear" w:color="auto" w:fill="D9D9D9" w:themeFill="background1" w:themeFillShade="D9"/>
          </w:tcPr>
          <w:p w14:paraId="7DAFB6D9" w14:textId="44F20AB8" w:rsidR="006D1974" w:rsidRPr="000A4E91" w:rsidRDefault="006D1974" w:rsidP="000A4E91">
            <w:pPr>
              <w:jc w:val="center"/>
              <w:rPr>
                <w:b/>
                <w:szCs w:val="20"/>
              </w:rPr>
            </w:pPr>
            <w:r w:rsidRPr="000A4E91">
              <w:rPr>
                <w:b/>
                <w:szCs w:val="20"/>
              </w:rPr>
              <w:t>100% MBS Fee</w:t>
            </w:r>
          </w:p>
        </w:tc>
        <w:tc>
          <w:tcPr>
            <w:tcW w:w="1977" w:type="dxa"/>
            <w:shd w:val="clear" w:color="auto" w:fill="D9D9D9" w:themeFill="background1" w:themeFillShade="D9"/>
          </w:tcPr>
          <w:p w14:paraId="59069027" w14:textId="3A1E6756" w:rsidR="006D1974" w:rsidRPr="000A4E91" w:rsidRDefault="006D1974" w:rsidP="000A4E91">
            <w:pPr>
              <w:jc w:val="center"/>
              <w:rPr>
                <w:b/>
                <w:szCs w:val="20"/>
              </w:rPr>
            </w:pPr>
            <w:r w:rsidRPr="000A4E91">
              <w:rPr>
                <w:b/>
                <w:szCs w:val="20"/>
              </w:rPr>
              <w:t>75% Benefit</w:t>
            </w:r>
          </w:p>
        </w:tc>
      </w:tr>
      <w:tr w:rsidR="006D1974" w14:paraId="482F0083" w14:textId="77777777" w:rsidTr="000A4E91">
        <w:tc>
          <w:tcPr>
            <w:tcW w:w="3175" w:type="dxa"/>
            <w:shd w:val="clear" w:color="auto" w:fill="BFBFBF" w:themeFill="background1" w:themeFillShade="BF"/>
          </w:tcPr>
          <w:p w14:paraId="65D1D75D" w14:textId="16EE78D7" w:rsidR="006D1974" w:rsidRPr="000A4E91" w:rsidRDefault="006D1974" w:rsidP="000A4E91">
            <w:pPr>
              <w:jc w:val="center"/>
              <w:rPr>
                <w:b/>
                <w:szCs w:val="20"/>
              </w:rPr>
            </w:pPr>
            <w:r w:rsidRPr="000A4E91">
              <w:rPr>
                <w:b/>
                <w:szCs w:val="20"/>
              </w:rPr>
              <w:t>TAVI Case Conference -Organiser</w:t>
            </w:r>
          </w:p>
        </w:tc>
        <w:tc>
          <w:tcPr>
            <w:tcW w:w="1781" w:type="dxa"/>
          </w:tcPr>
          <w:p w14:paraId="3E3FE9B8" w14:textId="0DF8911C" w:rsidR="006D1974" w:rsidRPr="000A4E91" w:rsidRDefault="006D1974" w:rsidP="000A4E91">
            <w:pPr>
              <w:jc w:val="center"/>
              <w:rPr>
                <w:b/>
                <w:szCs w:val="20"/>
              </w:rPr>
            </w:pPr>
            <w:r w:rsidRPr="000A4E91">
              <w:rPr>
                <w:b/>
                <w:szCs w:val="20"/>
              </w:rPr>
              <w:t>6080</w:t>
            </w:r>
          </w:p>
        </w:tc>
        <w:tc>
          <w:tcPr>
            <w:tcW w:w="1657" w:type="dxa"/>
          </w:tcPr>
          <w:p w14:paraId="34F61701" w14:textId="38291500" w:rsidR="006D1974" w:rsidRPr="000A4E91" w:rsidRDefault="006D1974" w:rsidP="000A4E91">
            <w:pPr>
              <w:jc w:val="center"/>
              <w:rPr>
                <w:b/>
                <w:szCs w:val="20"/>
              </w:rPr>
            </w:pPr>
            <w:r w:rsidRPr="000A4E91">
              <w:rPr>
                <w:b/>
                <w:szCs w:val="20"/>
              </w:rPr>
              <w:t>$50.15</w:t>
            </w:r>
          </w:p>
        </w:tc>
        <w:tc>
          <w:tcPr>
            <w:tcW w:w="1977" w:type="dxa"/>
          </w:tcPr>
          <w:p w14:paraId="5FDD4F10" w14:textId="27986B1F" w:rsidR="006D1974" w:rsidRPr="000A4E91" w:rsidRDefault="006D1974" w:rsidP="000A4E91">
            <w:pPr>
              <w:jc w:val="center"/>
              <w:rPr>
                <w:b/>
                <w:szCs w:val="20"/>
              </w:rPr>
            </w:pPr>
            <w:r w:rsidRPr="000A4E91">
              <w:rPr>
                <w:b/>
                <w:szCs w:val="20"/>
              </w:rPr>
              <w:t>$37.65</w:t>
            </w:r>
          </w:p>
        </w:tc>
      </w:tr>
      <w:tr w:rsidR="006D1974" w14:paraId="7A3F36A6" w14:textId="77777777" w:rsidTr="000A4E91">
        <w:tc>
          <w:tcPr>
            <w:tcW w:w="3175" w:type="dxa"/>
            <w:shd w:val="clear" w:color="auto" w:fill="BFBFBF" w:themeFill="background1" w:themeFillShade="BF"/>
          </w:tcPr>
          <w:p w14:paraId="3248F908" w14:textId="2C3F3B93" w:rsidR="006D1974" w:rsidRPr="000A4E91" w:rsidRDefault="006D1974" w:rsidP="000A4E91">
            <w:pPr>
              <w:jc w:val="center"/>
              <w:rPr>
                <w:b/>
                <w:szCs w:val="20"/>
              </w:rPr>
            </w:pPr>
            <w:r w:rsidRPr="000A4E91">
              <w:rPr>
                <w:b/>
                <w:szCs w:val="20"/>
              </w:rPr>
              <w:t>TAVI Case Conference Attendance X 3</w:t>
            </w:r>
          </w:p>
        </w:tc>
        <w:tc>
          <w:tcPr>
            <w:tcW w:w="1781" w:type="dxa"/>
          </w:tcPr>
          <w:p w14:paraId="34867FA6" w14:textId="279AD5E6" w:rsidR="006D1974" w:rsidRPr="000A4E91" w:rsidRDefault="006D1974" w:rsidP="000A4E91">
            <w:pPr>
              <w:jc w:val="center"/>
              <w:rPr>
                <w:b/>
                <w:szCs w:val="20"/>
              </w:rPr>
            </w:pPr>
            <w:r w:rsidRPr="000A4E91">
              <w:rPr>
                <w:b/>
                <w:szCs w:val="20"/>
              </w:rPr>
              <w:t>6081</w:t>
            </w:r>
          </w:p>
        </w:tc>
        <w:tc>
          <w:tcPr>
            <w:tcW w:w="1657" w:type="dxa"/>
          </w:tcPr>
          <w:p w14:paraId="26DBD1AE" w14:textId="70446181" w:rsidR="006D1974" w:rsidRPr="000A4E91" w:rsidRDefault="006D1974" w:rsidP="000A4E91">
            <w:pPr>
              <w:jc w:val="center"/>
              <w:rPr>
                <w:b/>
                <w:szCs w:val="20"/>
              </w:rPr>
            </w:pPr>
            <w:r w:rsidRPr="000A4E91">
              <w:rPr>
                <w:b/>
                <w:szCs w:val="20"/>
              </w:rPr>
              <w:t>$37.40</w:t>
            </w:r>
          </w:p>
        </w:tc>
        <w:tc>
          <w:tcPr>
            <w:tcW w:w="1977" w:type="dxa"/>
          </w:tcPr>
          <w:p w14:paraId="5A07D9E6" w14:textId="546F9A23" w:rsidR="006D1974" w:rsidRPr="000A4E91" w:rsidRDefault="006D1974" w:rsidP="000A4E91">
            <w:pPr>
              <w:jc w:val="center"/>
              <w:rPr>
                <w:b/>
                <w:szCs w:val="20"/>
              </w:rPr>
            </w:pPr>
            <w:r w:rsidRPr="000A4E91">
              <w:rPr>
                <w:b/>
                <w:szCs w:val="20"/>
              </w:rPr>
              <w:t>$28.05</w:t>
            </w:r>
          </w:p>
        </w:tc>
      </w:tr>
      <w:tr w:rsidR="006D1974" w14:paraId="6D5603F8" w14:textId="77777777" w:rsidTr="000A4E91">
        <w:tc>
          <w:tcPr>
            <w:tcW w:w="3175" w:type="dxa"/>
            <w:shd w:val="clear" w:color="auto" w:fill="BFBFBF" w:themeFill="background1" w:themeFillShade="BF"/>
          </w:tcPr>
          <w:p w14:paraId="17FC6D18" w14:textId="7FAE85E9" w:rsidR="006D1974" w:rsidRPr="000A4E91" w:rsidRDefault="006D1974" w:rsidP="000A4E91">
            <w:pPr>
              <w:jc w:val="center"/>
              <w:rPr>
                <w:b/>
                <w:szCs w:val="20"/>
              </w:rPr>
            </w:pPr>
            <w:r w:rsidRPr="000A4E91">
              <w:rPr>
                <w:b/>
                <w:szCs w:val="20"/>
              </w:rPr>
              <w:t>TAVI Procedure including all intraoperative diagnostic imaging</w:t>
            </w:r>
          </w:p>
        </w:tc>
        <w:tc>
          <w:tcPr>
            <w:tcW w:w="1781" w:type="dxa"/>
          </w:tcPr>
          <w:p w14:paraId="49F1EA84" w14:textId="7D3DB363" w:rsidR="006D1974" w:rsidRPr="000A4E91" w:rsidRDefault="00616BE9" w:rsidP="000A4E91">
            <w:pPr>
              <w:jc w:val="center"/>
              <w:rPr>
                <w:b/>
                <w:szCs w:val="20"/>
              </w:rPr>
            </w:pPr>
            <w:r>
              <w:rPr>
                <w:b/>
                <w:szCs w:val="20"/>
              </w:rPr>
              <w:t>XXXX</w:t>
            </w:r>
          </w:p>
        </w:tc>
        <w:tc>
          <w:tcPr>
            <w:tcW w:w="1657" w:type="dxa"/>
          </w:tcPr>
          <w:p w14:paraId="6CA55184" w14:textId="77777777" w:rsidR="00722E75" w:rsidRDefault="006D1974" w:rsidP="000A4E91">
            <w:pPr>
              <w:jc w:val="center"/>
              <w:rPr>
                <w:b/>
                <w:szCs w:val="20"/>
              </w:rPr>
            </w:pPr>
            <w:r w:rsidRPr="000A4E91">
              <w:rPr>
                <w:b/>
                <w:szCs w:val="20"/>
              </w:rPr>
              <w:t>$1,432.20</w:t>
            </w:r>
          </w:p>
          <w:p w14:paraId="60BE97A7" w14:textId="55AD1902" w:rsidR="006D1974" w:rsidRPr="000A4E91" w:rsidRDefault="00722E75" w:rsidP="000A4E91">
            <w:pPr>
              <w:jc w:val="center"/>
              <w:rPr>
                <w:b/>
                <w:szCs w:val="20"/>
              </w:rPr>
            </w:pPr>
            <w:r>
              <w:rPr>
                <w:b/>
                <w:szCs w:val="20"/>
              </w:rPr>
              <w:t xml:space="preserve">(Same as MBS item </w:t>
            </w:r>
            <w:r w:rsidRPr="000A4E91">
              <w:rPr>
                <w:b/>
                <w:szCs w:val="20"/>
              </w:rPr>
              <w:t>38495</w:t>
            </w:r>
            <w:r>
              <w:rPr>
                <w:b/>
                <w:szCs w:val="20"/>
              </w:rPr>
              <w:t>)</w:t>
            </w:r>
          </w:p>
        </w:tc>
        <w:tc>
          <w:tcPr>
            <w:tcW w:w="1977" w:type="dxa"/>
          </w:tcPr>
          <w:p w14:paraId="0ACCC95F" w14:textId="0E760943" w:rsidR="006D1974" w:rsidRPr="000A4E91" w:rsidRDefault="006D1974" w:rsidP="000A4E91">
            <w:pPr>
              <w:jc w:val="center"/>
              <w:rPr>
                <w:b/>
                <w:szCs w:val="20"/>
              </w:rPr>
            </w:pPr>
            <w:r w:rsidRPr="000A4E91">
              <w:rPr>
                <w:b/>
                <w:szCs w:val="20"/>
              </w:rPr>
              <w:t>$1,074</w:t>
            </w:r>
          </w:p>
        </w:tc>
      </w:tr>
      <w:tr w:rsidR="006D1974" w14:paraId="46B73EAB" w14:textId="77777777" w:rsidTr="000A4E91">
        <w:tc>
          <w:tcPr>
            <w:tcW w:w="3175" w:type="dxa"/>
            <w:shd w:val="clear" w:color="auto" w:fill="BFBFBF" w:themeFill="background1" w:themeFillShade="BF"/>
          </w:tcPr>
          <w:p w14:paraId="5179B4EC" w14:textId="0F0C18FE" w:rsidR="006D1974" w:rsidRPr="000A4E91" w:rsidRDefault="006D1974" w:rsidP="000A4E91">
            <w:pPr>
              <w:jc w:val="center"/>
              <w:rPr>
                <w:b/>
                <w:szCs w:val="20"/>
              </w:rPr>
            </w:pPr>
            <w:r w:rsidRPr="000A4E91">
              <w:rPr>
                <w:b/>
                <w:szCs w:val="20"/>
              </w:rPr>
              <w:t>Assistant</w:t>
            </w:r>
          </w:p>
        </w:tc>
        <w:tc>
          <w:tcPr>
            <w:tcW w:w="1781" w:type="dxa"/>
          </w:tcPr>
          <w:p w14:paraId="451E961B" w14:textId="01922BDC" w:rsidR="006D1974" w:rsidRPr="000A4E91" w:rsidRDefault="00273B08" w:rsidP="000A4E91">
            <w:pPr>
              <w:jc w:val="center"/>
              <w:rPr>
                <w:b/>
                <w:szCs w:val="20"/>
              </w:rPr>
            </w:pPr>
            <w:r w:rsidRPr="000A4E91">
              <w:rPr>
                <w:b/>
                <w:szCs w:val="20"/>
              </w:rPr>
              <w:t>51303</w:t>
            </w:r>
          </w:p>
        </w:tc>
        <w:tc>
          <w:tcPr>
            <w:tcW w:w="1657" w:type="dxa"/>
          </w:tcPr>
          <w:p w14:paraId="41715184" w14:textId="6A010868" w:rsidR="006D1974" w:rsidRPr="000A4E91" w:rsidRDefault="00273B08" w:rsidP="000A4E91">
            <w:pPr>
              <w:jc w:val="center"/>
              <w:rPr>
                <w:b/>
                <w:szCs w:val="20"/>
              </w:rPr>
            </w:pPr>
            <w:r w:rsidRPr="000A4E91">
              <w:rPr>
                <w:b/>
                <w:szCs w:val="20"/>
              </w:rPr>
              <w:t>$286.40</w:t>
            </w:r>
          </w:p>
        </w:tc>
        <w:tc>
          <w:tcPr>
            <w:tcW w:w="1977" w:type="dxa"/>
          </w:tcPr>
          <w:p w14:paraId="33510846" w14:textId="4025F22C" w:rsidR="006D1974" w:rsidRPr="000A4E91" w:rsidRDefault="00273B08" w:rsidP="000A4E91">
            <w:pPr>
              <w:jc w:val="center"/>
              <w:rPr>
                <w:b/>
                <w:szCs w:val="20"/>
              </w:rPr>
            </w:pPr>
            <w:r w:rsidRPr="000A4E91">
              <w:rPr>
                <w:b/>
                <w:szCs w:val="20"/>
              </w:rPr>
              <w:t>$214.80</w:t>
            </w:r>
          </w:p>
        </w:tc>
      </w:tr>
      <w:tr w:rsidR="00273B08" w14:paraId="0ECFCC40" w14:textId="77777777" w:rsidTr="000A4E91">
        <w:tc>
          <w:tcPr>
            <w:tcW w:w="3175" w:type="dxa"/>
            <w:shd w:val="clear" w:color="auto" w:fill="BFBFBF" w:themeFill="background1" w:themeFillShade="BF"/>
          </w:tcPr>
          <w:p w14:paraId="5B1BD0FA" w14:textId="43C5D2C7" w:rsidR="00273B08" w:rsidRPr="000A4E91" w:rsidRDefault="00273B08" w:rsidP="000A4E91">
            <w:pPr>
              <w:jc w:val="center"/>
              <w:rPr>
                <w:b/>
                <w:szCs w:val="20"/>
              </w:rPr>
            </w:pPr>
            <w:r w:rsidRPr="000A4E91">
              <w:rPr>
                <w:b/>
                <w:szCs w:val="20"/>
              </w:rPr>
              <w:t>Initiation of Anaesthesia</w:t>
            </w:r>
          </w:p>
        </w:tc>
        <w:tc>
          <w:tcPr>
            <w:tcW w:w="1781" w:type="dxa"/>
          </w:tcPr>
          <w:p w14:paraId="552CFA49" w14:textId="3C01E2FB" w:rsidR="00273B08" w:rsidRPr="000A4E91" w:rsidRDefault="00273B08" w:rsidP="000A4E91">
            <w:pPr>
              <w:jc w:val="center"/>
              <w:rPr>
                <w:b/>
                <w:szCs w:val="20"/>
              </w:rPr>
            </w:pPr>
            <w:r w:rsidRPr="000A4E91">
              <w:rPr>
                <w:b/>
                <w:szCs w:val="20"/>
              </w:rPr>
              <w:t>21941</w:t>
            </w:r>
          </w:p>
        </w:tc>
        <w:tc>
          <w:tcPr>
            <w:tcW w:w="1657" w:type="dxa"/>
          </w:tcPr>
          <w:p w14:paraId="398A98D6" w14:textId="647660FA" w:rsidR="00273B08" w:rsidRPr="000A4E91" w:rsidRDefault="00273B08" w:rsidP="000A4E91">
            <w:pPr>
              <w:jc w:val="center"/>
              <w:rPr>
                <w:b/>
                <w:szCs w:val="20"/>
              </w:rPr>
            </w:pPr>
            <w:r w:rsidRPr="000A4E91">
              <w:rPr>
                <w:b/>
                <w:szCs w:val="20"/>
              </w:rPr>
              <w:t>$138.60</w:t>
            </w:r>
          </w:p>
        </w:tc>
        <w:tc>
          <w:tcPr>
            <w:tcW w:w="1977" w:type="dxa"/>
          </w:tcPr>
          <w:p w14:paraId="15162D2D" w14:textId="281D521E" w:rsidR="00273B08" w:rsidRPr="000A4E91" w:rsidRDefault="00273B08" w:rsidP="000A4E91">
            <w:pPr>
              <w:jc w:val="center"/>
              <w:rPr>
                <w:b/>
                <w:szCs w:val="20"/>
              </w:rPr>
            </w:pPr>
            <w:r w:rsidRPr="000A4E91">
              <w:rPr>
                <w:b/>
                <w:szCs w:val="20"/>
              </w:rPr>
              <w:t>$103.95</w:t>
            </w:r>
          </w:p>
        </w:tc>
      </w:tr>
      <w:tr w:rsidR="00273B08" w14:paraId="66511597" w14:textId="77777777" w:rsidTr="000A4E91">
        <w:tc>
          <w:tcPr>
            <w:tcW w:w="3175" w:type="dxa"/>
            <w:shd w:val="clear" w:color="auto" w:fill="BFBFBF" w:themeFill="background1" w:themeFillShade="BF"/>
          </w:tcPr>
          <w:p w14:paraId="3039204A" w14:textId="7E759641" w:rsidR="00273B08" w:rsidRPr="000A4E91" w:rsidRDefault="00273B08" w:rsidP="000A4E91">
            <w:pPr>
              <w:jc w:val="center"/>
              <w:rPr>
                <w:b/>
                <w:szCs w:val="20"/>
              </w:rPr>
            </w:pPr>
            <w:r w:rsidRPr="000A4E91">
              <w:rPr>
                <w:b/>
                <w:szCs w:val="20"/>
              </w:rPr>
              <w:t>Anaesthesia Time Units 1:41 to 1:45 hours</w:t>
            </w:r>
          </w:p>
        </w:tc>
        <w:tc>
          <w:tcPr>
            <w:tcW w:w="1781" w:type="dxa"/>
          </w:tcPr>
          <w:p w14:paraId="1A989020" w14:textId="53776A37" w:rsidR="00273B08" w:rsidRPr="000A4E91" w:rsidRDefault="00273B08" w:rsidP="000A4E91">
            <w:pPr>
              <w:jc w:val="center"/>
              <w:rPr>
                <w:b/>
                <w:szCs w:val="20"/>
              </w:rPr>
            </w:pPr>
            <w:r w:rsidRPr="000A4E91">
              <w:rPr>
                <w:b/>
                <w:szCs w:val="20"/>
              </w:rPr>
              <w:t>23073</w:t>
            </w:r>
          </w:p>
        </w:tc>
        <w:tc>
          <w:tcPr>
            <w:tcW w:w="1657" w:type="dxa"/>
          </w:tcPr>
          <w:p w14:paraId="69DDDBE9" w14:textId="30396ECE" w:rsidR="00273B08" w:rsidRPr="000A4E91" w:rsidRDefault="00273B08" w:rsidP="000A4E91">
            <w:pPr>
              <w:jc w:val="center"/>
              <w:rPr>
                <w:b/>
                <w:szCs w:val="20"/>
              </w:rPr>
            </w:pPr>
            <w:r w:rsidRPr="000A4E91">
              <w:rPr>
                <w:b/>
                <w:szCs w:val="20"/>
              </w:rPr>
              <w:t>$138.60</w:t>
            </w:r>
          </w:p>
        </w:tc>
        <w:tc>
          <w:tcPr>
            <w:tcW w:w="1977" w:type="dxa"/>
          </w:tcPr>
          <w:p w14:paraId="7F4A7400" w14:textId="02AD1DCC" w:rsidR="00273B08" w:rsidRPr="000A4E91" w:rsidRDefault="00273B08" w:rsidP="000A4E91">
            <w:pPr>
              <w:jc w:val="center"/>
              <w:rPr>
                <w:b/>
                <w:szCs w:val="20"/>
              </w:rPr>
            </w:pPr>
            <w:r w:rsidRPr="000A4E91">
              <w:rPr>
                <w:b/>
                <w:szCs w:val="20"/>
              </w:rPr>
              <w:t>$103.95</w:t>
            </w:r>
          </w:p>
        </w:tc>
      </w:tr>
      <w:tr w:rsidR="00273B08" w14:paraId="7A138223" w14:textId="77777777" w:rsidTr="000A4E91">
        <w:tc>
          <w:tcPr>
            <w:tcW w:w="3175" w:type="dxa"/>
            <w:shd w:val="clear" w:color="auto" w:fill="BFBFBF" w:themeFill="background1" w:themeFillShade="BF"/>
          </w:tcPr>
          <w:p w14:paraId="2FB6253D" w14:textId="6ADA425E" w:rsidR="00273B08" w:rsidRPr="000A4E91" w:rsidRDefault="00273B08" w:rsidP="000A4E91">
            <w:pPr>
              <w:jc w:val="center"/>
              <w:rPr>
                <w:b/>
                <w:szCs w:val="20"/>
              </w:rPr>
            </w:pPr>
            <w:r w:rsidRPr="000A4E91">
              <w:rPr>
                <w:b/>
                <w:szCs w:val="20"/>
              </w:rPr>
              <w:t>ICU Attendance</w:t>
            </w:r>
          </w:p>
        </w:tc>
        <w:tc>
          <w:tcPr>
            <w:tcW w:w="1781" w:type="dxa"/>
          </w:tcPr>
          <w:p w14:paraId="79BF6D59" w14:textId="0F0BE7DA" w:rsidR="00273B08" w:rsidRPr="000A4E91" w:rsidRDefault="00273B08" w:rsidP="000A4E91">
            <w:pPr>
              <w:jc w:val="center"/>
              <w:rPr>
                <w:b/>
                <w:szCs w:val="20"/>
              </w:rPr>
            </w:pPr>
            <w:r w:rsidRPr="000A4E91">
              <w:rPr>
                <w:b/>
                <w:szCs w:val="20"/>
              </w:rPr>
              <w:t>13870</w:t>
            </w:r>
          </w:p>
        </w:tc>
        <w:tc>
          <w:tcPr>
            <w:tcW w:w="1657" w:type="dxa"/>
          </w:tcPr>
          <w:p w14:paraId="3FD2E784" w14:textId="1D4E8FFA" w:rsidR="00273B08" w:rsidRPr="000A4E91" w:rsidRDefault="00273B08" w:rsidP="000A4E91">
            <w:pPr>
              <w:jc w:val="center"/>
              <w:rPr>
                <w:b/>
                <w:szCs w:val="20"/>
              </w:rPr>
            </w:pPr>
            <w:r w:rsidRPr="000A4E91">
              <w:rPr>
                <w:b/>
                <w:szCs w:val="20"/>
              </w:rPr>
              <w:t>$362.10</w:t>
            </w:r>
          </w:p>
        </w:tc>
        <w:tc>
          <w:tcPr>
            <w:tcW w:w="1977" w:type="dxa"/>
          </w:tcPr>
          <w:p w14:paraId="19089A48" w14:textId="05566443" w:rsidR="00273B08" w:rsidRPr="000A4E91" w:rsidRDefault="00273B08" w:rsidP="000A4E91">
            <w:pPr>
              <w:jc w:val="center"/>
              <w:rPr>
                <w:b/>
                <w:szCs w:val="20"/>
              </w:rPr>
            </w:pPr>
            <w:r w:rsidRPr="000A4E91">
              <w:rPr>
                <w:b/>
                <w:szCs w:val="20"/>
              </w:rPr>
              <w:t>$271.60</w:t>
            </w:r>
          </w:p>
        </w:tc>
      </w:tr>
      <w:tr w:rsidR="00273B08" w14:paraId="300E24ED" w14:textId="77777777" w:rsidTr="000A4E91">
        <w:tc>
          <w:tcPr>
            <w:tcW w:w="3175" w:type="dxa"/>
            <w:shd w:val="clear" w:color="auto" w:fill="BFBFBF" w:themeFill="background1" w:themeFillShade="BF"/>
          </w:tcPr>
          <w:p w14:paraId="1093DDA2" w14:textId="46BAF794" w:rsidR="00273B08" w:rsidRPr="000A4E91" w:rsidRDefault="00273B08" w:rsidP="000A4E91">
            <w:pPr>
              <w:jc w:val="center"/>
              <w:rPr>
                <w:b/>
                <w:szCs w:val="20"/>
              </w:rPr>
            </w:pPr>
            <w:r w:rsidRPr="000A4E91">
              <w:rPr>
                <w:b/>
                <w:szCs w:val="20"/>
              </w:rPr>
              <w:t>Transthoracic echocardiography</w:t>
            </w:r>
          </w:p>
        </w:tc>
        <w:tc>
          <w:tcPr>
            <w:tcW w:w="1781" w:type="dxa"/>
          </w:tcPr>
          <w:p w14:paraId="13AA3AB7" w14:textId="105180C5" w:rsidR="00273B08" w:rsidRPr="000A4E91" w:rsidRDefault="00273B08" w:rsidP="000A4E91">
            <w:pPr>
              <w:jc w:val="center"/>
              <w:rPr>
                <w:b/>
                <w:szCs w:val="20"/>
              </w:rPr>
            </w:pPr>
            <w:r w:rsidRPr="000A4E91">
              <w:rPr>
                <w:b/>
                <w:szCs w:val="20"/>
              </w:rPr>
              <w:t>55113</w:t>
            </w:r>
          </w:p>
        </w:tc>
        <w:tc>
          <w:tcPr>
            <w:tcW w:w="1657" w:type="dxa"/>
          </w:tcPr>
          <w:p w14:paraId="049B2E10" w14:textId="6D0ADC9F" w:rsidR="00273B08" w:rsidRPr="000A4E91" w:rsidRDefault="000A4E91" w:rsidP="000A4E91">
            <w:pPr>
              <w:jc w:val="center"/>
              <w:rPr>
                <w:b/>
                <w:szCs w:val="20"/>
              </w:rPr>
            </w:pPr>
            <w:r w:rsidRPr="000A4E91">
              <w:rPr>
                <w:b/>
                <w:szCs w:val="20"/>
              </w:rPr>
              <w:t>$230.65</w:t>
            </w:r>
          </w:p>
        </w:tc>
        <w:tc>
          <w:tcPr>
            <w:tcW w:w="1977" w:type="dxa"/>
          </w:tcPr>
          <w:p w14:paraId="5042DC66" w14:textId="6D7FB91C" w:rsidR="00273B08" w:rsidRPr="000A4E91" w:rsidRDefault="000A4E91" w:rsidP="000A4E91">
            <w:pPr>
              <w:jc w:val="center"/>
              <w:rPr>
                <w:b/>
                <w:szCs w:val="20"/>
              </w:rPr>
            </w:pPr>
            <w:r w:rsidRPr="000A4E91">
              <w:rPr>
                <w:b/>
                <w:szCs w:val="20"/>
              </w:rPr>
              <w:t>$173.00</w:t>
            </w:r>
          </w:p>
        </w:tc>
      </w:tr>
    </w:tbl>
    <w:p w14:paraId="76133E36" w14:textId="77777777" w:rsidR="006D1974" w:rsidRDefault="006D1974" w:rsidP="00AE1188">
      <w:pPr>
        <w:ind w:left="426"/>
        <w:rPr>
          <w:szCs w:val="20"/>
        </w:rPr>
      </w:pPr>
    </w:p>
    <w:p w14:paraId="349A0A2D"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148542E2" w14:textId="791EF4CF" w:rsidR="00951933" w:rsidRDefault="004A4870" w:rsidP="00AE1188">
      <w:pPr>
        <w:ind w:left="426"/>
        <w:rPr>
          <w:b/>
          <w:szCs w:val="20"/>
        </w:rPr>
      </w:pPr>
      <w:r>
        <w:t xml:space="preserve">The procedure </w:t>
      </w:r>
      <w:r w:rsidR="00B74A7A">
        <w:t xml:space="preserve">typically </w:t>
      </w:r>
      <w:r>
        <w:t>take</w:t>
      </w:r>
      <w:r w:rsidR="00B74A7A">
        <w:t>s</w:t>
      </w:r>
      <w:r>
        <w:t xml:space="preserve"> 1</w:t>
      </w:r>
      <w:r w:rsidR="00FE1F97">
        <w:t xml:space="preserve"> </w:t>
      </w:r>
      <w:r w:rsidR="00B74A7A">
        <w:t>to</w:t>
      </w:r>
      <w:r w:rsidR="00FE1F97">
        <w:t xml:space="preserve"> 1.5</w:t>
      </w:r>
      <w:r>
        <w:t xml:space="preserve"> hours</w:t>
      </w:r>
      <w:r w:rsidR="00B74A7A">
        <w:t>.</w:t>
      </w:r>
    </w:p>
    <w:p w14:paraId="5763861B" w14:textId="2EE0BDF1"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201CA7E1" w14:textId="3ABD6682"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4A4870">
        <w:rPr>
          <w:szCs w:val="20"/>
        </w:rPr>
        <w:t>3 – Therapeutic Procedures</w:t>
      </w:r>
      <w:r w:rsidRPr="00AE1188">
        <w:rPr>
          <w:szCs w:val="20"/>
        </w:rPr>
        <w:t xml:space="preserve"> – </w:t>
      </w:r>
      <w:r w:rsidR="00815AF3">
        <w:t>Surgical Operations</w:t>
      </w:r>
      <w:r w:rsidRPr="00AE1188">
        <w:rPr>
          <w:szCs w:val="20"/>
        </w:rPr>
        <w:t xml:space="preserve"> </w:t>
      </w:r>
    </w:p>
    <w:p w14:paraId="06613610" w14:textId="30FDCF53" w:rsidR="00AE1188" w:rsidRDefault="009C0916" w:rsidP="00AE1188">
      <w:pPr>
        <w:pBdr>
          <w:top w:val="single" w:sz="4" w:space="1" w:color="auto"/>
          <w:left w:val="single" w:sz="4" w:space="4" w:color="auto"/>
          <w:bottom w:val="single" w:sz="4" w:space="1" w:color="auto"/>
          <w:right w:val="single" w:sz="4" w:space="4" w:color="auto"/>
        </w:pBdr>
        <w:rPr>
          <w:szCs w:val="20"/>
        </w:rPr>
      </w:pPr>
      <w:r>
        <w:rPr>
          <w:szCs w:val="20"/>
        </w:rPr>
        <w:t>TAVI</w:t>
      </w:r>
      <w:r w:rsidR="00722E75">
        <w:rPr>
          <w:szCs w:val="20"/>
        </w:rPr>
        <w:t xml:space="preserve"> using the SAPIEN 3 balloon-expandable valve system</w:t>
      </w:r>
      <w:r>
        <w:rPr>
          <w:szCs w:val="20"/>
        </w:rPr>
        <w:t>, for the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w:t>
      </w:r>
    </w:p>
    <w:p w14:paraId="2C73C8DA" w14:textId="02FCAC48" w:rsidR="00AE1188" w:rsidRPr="00440774" w:rsidRDefault="003552B7" w:rsidP="004A0BF4">
      <w:pPr>
        <w:pStyle w:val="Heading2"/>
        <w:numPr>
          <w:ilvl w:val="0"/>
          <w:numId w:val="0"/>
        </w:numPr>
        <w:ind w:left="360"/>
        <w:rPr>
          <w:b w:val="0"/>
        </w:rPr>
      </w:pPr>
      <w:r w:rsidRPr="003373A0">
        <w:rPr>
          <w:b w:val="0"/>
        </w:rPr>
        <w:t>NB: The same explanatory notes (</w:t>
      </w:r>
      <w:r w:rsidRPr="00440774">
        <w:rPr>
          <w:b w:val="0"/>
        </w:rPr>
        <w:t>AN.33.1</w:t>
      </w:r>
      <w:r w:rsidRPr="003373A0">
        <w:rPr>
          <w:b w:val="0"/>
        </w:rPr>
        <w:t xml:space="preserve"> and</w:t>
      </w:r>
      <w:r w:rsidRPr="00440774">
        <w:rPr>
          <w:b w:val="0"/>
        </w:rPr>
        <w:t xml:space="preserve"> TN.8.135</w:t>
      </w:r>
      <w:r w:rsidRPr="003373A0">
        <w:rPr>
          <w:b w:val="0"/>
        </w:rPr>
        <w:t>)</w:t>
      </w:r>
      <w:r w:rsidRPr="00440774">
        <w:rPr>
          <w:b w:val="0"/>
        </w:rPr>
        <w:t xml:space="preserve"> </w:t>
      </w:r>
      <w:r w:rsidRPr="003373A0">
        <w:rPr>
          <w:b w:val="0"/>
        </w:rPr>
        <w:t>for MBS item 38495 would apply for the new MBS item, except that the description of the ‘TAVI Patient’ would be changed to: “</w:t>
      </w:r>
      <w:r w:rsidRPr="00440774">
        <w:rPr>
          <w:b w:val="0"/>
        </w:rPr>
        <w:t xml:space="preserve">A TAVI Patient means a patient who, as a result of a TAVI Case Conference, has been assessed as having an </w:t>
      </w:r>
      <w:r w:rsidRPr="00440774">
        <w:rPr>
          <w:b w:val="0"/>
          <w:strike/>
        </w:rPr>
        <w:t>unacceptably high</w:t>
      </w:r>
      <w:r w:rsidRPr="00440774">
        <w:rPr>
          <w:b w:val="0"/>
        </w:rPr>
        <w:t xml:space="preserve"> </w:t>
      </w:r>
      <w:r w:rsidRPr="003373A0">
        <w:rPr>
          <w:b w:val="0"/>
        </w:rPr>
        <w:t xml:space="preserve">intermediate </w:t>
      </w:r>
      <w:r w:rsidRPr="00440774">
        <w:rPr>
          <w:b w:val="0"/>
        </w:rPr>
        <w:t xml:space="preserve">risk for surgical aortic valve replacement and is recommended as being suitable to receive the service described in item </w:t>
      </w:r>
      <w:r w:rsidRPr="003373A0">
        <w:rPr>
          <w:b w:val="0"/>
        </w:rPr>
        <w:t>XXXX</w:t>
      </w:r>
      <w:r w:rsidRPr="00440774">
        <w:rPr>
          <w:b w:val="0"/>
        </w:rPr>
        <w:t>.</w:t>
      </w:r>
      <w:r w:rsidRPr="003373A0">
        <w:rPr>
          <w:b w:val="0"/>
        </w:rPr>
        <w:t>”</w:t>
      </w:r>
    </w:p>
    <w:p w14:paraId="4481378C" w14:textId="1D2A99AF" w:rsidR="00E93203" w:rsidRPr="00A44473" w:rsidRDefault="003552B7" w:rsidP="00A44473">
      <w:pPr>
        <w:spacing w:before="0" w:after="200" w:line="276" w:lineRule="auto"/>
        <w:rPr>
          <w:bCs/>
          <w:color w:val="4F81BD" w:themeColor="accent1"/>
          <w:sz w:val="40"/>
          <w:szCs w:val="32"/>
        </w:rPr>
      </w:pPr>
      <w:r>
        <w:br w:type="page"/>
      </w:r>
    </w:p>
    <w:p w14:paraId="62A08090" w14:textId="58059595" w:rsidR="00451840" w:rsidRDefault="00E93203" w:rsidP="00561235">
      <w:pPr>
        <w:rPr>
          <w:szCs w:val="20"/>
        </w:rPr>
      </w:pPr>
      <w:r>
        <w:rPr>
          <w:szCs w:val="20"/>
        </w:rPr>
        <w:lastRenderedPageBreak/>
        <w:fldChar w:fldCharType="begin"/>
      </w:r>
      <w:r>
        <w:rPr>
          <w:szCs w:val="20"/>
        </w:rPr>
        <w:instrText xml:space="preserve"> ADDIN EN.REFLIST </w:instrText>
      </w:r>
      <w:r>
        <w:rPr>
          <w:szCs w:val="20"/>
        </w:rP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D715C" w14:textId="77777777" w:rsidR="00ED06B6" w:rsidRDefault="00ED06B6" w:rsidP="00CF2DFA">
      <w:pPr>
        <w:spacing w:after="0"/>
      </w:pPr>
      <w:r>
        <w:separator/>
      </w:r>
    </w:p>
  </w:endnote>
  <w:endnote w:type="continuationSeparator" w:id="0">
    <w:p w14:paraId="5684B972" w14:textId="77777777" w:rsidR="00ED06B6" w:rsidRDefault="00ED06B6"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haker2Lancet-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DDD0" w14:textId="77777777" w:rsidR="000B5C34" w:rsidRDefault="000B5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083E6D8A" w14:textId="613734EF" w:rsidR="00032587" w:rsidRDefault="00032587">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A44473" w:rsidRPr="00A44473">
          <w:rPr>
            <w:b/>
            <w:bCs/>
            <w:noProof/>
            <w:sz w:val="18"/>
            <w:szCs w:val="18"/>
          </w:rPr>
          <w:t>24</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DFD0266" w14:textId="77777777" w:rsidR="00032587" w:rsidRPr="003F7CB9" w:rsidRDefault="00032587"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9446" w14:textId="77777777" w:rsidR="000B5C34" w:rsidRDefault="000B5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D6B0" w14:textId="77777777" w:rsidR="00ED06B6" w:rsidRDefault="00ED06B6" w:rsidP="00CF2DFA">
      <w:pPr>
        <w:spacing w:after="0"/>
      </w:pPr>
      <w:r>
        <w:separator/>
      </w:r>
    </w:p>
  </w:footnote>
  <w:footnote w:type="continuationSeparator" w:id="0">
    <w:p w14:paraId="21A204C9" w14:textId="77777777" w:rsidR="00ED06B6" w:rsidRDefault="00ED06B6" w:rsidP="00CF2DFA">
      <w:pPr>
        <w:spacing w:after="0"/>
      </w:pPr>
      <w:r>
        <w:continuationSeparator/>
      </w:r>
    </w:p>
  </w:footnote>
  <w:footnote w:id="1">
    <w:p w14:paraId="575B547E" w14:textId="34ED247D" w:rsidR="00032587" w:rsidRPr="001A7815" w:rsidRDefault="00032587">
      <w:pPr>
        <w:pStyle w:val="FootnoteText"/>
      </w:pPr>
      <w:r>
        <w:rPr>
          <w:rStyle w:val="FootnoteReference"/>
        </w:rPr>
        <w:footnoteRef/>
      </w:r>
      <w:r>
        <w:t xml:space="preserve"> Thaden J.J. et al </w:t>
      </w:r>
      <w:r>
        <w:rPr>
          <w:i/>
        </w:rPr>
        <w:t xml:space="preserve">‘The Global Burden of Aortic Stenosis’ </w:t>
      </w:r>
      <w:r>
        <w:t>Prog. CardVasc. Dis 56 (2014) 565-571</w:t>
      </w:r>
    </w:p>
  </w:footnote>
  <w:footnote w:id="2">
    <w:p w14:paraId="52B498DD" w14:textId="0381FBDB" w:rsidR="00032587" w:rsidRPr="0012666E" w:rsidRDefault="00032587">
      <w:pPr>
        <w:pStyle w:val="FootnoteText"/>
        <w:rPr>
          <w:i/>
        </w:rPr>
      </w:pPr>
      <w:r>
        <w:rPr>
          <w:rStyle w:val="FootnoteReference"/>
        </w:rPr>
        <w:footnoteRef/>
      </w:r>
      <w:r>
        <w:t xml:space="preserve"> Nishamura R A., et al </w:t>
      </w:r>
      <w:r>
        <w:rPr>
          <w:i/>
        </w:rPr>
        <w:t>‘2014 AHA/ACC Guideline for the Management of Patients with Valvular Heart Disease: Executive Summary.’ JACC Vol 63, Iss 22, 2014</w:t>
      </w:r>
    </w:p>
  </w:footnote>
  <w:footnote w:id="3">
    <w:p w14:paraId="77E23508" w14:textId="2C9E2A56" w:rsidR="00032587" w:rsidRPr="00CD76A3" w:rsidRDefault="00032587">
      <w:pPr>
        <w:pStyle w:val="FootnoteText"/>
      </w:pPr>
      <w:r>
        <w:rPr>
          <w:rStyle w:val="FootnoteReference"/>
        </w:rPr>
        <w:footnoteRef/>
      </w:r>
      <w:r>
        <w:t xml:space="preserve"> Varadarajan P et al </w:t>
      </w:r>
      <w:r>
        <w:rPr>
          <w:i/>
        </w:rPr>
        <w:t xml:space="preserve">‘Clinical profile and natural history of 453 nonsurgically managed patients with severe aortic stenosis’ </w:t>
      </w:r>
      <w:r>
        <w:t>Ann Thorac Surg. 2006 Dec; 82(6):2111-5</w:t>
      </w:r>
    </w:p>
  </w:footnote>
  <w:footnote w:id="4">
    <w:p w14:paraId="091EF3CA" w14:textId="556B0A5F" w:rsidR="00032587" w:rsidRPr="008310E2" w:rsidRDefault="00032587">
      <w:pPr>
        <w:pStyle w:val="FootnoteText"/>
        <w:rPr>
          <w:lang w:val="en-US"/>
        </w:rPr>
      </w:pPr>
      <w:r>
        <w:rPr>
          <w:rStyle w:val="FootnoteReference"/>
        </w:rPr>
        <w:footnoteRef/>
      </w:r>
      <w:r>
        <w:t xml:space="preserve"> </w:t>
      </w:r>
      <w:r w:rsidRPr="00E93203">
        <w:rPr>
          <w:noProof/>
        </w:rPr>
        <w:t xml:space="preserve">Otto CM. Timing of aortic valve surgery. </w:t>
      </w:r>
      <w:r w:rsidRPr="00E93203">
        <w:rPr>
          <w:i/>
          <w:noProof/>
        </w:rPr>
        <w:t>Heart</w:t>
      </w:r>
      <w:r w:rsidRPr="00E93203">
        <w:rPr>
          <w:noProof/>
        </w:rPr>
        <w:t>. 2000;84:211-8.</w:t>
      </w:r>
    </w:p>
  </w:footnote>
  <w:footnote w:id="5">
    <w:p w14:paraId="3C64BE68" w14:textId="502666F9" w:rsidR="00032587" w:rsidRPr="00811E28" w:rsidRDefault="00032587">
      <w:pPr>
        <w:pStyle w:val="FootnoteText"/>
      </w:pPr>
      <w:r>
        <w:rPr>
          <w:rStyle w:val="FootnoteReference"/>
        </w:rPr>
        <w:footnoteRef/>
      </w:r>
      <w:r>
        <w:t xml:space="preserve"> Andeotti F et al </w:t>
      </w:r>
      <w:r>
        <w:rPr>
          <w:i/>
        </w:rPr>
        <w:t xml:space="preserve">‘Guidelines on the management of valvular heart disease (version 2012): The Joint Task Force on the Management of Valvular Heart Disease of the European Society of Cardiology (ESD) and the European Association for Cardio-Thoracic Surgery (EACTS) </w:t>
      </w:r>
      <w:r>
        <w:t>Eur Heart Journ Vol 33, Iss 19, 1 Oct 2012</w:t>
      </w:r>
    </w:p>
  </w:footnote>
  <w:footnote w:id="6">
    <w:p w14:paraId="5FD0F5A4" w14:textId="7B8F5E12" w:rsidR="00032587" w:rsidRPr="00A6275F" w:rsidRDefault="00032587">
      <w:pPr>
        <w:pStyle w:val="FootnoteText"/>
      </w:pPr>
      <w:r>
        <w:rPr>
          <w:rStyle w:val="FootnoteReference"/>
        </w:rPr>
        <w:footnoteRef/>
      </w:r>
      <w:r>
        <w:t xml:space="preserve"> Kodali S et al </w:t>
      </w:r>
      <w:r>
        <w:rPr>
          <w:i/>
        </w:rPr>
        <w:t xml:space="preserve">‘Early clinical and echocardiographic outcomes after SAPIEN 3 transcatheter aortic valve replacement inoperable, high-risk and intermediate -risk patients with aortic stenosis’ </w:t>
      </w:r>
      <w:r>
        <w:t xml:space="preserve">Eur Heart Journ </w:t>
      </w:r>
      <w:r w:rsidRPr="00A6275F">
        <w:t>doi:10.1093/eurheartj/ehw112</w:t>
      </w:r>
    </w:p>
  </w:footnote>
  <w:footnote w:id="7">
    <w:p w14:paraId="2E6AEC90" w14:textId="1448D628" w:rsidR="00032587" w:rsidRPr="007D31F9" w:rsidRDefault="00032587">
      <w:pPr>
        <w:pStyle w:val="FootnoteText"/>
      </w:pPr>
      <w:r>
        <w:rPr>
          <w:rStyle w:val="FootnoteReference"/>
        </w:rPr>
        <w:footnoteRef/>
      </w:r>
      <w:r>
        <w:t xml:space="preserve"> Noorani et al </w:t>
      </w:r>
      <w:r>
        <w:rPr>
          <w:i/>
        </w:rPr>
        <w:t>‘Differences in Outcomes and Indications between SAPIEN and CoreValve Transcatheter Aortic Valve’</w:t>
      </w:r>
      <w:r>
        <w:t xml:space="preserve"> Interv Card Rev Vol 9 Issue 2 2014</w:t>
      </w:r>
    </w:p>
  </w:footnote>
  <w:footnote w:id="8">
    <w:p w14:paraId="78256B39" w14:textId="14C8676B" w:rsidR="00032587" w:rsidRPr="00C54183" w:rsidRDefault="00032587">
      <w:pPr>
        <w:pStyle w:val="FootnoteText"/>
      </w:pPr>
      <w:r>
        <w:rPr>
          <w:rStyle w:val="FootnoteReference"/>
        </w:rPr>
        <w:footnoteRef/>
      </w:r>
      <w:r>
        <w:t xml:space="preserve"> Wijeysundera H.C. </w:t>
      </w:r>
      <w:r>
        <w:rPr>
          <w:i/>
        </w:rPr>
        <w:t>‘Comparison of Outcomes of Balloon-Expandable Versus Self-Expandable Transcatheter Heart Valves foe Severe Aortic Stenosis’</w:t>
      </w:r>
      <w:r>
        <w:t xml:space="preserve"> Am J Cardiol 2017; 119: 1094-1099</w:t>
      </w:r>
    </w:p>
  </w:footnote>
  <w:footnote w:id="9">
    <w:p w14:paraId="5DAF98AF" w14:textId="73398427" w:rsidR="00032587" w:rsidRDefault="00032587">
      <w:pPr>
        <w:pStyle w:val="FootnoteText"/>
      </w:pPr>
      <w:r>
        <w:rPr>
          <w:rStyle w:val="FootnoteReference"/>
        </w:rPr>
        <w:footnoteRef/>
      </w:r>
      <w:r>
        <w:t xml:space="preserve"> </w:t>
      </w:r>
      <w:r w:rsidRPr="000838D3">
        <w:t>http://tavi.org.au/</w:t>
      </w:r>
    </w:p>
  </w:footnote>
  <w:footnote w:id="10">
    <w:p w14:paraId="347CCE4A" w14:textId="77777777" w:rsidR="00032587" w:rsidRDefault="00032587" w:rsidP="00D75D60">
      <w:pPr>
        <w:pStyle w:val="FootnoteText"/>
      </w:pPr>
      <w:r>
        <w:rPr>
          <w:rStyle w:val="FootnoteReference"/>
        </w:rPr>
        <w:footnoteRef/>
      </w:r>
      <w:r>
        <w:t xml:space="preserve"> </w:t>
      </w:r>
      <w:r w:rsidRPr="000838D3">
        <w:t>http://tavi.org.au/</w:t>
      </w:r>
    </w:p>
  </w:footnote>
  <w:footnote w:id="11">
    <w:p w14:paraId="45A5693E" w14:textId="0236392D" w:rsidR="00032587" w:rsidRPr="0082616B" w:rsidRDefault="00032587">
      <w:pPr>
        <w:pStyle w:val="FootnoteText"/>
      </w:pPr>
      <w:r>
        <w:rPr>
          <w:rStyle w:val="FootnoteReference"/>
        </w:rPr>
        <w:footnoteRef/>
      </w:r>
      <w:r>
        <w:t xml:space="preserve"> Thourani VH et al </w:t>
      </w:r>
      <w:r>
        <w:rPr>
          <w:i/>
        </w:rPr>
        <w:t xml:space="preserve">‘Transcatheter aortic valve replacement versus surgical valve replacement in intermediate-risk patients: a propensity score analysis’ </w:t>
      </w:r>
      <w:r>
        <w:t>The Lancet April 3</w:t>
      </w:r>
      <w:r w:rsidRPr="0082616B">
        <w:rPr>
          <w:sz w:val="16"/>
          <w:szCs w:val="16"/>
        </w:rPr>
        <w:t xml:space="preserve">, </w:t>
      </w:r>
      <w:r w:rsidRPr="0082616B">
        <w:rPr>
          <w:rFonts w:ascii="Shaker2Lancet-Bold" w:hAnsi="Shaker2Lancet-Bold" w:cs="Shaker2Lancet-Bold"/>
          <w:bCs/>
          <w:sz w:val="16"/>
          <w:szCs w:val="16"/>
        </w:rPr>
        <w:t>http://dx.doi.org/10.1016/S0140-6736(16)30073-3</w:t>
      </w:r>
    </w:p>
  </w:footnote>
  <w:footnote w:id="12">
    <w:p w14:paraId="5FBEE10F" w14:textId="5976B6B2" w:rsidR="00032587" w:rsidRPr="00837987" w:rsidRDefault="00032587">
      <w:pPr>
        <w:pStyle w:val="FootnoteText"/>
      </w:pPr>
      <w:r>
        <w:rPr>
          <w:rStyle w:val="FootnoteReference"/>
        </w:rPr>
        <w:footnoteRef/>
      </w:r>
      <w:r>
        <w:t xml:space="preserve"> Osnabrugge MS et al </w:t>
      </w:r>
      <w:r>
        <w:rPr>
          <w:i/>
        </w:rPr>
        <w:t xml:space="preserve">‘Aortic Stenosis in the Elderly.  Disease Prevalence and Number of Candidates for Transcatheter Aortic Valve Replacement: A Meta-Analysis and Modelling Study’ </w:t>
      </w:r>
      <w:r>
        <w:t>JACC 2013 Vol. 62, No 11, 2013</w:t>
      </w:r>
    </w:p>
  </w:footnote>
  <w:footnote w:id="13">
    <w:p w14:paraId="4896F0AE" w14:textId="46735F04" w:rsidR="00032587" w:rsidRPr="00AA7A6C" w:rsidRDefault="00032587">
      <w:pPr>
        <w:pStyle w:val="FootnoteText"/>
      </w:pPr>
      <w:r>
        <w:rPr>
          <w:rStyle w:val="FootnoteReference"/>
        </w:rPr>
        <w:footnoteRef/>
      </w:r>
      <w:r>
        <w:t xml:space="preserve"> Thourani VH et al </w:t>
      </w:r>
      <w:r>
        <w:rPr>
          <w:i/>
        </w:rPr>
        <w:t>‘</w:t>
      </w:r>
      <w:r w:rsidRPr="00F91FBC">
        <w:rPr>
          <w:i/>
          <w:color w:val="1F497D"/>
          <w:lang w:val="en-US"/>
        </w:rPr>
        <w:t>Contemporary real-world outcomes of surgical aortic valve replacement in 141,905 low-risk, intermediate-risk, and high-risk patients</w:t>
      </w:r>
      <w:r>
        <w:rPr>
          <w:color w:val="1F497D"/>
          <w:lang w:val="en-US"/>
        </w:rPr>
        <w:t>.’ Ann Thorac Surg 2015;99:55-61</w:t>
      </w:r>
    </w:p>
  </w:footnote>
  <w:footnote w:id="14">
    <w:p w14:paraId="02E9796B" w14:textId="773DCE7F" w:rsidR="00032587" w:rsidRDefault="00032587" w:rsidP="00E41A88">
      <w:pPr>
        <w:pStyle w:val="FootnoteText"/>
      </w:pPr>
      <w:r>
        <w:rPr>
          <w:rStyle w:val="FootnoteReference"/>
        </w:rPr>
        <w:footnoteRef/>
      </w:r>
      <w:r>
        <w:t xml:space="preserve"> Australian Bureau of Statistics Population Projections Australia 2017. Series B</w:t>
      </w:r>
    </w:p>
  </w:footnote>
  <w:footnote w:id="15">
    <w:p w14:paraId="5B12E721" w14:textId="77777777" w:rsidR="00032587" w:rsidRDefault="00032587" w:rsidP="00D16F23">
      <w:pPr>
        <w:pStyle w:val="FootnoteText"/>
      </w:pPr>
      <w:r>
        <w:rPr>
          <w:rStyle w:val="FootnoteReference"/>
        </w:rPr>
        <w:footnoteRef/>
      </w:r>
      <w:r>
        <w:t xml:space="preserve"> </w:t>
      </w:r>
      <w:r w:rsidRPr="00837987">
        <w:t>http://medicarestatistics.humanservices.gov.au/statistics/mbs_item.jsp</w:t>
      </w:r>
    </w:p>
  </w:footnote>
  <w:footnote w:id="16">
    <w:p w14:paraId="75D6F78D" w14:textId="031EE901" w:rsidR="00032587" w:rsidRDefault="00032587" w:rsidP="006A7146">
      <w:pPr>
        <w:pStyle w:val="FootnoteText"/>
      </w:pPr>
      <w:r>
        <w:rPr>
          <w:rStyle w:val="FootnoteReference"/>
        </w:rPr>
        <w:footnoteRef/>
      </w:r>
      <w:r>
        <w:t xml:space="preserve"> Australian Institute of Health and Welfare, Procedures and healthcare interventions (ACHI 9</w:t>
      </w:r>
      <w:r w:rsidRPr="002C7453">
        <w:rPr>
          <w:vertAlign w:val="superscript"/>
        </w:rPr>
        <w:t>th</w:t>
      </w:r>
      <w:r>
        <w:t xml:space="preserve"> edition), Australia, 2017-18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17D1" w14:textId="77777777" w:rsidR="000B5C34" w:rsidRDefault="000B5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88D5" w14:textId="77777777" w:rsidR="000B5C34" w:rsidRDefault="000B5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88A9" w14:textId="77777777" w:rsidR="000B5C34" w:rsidRDefault="000B5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510F6FAE"/>
    <w:multiLevelType w:val="multilevel"/>
    <w:tmpl w:val="D5FA7F4A"/>
    <w:lvl w:ilvl="0">
      <w:start w:val="1"/>
      <w:numFmt w:val="decimal"/>
      <w:pStyle w:val="Heading2"/>
      <w:lvlText w:val="%1."/>
      <w:lvlJc w:val="left"/>
      <w:pPr>
        <w:ind w:left="6172"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
  </w:num>
  <w:num w:numId="25">
    <w:abstractNumId w:val="16"/>
  </w:num>
  <w:num w:numId="26">
    <w:abstractNumId w:val="3"/>
  </w:num>
  <w:num w:numId="27">
    <w:abstractNumId w:val="13"/>
  </w:num>
  <w:num w:numId="28">
    <w:abstractNumId w:val="9"/>
  </w:num>
  <w:num w:numId="29">
    <w:abstractNumId w:val="17"/>
  </w:num>
  <w:num w:numId="30">
    <w:abstractNumId w:val="2"/>
  </w:num>
  <w:num w:numId="31">
    <w:abstractNumId w:val="15"/>
  </w:num>
  <w:num w:numId="32">
    <w:abstractNumId w:val="6"/>
  </w:num>
  <w:num w:numId="33">
    <w:abstractNumId w:val="14"/>
  </w:num>
  <w:num w:numId="34">
    <w:abstractNumId w:val="5"/>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Circulation&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x9asxr8wd0vnedtz2p2wee9rezzpa0rsva&quot;&gt;My EndNote Library&lt;record-ids&gt;&lt;item&gt;36&lt;/item&gt;&lt;/record-ids&gt;&lt;/item&gt;&lt;/Libraries&gt;"/>
  </w:docVars>
  <w:rsids>
    <w:rsidRoot w:val="00BF6AC5"/>
    <w:rsid w:val="00001DAD"/>
    <w:rsid w:val="000037DC"/>
    <w:rsid w:val="000062BA"/>
    <w:rsid w:val="000110DC"/>
    <w:rsid w:val="000158AA"/>
    <w:rsid w:val="000159B9"/>
    <w:rsid w:val="00016B6E"/>
    <w:rsid w:val="00023E21"/>
    <w:rsid w:val="00025ABC"/>
    <w:rsid w:val="00025EE9"/>
    <w:rsid w:val="00026412"/>
    <w:rsid w:val="00031F6F"/>
    <w:rsid w:val="00032587"/>
    <w:rsid w:val="00033E1D"/>
    <w:rsid w:val="00034D6E"/>
    <w:rsid w:val="00037EB6"/>
    <w:rsid w:val="0005089D"/>
    <w:rsid w:val="00052063"/>
    <w:rsid w:val="000525BC"/>
    <w:rsid w:val="00065BFE"/>
    <w:rsid w:val="0007223E"/>
    <w:rsid w:val="00073222"/>
    <w:rsid w:val="000770BA"/>
    <w:rsid w:val="000838D3"/>
    <w:rsid w:val="00086144"/>
    <w:rsid w:val="00092580"/>
    <w:rsid w:val="000955E7"/>
    <w:rsid w:val="000A110D"/>
    <w:rsid w:val="000A25FE"/>
    <w:rsid w:val="000A478F"/>
    <w:rsid w:val="000A4E91"/>
    <w:rsid w:val="000A5B32"/>
    <w:rsid w:val="000A7F6A"/>
    <w:rsid w:val="000B069D"/>
    <w:rsid w:val="000B3CD0"/>
    <w:rsid w:val="000B5C34"/>
    <w:rsid w:val="000D066E"/>
    <w:rsid w:val="000D0831"/>
    <w:rsid w:val="000D206C"/>
    <w:rsid w:val="000D35EE"/>
    <w:rsid w:val="000D45D3"/>
    <w:rsid w:val="000E47E7"/>
    <w:rsid w:val="000E5439"/>
    <w:rsid w:val="000E6705"/>
    <w:rsid w:val="000F5D2C"/>
    <w:rsid w:val="001022F8"/>
    <w:rsid w:val="00102686"/>
    <w:rsid w:val="001040C6"/>
    <w:rsid w:val="00106F36"/>
    <w:rsid w:val="0011036E"/>
    <w:rsid w:val="001130B0"/>
    <w:rsid w:val="0011369B"/>
    <w:rsid w:val="0011742E"/>
    <w:rsid w:val="00123D10"/>
    <w:rsid w:val="0012666E"/>
    <w:rsid w:val="00126B33"/>
    <w:rsid w:val="00133F25"/>
    <w:rsid w:val="00140BF4"/>
    <w:rsid w:val="00141746"/>
    <w:rsid w:val="00154B00"/>
    <w:rsid w:val="00157381"/>
    <w:rsid w:val="001644E9"/>
    <w:rsid w:val="00181B4B"/>
    <w:rsid w:val="001845D9"/>
    <w:rsid w:val="0018630F"/>
    <w:rsid w:val="00187346"/>
    <w:rsid w:val="001906CD"/>
    <w:rsid w:val="00191B99"/>
    <w:rsid w:val="0019694B"/>
    <w:rsid w:val="0019724D"/>
    <w:rsid w:val="00197D29"/>
    <w:rsid w:val="001A02E3"/>
    <w:rsid w:val="001A1ADF"/>
    <w:rsid w:val="001A365C"/>
    <w:rsid w:val="001A7815"/>
    <w:rsid w:val="001B0B8C"/>
    <w:rsid w:val="001B171D"/>
    <w:rsid w:val="001B29A1"/>
    <w:rsid w:val="001B5169"/>
    <w:rsid w:val="001B6164"/>
    <w:rsid w:val="001C7382"/>
    <w:rsid w:val="001D77ED"/>
    <w:rsid w:val="001E1180"/>
    <w:rsid w:val="001E23EA"/>
    <w:rsid w:val="001E2B92"/>
    <w:rsid w:val="001E6919"/>
    <w:rsid w:val="001E6958"/>
    <w:rsid w:val="001F0067"/>
    <w:rsid w:val="001F194A"/>
    <w:rsid w:val="001F2A83"/>
    <w:rsid w:val="001F4619"/>
    <w:rsid w:val="00201924"/>
    <w:rsid w:val="00202473"/>
    <w:rsid w:val="00202AF6"/>
    <w:rsid w:val="002053F2"/>
    <w:rsid w:val="00206D63"/>
    <w:rsid w:val="00210384"/>
    <w:rsid w:val="0021185D"/>
    <w:rsid w:val="0022101E"/>
    <w:rsid w:val="002255DA"/>
    <w:rsid w:val="00225768"/>
    <w:rsid w:val="00226777"/>
    <w:rsid w:val="0023384F"/>
    <w:rsid w:val="00235BD1"/>
    <w:rsid w:val="00237000"/>
    <w:rsid w:val="00237659"/>
    <w:rsid w:val="00237ABB"/>
    <w:rsid w:val="00242B0E"/>
    <w:rsid w:val="00247DF0"/>
    <w:rsid w:val="00252351"/>
    <w:rsid w:val="00254813"/>
    <w:rsid w:val="00257FF2"/>
    <w:rsid w:val="002614BA"/>
    <w:rsid w:val="00262865"/>
    <w:rsid w:val="00265822"/>
    <w:rsid w:val="0027105F"/>
    <w:rsid w:val="002711FB"/>
    <w:rsid w:val="00273B08"/>
    <w:rsid w:val="00283152"/>
    <w:rsid w:val="00283318"/>
    <w:rsid w:val="00285525"/>
    <w:rsid w:val="00286A8F"/>
    <w:rsid w:val="00294CD8"/>
    <w:rsid w:val="002A270B"/>
    <w:rsid w:val="002A50FD"/>
    <w:rsid w:val="002A6753"/>
    <w:rsid w:val="002B28D7"/>
    <w:rsid w:val="002B7EB6"/>
    <w:rsid w:val="002C0B61"/>
    <w:rsid w:val="002C15E6"/>
    <w:rsid w:val="002C247D"/>
    <w:rsid w:val="002C3345"/>
    <w:rsid w:val="002C6705"/>
    <w:rsid w:val="002C7453"/>
    <w:rsid w:val="002D088D"/>
    <w:rsid w:val="002D3397"/>
    <w:rsid w:val="002D409A"/>
    <w:rsid w:val="002D70D9"/>
    <w:rsid w:val="002F30E7"/>
    <w:rsid w:val="002F55CD"/>
    <w:rsid w:val="0030003E"/>
    <w:rsid w:val="00300EEB"/>
    <w:rsid w:val="003013A9"/>
    <w:rsid w:val="003020B5"/>
    <w:rsid w:val="00302473"/>
    <w:rsid w:val="003027BB"/>
    <w:rsid w:val="00307CBF"/>
    <w:rsid w:val="00310A10"/>
    <w:rsid w:val="003127C4"/>
    <w:rsid w:val="00322BDA"/>
    <w:rsid w:val="00325F61"/>
    <w:rsid w:val="003261CC"/>
    <w:rsid w:val="00326B5D"/>
    <w:rsid w:val="00327D25"/>
    <w:rsid w:val="003319A7"/>
    <w:rsid w:val="00334FE3"/>
    <w:rsid w:val="003373A0"/>
    <w:rsid w:val="00340C92"/>
    <w:rsid w:val="003421AE"/>
    <w:rsid w:val="003425AB"/>
    <w:rsid w:val="003433D1"/>
    <w:rsid w:val="00344B24"/>
    <w:rsid w:val="003456B9"/>
    <w:rsid w:val="00347236"/>
    <w:rsid w:val="0035067D"/>
    <w:rsid w:val="00350D9A"/>
    <w:rsid w:val="00352CEB"/>
    <w:rsid w:val="00353A16"/>
    <w:rsid w:val="003552B7"/>
    <w:rsid w:val="0035776D"/>
    <w:rsid w:val="00362EC4"/>
    <w:rsid w:val="00364FD9"/>
    <w:rsid w:val="00367C1B"/>
    <w:rsid w:val="00376B61"/>
    <w:rsid w:val="00382407"/>
    <w:rsid w:val="00386A64"/>
    <w:rsid w:val="00386FA1"/>
    <w:rsid w:val="00387B9D"/>
    <w:rsid w:val="00390142"/>
    <w:rsid w:val="00391BC7"/>
    <w:rsid w:val="00392F00"/>
    <w:rsid w:val="003962BC"/>
    <w:rsid w:val="00397377"/>
    <w:rsid w:val="003A22DE"/>
    <w:rsid w:val="003A2860"/>
    <w:rsid w:val="003A2D29"/>
    <w:rsid w:val="003A3C35"/>
    <w:rsid w:val="003A7D30"/>
    <w:rsid w:val="003B3C5C"/>
    <w:rsid w:val="003B402C"/>
    <w:rsid w:val="003C0050"/>
    <w:rsid w:val="003C4548"/>
    <w:rsid w:val="003C47CA"/>
    <w:rsid w:val="003D0762"/>
    <w:rsid w:val="003D3BFE"/>
    <w:rsid w:val="003D6DE1"/>
    <w:rsid w:val="003D795C"/>
    <w:rsid w:val="003E30FB"/>
    <w:rsid w:val="003E43CC"/>
    <w:rsid w:val="003F2711"/>
    <w:rsid w:val="003F4F1B"/>
    <w:rsid w:val="003F4F1C"/>
    <w:rsid w:val="003F5A77"/>
    <w:rsid w:val="003F6C70"/>
    <w:rsid w:val="003F7CB9"/>
    <w:rsid w:val="00403333"/>
    <w:rsid w:val="0040350B"/>
    <w:rsid w:val="0040495A"/>
    <w:rsid w:val="00405516"/>
    <w:rsid w:val="00411735"/>
    <w:rsid w:val="00415C74"/>
    <w:rsid w:val="0042050B"/>
    <w:rsid w:val="004238D6"/>
    <w:rsid w:val="00427E58"/>
    <w:rsid w:val="0043654D"/>
    <w:rsid w:val="00437625"/>
    <w:rsid w:val="00440774"/>
    <w:rsid w:val="00443895"/>
    <w:rsid w:val="00451840"/>
    <w:rsid w:val="00460C9A"/>
    <w:rsid w:val="00464924"/>
    <w:rsid w:val="00464D73"/>
    <w:rsid w:val="0046738D"/>
    <w:rsid w:val="00472A73"/>
    <w:rsid w:val="0047581D"/>
    <w:rsid w:val="004770C5"/>
    <w:rsid w:val="00480289"/>
    <w:rsid w:val="00481279"/>
    <w:rsid w:val="00483368"/>
    <w:rsid w:val="0049398A"/>
    <w:rsid w:val="00494011"/>
    <w:rsid w:val="004A0BF4"/>
    <w:rsid w:val="004A25D2"/>
    <w:rsid w:val="004A263B"/>
    <w:rsid w:val="004A4870"/>
    <w:rsid w:val="004A5A79"/>
    <w:rsid w:val="004B68AE"/>
    <w:rsid w:val="004C35B0"/>
    <w:rsid w:val="004C49EF"/>
    <w:rsid w:val="004C4A19"/>
    <w:rsid w:val="004C5570"/>
    <w:rsid w:val="004C64A6"/>
    <w:rsid w:val="004C665A"/>
    <w:rsid w:val="004D00C9"/>
    <w:rsid w:val="004D3019"/>
    <w:rsid w:val="004E02F1"/>
    <w:rsid w:val="004E16F5"/>
    <w:rsid w:val="004E32C5"/>
    <w:rsid w:val="004E3CC7"/>
    <w:rsid w:val="004E5B69"/>
    <w:rsid w:val="004F2A87"/>
    <w:rsid w:val="004F2A9D"/>
    <w:rsid w:val="00502C0A"/>
    <w:rsid w:val="00506314"/>
    <w:rsid w:val="00507C56"/>
    <w:rsid w:val="00521519"/>
    <w:rsid w:val="00522175"/>
    <w:rsid w:val="0052344E"/>
    <w:rsid w:val="00526478"/>
    <w:rsid w:val="00530204"/>
    <w:rsid w:val="00530FE5"/>
    <w:rsid w:val="00534C5F"/>
    <w:rsid w:val="00540257"/>
    <w:rsid w:val="005411E8"/>
    <w:rsid w:val="0054192F"/>
    <w:rsid w:val="005423B4"/>
    <w:rsid w:val="00544EB3"/>
    <w:rsid w:val="0054594B"/>
    <w:rsid w:val="00546A53"/>
    <w:rsid w:val="0054749B"/>
    <w:rsid w:val="00547B47"/>
    <w:rsid w:val="00551125"/>
    <w:rsid w:val="00551CC6"/>
    <w:rsid w:val="00557DD8"/>
    <w:rsid w:val="005600E9"/>
    <w:rsid w:val="00560541"/>
    <w:rsid w:val="00560886"/>
    <w:rsid w:val="00561235"/>
    <w:rsid w:val="0056140B"/>
    <w:rsid w:val="005672D0"/>
    <w:rsid w:val="00572CEB"/>
    <w:rsid w:val="00572EAC"/>
    <w:rsid w:val="00577EF8"/>
    <w:rsid w:val="005834C9"/>
    <w:rsid w:val="00596AA3"/>
    <w:rsid w:val="005A3BEE"/>
    <w:rsid w:val="005A58BA"/>
    <w:rsid w:val="005A5D30"/>
    <w:rsid w:val="005A6AB9"/>
    <w:rsid w:val="005A6B62"/>
    <w:rsid w:val="005A7926"/>
    <w:rsid w:val="005B3921"/>
    <w:rsid w:val="005B471F"/>
    <w:rsid w:val="005B5F2D"/>
    <w:rsid w:val="005C2DFF"/>
    <w:rsid w:val="005C333E"/>
    <w:rsid w:val="005C3AE7"/>
    <w:rsid w:val="005C4C49"/>
    <w:rsid w:val="005C7A12"/>
    <w:rsid w:val="005C7B6C"/>
    <w:rsid w:val="005D0677"/>
    <w:rsid w:val="005D3634"/>
    <w:rsid w:val="005D4949"/>
    <w:rsid w:val="005E294C"/>
    <w:rsid w:val="005E2CE3"/>
    <w:rsid w:val="005E78B5"/>
    <w:rsid w:val="005F1D84"/>
    <w:rsid w:val="005F2638"/>
    <w:rsid w:val="005F3F07"/>
    <w:rsid w:val="005F7568"/>
    <w:rsid w:val="00600631"/>
    <w:rsid w:val="00601C2B"/>
    <w:rsid w:val="00603D04"/>
    <w:rsid w:val="00606857"/>
    <w:rsid w:val="00613AAE"/>
    <w:rsid w:val="00615F42"/>
    <w:rsid w:val="00616BE9"/>
    <w:rsid w:val="00621FCA"/>
    <w:rsid w:val="006258C2"/>
    <w:rsid w:val="00626365"/>
    <w:rsid w:val="00630E22"/>
    <w:rsid w:val="00631ED4"/>
    <w:rsid w:val="00640990"/>
    <w:rsid w:val="0064168C"/>
    <w:rsid w:val="00654D8C"/>
    <w:rsid w:val="00657764"/>
    <w:rsid w:val="00657B46"/>
    <w:rsid w:val="00671EBA"/>
    <w:rsid w:val="006748D4"/>
    <w:rsid w:val="006764EC"/>
    <w:rsid w:val="00677C28"/>
    <w:rsid w:val="006835FE"/>
    <w:rsid w:val="00684835"/>
    <w:rsid w:val="00693BFD"/>
    <w:rsid w:val="00695065"/>
    <w:rsid w:val="00696610"/>
    <w:rsid w:val="006A1038"/>
    <w:rsid w:val="006A236F"/>
    <w:rsid w:val="006A649A"/>
    <w:rsid w:val="006A7146"/>
    <w:rsid w:val="006B1B49"/>
    <w:rsid w:val="006B6390"/>
    <w:rsid w:val="006C0356"/>
    <w:rsid w:val="006C0843"/>
    <w:rsid w:val="006C35EC"/>
    <w:rsid w:val="006C6616"/>
    <w:rsid w:val="006C74B1"/>
    <w:rsid w:val="006D0B13"/>
    <w:rsid w:val="006D1974"/>
    <w:rsid w:val="006D6692"/>
    <w:rsid w:val="006E57AA"/>
    <w:rsid w:val="006E7190"/>
    <w:rsid w:val="006F20CF"/>
    <w:rsid w:val="006F2C71"/>
    <w:rsid w:val="006F38ED"/>
    <w:rsid w:val="006F4001"/>
    <w:rsid w:val="006F7493"/>
    <w:rsid w:val="00703CF5"/>
    <w:rsid w:val="00707D4D"/>
    <w:rsid w:val="00722E75"/>
    <w:rsid w:val="00723503"/>
    <w:rsid w:val="00730247"/>
    <w:rsid w:val="00730C04"/>
    <w:rsid w:val="0073597B"/>
    <w:rsid w:val="007378F6"/>
    <w:rsid w:val="00742738"/>
    <w:rsid w:val="0074545D"/>
    <w:rsid w:val="007522E3"/>
    <w:rsid w:val="00752475"/>
    <w:rsid w:val="0075335B"/>
    <w:rsid w:val="00753A92"/>
    <w:rsid w:val="00753C44"/>
    <w:rsid w:val="00753EA1"/>
    <w:rsid w:val="00754383"/>
    <w:rsid w:val="007564D1"/>
    <w:rsid w:val="00757232"/>
    <w:rsid w:val="0075732E"/>
    <w:rsid w:val="00760679"/>
    <w:rsid w:val="00760859"/>
    <w:rsid w:val="00761BB1"/>
    <w:rsid w:val="00763628"/>
    <w:rsid w:val="007642F7"/>
    <w:rsid w:val="00767E99"/>
    <w:rsid w:val="00772E62"/>
    <w:rsid w:val="0077789B"/>
    <w:rsid w:val="00780D29"/>
    <w:rsid w:val="0079108A"/>
    <w:rsid w:val="00791C8D"/>
    <w:rsid w:val="00794181"/>
    <w:rsid w:val="007A7F6F"/>
    <w:rsid w:val="007B4C76"/>
    <w:rsid w:val="007C2260"/>
    <w:rsid w:val="007C6803"/>
    <w:rsid w:val="007D0E47"/>
    <w:rsid w:val="007D0F69"/>
    <w:rsid w:val="007D1080"/>
    <w:rsid w:val="007D1E52"/>
    <w:rsid w:val="007D2358"/>
    <w:rsid w:val="007D31F9"/>
    <w:rsid w:val="007E06A4"/>
    <w:rsid w:val="007E23AE"/>
    <w:rsid w:val="007E3133"/>
    <w:rsid w:val="007E39E4"/>
    <w:rsid w:val="007E6FB3"/>
    <w:rsid w:val="007E747D"/>
    <w:rsid w:val="007F14CB"/>
    <w:rsid w:val="007F21B4"/>
    <w:rsid w:val="007F3DDD"/>
    <w:rsid w:val="007F4E5E"/>
    <w:rsid w:val="007F6EBA"/>
    <w:rsid w:val="00802553"/>
    <w:rsid w:val="00803EAB"/>
    <w:rsid w:val="008046B5"/>
    <w:rsid w:val="0080580D"/>
    <w:rsid w:val="00811E28"/>
    <w:rsid w:val="008127C0"/>
    <w:rsid w:val="00812EDD"/>
    <w:rsid w:val="008137D4"/>
    <w:rsid w:val="008139C5"/>
    <w:rsid w:val="00814465"/>
    <w:rsid w:val="00815AF3"/>
    <w:rsid w:val="0081650F"/>
    <w:rsid w:val="00820ABD"/>
    <w:rsid w:val="008233FB"/>
    <w:rsid w:val="0082616B"/>
    <w:rsid w:val="008310E2"/>
    <w:rsid w:val="00832B31"/>
    <w:rsid w:val="00833B90"/>
    <w:rsid w:val="00837987"/>
    <w:rsid w:val="008403E0"/>
    <w:rsid w:val="00842598"/>
    <w:rsid w:val="00842F49"/>
    <w:rsid w:val="0084426F"/>
    <w:rsid w:val="0084657B"/>
    <w:rsid w:val="0084693D"/>
    <w:rsid w:val="00855944"/>
    <w:rsid w:val="00857CC2"/>
    <w:rsid w:val="00864A18"/>
    <w:rsid w:val="0087060A"/>
    <w:rsid w:val="00870833"/>
    <w:rsid w:val="008715DF"/>
    <w:rsid w:val="00874571"/>
    <w:rsid w:val="00877C92"/>
    <w:rsid w:val="008812D3"/>
    <w:rsid w:val="00881F93"/>
    <w:rsid w:val="00882CB5"/>
    <w:rsid w:val="00883641"/>
    <w:rsid w:val="00884947"/>
    <w:rsid w:val="00884E69"/>
    <w:rsid w:val="00887888"/>
    <w:rsid w:val="008879E6"/>
    <w:rsid w:val="00890082"/>
    <w:rsid w:val="00890A19"/>
    <w:rsid w:val="00890F04"/>
    <w:rsid w:val="00894AC9"/>
    <w:rsid w:val="008A48D2"/>
    <w:rsid w:val="008A5194"/>
    <w:rsid w:val="008B2610"/>
    <w:rsid w:val="008B471D"/>
    <w:rsid w:val="008B49E4"/>
    <w:rsid w:val="008B729C"/>
    <w:rsid w:val="008C4A93"/>
    <w:rsid w:val="008E0E49"/>
    <w:rsid w:val="008E35FD"/>
    <w:rsid w:val="008E5788"/>
    <w:rsid w:val="008E6227"/>
    <w:rsid w:val="008E78B9"/>
    <w:rsid w:val="008E7CEE"/>
    <w:rsid w:val="008F4F9F"/>
    <w:rsid w:val="00901608"/>
    <w:rsid w:val="00904399"/>
    <w:rsid w:val="0090543D"/>
    <w:rsid w:val="009056C5"/>
    <w:rsid w:val="00907719"/>
    <w:rsid w:val="009167F8"/>
    <w:rsid w:val="009179A1"/>
    <w:rsid w:val="00921D21"/>
    <w:rsid w:val="009261FB"/>
    <w:rsid w:val="009262F2"/>
    <w:rsid w:val="0093389F"/>
    <w:rsid w:val="009352BC"/>
    <w:rsid w:val="00937791"/>
    <w:rsid w:val="00951933"/>
    <w:rsid w:val="00954343"/>
    <w:rsid w:val="00955271"/>
    <w:rsid w:val="009605D5"/>
    <w:rsid w:val="00963C9C"/>
    <w:rsid w:val="00964CA6"/>
    <w:rsid w:val="00965B6B"/>
    <w:rsid w:val="00971E21"/>
    <w:rsid w:val="00971EDB"/>
    <w:rsid w:val="0097322F"/>
    <w:rsid w:val="00974D2F"/>
    <w:rsid w:val="00974D50"/>
    <w:rsid w:val="00986989"/>
    <w:rsid w:val="00987ABE"/>
    <w:rsid w:val="00991EE4"/>
    <w:rsid w:val="009939DC"/>
    <w:rsid w:val="00993B9C"/>
    <w:rsid w:val="009A6929"/>
    <w:rsid w:val="009B4469"/>
    <w:rsid w:val="009B4E1E"/>
    <w:rsid w:val="009B6B81"/>
    <w:rsid w:val="009C03FB"/>
    <w:rsid w:val="009C0916"/>
    <w:rsid w:val="009C42EB"/>
    <w:rsid w:val="009C4B4F"/>
    <w:rsid w:val="009D2242"/>
    <w:rsid w:val="009D7137"/>
    <w:rsid w:val="009E2E46"/>
    <w:rsid w:val="009F0C02"/>
    <w:rsid w:val="009F38A1"/>
    <w:rsid w:val="009F3E3D"/>
    <w:rsid w:val="009F5758"/>
    <w:rsid w:val="00A006A6"/>
    <w:rsid w:val="00A0283F"/>
    <w:rsid w:val="00A04D67"/>
    <w:rsid w:val="00A04F4A"/>
    <w:rsid w:val="00A12BB3"/>
    <w:rsid w:val="00A15CE7"/>
    <w:rsid w:val="00A20FB3"/>
    <w:rsid w:val="00A2600F"/>
    <w:rsid w:val="00A26343"/>
    <w:rsid w:val="00A33DAC"/>
    <w:rsid w:val="00A408B5"/>
    <w:rsid w:val="00A42488"/>
    <w:rsid w:val="00A44473"/>
    <w:rsid w:val="00A44AF2"/>
    <w:rsid w:val="00A529E2"/>
    <w:rsid w:val="00A539F8"/>
    <w:rsid w:val="00A54C41"/>
    <w:rsid w:val="00A6275F"/>
    <w:rsid w:val="00A6491A"/>
    <w:rsid w:val="00A6594E"/>
    <w:rsid w:val="00A727B6"/>
    <w:rsid w:val="00A76640"/>
    <w:rsid w:val="00A808C6"/>
    <w:rsid w:val="00A81CC6"/>
    <w:rsid w:val="00A83EC6"/>
    <w:rsid w:val="00A84433"/>
    <w:rsid w:val="00A8732C"/>
    <w:rsid w:val="00A9062D"/>
    <w:rsid w:val="00A919D6"/>
    <w:rsid w:val="00A93F58"/>
    <w:rsid w:val="00A96329"/>
    <w:rsid w:val="00AA134B"/>
    <w:rsid w:val="00AA2CFE"/>
    <w:rsid w:val="00AA5FDA"/>
    <w:rsid w:val="00AA6291"/>
    <w:rsid w:val="00AA714E"/>
    <w:rsid w:val="00AA7A08"/>
    <w:rsid w:val="00AA7A6C"/>
    <w:rsid w:val="00AB4B84"/>
    <w:rsid w:val="00AB4E02"/>
    <w:rsid w:val="00AC0C91"/>
    <w:rsid w:val="00AC2D01"/>
    <w:rsid w:val="00AD37D4"/>
    <w:rsid w:val="00AD7986"/>
    <w:rsid w:val="00AE1188"/>
    <w:rsid w:val="00AE2D91"/>
    <w:rsid w:val="00AE738C"/>
    <w:rsid w:val="00AF0E71"/>
    <w:rsid w:val="00AF1046"/>
    <w:rsid w:val="00AF4466"/>
    <w:rsid w:val="00AF4BB6"/>
    <w:rsid w:val="00AF5D1E"/>
    <w:rsid w:val="00AF61B2"/>
    <w:rsid w:val="00B040A9"/>
    <w:rsid w:val="00B143F3"/>
    <w:rsid w:val="00B14692"/>
    <w:rsid w:val="00B1711E"/>
    <w:rsid w:val="00B17CBE"/>
    <w:rsid w:val="00B17E26"/>
    <w:rsid w:val="00B206B0"/>
    <w:rsid w:val="00B20C1A"/>
    <w:rsid w:val="00B231A4"/>
    <w:rsid w:val="00B25D20"/>
    <w:rsid w:val="00B31C99"/>
    <w:rsid w:val="00B33939"/>
    <w:rsid w:val="00B35945"/>
    <w:rsid w:val="00B50089"/>
    <w:rsid w:val="00B52F91"/>
    <w:rsid w:val="00B53BA6"/>
    <w:rsid w:val="00B5731D"/>
    <w:rsid w:val="00B6378B"/>
    <w:rsid w:val="00B63E3A"/>
    <w:rsid w:val="00B71323"/>
    <w:rsid w:val="00B74A7A"/>
    <w:rsid w:val="00B75965"/>
    <w:rsid w:val="00B771AD"/>
    <w:rsid w:val="00B7798E"/>
    <w:rsid w:val="00B814CB"/>
    <w:rsid w:val="00B84696"/>
    <w:rsid w:val="00B91785"/>
    <w:rsid w:val="00B9731F"/>
    <w:rsid w:val="00B97BE4"/>
    <w:rsid w:val="00BA0CF8"/>
    <w:rsid w:val="00BA1ADF"/>
    <w:rsid w:val="00BA2546"/>
    <w:rsid w:val="00BA28D2"/>
    <w:rsid w:val="00BA51FC"/>
    <w:rsid w:val="00BB003A"/>
    <w:rsid w:val="00BB3358"/>
    <w:rsid w:val="00BB3382"/>
    <w:rsid w:val="00BB3643"/>
    <w:rsid w:val="00BB52F6"/>
    <w:rsid w:val="00BC3DA0"/>
    <w:rsid w:val="00BC424B"/>
    <w:rsid w:val="00BC4DE3"/>
    <w:rsid w:val="00BD5DEE"/>
    <w:rsid w:val="00BE0ACB"/>
    <w:rsid w:val="00BE0FDE"/>
    <w:rsid w:val="00BE7973"/>
    <w:rsid w:val="00BF6AC5"/>
    <w:rsid w:val="00C01121"/>
    <w:rsid w:val="00C030A5"/>
    <w:rsid w:val="00C05A45"/>
    <w:rsid w:val="00C0796F"/>
    <w:rsid w:val="00C10223"/>
    <w:rsid w:val="00C11B34"/>
    <w:rsid w:val="00C12C5C"/>
    <w:rsid w:val="00C15C9A"/>
    <w:rsid w:val="00C171FB"/>
    <w:rsid w:val="00C17330"/>
    <w:rsid w:val="00C209C2"/>
    <w:rsid w:val="00C221F9"/>
    <w:rsid w:val="00C2267F"/>
    <w:rsid w:val="00C22AD8"/>
    <w:rsid w:val="00C33262"/>
    <w:rsid w:val="00C34B07"/>
    <w:rsid w:val="00C3557E"/>
    <w:rsid w:val="00C3594B"/>
    <w:rsid w:val="00C36ED3"/>
    <w:rsid w:val="00C43102"/>
    <w:rsid w:val="00C45EC0"/>
    <w:rsid w:val="00C4696B"/>
    <w:rsid w:val="00C50513"/>
    <w:rsid w:val="00C54183"/>
    <w:rsid w:val="00C54503"/>
    <w:rsid w:val="00C5775D"/>
    <w:rsid w:val="00C61B4A"/>
    <w:rsid w:val="00C61F13"/>
    <w:rsid w:val="00C63055"/>
    <w:rsid w:val="00C63199"/>
    <w:rsid w:val="00C66BBF"/>
    <w:rsid w:val="00C73B62"/>
    <w:rsid w:val="00C776B1"/>
    <w:rsid w:val="00C815FE"/>
    <w:rsid w:val="00C847AE"/>
    <w:rsid w:val="00C87C31"/>
    <w:rsid w:val="00CA04C6"/>
    <w:rsid w:val="00CA26DD"/>
    <w:rsid w:val="00CA59A4"/>
    <w:rsid w:val="00CB12EC"/>
    <w:rsid w:val="00CC09D7"/>
    <w:rsid w:val="00CC12B8"/>
    <w:rsid w:val="00CC2102"/>
    <w:rsid w:val="00CC58C1"/>
    <w:rsid w:val="00CD22E3"/>
    <w:rsid w:val="00CD3C93"/>
    <w:rsid w:val="00CD4E44"/>
    <w:rsid w:val="00CD5AE4"/>
    <w:rsid w:val="00CD76A3"/>
    <w:rsid w:val="00CD7A7D"/>
    <w:rsid w:val="00CE0BFF"/>
    <w:rsid w:val="00CE19A2"/>
    <w:rsid w:val="00CE5AB7"/>
    <w:rsid w:val="00CF08F9"/>
    <w:rsid w:val="00CF23B4"/>
    <w:rsid w:val="00CF2D8E"/>
    <w:rsid w:val="00CF2DFA"/>
    <w:rsid w:val="00CF5433"/>
    <w:rsid w:val="00CF54E5"/>
    <w:rsid w:val="00CF5AD8"/>
    <w:rsid w:val="00CF5DB5"/>
    <w:rsid w:val="00CF6CB5"/>
    <w:rsid w:val="00CF7808"/>
    <w:rsid w:val="00CF7FF1"/>
    <w:rsid w:val="00D00122"/>
    <w:rsid w:val="00D01D2A"/>
    <w:rsid w:val="00D10B47"/>
    <w:rsid w:val="00D11EB1"/>
    <w:rsid w:val="00D16F23"/>
    <w:rsid w:val="00D17F17"/>
    <w:rsid w:val="00D22976"/>
    <w:rsid w:val="00D23597"/>
    <w:rsid w:val="00D30BDC"/>
    <w:rsid w:val="00D45CF4"/>
    <w:rsid w:val="00D524AD"/>
    <w:rsid w:val="00D57F88"/>
    <w:rsid w:val="00D642C1"/>
    <w:rsid w:val="00D7105C"/>
    <w:rsid w:val="00D73646"/>
    <w:rsid w:val="00D75D60"/>
    <w:rsid w:val="00D777B4"/>
    <w:rsid w:val="00D77A90"/>
    <w:rsid w:val="00D8360B"/>
    <w:rsid w:val="00D85676"/>
    <w:rsid w:val="00D92156"/>
    <w:rsid w:val="00D96ADA"/>
    <w:rsid w:val="00DA1FCB"/>
    <w:rsid w:val="00DA2886"/>
    <w:rsid w:val="00DA5E50"/>
    <w:rsid w:val="00DA7910"/>
    <w:rsid w:val="00DA7D0C"/>
    <w:rsid w:val="00DB281E"/>
    <w:rsid w:val="00DB311C"/>
    <w:rsid w:val="00DB432D"/>
    <w:rsid w:val="00DB519B"/>
    <w:rsid w:val="00DB7971"/>
    <w:rsid w:val="00DC5C2B"/>
    <w:rsid w:val="00DC64FD"/>
    <w:rsid w:val="00DC7694"/>
    <w:rsid w:val="00DC7FBE"/>
    <w:rsid w:val="00DD130E"/>
    <w:rsid w:val="00DD308E"/>
    <w:rsid w:val="00DE2730"/>
    <w:rsid w:val="00DF0C51"/>
    <w:rsid w:val="00DF0D47"/>
    <w:rsid w:val="00DF1652"/>
    <w:rsid w:val="00DF2299"/>
    <w:rsid w:val="00DF6D37"/>
    <w:rsid w:val="00E048ED"/>
    <w:rsid w:val="00E04FB3"/>
    <w:rsid w:val="00E058F2"/>
    <w:rsid w:val="00E05D9C"/>
    <w:rsid w:val="00E06102"/>
    <w:rsid w:val="00E107DC"/>
    <w:rsid w:val="00E23E71"/>
    <w:rsid w:val="00E30F19"/>
    <w:rsid w:val="00E33C4A"/>
    <w:rsid w:val="00E357B9"/>
    <w:rsid w:val="00E41A88"/>
    <w:rsid w:val="00E4321E"/>
    <w:rsid w:val="00E44B80"/>
    <w:rsid w:val="00E47623"/>
    <w:rsid w:val="00E47C91"/>
    <w:rsid w:val="00E53C1D"/>
    <w:rsid w:val="00E60529"/>
    <w:rsid w:val="00E70D86"/>
    <w:rsid w:val="00E7628E"/>
    <w:rsid w:val="00E77D7E"/>
    <w:rsid w:val="00E82F54"/>
    <w:rsid w:val="00E8649B"/>
    <w:rsid w:val="00E871CD"/>
    <w:rsid w:val="00E90990"/>
    <w:rsid w:val="00E910F2"/>
    <w:rsid w:val="00E93203"/>
    <w:rsid w:val="00E955AF"/>
    <w:rsid w:val="00E95D3D"/>
    <w:rsid w:val="00E96299"/>
    <w:rsid w:val="00EA0E25"/>
    <w:rsid w:val="00EA173C"/>
    <w:rsid w:val="00EB20C0"/>
    <w:rsid w:val="00EB38CD"/>
    <w:rsid w:val="00EC127A"/>
    <w:rsid w:val="00EC1FF9"/>
    <w:rsid w:val="00EC2737"/>
    <w:rsid w:val="00EC28C7"/>
    <w:rsid w:val="00EC67B8"/>
    <w:rsid w:val="00ED061E"/>
    <w:rsid w:val="00ED06B6"/>
    <w:rsid w:val="00EE20FA"/>
    <w:rsid w:val="00EE2716"/>
    <w:rsid w:val="00EE39C0"/>
    <w:rsid w:val="00EE6450"/>
    <w:rsid w:val="00EF09C7"/>
    <w:rsid w:val="00EF0D3B"/>
    <w:rsid w:val="00EF1ADB"/>
    <w:rsid w:val="00EF297E"/>
    <w:rsid w:val="00EF345F"/>
    <w:rsid w:val="00EF5FC0"/>
    <w:rsid w:val="00EF7091"/>
    <w:rsid w:val="00F01C2C"/>
    <w:rsid w:val="00F047B0"/>
    <w:rsid w:val="00F06096"/>
    <w:rsid w:val="00F06BFB"/>
    <w:rsid w:val="00F07BA2"/>
    <w:rsid w:val="00F10ED8"/>
    <w:rsid w:val="00F121AE"/>
    <w:rsid w:val="00F222BE"/>
    <w:rsid w:val="00F24179"/>
    <w:rsid w:val="00F301F1"/>
    <w:rsid w:val="00F30C22"/>
    <w:rsid w:val="00F33F1A"/>
    <w:rsid w:val="00F35C0A"/>
    <w:rsid w:val="00F41FE5"/>
    <w:rsid w:val="00F461EF"/>
    <w:rsid w:val="00F46FD9"/>
    <w:rsid w:val="00F52BD8"/>
    <w:rsid w:val="00F547F7"/>
    <w:rsid w:val="00F54CCF"/>
    <w:rsid w:val="00F552F6"/>
    <w:rsid w:val="00F61D7A"/>
    <w:rsid w:val="00F62123"/>
    <w:rsid w:val="00F637B3"/>
    <w:rsid w:val="00F66CF7"/>
    <w:rsid w:val="00F67BCB"/>
    <w:rsid w:val="00F72FD1"/>
    <w:rsid w:val="00F77C57"/>
    <w:rsid w:val="00F807F9"/>
    <w:rsid w:val="00F813C7"/>
    <w:rsid w:val="00F83566"/>
    <w:rsid w:val="00F83A9D"/>
    <w:rsid w:val="00F906B5"/>
    <w:rsid w:val="00F90A70"/>
    <w:rsid w:val="00F91FBC"/>
    <w:rsid w:val="00F93784"/>
    <w:rsid w:val="00F94EBD"/>
    <w:rsid w:val="00F971CC"/>
    <w:rsid w:val="00FA2CAA"/>
    <w:rsid w:val="00FA347A"/>
    <w:rsid w:val="00FA3DA1"/>
    <w:rsid w:val="00FA5295"/>
    <w:rsid w:val="00FA6554"/>
    <w:rsid w:val="00FB5F38"/>
    <w:rsid w:val="00FC579F"/>
    <w:rsid w:val="00FD0529"/>
    <w:rsid w:val="00FD12A2"/>
    <w:rsid w:val="00FD2E15"/>
    <w:rsid w:val="00FD643A"/>
    <w:rsid w:val="00FE16C1"/>
    <w:rsid w:val="00FE19FF"/>
    <w:rsid w:val="00FE1F97"/>
    <w:rsid w:val="00FE33A6"/>
    <w:rsid w:val="00FE5452"/>
    <w:rsid w:val="00FE710C"/>
    <w:rsid w:val="00FF3ECC"/>
    <w:rsid w:val="00FF59A8"/>
    <w:rsid w:val="00FF7E9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2D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36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FootnoteText">
    <w:name w:val="footnote text"/>
    <w:basedOn w:val="Normal"/>
    <w:link w:val="FootnoteTextChar"/>
    <w:uiPriority w:val="99"/>
    <w:semiHidden/>
    <w:unhideWhenUsed/>
    <w:rsid w:val="0012666E"/>
    <w:pPr>
      <w:spacing w:before="0" w:after="0"/>
    </w:pPr>
    <w:rPr>
      <w:szCs w:val="20"/>
    </w:rPr>
  </w:style>
  <w:style w:type="character" w:customStyle="1" w:styleId="FootnoteTextChar">
    <w:name w:val="Footnote Text Char"/>
    <w:basedOn w:val="DefaultParagraphFont"/>
    <w:link w:val="FootnoteText"/>
    <w:uiPriority w:val="99"/>
    <w:semiHidden/>
    <w:rsid w:val="0012666E"/>
    <w:rPr>
      <w:sz w:val="20"/>
      <w:szCs w:val="20"/>
    </w:rPr>
  </w:style>
  <w:style w:type="character" w:styleId="FootnoteReference">
    <w:name w:val="footnote reference"/>
    <w:basedOn w:val="DefaultParagraphFont"/>
    <w:uiPriority w:val="99"/>
    <w:semiHidden/>
    <w:unhideWhenUsed/>
    <w:rsid w:val="0012666E"/>
    <w:rPr>
      <w:vertAlign w:val="superscript"/>
    </w:rPr>
  </w:style>
  <w:style w:type="character" w:customStyle="1" w:styleId="UnresolvedMention1">
    <w:name w:val="Unresolved Mention1"/>
    <w:basedOn w:val="DefaultParagraphFont"/>
    <w:uiPriority w:val="99"/>
    <w:semiHidden/>
    <w:unhideWhenUsed/>
    <w:rsid w:val="003B402C"/>
    <w:rPr>
      <w:color w:val="605E5C"/>
      <w:shd w:val="clear" w:color="auto" w:fill="E1DFDD"/>
    </w:rPr>
  </w:style>
  <w:style w:type="character" w:customStyle="1" w:styleId="highlight">
    <w:name w:val="highlight"/>
    <w:basedOn w:val="DefaultParagraphFont"/>
    <w:rsid w:val="009C0916"/>
  </w:style>
  <w:style w:type="paragraph" w:customStyle="1" w:styleId="EndNoteBibliographyTitle">
    <w:name w:val="EndNote Bibliography Title"/>
    <w:basedOn w:val="Normal"/>
    <w:link w:val="EndNoteBibliographyTitleChar"/>
    <w:rsid w:val="00E9320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93203"/>
    <w:rPr>
      <w:rFonts w:ascii="Calibri" w:hAnsi="Calibri" w:cs="Calibri"/>
      <w:noProof/>
      <w:sz w:val="20"/>
      <w:lang w:val="en-US"/>
    </w:rPr>
  </w:style>
  <w:style w:type="paragraph" w:customStyle="1" w:styleId="EndNoteBibliography">
    <w:name w:val="EndNote Bibliography"/>
    <w:basedOn w:val="Normal"/>
    <w:link w:val="EndNoteBibliographyChar"/>
    <w:uiPriority w:val="8"/>
    <w:rsid w:val="00E93203"/>
    <w:rPr>
      <w:rFonts w:ascii="Calibri" w:hAnsi="Calibri" w:cs="Calibri"/>
      <w:noProof/>
      <w:lang w:val="en-US"/>
    </w:rPr>
  </w:style>
  <w:style w:type="character" w:customStyle="1" w:styleId="EndNoteBibliographyChar">
    <w:name w:val="EndNote Bibliography Char"/>
    <w:basedOn w:val="DefaultParagraphFont"/>
    <w:link w:val="EndNoteBibliography"/>
    <w:uiPriority w:val="8"/>
    <w:rsid w:val="00E93203"/>
    <w:rPr>
      <w:rFonts w:ascii="Calibri" w:hAnsi="Calibri" w:cs="Calibri"/>
      <w:noProof/>
      <w:sz w:val="20"/>
      <w:lang w:val="en-US"/>
    </w:rPr>
  </w:style>
  <w:style w:type="paragraph" w:styleId="EndnoteText">
    <w:name w:val="endnote text"/>
    <w:basedOn w:val="Normal"/>
    <w:link w:val="EndnoteTextChar"/>
    <w:uiPriority w:val="99"/>
    <w:semiHidden/>
    <w:unhideWhenUsed/>
    <w:rsid w:val="00E93203"/>
    <w:pPr>
      <w:spacing w:before="0" w:after="0"/>
    </w:pPr>
    <w:rPr>
      <w:szCs w:val="20"/>
    </w:rPr>
  </w:style>
  <w:style w:type="character" w:customStyle="1" w:styleId="EndnoteTextChar">
    <w:name w:val="Endnote Text Char"/>
    <w:basedOn w:val="DefaultParagraphFont"/>
    <w:link w:val="EndnoteText"/>
    <w:uiPriority w:val="99"/>
    <w:semiHidden/>
    <w:rsid w:val="00E93203"/>
    <w:rPr>
      <w:sz w:val="20"/>
      <w:szCs w:val="20"/>
    </w:rPr>
  </w:style>
  <w:style w:type="character" w:styleId="EndnoteReference">
    <w:name w:val="endnote reference"/>
    <w:basedOn w:val="DefaultParagraphFont"/>
    <w:uiPriority w:val="99"/>
    <w:semiHidden/>
    <w:unhideWhenUsed/>
    <w:rsid w:val="00E93203"/>
    <w:rPr>
      <w:vertAlign w:val="superscript"/>
    </w:rPr>
  </w:style>
  <w:style w:type="paragraph" w:styleId="Caption">
    <w:name w:val="caption"/>
    <w:basedOn w:val="Normal"/>
    <w:next w:val="Normal"/>
    <w:uiPriority w:val="35"/>
    <w:qFormat/>
    <w:rsid w:val="00887888"/>
    <w:pPr>
      <w:spacing w:before="240"/>
      <w:jc w:val="both"/>
    </w:pPr>
    <w:rPr>
      <w:rFonts w:ascii="Arial" w:hAnsi="Arial"/>
      <w:b/>
      <w:bCs/>
      <w:color w:val="505759"/>
      <w:szCs w:val="18"/>
      <w:lang w:val="en-US"/>
    </w:rPr>
  </w:style>
  <w:style w:type="paragraph" w:customStyle="1" w:styleId="TableText">
    <w:name w:val="Table Text"/>
    <w:basedOn w:val="Normal"/>
    <w:link w:val="TableTextChar"/>
    <w:uiPriority w:val="2"/>
    <w:qFormat/>
    <w:rsid w:val="00EE39C0"/>
    <w:pPr>
      <w:spacing w:before="0" w:after="0"/>
    </w:pPr>
    <w:rPr>
      <w:rFonts w:ascii="Arial" w:hAnsi="Arial"/>
      <w:color w:val="505759"/>
      <w:sz w:val="18"/>
      <w:lang w:val="en-US"/>
    </w:rPr>
  </w:style>
  <w:style w:type="character" w:customStyle="1" w:styleId="TableTextChar">
    <w:name w:val="Table Text Char"/>
    <w:basedOn w:val="DefaultParagraphFont"/>
    <w:link w:val="TableText"/>
    <w:uiPriority w:val="2"/>
    <w:rsid w:val="00EE39C0"/>
    <w:rPr>
      <w:rFonts w:ascii="Arial" w:hAnsi="Arial"/>
      <w:color w:val="505759"/>
      <w:sz w:val="18"/>
      <w:lang w:val="en-US"/>
    </w:rPr>
  </w:style>
  <w:style w:type="paragraph" w:customStyle="1" w:styleId="TableCaptions">
    <w:name w:val="Table Captions"/>
    <w:basedOn w:val="Normal"/>
    <w:next w:val="Normal"/>
    <w:uiPriority w:val="4"/>
    <w:qFormat/>
    <w:rsid w:val="008233FB"/>
    <w:pPr>
      <w:keepNext/>
      <w:spacing w:before="480" w:after="60" w:line="276" w:lineRule="auto"/>
    </w:pPr>
    <w:rPr>
      <w:rFonts w:ascii="Arial" w:eastAsia="Calibri" w:hAnsi="Arial"/>
      <w:b/>
      <w:bCs/>
      <w:color w:val="505759"/>
      <w:szCs w:val="20"/>
      <w:lang w:val="en-US"/>
    </w:rPr>
  </w:style>
  <w:style w:type="paragraph" w:styleId="Revision">
    <w:name w:val="Revision"/>
    <w:hidden/>
    <w:uiPriority w:val="99"/>
    <w:semiHidden/>
    <w:rsid w:val="00F72FD1"/>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090203687">
      <w:bodyDiv w:val="1"/>
      <w:marLeft w:val="0"/>
      <w:marRight w:val="0"/>
      <w:marTop w:val="0"/>
      <w:marBottom w:val="0"/>
      <w:divBdr>
        <w:top w:val="none" w:sz="0" w:space="0" w:color="auto"/>
        <w:left w:val="none" w:sz="0" w:space="0" w:color="auto"/>
        <w:bottom w:val="none" w:sz="0" w:space="0" w:color="auto"/>
        <w:right w:val="none" w:sz="0" w:space="0" w:color="auto"/>
      </w:divBdr>
      <w:divsChild>
        <w:div w:id="263148770">
          <w:marLeft w:val="0"/>
          <w:marRight w:val="0"/>
          <w:marTop w:val="0"/>
          <w:marBottom w:val="0"/>
          <w:divBdr>
            <w:top w:val="none" w:sz="0" w:space="0" w:color="auto"/>
            <w:left w:val="none" w:sz="0" w:space="0" w:color="auto"/>
            <w:bottom w:val="none" w:sz="0" w:space="0" w:color="auto"/>
            <w:right w:val="none" w:sz="0" w:space="0" w:color="auto"/>
          </w:divBdr>
          <w:divsChild>
            <w:div w:id="1785075704">
              <w:marLeft w:val="0"/>
              <w:marRight w:val="0"/>
              <w:marTop w:val="0"/>
              <w:marBottom w:val="0"/>
              <w:divBdr>
                <w:top w:val="none" w:sz="0" w:space="0" w:color="auto"/>
                <w:left w:val="none" w:sz="0" w:space="0" w:color="auto"/>
                <w:bottom w:val="none" w:sz="0" w:space="0" w:color="auto"/>
                <w:right w:val="none" w:sz="0" w:space="0" w:color="auto"/>
              </w:divBdr>
            </w:div>
            <w:div w:id="1204903196">
              <w:marLeft w:val="439"/>
              <w:marRight w:val="0"/>
              <w:marTop w:val="0"/>
              <w:marBottom w:val="0"/>
              <w:divBdr>
                <w:top w:val="none" w:sz="0" w:space="0" w:color="auto"/>
                <w:left w:val="none" w:sz="0" w:space="0" w:color="auto"/>
                <w:bottom w:val="none" w:sz="0" w:space="0" w:color="auto"/>
                <w:right w:val="none" w:sz="0" w:space="0" w:color="auto"/>
              </w:divBdr>
              <w:divsChild>
                <w:div w:id="233783041">
                  <w:marLeft w:val="0"/>
                  <w:marRight w:val="0"/>
                  <w:marTop w:val="0"/>
                  <w:marBottom w:val="0"/>
                  <w:divBdr>
                    <w:top w:val="none" w:sz="0" w:space="0" w:color="auto"/>
                    <w:left w:val="none" w:sz="0" w:space="0" w:color="auto"/>
                    <w:bottom w:val="none" w:sz="0" w:space="0" w:color="auto"/>
                    <w:right w:val="none" w:sz="0" w:space="0" w:color="auto"/>
                  </w:divBdr>
                  <w:divsChild>
                    <w:div w:id="559094426">
                      <w:marLeft w:val="0"/>
                      <w:marRight w:val="0"/>
                      <w:marTop w:val="0"/>
                      <w:marBottom w:val="0"/>
                      <w:divBdr>
                        <w:top w:val="none" w:sz="0" w:space="0" w:color="auto"/>
                        <w:left w:val="none" w:sz="0" w:space="0" w:color="auto"/>
                        <w:bottom w:val="none" w:sz="0" w:space="0" w:color="auto"/>
                        <w:right w:val="none" w:sz="0" w:space="0" w:color="auto"/>
                      </w:divBdr>
                    </w:div>
                    <w:div w:id="173611731">
                      <w:marLeft w:val="176"/>
                      <w:marRight w:val="0"/>
                      <w:marTop w:val="0"/>
                      <w:marBottom w:val="0"/>
                      <w:divBdr>
                        <w:top w:val="none" w:sz="0" w:space="0" w:color="auto"/>
                        <w:left w:val="none" w:sz="0" w:space="0" w:color="auto"/>
                        <w:bottom w:val="none" w:sz="0" w:space="0" w:color="auto"/>
                        <w:right w:val="none" w:sz="0" w:space="0" w:color="auto"/>
                      </w:divBdr>
                    </w:div>
                  </w:divsChild>
                </w:div>
                <w:div w:id="718937261">
                  <w:marLeft w:val="0"/>
                  <w:marRight w:val="0"/>
                  <w:marTop w:val="0"/>
                  <w:marBottom w:val="0"/>
                  <w:divBdr>
                    <w:top w:val="none" w:sz="0" w:space="0" w:color="auto"/>
                    <w:left w:val="none" w:sz="0" w:space="0" w:color="auto"/>
                    <w:bottom w:val="none" w:sz="0" w:space="0" w:color="auto"/>
                    <w:right w:val="none" w:sz="0" w:space="0" w:color="auto"/>
                  </w:divBdr>
                  <w:divsChild>
                    <w:div w:id="368069003">
                      <w:marLeft w:val="0"/>
                      <w:marRight w:val="0"/>
                      <w:marTop w:val="0"/>
                      <w:marBottom w:val="0"/>
                      <w:divBdr>
                        <w:top w:val="none" w:sz="0" w:space="0" w:color="auto"/>
                        <w:left w:val="none" w:sz="0" w:space="0" w:color="auto"/>
                        <w:bottom w:val="none" w:sz="0" w:space="0" w:color="auto"/>
                        <w:right w:val="none" w:sz="0" w:space="0" w:color="auto"/>
                      </w:divBdr>
                    </w:div>
                    <w:div w:id="2130934854">
                      <w:marLeft w:val="176"/>
                      <w:marRight w:val="0"/>
                      <w:marTop w:val="0"/>
                      <w:marBottom w:val="0"/>
                      <w:divBdr>
                        <w:top w:val="none" w:sz="0" w:space="0" w:color="auto"/>
                        <w:left w:val="none" w:sz="0" w:space="0" w:color="auto"/>
                        <w:bottom w:val="none" w:sz="0" w:space="0" w:color="auto"/>
                        <w:right w:val="none" w:sz="0" w:space="0" w:color="auto"/>
                      </w:divBdr>
                    </w:div>
                  </w:divsChild>
                </w:div>
                <w:div w:id="386687271">
                  <w:marLeft w:val="0"/>
                  <w:marRight w:val="0"/>
                  <w:marTop w:val="0"/>
                  <w:marBottom w:val="0"/>
                  <w:divBdr>
                    <w:top w:val="none" w:sz="0" w:space="0" w:color="auto"/>
                    <w:left w:val="none" w:sz="0" w:space="0" w:color="auto"/>
                    <w:bottom w:val="none" w:sz="0" w:space="0" w:color="auto"/>
                    <w:right w:val="none" w:sz="0" w:space="0" w:color="auto"/>
                  </w:divBdr>
                  <w:divsChild>
                    <w:div w:id="932275100">
                      <w:marLeft w:val="0"/>
                      <w:marRight w:val="0"/>
                      <w:marTop w:val="0"/>
                      <w:marBottom w:val="0"/>
                      <w:divBdr>
                        <w:top w:val="none" w:sz="0" w:space="0" w:color="auto"/>
                        <w:left w:val="none" w:sz="0" w:space="0" w:color="auto"/>
                        <w:bottom w:val="none" w:sz="0" w:space="0" w:color="auto"/>
                        <w:right w:val="none" w:sz="0" w:space="0" w:color="auto"/>
                      </w:divBdr>
                    </w:div>
                    <w:div w:id="214007597">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6941">
          <w:marLeft w:val="0"/>
          <w:marRight w:val="0"/>
          <w:marTop w:val="0"/>
          <w:marBottom w:val="0"/>
          <w:divBdr>
            <w:top w:val="none" w:sz="0" w:space="0" w:color="auto"/>
            <w:left w:val="none" w:sz="0" w:space="0" w:color="auto"/>
            <w:bottom w:val="none" w:sz="0" w:space="0" w:color="auto"/>
            <w:right w:val="none" w:sz="0" w:space="0" w:color="auto"/>
          </w:divBdr>
        </w:div>
      </w:divsChild>
    </w:div>
    <w:div w:id="1253660317">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bi.nlm.nih.gov/pubmed/29860075"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347A-3692-4952-A4E0-77C67C24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6678</Words>
  <Characters>38068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2019-10-14T22:55:00Z</dcterms:created>
  <dcterms:modified xsi:type="dcterms:W3CDTF">2019-10-14T22:58:00Z</dcterms:modified>
</cp:coreProperties>
</file>